
<file path=[Content_Types].xml><?xml version="1.0" encoding="utf-8"?>
<Types xmlns="http://schemas.openxmlformats.org/package/2006/content-types">
  <Default Extension="jpg" ContentType="image/jpeg"/>
  <Default Extension="xml" ContentType="application/xml"/>
  <Default Extension="wmf" ContentType="image/x-wmf"/>
  <Default Extension="png" ContentType="image/png"/>
  <Default Extension="jpeg" ContentType="image/jpeg"/>
  <Default Extension="rels" ContentType="application/vnd.openxmlformats-package.relationships+xml"/>
  <Default Extension="bin" ContentType="application/vnd.openxmlformats-officedocument.oleObject"/>
  <Override PartName="/docProps/app.xml" ContentType="application/vnd.openxmlformats-officedocument.extended-properti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docProps/core.xml" ContentType="application/vnd.openxmlformats-package.core-properties+xml"/>
  <Override PartName="/word/fontTable.xml" ContentType="application/vnd.openxmlformats-officedocument.wordprocessingml.fontTable+xml"/>
  <Override PartName="/word/footer4.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webSettings.xml" ContentType="application/vnd.openxmlformats-officedocument.wordprocessingml.webSettings+xml"/>
  <Override PartName="/word/endnotes.xml" ContentType="application/vnd.openxmlformats-officedocument.wordprocessingml.endnotes+xml"/>
  <Override PartName="/word/settings.xml" ContentType="application/vnd.openxmlformats-officedocument.wordprocessingml.settings+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mc:Ignorable="w14 w15 wp14">
  <w:background w:color="ffffff"/>
  <w:body>
    <w:p>
      <w:pPr>
        <w:pStyle w:val="684"/>
        <w:pBdr/>
        <w:shd w:val="clear" w:color="auto" w:fill="ffffff"/>
        <w:spacing w:line="580" w:lineRule="exact"/>
        <w:ind/>
        <w:jc w:val="center"/>
        <w:rPr>
          <w:rFonts w:eastAsia="仿宋_GB2312"/>
          <w:sz w:val="32"/>
          <w:szCs w:val="32"/>
        </w:rPr>
      </w:pPr>
      <w:r>
        <w:rPr>
          <w:rFonts w:eastAsia="仿宋_GB2312"/>
          <w:sz w:val="32"/>
          <w:szCs w:val="32"/>
        </w:rPr>
      </w:r>
      <w:r>
        <w:rPr>
          <w:rFonts w:eastAsia="仿宋_GB2312"/>
          <w:sz w:val="32"/>
          <w:szCs w:val="32"/>
        </w:rPr>
      </w:r>
    </w:p>
    <w:p>
      <w:pPr>
        <w:pStyle w:val="684"/>
        <w:pBdr/>
        <w:shd w:val="clear" w:color="auto" w:fill="ffffff"/>
        <w:spacing w:line="580" w:lineRule="exact"/>
        <w:ind/>
        <w:jc w:val="center"/>
        <w:rPr>
          <w:rFonts w:eastAsia="仿宋_GB2312"/>
          <w:sz w:val="32"/>
          <w:szCs w:val="32"/>
        </w:rPr>
      </w:pPr>
      <w:r>
        <w:rPr>
          <w:rFonts w:eastAsia="仿宋_GB2312"/>
          <w:sz w:val="32"/>
          <w:szCs w:val="32"/>
        </w:rPr>
      </w:r>
      <w:r>
        <w:rPr>
          <w:rFonts w:eastAsia="仿宋_GB2312"/>
          <w:sz w:val="32"/>
          <w:szCs w:val="32"/>
        </w:rPr>
      </w:r>
    </w:p>
    <w:p>
      <w:pPr>
        <w:pStyle w:val="684"/>
        <w:pBdr/>
        <w:shd w:val="clear" w:color="auto" w:fill="ffffff"/>
        <w:spacing w:line="580" w:lineRule="exact"/>
        <w:ind/>
        <w:jc w:val="center"/>
        <w:rPr>
          <w:rFonts w:eastAsia="仿宋_GB2312"/>
          <w:sz w:val="32"/>
          <w:szCs w:val="32"/>
        </w:rPr>
      </w:pPr>
      <w:r>
        <w:rPr>
          <w:rFonts w:eastAsia="仿宋_GB2312"/>
          <w:sz w:val="32"/>
          <w:szCs w:val="32"/>
        </w:rPr>
      </w:r>
      <w:r>
        <w:rPr>
          <w:rFonts w:eastAsia="仿宋_GB2312"/>
          <w:sz w:val="32"/>
          <w:szCs w:val="32"/>
        </w:rPr>
      </w:r>
    </w:p>
    <w:p>
      <w:pPr>
        <w:pStyle w:val="684"/>
        <w:pBdr/>
        <w:shd w:val="clear" w:color="auto" w:fill="ffffff"/>
        <w:spacing w:line="580" w:lineRule="exact"/>
        <w:ind/>
        <w:jc w:val="center"/>
        <w:rPr>
          <w:rFonts w:eastAsia="仿宋_GB2312"/>
          <w:sz w:val="32"/>
          <w:szCs w:val="32"/>
        </w:rPr>
      </w:pPr>
      <w:r>
        <w:rPr>
          <w:rFonts w:eastAsia="仿宋_GB2312"/>
          <w:sz w:val="32"/>
          <w:szCs w:val="32"/>
        </w:rPr>
      </w:r>
      <w:r>
        <w:rPr>
          <w:rFonts w:eastAsia="仿宋_GB2312"/>
          <w:sz w:val="32"/>
          <w:szCs w:val="32"/>
        </w:rPr>
      </w:r>
    </w:p>
    <w:p>
      <w:pPr>
        <w:pStyle w:val="684"/>
        <w:pBdr/>
        <w:shd w:val="clear" w:color="auto" w:fill="ffffff"/>
        <w:spacing w:line="580" w:lineRule="exact"/>
        <w:ind/>
        <w:jc w:val="center"/>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hd w:val="clear" w:color="auto" w:fill="ffffff"/>
        <w:spacing w:line="580" w:lineRule="exact"/>
        <w:ind/>
        <w:jc w:val="center"/>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hd w:val="clear" w:color="auto" w:fill="ffffff"/>
        <w:spacing w:line="580" w:lineRule="exact"/>
        <w:ind/>
        <w:jc w:val="center"/>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hd w:val="clear" w:color="auto" w:fill="ffffff"/>
        <w:spacing w:line="580" w:lineRule="exact"/>
        <w:ind/>
        <w:jc w:val="center"/>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line="600" w:lineRule="exact"/>
        <w:ind/>
        <w:jc w:val="center"/>
        <w:rPr>
          <w:rFonts w:eastAsia="方正小标宋简体"/>
          <w:sz w:val="44"/>
          <w:szCs w:val="44"/>
        </w:rPr>
      </w:pPr>
      <w:r>
        <w:rPr>
          <w:rFonts w:eastAsia="方正小标宋简体"/>
          <w:sz w:val="44"/>
          <w:szCs w:val="44"/>
        </w:rPr>
      </w:r>
      <w:r>
        <w:rPr>
          <w:rFonts w:eastAsia="方正小标宋简体"/>
          <w:sz w:val="44"/>
          <w:szCs w:val="44"/>
        </w:rPr>
      </w:r>
    </w:p>
    <w:p>
      <w:pPr>
        <w:pStyle w:val="684"/>
        <w:pBdr/>
        <w:spacing w:line="600" w:lineRule="exact"/>
        <w:ind/>
        <w:jc w:val="center"/>
        <w:rPr>
          <w:rFonts w:eastAsia="方正小标宋简体"/>
          <w:sz w:val="44"/>
          <w:szCs w:val="44"/>
        </w:rPr>
      </w:pPr>
      <w:r>
        <w:rPr>
          <w:rFonts w:eastAsia="方正小标宋简体"/>
          <w:sz w:val="44"/>
          <w:szCs w:val="44"/>
        </w:rPr>
      </w:r>
      <w:r>
        <w:rPr>
          <w:rFonts w:eastAsia="方正小标宋简体"/>
          <w:sz w:val="44"/>
          <w:szCs w:val="44"/>
        </w:rPr>
      </w:r>
    </w:p>
    <w:p>
      <w:pPr>
        <w:pStyle w:val="684"/>
        <w:pBdr/>
        <w:spacing w:line="600" w:lineRule="exact"/>
        <w:ind/>
        <w:jc w:val="center"/>
        <w:rPr>
          <w:rFonts w:eastAsia="方正小标宋简体"/>
          <w:sz w:val="44"/>
          <w:szCs w:val="44"/>
        </w:rPr>
      </w:pPr>
      <w:r>
        <w:rPr>
          <w:rFonts w:eastAsia="方正小标宋简体"/>
          <w:sz w:val="44"/>
          <w:szCs w:val="44"/>
        </w:rPr>
      </w:r>
      <w:r>
        <w:rPr>
          <w:rFonts w:eastAsia="方正小标宋简体"/>
          <w:sz w:val="44"/>
          <w:szCs w:val="44"/>
        </w:rPr>
      </w:r>
    </w:p>
    <w:p>
      <w:pPr>
        <w:pStyle w:val="684"/>
        <w:pBdr/>
        <w:spacing w:line="600" w:lineRule="exact"/>
        <w:ind/>
        <w:jc w:val="center"/>
        <w:rPr>
          <w:rFonts w:eastAsia="方正小标宋简体"/>
          <w:sz w:val="44"/>
          <w:szCs w:val="44"/>
        </w:rPr>
      </w:pPr>
      <w:r>
        <w:rPr>
          <w:rFonts w:eastAsia="方正小标宋简体"/>
          <w:sz w:val="44"/>
          <w:szCs w:val="44"/>
        </w:rPr>
      </w:r>
      <w:r>
        <w:rPr>
          <w:rFonts w:eastAsia="方正小标宋简体"/>
          <w:sz w:val="44"/>
          <w:szCs w:val="44"/>
        </w:rPr>
      </w:r>
    </w:p>
    <w:p>
      <w:pPr>
        <w:pStyle w:val="684"/>
        <w:pBdr/>
        <w:spacing w:line="600" w:lineRule="exact"/>
        <w:ind/>
        <w:jc w:val="center"/>
        <w:rPr>
          <w:rFonts w:eastAsia="方正小标宋简体"/>
          <w:sz w:val="44"/>
          <w:szCs w:val="44"/>
        </w:rPr>
      </w:pPr>
      <w:r>
        <w:rPr>
          <w:rFonts w:eastAsia="方正小标宋简体"/>
          <w:sz w:val="44"/>
          <w:szCs w:val="44"/>
        </w:rPr>
      </w:r>
      <w:r>
        <w:rPr>
          <w:rFonts w:eastAsia="方正小标宋简体"/>
          <w:sz w:val="44"/>
          <w:szCs w:val="44"/>
        </w:rPr>
      </w:r>
    </w:p>
    <w:p>
      <w:pPr>
        <w:pStyle w:val="684"/>
        <w:pBdr/>
        <w:spacing w:line="600" w:lineRule="exact"/>
        <w:ind/>
        <w:jc w:val="center"/>
        <w:rPr>
          <w:rFonts w:eastAsia="方正小标宋简体"/>
          <w:sz w:val="44"/>
          <w:szCs w:val="44"/>
        </w:rPr>
      </w:pPr>
      <w:r>
        <w:rPr>
          <w:rFonts w:eastAsia="方正小标宋简体"/>
          <w:sz w:val="44"/>
          <w:szCs w:val="44"/>
        </w:rPr>
      </w:r>
      <w:r>
        <w:rPr>
          <w:rFonts w:eastAsia="方正小标宋简体"/>
          <w:sz w:val="44"/>
          <w:szCs w:val="44"/>
        </w:rPr>
      </w:r>
    </w:p>
    <w:p>
      <w:pPr>
        <w:pStyle w:val="684"/>
        <w:pBdr/>
        <w:spacing w:line="600" w:lineRule="exact"/>
        <w:ind/>
        <w:jc w:val="center"/>
        <w:rPr>
          <w:rFonts w:eastAsia="方正小标宋简体"/>
          <w:sz w:val="44"/>
          <w:szCs w:val="44"/>
        </w:rPr>
      </w:pPr>
      <w:r>
        <w:rPr>
          <w:rFonts w:eastAsia="方正小标宋简体"/>
          <w:sz w:val="44"/>
          <w:szCs w:val="44"/>
        </w:rPr>
      </w:r>
      <w:r>
        <w:rPr>
          <w:rFonts w:eastAsia="方正小标宋简体"/>
          <w:sz w:val="44"/>
          <w:szCs w:val="44"/>
        </w:rPr>
      </w:r>
    </w:p>
    <w:p>
      <w:pPr>
        <w:pStyle w:val="684"/>
        <w:widowControl w:val="true"/>
        <w:pBdr/>
        <w:spacing w:before="412" w:line="192" w:lineRule="auto"/>
        <w:ind w:left="1066"/>
        <w:jc w:val="left"/>
        <w:outlineLvl w:val="0"/>
        <w:rPr>
          <w:rFonts w:eastAsia="方正小标宋简体"/>
          <w:sz w:val="44"/>
          <w:szCs w:val="44"/>
        </w:rPr>
      </w:pPr>
      <w:r>
        <w:rPr>
          <w:rFonts w:eastAsia="方正小标宋简体"/>
          <w:sz w:val="44"/>
          <w:szCs w:val="44"/>
        </w:rPr>
        <w:t xml:space="preserve">遂宁市船山区充电基础设施发展规划</w:t>
      </w:r>
      <w:r>
        <w:rPr>
          <w:rFonts w:eastAsia="方正小标宋简体"/>
          <w:sz w:val="44"/>
          <w:szCs w:val="44"/>
        </w:rPr>
      </w:r>
      <w:r>
        <w:rPr>
          <w:rFonts w:eastAsia="方正小标宋简体"/>
          <w:sz w:val="44"/>
          <w:szCs w:val="44"/>
        </w:rPr>
      </w:r>
    </w:p>
    <w:p>
      <w:pPr>
        <w:pStyle w:val="684"/>
        <w:pBdr/>
        <w:spacing w:line="600" w:lineRule="exact"/>
        <w:ind/>
        <w:jc w:val="center"/>
        <w:rPr>
          <w:rFonts w:hint="eastAsia" w:eastAsia="方正小标宋简体"/>
          <w:sz w:val="44"/>
          <w:szCs w:val="44"/>
        </w:rPr>
      </w:pPr>
      <w:r>
        <w:rPr>
          <w:rFonts w:hint="eastAsia" w:eastAsia="方正小标宋简体"/>
          <w:sz w:val="44"/>
          <w:szCs w:val="44"/>
        </w:rPr>
      </w:r>
      <w:r>
        <w:rPr>
          <w:rFonts w:hint="eastAsia" w:eastAsia="方正小标宋简体"/>
          <w:sz w:val="44"/>
          <w:szCs w:val="44"/>
        </w:rPr>
      </w:r>
    </w:p>
    <w:p>
      <w:pPr>
        <w:pStyle w:val="684"/>
        <w:pBdr/>
        <w:spacing w:line="600" w:lineRule="exact"/>
        <w:ind/>
        <w:jc w:val="center"/>
        <w:rPr>
          <w:rFonts w:eastAsia="方正小标宋简体"/>
          <w:sz w:val="44"/>
          <w:szCs w:val="44"/>
        </w:rPr>
      </w:pPr>
      <w:r>
        <w:rPr>
          <w:rFonts w:eastAsia="方正小标宋简体"/>
          <w:sz w:val="44"/>
          <w:szCs w:val="44"/>
        </w:rPr>
        <w:t xml:space="preserve">（2024</w:t>
      </w:r>
      <w:r>
        <w:rPr>
          <w:rFonts w:hint="eastAsia" w:ascii="仿宋_GB2312" w:eastAsia="仿宋_GB2312"/>
          <w:sz w:val="44"/>
          <w:szCs w:val="44"/>
        </w:rPr>
        <w:t xml:space="preserve">—</w:t>
      </w:r>
      <w:r>
        <w:rPr>
          <w:rFonts w:eastAsia="方正小标宋简体"/>
          <w:sz w:val="44"/>
          <w:szCs w:val="44"/>
        </w:rPr>
        <w:t xml:space="preserve">2040年）</w:t>
      </w:r>
      <w:r>
        <w:rPr>
          <w:rFonts w:eastAsia="方正小标宋简体"/>
          <w:sz w:val="44"/>
          <w:szCs w:val="44"/>
        </w:rPr>
      </w:r>
      <w:r>
        <w:rPr>
          <w:rFonts w:eastAsia="方正小标宋简体"/>
          <w:sz w:val="44"/>
          <w:szCs w:val="44"/>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7"/>
        <w:pBdr/>
        <w:spacing w:line="242" w:lineRule="auto"/>
        <w:ind/>
        <w:rPr>
          <w:rFonts w:ascii="Times New Roman" w:hAnsi="Times New Roman"/>
          <w:color w:val="000000"/>
          <w:lang w:eastAsia="zh-CN"/>
        </w:rPr>
      </w:pPr>
      <w:r>
        <w:rPr>
          <w:rFonts w:ascii="Times New Roman" w:hAnsi="Times New Roman"/>
          <w:color w:val="000000"/>
          <w:lang w:eastAsia="zh-CN"/>
        </w:rPr>
      </w:r>
      <w:r>
        <w:rPr>
          <w:rFonts w:ascii="Times New Roman" w:hAnsi="Times New Roman"/>
          <w:color w:val="000000"/>
          <w:lang w:eastAsia="zh-CN"/>
        </w:rPr>
      </w:r>
    </w:p>
    <w:p>
      <w:pPr>
        <w:pStyle w:val="684"/>
        <w:widowControl w:val="true"/>
        <w:pBdr/>
        <w:spacing w:before="412" w:line="192" w:lineRule="auto"/>
        <w:ind w:left="1066"/>
        <w:jc w:val="left"/>
        <w:outlineLvl w:val="0"/>
        <w:rPr>
          <w:rFonts w:ascii="黑体" w:hAnsi="黑体" w:eastAsia="黑体" w:cs="微软雅黑"/>
          <w:bCs/>
          <w:spacing w:val="-6"/>
          <w:sz w:val="96"/>
          <w:szCs w:val="96"/>
        </w:rPr>
      </w:pPr>
      <w:r/>
      <w:bookmarkStart w:id="0" w:name="_Toc31658"/>
      <w:r>
        <w:rPr>
          <w:rFonts w:ascii="黑体" w:hAnsi="黑体" w:eastAsia="黑体" w:cs="微软雅黑"/>
          <w:bCs/>
          <w:spacing w:val="-6"/>
          <w:sz w:val="96"/>
          <w:szCs w:val="96"/>
        </w:rPr>
        <w:t xml:space="preserve">第一部分 文本</w:t>
      </w:r>
      <w:bookmarkEnd w:id="0"/>
      <w:r>
        <w:rPr>
          <w:rFonts w:ascii="黑体" w:hAnsi="黑体" w:eastAsia="黑体" w:cs="微软雅黑"/>
          <w:bCs/>
          <w:spacing w:val="-6"/>
          <w:sz w:val="96"/>
          <w:szCs w:val="96"/>
        </w:rPr>
      </w:r>
      <w:r>
        <w:rPr>
          <w:rFonts w:ascii="黑体" w:hAnsi="黑体" w:eastAsia="黑体" w:cs="微软雅黑"/>
          <w:bCs/>
          <w:spacing w:val="-6"/>
          <w:sz w:val="96"/>
          <w:szCs w:val="96"/>
        </w:rPr>
      </w:r>
    </w:p>
    <w:p>
      <w:pPr>
        <w:pStyle w:val="684"/>
        <w:pBdr/>
        <w:spacing w:line="192" w:lineRule="auto"/>
        <w:ind/>
        <w:rPr>
          <w:rFonts w:eastAsia="微软雅黑"/>
          <w:sz w:val="96"/>
          <w:szCs w:val="96"/>
        </w:rPr>
        <w:sectPr>
          <w:footerReference w:type="default" r:id="rId8"/>
          <w:footerReference w:type="even" r:id="rId9"/>
          <w:footnotePr/>
          <w:endnotePr/>
          <w:type w:val="nextPage"/>
          <w:pgSz w:h="16839" w:orient="landscape" w:w="11907"/>
          <w:pgMar w:top="1701" w:right="1474" w:bottom="1701" w:left="1588" w:header="879" w:footer="1134" w:gutter="0"/>
          <w:cols w:num="1" w:sep="0" w:space="1701" w:equalWidth="1"/>
        </w:sectPr>
      </w:pPr>
      <w:r>
        <w:rPr>
          <w:rFonts w:eastAsia="微软雅黑"/>
          <w:sz w:val="96"/>
          <w:szCs w:val="96"/>
        </w:rPr>
      </w:r>
      <w:r>
        <w:rPr>
          <w:rFonts w:eastAsia="微软雅黑"/>
          <w:sz w:val="96"/>
          <w:szCs w:val="96"/>
        </w:rPr>
      </w:r>
    </w:p>
    <w:p>
      <w:pPr>
        <w:pStyle w:val="684"/>
        <w:pBdr/>
        <w:spacing w:line="360" w:lineRule="auto"/>
        <w:ind/>
        <w:jc w:val="center"/>
        <w:rPr>
          <w:rFonts w:hint="eastAsia" w:ascii="方正小标宋简体" w:eastAsia="方正小标宋简体"/>
          <w:sz w:val="44"/>
          <w:szCs w:val="44"/>
        </w:rPr>
      </w:pPr>
      <w:r>
        <w:rPr>
          <w:rFonts w:hint="eastAsia" w:ascii="方正小标宋简体" w:eastAsia="方正小标宋简体"/>
          <w:sz w:val="44"/>
          <w:szCs w:val="44"/>
        </w:rPr>
        <w:t xml:space="preserve">目  录</w:t>
      </w:r>
      <w:r>
        <w:rPr>
          <w:rFonts w:hint="eastAsia" w:ascii="方正小标宋简体" w:eastAsia="方正小标宋简体"/>
          <w:sz w:val="44"/>
          <w:szCs w:val="44"/>
        </w:rPr>
      </w:r>
      <w:r>
        <w:rPr>
          <w:rFonts w:hint="eastAsia" w:ascii="方正小标宋简体" w:eastAsia="方正小标宋简体"/>
          <w:sz w:val="44"/>
          <w:szCs w:val="44"/>
        </w:rPr>
      </w:r>
    </w:p>
    <w:p>
      <w:pPr>
        <w:pStyle w:val="684"/>
        <w:pBdr/>
        <w:spacing w:line="600" w:lineRule="exact"/>
        <w:ind w:firstLine="640"/>
        <w:rPr>
          <w:rFonts w:hint="eastAsia" w:ascii="黑体" w:hAnsi="黑体" w:eastAsia="黑体"/>
          <w:sz w:val="32"/>
          <w:szCs w:val="32"/>
        </w:rPr>
      </w:pPr>
      <w:r>
        <w:rPr>
          <w:rFonts w:hint="eastAsia" w:ascii="黑体" w:hAnsi="黑体" w:eastAsia="黑体"/>
          <w:sz w:val="32"/>
          <w:szCs w:val="32"/>
        </w:rPr>
        <w:t xml:space="preserve">第一部分  文本</w:t>
      </w:r>
      <w:r>
        <w:rPr>
          <w:rFonts w:hint="eastAsia" w:ascii="黑体" w:hAnsi="黑体" w:eastAsia="黑体"/>
          <w:sz w:val="32"/>
          <w:szCs w:val="32"/>
        </w:rPr>
      </w:r>
      <w:r>
        <w:rPr>
          <w:rFonts w:hint="eastAsia" w:ascii="黑体" w:hAnsi="黑体" w:eastAsia="黑体"/>
          <w:sz w:val="32"/>
          <w:szCs w:val="32"/>
        </w:rPr>
      </w:r>
    </w:p>
    <w:p>
      <w:pPr>
        <w:pStyle w:val="684"/>
        <w:pBdr/>
        <w:spacing w:line="600" w:lineRule="exact"/>
        <w:ind w:firstLine="640"/>
        <w:rPr>
          <w:rFonts w:hint="eastAsia" w:ascii="黑体" w:hAnsi="黑体" w:eastAsia="黑体"/>
          <w:sz w:val="32"/>
          <w:szCs w:val="32"/>
        </w:rPr>
      </w:pPr>
      <w:r>
        <w:rPr>
          <w:rFonts w:hint="eastAsia" w:ascii="黑体" w:hAnsi="黑体" w:eastAsia="黑体"/>
          <w:sz w:val="32"/>
          <w:szCs w:val="32"/>
        </w:rPr>
        <w:t xml:space="preserve">第一章  总则</w:t>
      </w:r>
      <w:r>
        <w:rPr>
          <w:rFonts w:hint="eastAsia" w:ascii="黑体" w:hAnsi="黑体" w:eastAsia="黑体"/>
          <w:sz w:val="32"/>
          <w:szCs w:val="32"/>
        </w:rPr>
      </w:r>
      <w:r>
        <w:rPr>
          <w:rFonts w:hint="eastAsia" w:ascii="黑体" w:hAnsi="黑体" w:eastAsia="黑体"/>
          <w:sz w:val="32"/>
          <w:szCs w:val="32"/>
        </w:rPr>
      </w:r>
    </w:p>
    <w:p>
      <w:pPr>
        <w:pStyle w:val="684"/>
        <w:pBdr/>
        <w:spacing w:line="600" w:lineRule="exact"/>
        <w:ind w:firstLine="640"/>
        <w:rPr>
          <w:rFonts w:hint="eastAsia" w:ascii="仿宋_GB2312" w:eastAsia="仿宋_GB2312"/>
          <w:sz w:val="32"/>
          <w:szCs w:val="32"/>
        </w:rPr>
      </w:pPr>
      <w:r>
        <w:rPr>
          <w:rFonts w:hint="eastAsia" w:ascii="仿宋_GB2312" w:eastAsia="仿宋_GB2312"/>
          <w:sz w:val="32"/>
          <w:szCs w:val="32"/>
        </w:rPr>
        <w:t xml:space="preserve">第一条  规划目的</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hint="eastAsia" w:ascii="仿宋_GB2312" w:eastAsia="仿宋_GB2312"/>
          <w:sz w:val="32"/>
          <w:szCs w:val="32"/>
        </w:rPr>
        <w:t xml:space="preserve">第二条  指导思想</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hint="eastAsia" w:ascii="仿宋_GB2312" w:eastAsia="仿宋_GB2312"/>
          <w:sz w:val="32"/>
          <w:szCs w:val="32"/>
        </w:rPr>
        <w:t xml:space="preserve">第三条  规划依据</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hint="eastAsia" w:ascii="仿宋_GB2312" w:eastAsia="仿宋_GB2312"/>
          <w:sz w:val="32"/>
          <w:szCs w:val="32"/>
        </w:rPr>
        <w:t xml:space="preserve">第四条  规划期限</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hint="eastAsia" w:ascii="仿宋_GB2312" w:eastAsia="仿宋_GB2312"/>
          <w:sz w:val="32"/>
          <w:szCs w:val="32"/>
        </w:rPr>
        <w:t xml:space="preserve">第五条  规划范围</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第六条 </w:t>
      </w:r>
      <w:r>
        <w:rPr>
          <w:rFonts w:hint="eastAsia" w:ascii="仿宋_GB2312" w:eastAsia="仿宋_GB2312"/>
          <w:sz w:val="32"/>
          <w:szCs w:val="32"/>
        </w:rPr>
        <w:t xml:space="preserve"> </w:t>
      </w:r>
      <w:r>
        <w:rPr>
          <w:rFonts w:ascii="仿宋_GB2312" w:eastAsia="仿宋_GB2312"/>
          <w:sz w:val="32"/>
          <w:szCs w:val="32"/>
        </w:rPr>
        <w:t xml:space="preserve">规划对象</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第七条 </w:t>
      </w:r>
      <w:r>
        <w:rPr>
          <w:rFonts w:hint="eastAsia" w:ascii="仿宋_GB2312" w:eastAsia="仿宋_GB2312"/>
          <w:sz w:val="32"/>
          <w:szCs w:val="32"/>
        </w:rPr>
        <w:t xml:space="preserve"> </w:t>
      </w:r>
      <w:r>
        <w:rPr>
          <w:rFonts w:ascii="仿宋_GB2312" w:eastAsia="仿宋_GB2312"/>
          <w:sz w:val="32"/>
          <w:szCs w:val="32"/>
        </w:rPr>
        <w:t xml:space="preserve">规划重点</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黑体" w:hAnsi="黑体" w:eastAsia="黑体"/>
          <w:sz w:val="32"/>
          <w:szCs w:val="32"/>
        </w:rPr>
      </w:pPr>
      <w:r>
        <w:rPr>
          <w:rFonts w:ascii="黑体" w:hAnsi="黑体" w:eastAsia="黑体"/>
          <w:sz w:val="32"/>
          <w:szCs w:val="32"/>
        </w:rPr>
        <w:t xml:space="preserve">第二章 </w:t>
      </w:r>
      <w:r>
        <w:rPr>
          <w:rFonts w:hint="eastAsia" w:ascii="黑体" w:hAnsi="黑体" w:eastAsia="黑体"/>
          <w:sz w:val="32"/>
          <w:szCs w:val="32"/>
        </w:rPr>
        <w:t xml:space="preserve"> </w:t>
      </w:r>
      <w:r>
        <w:rPr>
          <w:rFonts w:ascii="黑体" w:hAnsi="黑体" w:eastAsia="黑体"/>
          <w:sz w:val="32"/>
          <w:szCs w:val="32"/>
        </w:rPr>
        <w:t xml:space="preserve">规划目标与原则</w:t>
      </w:r>
      <w:r>
        <w:rPr>
          <w:rFonts w:hint="eastAsia" w:ascii="黑体" w:hAnsi="黑体" w:eastAsia="黑体"/>
          <w:sz w:val="32"/>
          <w:szCs w:val="32"/>
        </w:rPr>
      </w:r>
      <w:r>
        <w:rPr>
          <w:rFonts w:hint="eastAsia" w:ascii="黑体" w:hAnsi="黑体" w:eastAsia="黑体"/>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第一条 </w:t>
      </w:r>
      <w:r>
        <w:rPr>
          <w:rFonts w:hint="eastAsia" w:ascii="仿宋_GB2312" w:eastAsia="仿宋_GB2312"/>
          <w:sz w:val="32"/>
          <w:szCs w:val="32"/>
        </w:rPr>
        <w:t xml:space="preserve"> </w:t>
      </w:r>
      <w:r>
        <w:rPr>
          <w:rFonts w:ascii="仿宋_GB2312" w:eastAsia="仿宋_GB2312"/>
          <w:sz w:val="32"/>
          <w:szCs w:val="32"/>
        </w:rPr>
        <w:t xml:space="preserve">规划目标</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第二条 </w:t>
      </w:r>
      <w:r>
        <w:rPr>
          <w:rFonts w:hint="eastAsia" w:ascii="仿宋_GB2312" w:eastAsia="仿宋_GB2312"/>
          <w:sz w:val="32"/>
          <w:szCs w:val="32"/>
        </w:rPr>
        <w:t xml:space="preserve"> </w:t>
      </w:r>
      <w:r>
        <w:rPr>
          <w:rFonts w:ascii="仿宋_GB2312" w:eastAsia="仿宋_GB2312"/>
          <w:sz w:val="32"/>
          <w:szCs w:val="32"/>
        </w:rPr>
        <w:t xml:space="preserve">规划原则</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黑体" w:hAnsi="黑体" w:eastAsia="黑体"/>
          <w:sz w:val="32"/>
          <w:szCs w:val="32"/>
        </w:rPr>
      </w:pPr>
      <w:r>
        <w:rPr>
          <w:rFonts w:ascii="黑体" w:hAnsi="黑体" w:eastAsia="黑体"/>
          <w:sz w:val="32"/>
          <w:szCs w:val="32"/>
        </w:rPr>
        <w:t xml:space="preserve">第三章 </w:t>
      </w:r>
      <w:r>
        <w:rPr>
          <w:rFonts w:hint="eastAsia" w:ascii="黑体" w:hAnsi="黑体" w:eastAsia="黑体"/>
          <w:sz w:val="32"/>
          <w:szCs w:val="32"/>
        </w:rPr>
        <w:t xml:space="preserve"> </w:t>
      </w:r>
      <w:r>
        <w:rPr>
          <w:rFonts w:ascii="黑体" w:hAnsi="黑体" w:eastAsia="黑体"/>
          <w:sz w:val="32"/>
          <w:szCs w:val="32"/>
        </w:rPr>
        <w:t xml:space="preserve">需求预测</w:t>
      </w:r>
      <w:r>
        <w:rPr>
          <w:rFonts w:hint="eastAsia" w:ascii="黑体" w:hAnsi="黑体" w:eastAsia="黑体"/>
          <w:sz w:val="32"/>
          <w:szCs w:val="32"/>
        </w:rPr>
      </w:r>
      <w:r>
        <w:rPr>
          <w:rFonts w:hint="eastAsia" w:ascii="黑体" w:hAnsi="黑体" w:eastAsia="黑体"/>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第一条 </w:t>
      </w:r>
      <w:r>
        <w:rPr>
          <w:rFonts w:hint="eastAsia" w:ascii="仿宋_GB2312" w:eastAsia="仿宋_GB2312"/>
          <w:sz w:val="32"/>
          <w:szCs w:val="32"/>
        </w:rPr>
        <w:t xml:space="preserve"> </w:t>
      </w:r>
      <w:r>
        <w:rPr>
          <w:rFonts w:ascii="仿宋_GB2312" w:eastAsia="仿宋_GB2312"/>
          <w:sz w:val="32"/>
          <w:szCs w:val="32"/>
        </w:rPr>
        <w:t xml:space="preserve">电动汽车保有量预测</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第二条 </w:t>
      </w:r>
      <w:r>
        <w:rPr>
          <w:rFonts w:hint="eastAsia" w:ascii="仿宋_GB2312" w:eastAsia="仿宋_GB2312"/>
          <w:sz w:val="32"/>
          <w:szCs w:val="32"/>
        </w:rPr>
        <w:t xml:space="preserve"> </w:t>
      </w:r>
      <w:r>
        <w:rPr>
          <w:rFonts w:ascii="仿宋_GB2312" w:eastAsia="仿宋_GB2312"/>
          <w:sz w:val="32"/>
          <w:szCs w:val="32"/>
        </w:rPr>
        <w:t xml:space="preserve">设施需求预测</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黑体" w:hAnsi="黑体" w:eastAsia="黑体"/>
          <w:sz w:val="32"/>
          <w:szCs w:val="32"/>
        </w:rPr>
      </w:pPr>
      <w:r>
        <w:rPr>
          <w:rFonts w:ascii="黑体" w:hAnsi="黑体" w:eastAsia="黑体"/>
          <w:sz w:val="32"/>
          <w:szCs w:val="32"/>
        </w:rPr>
        <w:t xml:space="preserve">第四章 </w:t>
      </w:r>
      <w:r>
        <w:rPr>
          <w:rFonts w:hint="eastAsia" w:ascii="黑体" w:hAnsi="黑体" w:eastAsia="黑体"/>
          <w:sz w:val="32"/>
          <w:szCs w:val="32"/>
        </w:rPr>
        <w:t xml:space="preserve"> </w:t>
      </w:r>
      <w:r>
        <w:rPr>
          <w:rFonts w:ascii="黑体" w:hAnsi="黑体" w:eastAsia="黑体"/>
          <w:sz w:val="32"/>
          <w:szCs w:val="32"/>
        </w:rPr>
        <w:t xml:space="preserve">设施布局</w:t>
      </w:r>
      <w:r>
        <w:rPr>
          <w:rFonts w:hint="eastAsia" w:ascii="黑体" w:hAnsi="黑体" w:eastAsia="黑体"/>
          <w:sz w:val="32"/>
          <w:szCs w:val="32"/>
        </w:rPr>
      </w:r>
      <w:r>
        <w:rPr>
          <w:rFonts w:hint="eastAsia" w:ascii="黑体" w:hAnsi="黑体" w:eastAsia="黑体"/>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第一条 </w:t>
      </w:r>
      <w:r>
        <w:rPr>
          <w:rFonts w:hint="eastAsia" w:ascii="仿宋_GB2312" w:eastAsia="仿宋_GB2312"/>
          <w:sz w:val="32"/>
          <w:szCs w:val="32"/>
        </w:rPr>
        <w:t xml:space="preserve"> </w:t>
      </w:r>
      <w:r>
        <w:rPr>
          <w:rFonts w:ascii="仿宋_GB2312" w:eastAsia="仿宋_GB2312"/>
          <w:sz w:val="32"/>
          <w:szCs w:val="32"/>
        </w:rPr>
        <w:t xml:space="preserve">选用原则</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第二条 </w:t>
      </w:r>
      <w:r>
        <w:rPr>
          <w:rFonts w:hint="eastAsia" w:ascii="仿宋_GB2312" w:eastAsia="仿宋_GB2312"/>
          <w:sz w:val="32"/>
          <w:szCs w:val="32"/>
        </w:rPr>
        <w:t xml:space="preserve"> </w:t>
      </w:r>
      <w:r>
        <w:rPr>
          <w:rFonts w:ascii="仿宋_GB2312" w:eastAsia="仿宋_GB2312"/>
          <w:sz w:val="32"/>
          <w:szCs w:val="32"/>
        </w:rPr>
        <w:t xml:space="preserve">近期目标（一期）</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第三条 </w:t>
      </w:r>
      <w:r>
        <w:rPr>
          <w:rFonts w:hint="eastAsia" w:ascii="仿宋_GB2312" w:eastAsia="仿宋_GB2312"/>
          <w:sz w:val="32"/>
          <w:szCs w:val="32"/>
        </w:rPr>
        <w:t xml:space="preserve"> </w:t>
      </w:r>
      <w:r>
        <w:rPr>
          <w:rFonts w:ascii="仿宋_GB2312" w:eastAsia="仿宋_GB2312"/>
          <w:sz w:val="32"/>
          <w:szCs w:val="32"/>
        </w:rPr>
        <w:t xml:space="preserve">远期目标（二期）</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第四条 </w:t>
      </w:r>
      <w:r>
        <w:rPr>
          <w:rFonts w:hint="eastAsia" w:ascii="仿宋_GB2312" w:eastAsia="仿宋_GB2312"/>
          <w:sz w:val="32"/>
          <w:szCs w:val="32"/>
        </w:rPr>
        <w:t xml:space="preserve"> </w:t>
      </w:r>
      <w:r>
        <w:rPr>
          <w:rFonts w:ascii="仿宋_GB2312" w:eastAsia="仿宋_GB2312"/>
          <w:sz w:val="32"/>
          <w:szCs w:val="32"/>
        </w:rPr>
        <w:t xml:space="preserve">远景目标（三期）</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黑体" w:hAnsi="黑体" w:eastAsia="黑体"/>
          <w:sz w:val="32"/>
          <w:szCs w:val="32"/>
        </w:rPr>
      </w:pPr>
      <w:r>
        <w:rPr>
          <w:rFonts w:ascii="黑体" w:hAnsi="黑体" w:eastAsia="黑体"/>
          <w:sz w:val="32"/>
          <w:szCs w:val="32"/>
        </w:rPr>
        <w:t xml:space="preserve">第五章 </w:t>
      </w:r>
      <w:r>
        <w:rPr>
          <w:rFonts w:hint="eastAsia" w:ascii="黑体" w:hAnsi="黑体" w:eastAsia="黑体"/>
          <w:sz w:val="32"/>
          <w:szCs w:val="32"/>
        </w:rPr>
        <w:t xml:space="preserve"> </w:t>
      </w:r>
      <w:r>
        <w:rPr>
          <w:rFonts w:ascii="黑体" w:hAnsi="黑体" w:eastAsia="黑体"/>
          <w:sz w:val="32"/>
          <w:szCs w:val="32"/>
        </w:rPr>
        <w:t xml:space="preserve">实施保障</w:t>
      </w:r>
      <w:r>
        <w:rPr>
          <w:rFonts w:hint="eastAsia" w:ascii="黑体" w:hAnsi="黑体" w:eastAsia="黑体"/>
          <w:sz w:val="32"/>
          <w:szCs w:val="32"/>
        </w:rPr>
      </w:r>
      <w:r>
        <w:rPr>
          <w:rFonts w:hint="eastAsia" w:ascii="黑体" w:hAnsi="黑体" w:eastAsia="黑体"/>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第一条 </w:t>
      </w:r>
      <w:r>
        <w:rPr>
          <w:rFonts w:hint="eastAsia" w:ascii="仿宋_GB2312" w:eastAsia="仿宋_GB2312"/>
          <w:sz w:val="32"/>
          <w:szCs w:val="32"/>
        </w:rPr>
        <w:t xml:space="preserve"> </w:t>
      </w:r>
      <w:r>
        <w:rPr>
          <w:rFonts w:ascii="仿宋_GB2312" w:eastAsia="仿宋_GB2312"/>
          <w:sz w:val="32"/>
          <w:szCs w:val="32"/>
        </w:rPr>
        <w:t xml:space="preserve">督促落地落实</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第二条 </w:t>
      </w:r>
      <w:r>
        <w:rPr>
          <w:rFonts w:hint="eastAsia" w:ascii="仿宋_GB2312" w:eastAsia="仿宋_GB2312"/>
          <w:sz w:val="32"/>
          <w:szCs w:val="32"/>
        </w:rPr>
        <w:t xml:space="preserve"> </w:t>
      </w:r>
      <w:r>
        <w:rPr>
          <w:rFonts w:ascii="仿宋_GB2312" w:eastAsia="仿宋_GB2312"/>
          <w:sz w:val="32"/>
          <w:szCs w:val="32"/>
        </w:rPr>
        <w:t xml:space="preserve">完善配套政策</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第三条 </w:t>
      </w:r>
      <w:r>
        <w:rPr>
          <w:rFonts w:hint="eastAsia" w:ascii="仿宋_GB2312" w:eastAsia="仿宋_GB2312"/>
          <w:sz w:val="32"/>
          <w:szCs w:val="32"/>
        </w:rPr>
        <w:t xml:space="preserve"> </w:t>
      </w:r>
      <w:r>
        <w:rPr>
          <w:rFonts w:ascii="仿宋_GB2312" w:eastAsia="仿宋_GB2312"/>
          <w:sz w:val="32"/>
          <w:szCs w:val="32"/>
        </w:rPr>
        <w:t xml:space="preserve">加强宣传引导</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第四条 </w:t>
      </w:r>
      <w:r>
        <w:rPr>
          <w:rFonts w:hint="eastAsia" w:ascii="仿宋_GB2312" w:eastAsia="仿宋_GB2312"/>
          <w:sz w:val="32"/>
          <w:szCs w:val="32"/>
        </w:rPr>
        <w:t xml:space="preserve"> </w:t>
      </w:r>
      <w:r>
        <w:rPr>
          <w:rFonts w:ascii="仿宋_GB2312" w:eastAsia="仿宋_GB2312"/>
          <w:sz w:val="32"/>
          <w:szCs w:val="32"/>
        </w:rPr>
        <w:t xml:space="preserve">坚持市场运行</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黑体" w:hAnsi="黑体" w:eastAsia="黑体"/>
          <w:sz w:val="32"/>
          <w:szCs w:val="32"/>
        </w:rPr>
        <w:t xml:space="preserve">第六章 </w:t>
      </w:r>
      <w:r>
        <w:rPr>
          <w:rFonts w:hint="eastAsia" w:ascii="黑体" w:hAnsi="黑体" w:eastAsia="黑体"/>
          <w:sz w:val="32"/>
          <w:szCs w:val="32"/>
        </w:rPr>
        <w:t xml:space="preserve"> </w:t>
      </w:r>
      <w:r>
        <w:rPr>
          <w:rFonts w:ascii="黑体" w:hAnsi="黑体" w:eastAsia="黑体"/>
          <w:sz w:val="32"/>
          <w:szCs w:val="32"/>
        </w:rPr>
        <w:t xml:space="preserve">项目投融资与财务方案</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第一条 </w:t>
      </w:r>
      <w:r>
        <w:rPr>
          <w:rFonts w:hint="eastAsia" w:ascii="仿宋_GB2312" w:eastAsia="仿宋_GB2312"/>
          <w:sz w:val="32"/>
          <w:szCs w:val="32"/>
        </w:rPr>
        <w:t xml:space="preserve"> </w:t>
      </w:r>
      <w:r>
        <w:rPr>
          <w:rFonts w:ascii="仿宋_GB2312" w:eastAsia="仿宋_GB2312"/>
          <w:sz w:val="32"/>
          <w:szCs w:val="32"/>
        </w:rPr>
        <w:t xml:space="preserve">估算依据及说明</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第二条</w:t>
      </w:r>
      <w:r>
        <w:rPr>
          <w:rFonts w:hint="eastAsia" w:ascii="仿宋_GB2312" w:eastAsia="仿宋_GB2312"/>
          <w:sz w:val="32"/>
          <w:szCs w:val="32"/>
        </w:rPr>
        <w:t xml:space="preserve">  </w:t>
      </w:r>
      <w:r>
        <w:rPr>
          <w:rFonts w:ascii="仿宋_GB2312" w:eastAsia="仿宋_GB2312"/>
          <w:sz w:val="32"/>
          <w:szCs w:val="32"/>
        </w:rPr>
        <w:t xml:space="preserve">投资估算</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仿宋_GB2312" w:eastAsia="仿宋_GB2312"/>
          <w:sz w:val="32"/>
          <w:szCs w:val="32"/>
        </w:rPr>
        <w:t xml:space="preserve">第三条 </w:t>
      </w:r>
      <w:r>
        <w:rPr>
          <w:rFonts w:hint="eastAsia" w:ascii="仿宋_GB2312" w:eastAsia="仿宋_GB2312"/>
          <w:sz w:val="32"/>
          <w:szCs w:val="32"/>
        </w:rPr>
        <w:t xml:space="preserve"> </w:t>
      </w:r>
      <w:r>
        <w:rPr>
          <w:rFonts w:ascii="仿宋_GB2312" w:eastAsia="仿宋_GB2312"/>
          <w:sz w:val="32"/>
          <w:szCs w:val="32"/>
        </w:rPr>
        <w:t xml:space="preserve">盈利能力分析</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640"/>
        <w:rPr>
          <w:rFonts w:hint="eastAsia" w:ascii="仿宋_GB2312" w:eastAsia="仿宋_GB2312"/>
          <w:sz w:val="32"/>
          <w:szCs w:val="32"/>
        </w:rPr>
      </w:pPr>
      <w:r>
        <w:rPr>
          <w:rFonts w:ascii="黑体" w:hAnsi="黑体" w:eastAsia="黑体"/>
          <w:sz w:val="32"/>
          <w:szCs w:val="32"/>
        </w:rPr>
        <w:t xml:space="preserve">第二部分</w:t>
      </w:r>
      <w:r>
        <w:rPr>
          <w:rFonts w:hint="eastAsia" w:ascii="黑体" w:hAnsi="黑体" w:eastAsia="黑体"/>
          <w:sz w:val="32"/>
          <w:szCs w:val="32"/>
        </w:rPr>
        <w:t xml:space="preserve">  图集</w:t>
      </w:r>
      <w:r>
        <w:rPr>
          <w:rFonts w:hint="eastAsia" w:ascii="仿宋_GB2312" w:eastAsia="仿宋_GB2312"/>
          <w:sz w:val="32"/>
          <w:szCs w:val="32"/>
        </w:rPr>
      </w:r>
      <w:r>
        <w:rPr>
          <w:rFonts w:hint="eastAsia" w:ascii="仿宋_GB2312" w:eastAsia="仿宋_GB2312"/>
          <w:sz w:val="32"/>
          <w:szCs w:val="32"/>
        </w:rPr>
      </w:r>
    </w:p>
    <w:p>
      <w:pPr>
        <w:pStyle w:val="684"/>
        <w:pBdr/>
        <w:spacing w:line="600" w:lineRule="exact"/>
        <w:ind w:firstLine="420"/>
        <w:rPr>
          <w:rFonts w:eastAsia="微软雅黑"/>
          <w:szCs w:val="18"/>
        </w:rPr>
      </w:pPr>
      <w:r>
        <w:rPr>
          <w:rFonts w:eastAsia="微软雅黑"/>
          <w:szCs w:val="18"/>
        </w:rPr>
      </w:r>
      <w:r>
        <w:rPr>
          <w:rFonts w:eastAsia="微软雅黑"/>
          <w:szCs w:val="18"/>
        </w:rPr>
      </w:r>
    </w:p>
    <w:p>
      <w:pPr>
        <w:pStyle w:val="684"/>
        <w:pBdr/>
        <w:spacing w:line="600" w:lineRule="exact"/>
        <w:ind/>
        <w:jc w:val="center"/>
        <w:rPr>
          <w:rFonts w:ascii="黑体" w:hAnsi="黑体" w:eastAsia="黑体"/>
          <w:sz w:val="32"/>
          <w:szCs w:val="32"/>
        </w:rPr>
      </w:pPr>
      <w:r>
        <w:rPr>
          <w:rFonts w:ascii="黑体" w:hAnsi="黑体" w:eastAsia="黑体"/>
          <w:szCs w:val="18"/>
        </w:rPr>
        <w:br w:type="column"/>
      </w:r>
      <w:r>
        <w:rPr>
          <w:rFonts w:ascii="黑体" w:hAnsi="黑体" w:eastAsia="黑体"/>
          <w:sz w:val="32"/>
          <w:szCs w:val="32"/>
        </w:rPr>
        <w:t xml:space="preserve">第一章  总  则</w:t>
      </w:r>
      <w:r>
        <w:rPr>
          <w:rFonts w:ascii="黑体" w:hAnsi="黑体" w:eastAsia="黑体"/>
          <w:sz w:val="32"/>
          <w:szCs w:val="32"/>
        </w:rPr>
      </w:r>
      <w:r>
        <w:rPr>
          <w:rFonts w:ascii="黑体" w:hAnsi="黑体" w:eastAsia="黑体"/>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随着全球能源紧缺与生态环境破坏危机加剧，节能减排和新能源的利用已成为全球各国普遍关注的焦点，而汽车产业作为化石能源的主要消耗产业，是新能源技术研发和推广应用的重要领域。其中，电动汽车作为新能源技术研发与应用的代表，是未来全球汽车产业发展的主要方向，也是国家重点支持和发展的战略性新兴产业。</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电动自行车属于新能源领域，市场规模不</w:t>
      </w:r>
      <w:r>
        <w:rPr>
          <w:rFonts w:eastAsia="仿宋_GB2312"/>
          <w:sz w:val="32"/>
          <w:szCs w:val="32"/>
        </w:rPr>
        <w:t xml:space="preserve">断扩大，目前行业迎来新的机会，发展空间大。但是整个电动自行车充电产业的商业模式比较初级，当前电动自行车充电桩行业的技术壁垒和服务配套仍处于较低水平，运营商、投放商专注于开疆扩土，更多注意力关注在场地资源的扩张，更多设备点位的部署；产业链上下游玩家未形成可持续发展模式及产业链合作机制，更多的是无序竞争，导致产业发展与市场需求不匹配；产品标准、服务标准、管理标准良莠不齐，导致国家指导性政策无法真正落地；预计3年内行业会走向快速整合阶段，会出现几家领头羊企业，可以快速整合上下游产业资源，使行业逐渐正向、高效发展。</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近年来，遂宁市船山区紧紧抓住电动汽车、电动自行车产业高速发展的机遇，以电</w:t>
      </w:r>
      <w:r>
        <w:rPr>
          <w:rFonts w:eastAsia="仿宋_GB2312"/>
          <w:sz w:val="32"/>
          <w:szCs w:val="32"/>
        </w:rPr>
        <w:t xml:space="preserve">动汽车、电动自行车应用示范为契机，以动力总成、动力电池、整车匹配等核心技术为重点，加强研发创新，加快转型升级，加大示范效应，推动全区新能源汽车、电动自行车产业持续、快速、健康发展。电动汽车、电动自行车充换电设施是为各类电动汽车、电动自行车提供电能的新型城市基础设施，是推广应用电动汽车、电动自行车的基本保障，也是落实国家新能源汽车、自行车产业发展战略、方便人民群众生活、促进城市节能减排、加快城市环境保护和绿色发展的重要举措。为此，国家和四川省相继出台了一系列鼓励电动汽车、电动自行车充换电设施发展的政策与措施。</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遂宁市船山区为了更好地推进电动汽车、电动自行车的应用，推动新能源汽车、自行车产业的健康发展，科学规划全区电动汽车、电动自行车充换电基础设施，确保充换电设施合理布局并有序发展，根据《“十四五”现代综合交通运输体系发展规划》、《国务院办公厅关于加快电动汽车充电基础设施建设的指导意见》（国办发</w:t>
      </w:r>
      <w:r>
        <w:rPr>
          <w:rFonts w:hint="eastAsia" w:eastAsia="仿宋_GB2312"/>
          <w:sz w:val="32"/>
          <w:szCs w:val="32"/>
        </w:rPr>
        <w:t xml:space="preserve">〔</w:t>
      </w:r>
      <w:r>
        <w:rPr>
          <w:rFonts w:eastAsia="仿宋_GB2312"/>
          <w:sz w:val="32"/>
          <w:szCs w:val="32"/>
        </w:rPr>
        <w:t xml:space="preserve">2015</w:t>
      </w:r>
      <w:r>
        <w:rPr>
          <w:rFonts w:hint="eastAsia" w:eastAsia="仿宋_GB2312"/>
          <w:sz w:val="32"/>
          <w:szCs w:val="32"/>
        </w:rPr>
        <w:t xml:space="preserve">〕</w:t>
      </w:r>
      <w:r>
        <w:rPr>
          <w:rFonts w:eastAsia="仿宋_GB2312"/>
          <w:sz w:val="32"/>
          <w:szCs w:val="32"/>
        </w:rPr>
        <w:t xml:space="preserve">73号）、《四川省人民政府办公厅关于加快电动汽车充电基础设施建设的实施意见》（川办发</w:t>
      </w:r>
      <w:r>
        <w:rPr>
          <w:rFonts w:hint="eastAsia" w:eastAsia="仿宋_GB2312"/>
          <w:sz w:val="32"/>
          <w:szCs w:val="32"/>
        </w:rPr>
        <w:t xml:space="preserve">〔</w:t>
      </w:r>
      <w:r>
        <w:rPr>
          <w:rFonts w:eastAsia="仿宋_GB2312"/>
          <w:sz w:val="32"/>
          <w:szCs w:val="32"/>
        </w:rPr>
        <w:t xml:space="preserve">2017</w:t>
      </w:r>
      <w:r>
        <w:rPr>
          <w:rFonts w:hint="eastAsia" w:eastAsia="仿宋_GB2312"/>
          <w:sz w:val="32"/>
          <w:szCs w:val="32"/>
        </w:rPr>
        <w:t xml:space="preserve">〕</w:t>
      </w:r>
      <w:r>
        <w:rPr>
          <w:rFonts w:eastAsia="仿宋_GB2312"/>
          <w:sz w:val="32"/>
          <w:szCs w:val="32"/>
        </w:rPr>
        <w:t xml:space="preserve">19号）和《四川省能源局关于编制电动汽车充电基础电设施建设运营管理办法和专项规划的通知》（川能源</w:t>
      </w:r>
      <w:r>
        <w:rPr>
          <w:rFonts w:hint="eastAsia" w:eastAsia="仿宋_GB2312"/>
          <w:sz w:val="32"/>
          <w:szCs w:val="32"/>
        </w:rPr>
        <w:t xml:space="preserve">〔</w:t>
      </w:r>
      <w:r>
        <w:rPr>
          <w:rFonts w:eastAsia="仿宋_GB2312"/>
          <w:sz w:val="32"/>
          <w:szCs w:val="32"/>
        </w:rPr>
        <w:t xml:space="preserve">2017</w:t>
      </w:r>
      <w:r>
        <w:rPr>
          <w:rFonts w:hint="eastAsia" w:eastAsia="仿宋_GB2312"/>
          <w:sz w:val="32"/>
          <w:szCs w:val="32"/>
        </w:rPr>
        <w:t xml:space="preserve">〕</w:t>
      </w:r>
      <w:r>
        <w:rPr>
          <w:rFonts w:eastAsia="仿宋_GB2312"/>
          <w:sz w:val="32"/>
          <w:szCs w:val="32"/>
        </w:rPr>
        <w:t xml:space="preserve">4号）、《电动自行车通用技术条件》（GB17761-2018）等文件规定，特编制《遂宁市船山区充电基础设施发展规划（2024-2040年）》。</w:t>
      </w:r>
      <w:r>
        <w:rPr>
          <w:rFonts w:eastAsia="仿宋_GB2312"/>
          <w:sz w:val="32"/>
          <w:szCs w:val="32"/>
        </w:rPr>
      </w:r>
      <w:r>
        <w:rPr>
          <w:rFonts w:eastAsia="仿宋_GB2312"/>
          <w:sz w:val="32"/>
          <w:szCs w:val="32"/>
        </w:rPr>
      </w:r>
    </w:p>
    <w:p>
      <w:pPr>
        <w:pStyle w:val="684"/>
        <w:pBdr/>
        <w:spacing w:line="600" w:lineRule="exact"/>
        <w:ind w:firstLine="640"/>
        <w:rPr>
          <w:rFonts w:eastAsia="楷体_GB2312"/>
          <w:sz w:val="32"/>
          <w:szCs w:val="32"/>
        </w:rPr>
      </w:pPr>
      <w:r>
        <w:rPr>
          <w:rFonts w:eastAsia="楷体_GB2312"/>
          <w:sz w:val="32"/>
          <w:szCs w:val="32"/>
        </w:rPr>
        <w:t xml:space="preserve">第一条  规划目的</w:t>
      </w:r>
      <w:r>
        <w:rPr>
          <w:rFonts w:eastAsia="楷体_GB2312"/>
          <w:sz w:val="32"/>
          <w:szCs w:val="32"/>
        </w:rPr>
      </w:r>
      <w:r>
        <w:rPr>
          <w:rFonts w:eastAsia="楷体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为推动落实我区空间产业交通能源“四大结构”优化调整，促进城市绿色低碳发展的战略部署，支撑电动汽车、电动自行车产业发展，科学构建全区电动汽车、电动自行车充（换）电基础设施体系，引导充（换）电基础设施合理布局与规范建设，特编制本规划。</w:t>
      </w:r>
      <w:r>
        <w:rPr>
          <w:rFonts w:eastAsia="仿宋_GB2312"/>
          <w:sz w:val="32"/>
          <w:szCs w:val="32"/>
        </w:rPr>
      </w:r>
      <w:r>
        <w:rPr>
          <w:rFonts w:eastAsia="仿宋_GB2312"/>
          <w:sz w:val="32"/>
          <w:szCs w:val="32"/>
        </w:rPr>
      </w:r>
    </w:p>
    <w:p>
      <w:pPr>
        <w:pStyle w:val="684"/>
        <w:pBdr/>
        <w:spacing w:line="600" w:lineRule="exact"/>
        <w:ind w:firstLine="640"/>
        <w:rPr>
          <w:rFonts w:eastAsia="楷体_GB2312"/>
          <w:sz w:val="32"/>
          <w:szCs w:val="32"/>
        </w:rPr>
      </w:pPr>
      <w:r>
        <w:rPr>
          <w:rFonts w:eastAsia="楷体_GB2312"/>
          <w:sz w:val="32"/>
          <w:szCs w:val="32"/>
        </w:rPr>
        <w:t xml:space="preserve">第二条  指导思想</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以习近平新时代中国特色社会主义思想为指导，按照国家、省、市推动电动汽车、电动自行车发展及充（换）电基础设施建设的相关要求，以能源结构优化调整促进城市绿色低碳发展为目标，以促进全区电动汽车、电动自行车推广为出发点，以提升电动汽车充电、电动自行车保障能力为落脚点，科学布局全区电动汽车、电动自行车充（换）电基础设施，建设车桩匹配、适度超前、快慢结合、智能精准的区域充（换）电设施网络，形成布局合理、运行高效、安全稳定、支撑产业的充（换）电设施服务体系，有效满足全区电动汽车、电动自行车充电需求。</w:t>
      </w:r>
      <w:r>
        <w:rPr>
          <w:rFonts w:eastAsia="仿宋_GB2312"/>
          <w:sz w:val="32"/>
          <w:szCs w:val="32"/>
        </w:rPr>
      </w:r>
      <w:r>
        <w:rPr>
          <w:rFonts w:eastAsia="仿宋_GB2312"/>
          <w:sz w:val="32"/>
          <w:szCs w:val="32"/>
        </w:rPr>
      </w:r>
    </w:p>
    <w:p>
      <w:pPr>
        <w:pStyle w:val="684"/>
        <w:pBdr/>
        <w:spacing w:line="600" w:lineRule="exact"/>
        <w:ind w:firstLine="640"/>
        <w:rPr>
          <w:rFonts w:eastAsia="楷体_GB2312"/>
          <w:sz w:val="32"/>
          <w:szCs w:val="32"/>
        </w:rPr>
      </w:pPr>
      <w:r>
        <w:rPr>
          <w:rFonts w:eastAsia="楷体_GB2312"/>
          <w:sz w:val="32"/>
          <w:szCs w:val="32"/>
        </w:rPr>
        <w:t xml:space="preserve">第三条  规划依据</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1．相关法律法规</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（1）《中华人民共和国环境保护法》（2014年）；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（2）《中华人民共和国可再生能源法》（2009年）；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（3）《中华人民共和国城乡规划法》（2008年）；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（4）《城市规划编制办法》（2005年）；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（5）《中华人民共和国土地管理法实施条例》（2014年修正）；</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（6）《四川省城乡环境综合治理条例》（2011年）；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（7）《遂宁市城市规划管理技术规定》（2020年）。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2．相关规划及政策文件</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（1）《国务院办公厅关于印发新能源汽车产业发展规划（2021</w:t>
      </w:r>
      <w:r>
        <w:rPr>
          <w:rFonts w:hint="eastAsia" w:eastAsia="仿宋_GB2312"/>
          <w:sz w:val="32"/>
          <w:szCs w:val="32"/>
        </w:rPr>
        <w:t xml:space="preserve">—</w:t>
      </w:r>
      <w:r>
        <w:rPr>
          <w:rFonts w:eastAsia="仿宋_GB2312"/>
          <w:sz w:val="32"/>
          <w:szCs w:val="32"/>
        </w:rPr>
        <w:t xml:space="preserve">2035年）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的通知》（国办发〔2020〕39号）；</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（2）《国家发展改革委等部门关于进一步提升电动汽车充电基础设施服务</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保障能力的实施意见》（发改能源规〔2022〕53号）；</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（3）《工业和信息化部等八部门关于组织开展公共领域车辆全面电动化先行区试点工作的通知》（工信部联通装函〔2023〕23号）；</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（4）《四川省国民经济和社会发展第十四个五年规划和二</w:t>
      </w:r>
      <w:r>
        <w:rPr>
          <w:sz w:val="32"/>
          <w:szCs w:val="32"/>
        </w:rPr>
        <w:t xml:space="preserve">〇</w:t>
      </w:r>
      <w:r>
        <w:rPr>
          <w:rFonts w:eastAsia="仿宋_GB2312"/>
          <w:sz w:val="32"/>
          <w:szCs w:val="32"/>
        </w:rPr>
        <w:t xml:space="preserve">三五年远景目标纲要》；</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（5）《四川省氢能产业发展规划（2021</w:t>
      </w:r>
      <w:r>
        <w:rPr>
          <w:rFonts w:hint="eastAsia" w:eastAsia="仿宋_GB2312"/>
          <w:sz w:val="32"/>
          <w:szCs w:val="32"/>
        </w:rPr>
        <w:t xml:space="preserve">—</w:t>
      </w:r>
      <w:r>
        <w:rPr>
          <w:rFonts w:eastAsia="仿宋_GB2312"/>
          <w:sz w:val="32"/>
          <w:szCs w:val="32"/>
        </w:rPr>
        <w:t xml:space="preserve">2025年）》；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（6）《“电动四川”行动计划（2022</w:t>
      </w:r>
      <w:r>
        <w:rPr>
          <w:rFonts w:hint="eastAsia" w:eastAsia="仿宋_GB2312"/>
          <w:sz w:val="32"/>
          <w:szCs w:val="32"/>
        </w:rPr>
        <w:t xml:space="preserve">—</w:t>
      </w:r>
      <w:r>
        <w:rPr>
          <w:rFonts w:eastAsia="仿宋_GB2312"/>
          <w:sz w:val="32"/>
          <w:szCs w:val="32"/>
        </w:rPr>
        <w:t xml:space="preserve">2025年）》；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（7）《四川省推进电动汽车充电基础设施建设工作方案》；</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（8）《四川省公（专）用充电基础设施建设运营管理暂行办法》；</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（9）《四川省支持新能源与智能汽车产业发展若干政策措施》；</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（10）《遂宁市“十四五”综合交通运输发展规划》；</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（11）《遂宁市城市总体规划（2013</w:t>
      </w:r>
      <w:r>
        <w:rPr>
          <w:rFonts w:hint="eastAsia" w:eastAsia="仿宋_GB2312"/>
          <w:sz w:val="32"/>
          <w:szCs w:val="32"/>
        </w:rPr>
        <w:t xml:space="preserve">—</w:t>
      </w:r>
      <w:r>
        <w:rPr>
          <w:rFonts w:eastAsia="仿宋_GB2312"/>
          <w:sz w:val="32"/>
          <w:szCs w:val="32"/>
        </w:rPr>
        <w:t xml:space="preserve">2030年）》；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（12）《遂宁市新能源汽车充电基础设施发展建设规划（2019</w:t>
      </w:r>
      <w:r>
        <w:rPr>
          <w:rFonts w:hint="eastAsia" w:eastAsia="仿宋_GB2312"/>
          <w:sz w:val="32"/>
          <w:szCs w:val="32"/>
        </w:rPr>
        <w:t xml:space="preserve">—</w:t>
      </w:r>
      <w:r>
        <w:rPr>
          <w:rFonts w:eastAsia="仿宋_GB2312"/>
          <w:sz w:val="32"/>
          <w:szCs w:val="32"/>
        </w:rPr>
        <w:t xml:space="preserve">2030年）》；</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（13）《遂宁市国民经济和社会发展第十四个五年规划和二</w:t>
      </w:r>
      <w:r>
        <w:rPr>
          <w:sz w:val="32"/>
          <w:szCs w:val="32"/>
        </w:rPr>
        <w:t xml:space="preserve">〇</w:t>
      </w:r>
      <w:r>
        <w:rPr>
          <w:rFonts w:eastAsia="仿宋_GB2312"/>
          <w:sz w:val="32"/>
          <w:szCs w:val="32"/>
        </w:rPr>
        <w:t xml:space="preserve">三五远景目标纲要》；</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3．相关行业技术规范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（1）《电动汽车安全指南（2019）》；</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（2）《汽车加油加气加氢站技术标准》（GB50516</w:t>
      </w:r>
      <w:r>
        <w:rPr>
          <w:rFonts w:hint="eastAsia" w:eastAsia="仿宋_GB2312"/>
          <w:sz w:val="32"/>
          <w:szCs w:val="32"/>
        </w:rPr>
        <w:t xml:space="preserve">—</w:t>
      </w:r>
      <w:r>
        <w:rPr>
          <w:rFonts w:eastAsia="仿宋_GB2312"/>
          <w:sz w:val="32"/>
          <w:szCs w:val="32"/>
        </w:rPr>
        <w:t xml:space="preserve">2021）；</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（3）《城市用地分类与规划建设用地标准》（GB50137</w:t>
      </w:r>
      <w:r>
        <w:rPr>
          <w:rFonts w:hint="eastAsia" w:eastAsia="仿宋_GB2312"/>
          <w:sz w:val="32"/>
          <w:szCs w:val="32"/>
        </w:rPr>
        <w:t xml:space="preserve">—</w:t>
      </w:r>
      <w:r>
        <w:rPr>
          <w:rFonts w:eastAsia="仿宋_GB2312"/>
          <w:sz w:val="32"/>
          <w:szCs w:val="32"/>
        </w:rPr>
        <w:t xml:space="preserve">2011）；</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（4）《电动汽车充电站设计规范》（GB0966</w:t>
      </w:r>
      <w:r>
        <w:rPr>
          <w:rFonts w:hint="eastAsia" w:eastAsia="仿宋_GB2312"/>
          <w:sz w:val="32"/>
          <w:szCs w:val="32"/>
        </w:rPr>
        <w:t xml:space="preserve">—</w:t>
      </w:r>
      <w:r>
        <w:rPr>
          <w:rFonts w:eastAsia="仿宋_GB2312"/>
          <w:sz w:val="32"/>
          <w:szCs w:val="32"/>
        </w:rPr>
        <w:t xml:space="preserve">2014）；</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（5）《建筑设计防火规范》（GB 50016</w:t>
      </w:r>
      <w:r>
        <w:rPr>
          <w:rFonts w:hint="eastAsia" w:eastAsia="仿宋_GB2312"/>
          <w:sz w:val="32"/>
          <w:szCs w:val="32"/>
        </w:rPr>
        <w:t xml:space="preserve">—</w:t>
      </w:r>
      <w:r>
        <w:rPr>
          <w:rFonts w:eastAsia="仿宋_GB2312"/>
          <w:sz w:val="32"/>
          <w:szCs w:val="32"/>
        </w:rPr>
        <w:t xml:space="preserve">2014）；</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（6）《建筑灭火器配置设计规范》（GB50140</w:t>
      </w:r>
      <w:r>
        <w:rPr>
          <w:rFonts w:hint="eastAsia" w:eastAsia="仿宋_GB2312"/>
          <w:sz w:val="32"/>
          <w:szCs w:val="32"/>
        </w:rPr>
        <w:t xml:space="preserve">—</w:t>
      </w:r>
      <w:r>
        <w:rPr>
          <w:rFonts w:eastAsia="仿宋_GB2312"/>
          <w:sz w:val="32"/>
          <w:szCs w:val="32"/>
        </w:rPr>
        <w:t xml:space="preserve">2005）；</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（7）《电动汽车电池更换站设计规范》（GB/T510770</w:t>
      </w:r>
      <w:r>
        <w:rPr>
          <w:rFonts w:hint="eastAsia" w:eastAsia="仿宋_GB2312"/>
          <w:sz w:val="32"/>
          <w:szCs w:val="32"/>
        </w:rPr>
        <w:t xml:space="preserve">—</w:t>
      </w:r>
      <w:r>
        <w:rPr>
          <w:rFonts w:eastAsia="仿宋_GB2312"/>
          <w:sz w:val="32"/>
          <w:szCs w:val="32"/>
        </w:rPr>
        <w:t xml:space="preserve">2015）；</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（8）《电动汽车传导充电用连接装置第1部分：通用要求》（GBT20234.1</w:t>
      </w:r>
      <w:r>
        <w:rPr>
          <w:rFonts w:hint="eastAsia" w:eastAsia="仿宋_GB2312"/>
          <w:sz w:val="32"/>
          <w:szCs w:val="32"/>
        </w:rPr>
        <w:t xml:space="preserve">—</w:t>
      </w:r>
      <w:r>
        <w:rPr>
          <w:rFonts w:eastAsia="仿宋_GB2312"/>
          <w:sz w:val="32"/>
          <w:szCs w:val="32"/>
        </w:rPr>
        <w:t xml:space="preserve">2011）；</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（9）《电动汽车传导充电用连接装置第2部分：交流充电接口》（GBT20234.2</w:t>
      </w:r>
      <w:r>
        <w:rPr>
          <w:rFonts w:hint="eastAsia" w:eastAsia="仿宋_GB2312"/>
          <w:sz w:val="32"/>
          <w:szCs w:val="32"/>
        </w:rPr>
        <w:t xml:space="preserve">—</w:t>
      </w:r>
      <w:r>
        <w:rPr>
          <w:rFonts w:eastAsia="仿宋_GB2312"/>
          <w:sz w:val="32"/>
          <w:szCs w:val="32"/>
        </w:rPr>
        <w:t xml:space="preserve">2011）；</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（10）《电动汽车传导充电用连接装置第3部分：直流充电接口》（GBT20234.3</w:t>
      </w:r>
      <w:r>
        <w:rPr>
          <w:rFonts w:hint="eastAsia" w:eastAsia="仿宋_GB2312"/>
          <w:sz w:val="32"/>
          <w:szCs w:val="32"/>
        </w:rPr>
        <w:t xml:space="preserve">—</w:t>
      </w:r>
      <w:r>
        <w:rPr>
          <w:rFonts w:eastAsia="仿宋_GB2312"/>
          <w:sz w:val="32"/>
          <w:szCs w:val="32"/>
        </w:rPr>
        <w:t xml:space="preserve">2011）；</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（11）《电动汽车充换电设施典型设计》（Q/GDW10423.1</w:t>
      </w:r>
      <w:r>
        <w:rPr>
          <w:rFonts w:hint="eastAsia" w:eastAsia="仿宋_GB2312"/>
          <w:sz w:val="32"/>
          <w:szCs w:val="32"/>
        </w:rPr>
        <w:t xml:space="preserve">—</w:t>
      </w:r>
      <w:r>
        <w:rPr>
          <w:rFonts w:eastAsia="仿宋_GB2312"/>
          <w:sz w:val="32"/>
          <w:szCs w:val="32"/>
        </w:rPr>
        <w:t xml:space="preserve">2016）；</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（12）《电动汽车分散充电设施工程技术标准》（GB51313</w:t>
      </w:r>
      <w:r>
        <w:rPr>
          <w:rFonts w:hint="eastAsia" w:eastAsia="仿宋_GB2312"/>
          <w:sz w:val="32"/>
          <w:szCs w:val="32"/>
        </w:rPr>
        <w:t xml:space="preserve">—</w:t>
      </w:r>
      <w:r>
        <w:rPr>
          <w:rFonts w:eastAsia="仿宋_GB2312"/>
          <w:sz w:val="32"/>
          <w:szCs w:val="32"/>
        </w:rPr>
        <w:t xml:space="preserve">2018）；</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（13）《城市公共设施电动汽车充换电设施运营管理服务规范》（GB</w:t>
      </w:r>
      <w:r>
        <w:rPr>
          <w:sz w:val="32"/>
          <w:szCs w:val="32"/>
        </w:rPr>
        <w:t xml:space="preserve">∕</w:t>
      </w:r>
      <w:r>
        <w:rPr>
          <w:rFonts w:eastAsia="仿宋_GB2312"/>
          <w:sz w:val="32"/>
          <w:szCs w:val="32"/>
        </w:rPr>
        <w:t xml:space="preserve">T37293</w:t>
      </w:r>
      <w:r>
        <w:rPr>
          <w:rFonts w:hint="eastAsia" w:eastAsia="仿宋_GB2312"/>
          <w:sz w:val="32"/>
          <w:szCs w:val="32"/>
        </w:rPr>
        <w:t xml:space="preserve">—</w:t>
      </w:r>
      <w:r>
        <w:rPr>
          <w:rFonts w:eastAsia="仿宋_GB2312"/>
          <w:sz w:val="32"/>
          <w:szCs w:val="32"/>
        </w:rPr>
        <w:t xml:space="preserve">2019）；</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（14）《电动自行车通用技术条件》（GB17761</w:t>
      </w:r>
      <w:r>
        <w:rPr>
          <w:rFonts w:hint="eastAsia" w:eastAsia="仿宋_GB2312"/>
          <w:sz w:val="32"/>
          <w:szCs w:val="32"/>
        </w:rPr>
        <w:t xml:space="preserve">—</w:t>
      </w:r>
      <w:r>
        <w:rPr>
          <w:rFonts w:eastAsia="仿宋_GB2312"/>
          <w:sz w:val="32"/>
          <w:szCs w:val="32"/>
        </w:rPr>
        <w:t xml:space="preserve">1999）；</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（15）《电动自行车用锂离子蓄电池》（GB/T36972</w:t>
      </w:r>
      <w:r>
        <w:rPr>
          <w:rFonts w:hint="eastAsia" w:eastAsia="仿宋_GB2312"/>
          <w:sz w:val="32"/>
          <w:szCs w:val="32"/>
        </w:rPr>
        <w:t xml:space="preserve">—</w:t>
      </w:r>
      <w:r>
        <w:rPr>
          <w:rFonts w:eastAsia="仿宋_GB2312"/>
          <w:sz w:val="32"/>
          <w:szCs w:val="32"/>
        </w:rPr>
        <w:t xml:space="preserve">2018）；</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（16）《电动自行车用充电器技术要求》（GB/T36944</w:t>
      </w:r>
      <w:r>
        <w:rPr>
          <w:rFonts w:hint="eastAsia" w:eastAsia="仿宋_GB2312"/>
          <w:sz w:val="32"/>
          <w:szCs w:val="32"/>
        </w:rPr>
        <w:t xml:space="preserve">—</w:t>
      </w:r>
      <w:r>
        <w:rPr>
          <w:rFonts w:eastAsia="仿宋_GB2312"/>
          <w:sz w:val="32"/>
          <w:szCs w:val="32"/>
        </w:rPr>
        <w:t xml:space="preserve">2018）；</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（17）《电动自行车安全技术规范》（GB17761</w:t>
      </w:r>
      <w:r>
        <w:rPr>
          <w:rFonts w:hint="eastAsia" w:eastAsia="仿宋_GB2312"/>
          <w:sz w:val="32"/>
          <w:szCs w:val="32"/>
        </w:rPr>
        <w:t xml:space="preserve">—</w:t>
      </w:r>
      <w:r>
        <w:rPr>
          <w:rFonts w:eastAsia="仿宋_GB2312"/>
          <w:sz w:val="32"/>
          <w:szCs w:val="32"/>
        </w:rPr>
        <w:t xml:space="preserve">2018）。</w:t>
      </w:r>
      <w:r>
        <w:rPr>
          <w:rFonts w:eastAsia="仿宋_GB2312"/>
          <w:sz w:val="32"/>
          <w:szCs w:val="32"/>
        </w:rPr>
      </w:r>
      <w:r>
        <w:rPr>
          <w:rFonts w:eastAsia="仿宋_GB2312"/>
          <w:sz w:val="32"/>
          <w:szCs w:val="32"/>
        </w:rPr>
      </w:r>
    </w:p>
    <w:p>
      <w:pPr>
        <w:pStyle w:val="684"/>
        <w:pBdr/>
        <w:spacing w:line="600" w:lineRule="exact"/>
        <w:ind w:firstLine="480"/>
        <w:rPr>
          <w:rFonts w:eastAsia="楷体_GB2312"/>
          <w:sz w:val="32"/>
          <w:szCs w:val="32"/>
        </w:rPr>
      </w:pPr>
      <w:r>
        <w:rPr>
          <w:rFonts w:eastAsia="楷体_GB2312"/>
          <w:sz w:val="32"/>
          <w:szCs w:val="32"/>
        </w:rPr>
        <w:t xml:space="preserve">第四条  规划期限</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本次规划期限为2024</w:t>
      </w:r>
      <w:r>
        <w:rPr>
          <w:rFonts w:hint="eastAsia" w:eastAsia="仿宋_GB2312"/>
          <w:sz w:val="32"/>
          <w:szCs w:val="32"/>
        </w:rPr>
        <w:t xml:space="preserve">—</w:t>
      </w:r>
      <w:r>
        <w:rPr>
          <w:rFonts w:eastAsia="仿宋_GB2312"/>
          <w:sz w:val="32"/>
          <w:szCs w:val="32"/>
        </w:rPr>
        <w:t xml:space="preserve">2040年。</w:t>
      </w:r>
      <w:r>
        <w:rPr>
          <w:rFonts w:eastAsia="仿宋_GB2312"/>
          <w:sz w:val="32"/>
          <w:szCs w:val="32"/>
        </w:rPr>
      </w:r>
      <w:r>
        <w:rPr>
          <w:rFonts w:eastAsia="仿宋_GB2312"/>
          <w:sz w:val="32"/>
          <w:szCs w:val="32"/>
        </w:rPr>
      </w:r>
    </w:p>
    <w:p>
      <w:pPr>
        <w:pStyle w:val="684"/>
        <w:pBdr/>
        <w:spacing w:line="600" w:lineRule="exact"/>
        <w:ind w:firstLine="480"/>
        <w:rPr>
          <w:rFonts w:eastAsia="楷体_GB2312"/>
          <w:sz w:val="32"/>
          <w:szCs w:val="32"/>
        </w:rPr>
      </w:pPr>
      <w:r>
        <w:rPr>
          <w:rFonts w:eastAsia="楷体_GB2312"/>
          <w:sz w:val="32"/>
          <w:szCs w:val="32"/>
        </w:rPr>
        <w:t xml:space="preserve">第五条  规划范围</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本次规划范围为遂宁市船山区，面积约616平方公里。</w:t>
      </w:r>
      <w:r>
        <w:rPr>
          <w:rFonts w:eastAsia="仿宋_GB2312"/>
          <w:sz w:val="32"/>
          <w:szCs w:val="32"/>
        </w:rPr>
      </w:r>
      <w:r>
        <w:rPr>
          <w:rFonts w:eastAsia="仿宋_GB2312"/>
          <w:sz w:val="32"/>
          <w:szCs w:val="32"/>
        </w:rPr>
      </w:r>
    </w:p>
    <w:p>
      <w:pPr>
        <w:pStyle w:val="684"/>
        <w:pBdr/>
        <w:spacing w:line="600" w:lineRule="exact"/>
        <w:ind w:firstLine="480"/>
        <w:rPr>
          <w:rFonts w:eastAsia="楷体_GB2312"/>
          <w:sz w:val="32"/>
          <w:szCs w:val="32"/>
        </w:rPr>
      </w:pPr>
      <w:r>
        <w:rPr>
          <w:rFonts w:eastAsia="楷体_GB2312"/>
          <w:sz w:val="32"/>
          <w:szCs w:val="32"/>
        </w:rPr>
        <w:t xml:space="preserve">第六条  规划对象</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为电动汽车</w:t>
      </w:r>
      <w:r>
        <w:rPr>
          <w:rFonts w:hint="eastAsia" w:eastAsia="仿宋_GB2312"/>
          <w:sz w:val="32"/>
          <w:szCs w:val="32"/>
        </w:rPr>
        <w:t xml:space="preserve">〔</w:t>
      </w:r>
      <w:r>
        <w:rPr>
          <w:rFonts w:eastAsia="仿宋_GB2312"/>
          <w:sz w:val="32"/>
          <w:szCs w:val="32"/>
        </w:rPr>
        <w:t xml:space="preserve">包括纯电动汽车和插电式混合动力汽车（含增程式）</w:t>
      </w:r>
      <w:r>
        <w:rPr>
          <w:rFonts w:hint="eastAsia" w:eastAsia="仿宋_GB2312"/>
          <w:sz w:val="32"/>
          <w:szCs w:val="32"/>
        </w:rPr>
        <w:t xml:space="preserve">〕</w:t>
      </w:r>
      <w:r>
        <w:rPr>
          <w:rFonts w:eastAsia="仿宋_GB2312"/>
          <w:sz w:val="32"/>
          <w:szCs w:val="32"/>
        </w:rPr>
        <w:t xml:space="preserve">、电动自行车提供充（换）电服务的设施、场所及其他新能源设施等。</w:t>
      </w:r>
      <w:r>
        <w:rPr>
          <w:rFonts w:eastAsia="仿宋_GB2312"/>
          <w:sz w:val="32"/>
          <w:szCs w:val="32"/>
        </w:rPr>
      </w:r>
      <w:r>
        <w:rPr>
          <w:rFonts w:eastAsia="仿宋_GB2312"/>
          <w:sz w:val="32"/>
          <w:szCs w:val="32"/>
        </w:rPr>
      </w:r>
    </w:p>
    <w:p>
      <w:pPr>
        <w:pStyle w:val="684"/>
        <w:pBdr/>
        <w:spacing w:line="600" w:lineRule="exact"/>
        <w:ind w:firstLine="480"/>
        <w:rPr>
          <w:rFonts w:eastAsia="楷体_GB2312"/>
          <w:sz w:val="32"/>
          <w:szCs w:val="32"/>
        </w:rPr>
      </w:pPr>
      <w:r>
        <w:rPr>
          <w:rFonts w:eastAsia="楷体_GB2312"/>
          <w:sz w:val="32"/>
          <w:szCs w:val="32"/>
        </w:rPr>
        <w:t xml:space="preserve">第七条  规划重点</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科学预测全区充（换）电基础设施到2040年的发展速度及规模，对公用、专用充（换）电基础设施明确空间布局，对自用充电设施明确配建标准。</w:t>
      </w:r>
      <w:r>
        <w:rPr>
          <w:rFonts w:eastAsia="仿宋_GB2312"/>
          <w:sz w:val="32"/>
          <w:szCs w:val="32"/>
        </w:rPr>
      </w:r>
      <w:r>
        <w:rPr>
          <w:rFonts w:eastAsia="仿宋_GB2312"/>
          <w:sz w:val="32"/>
          <w:szCs w:val="32"/>
        </w:rPr>
      </w:r>
    </w:p>
    <w:p>
      <w:pPr>
        <w:pStyle w:val="684"/>
        <w:pBdr/>
        <w:spacing w:line="600" w:lineRule="exact"/>
        <w:ind/>
        <w:jc w:val="center"/>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jc w:val="center"/>
        <w:rPr>
          <w:rFonts w:eastAsia="黑体"/>
          <w:sz w:val="32"/>
          <w:szCs w:val="32"/>
        </w:rPr>
      </w:pPr>
      <w:r>
        <w:rPr>
          <w:rFonts w:hAnsi="黑体" w:eastAsia="黑体"/>
          <w:sz w:val="32"/>
          <w:szCs w:val="32"/>
        </w:rPr>
        <w:t xml:space="preserve">第二章</w:t>
      </w:r>
      <w:r>
        <w:rPr>
          <w:rFonts w:eastAsia="黑体"/>
          <w:sz w:val="32"/>
          <w:szCs w:val="32"/>
        </w:rPr>
        <w:t xml:space="preserve">  </w:t>
      </w:r>
      <w:r>
        <w:rPr>
          <w:rFonts w:hAnsi="黑体" w:eastAsia="黑体"/>
          <w:sz w:val="32"/>
          <w:szCs w:val="32"/>
        </w:rPr>
        <w:t xml:space="preserve">规划目标与原则</w:t>
      </w:r>
      <w:r>
        <w:rPr>
          <w:rFonts w:eastAsia="黑体"/>
          <w:sz w:val="32"/>
          <w:szCs w:val="32"/>
        </w:rPr>
      </w:r>
      <w:r>
        <w:rPr>
          <w:rFonts w:eastAsia="黑体"/>
          <w:sz w:val="32"/>
          <w:szCs w:val="32"/>
        </w:rPr>
      </w:r>
    </w:p>
    <w:p>
      <w:pPr>
        <w:pStyle w:val="684"/>
        <w:pBdr/>
        <w:spacing w:line="600" w:lineRule="exact"/>
        <w:ind w:firstLine="480"/>
        <w:rPr>
          <w:rFonts w:eastAsia="楷体_GB2312"/>
          <w:sz w:val="32"/>
          <w:szCs w:val="32"/>
        </w:rPr>
      </w:pPr>
      <w:r>
        <w:rPr>
          <w:rFonts w:eastAsia="楷体_GB2312"/>
          <w:sz w:val="32"/>
          <w:szCs w:val="32"/>
        </w:rPr>
        <w:t xml:space="preserve">第一条  规划目标</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根据《遂宁市人民政府办公室关于市政协八届三次会议第19号提案办理答复的函》得知截至2023年5月，遂宁市全市新能源汽车保有量5751辆，已建成以公共停车场、高速服务区、旅游景区、加油站为主体的集中式新能源汽车公共领域充电站40座，充电桩1806个（其中，公用桩394个、专用桩105个、私人充电桩1307个）。船山区为遂宁市五大区县第一大区，按人口数量经济水平平均测算，2023年全区新能源汽车保有量超3000辆，充电桩和换电站若按配置需求，船山区至少需要配备3000个充</w:t>
      </w:r>
      <w:r>
        <w:rPr>
          <w:rFonts w:eastAsia="仿宋_GB2312"/>
          <w:sz w:val="32"/>
          <w:szCs w:val="32"/>
        </w:rPr>
        <w:t xml:space="preserve">电桩和1-2个换电站。根据遂宁市2019年出台的《遂宁市电动汽车充换电设施发展建设规划》规划，预计到2030年，全市规划布局建设电动汽车充换电站1345座、充电桩52435台（其中市中心城区经济发展级核区24702台），覆盖全市96个乡镇、127个加油站、8个高速服务区、20个旅游景区、210个机关事业单位和 114 个大型小区及商场，充分保障全市电动汽车的充换电需求，至2030年船山区全区预计电动车汽车保有量超5600辆，目前船山区人民政府仅有8个慢充电桩，商业小区已安装的数量寥寥无几，目前全区无换电站。</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坚持政府引导、市场主体、分类施策，到2040年，全</w:t>
      </w:r>
      <w:r>
        <w:rPr>
          <w:rFonts w:eastAsia="仿宋_GB2312"/>
          <w:sz w:val="32"/>
          <w:szCs w:val="32"/>
        </w:rPr>
        <w:t xml:space="preserve">区应满足22000辆以上电动汽车的充（换）电需求，全区累计建成电动汽车充电桩应不少于22000个；本次规划布局电动汽车充电桩24922个，其中，近期目标（一期）2556个，远期目标（二期）22366个；换电站19座，其中，近期目标（一期）1座，远期目标（二期）18座；电动自行车充电桩远期目标29600个（二期），加氢站远景目标1处（三期），太阳能光伏发电远景目标6432KW（三期），构建起“车桩匹配、布局合理、安全稳定、支撑产业”的充（换）电基础设施服务体系，大幅提升电动汽车、电动自行车充（换）电保障能力。</w:t>
      </w:r>
      <w:r>
        <w:rPr>
          <w:rFonts w:eastAsia="仿宋_GB2312"/>
          <w:sz w:val="32"/>
          <w:szCs w:val="32"/>
        </w:rPr>
      </w:r>
      <w:r>
        <w:rPr>
          <w:rFonts w:eastAsia="仿宋_GB2312"/>
          <w:sz w:val="32"/>
          <w:szCs w:val="32"/>
        </w:rPr>
      </w:r>
    </w:p>
    <w:p>
      <w:pPr>
        <w:pStyle w:val="684"/>
        <w:pBdr/>
        <w:spacing w:line="600" w:lineRule="exact"/>
        <w:ind w:firstLine="640"/>
        <w:rPr>
          <w:rFonts w:eastAsia="楷体_GB2312"/>
          <w:sz w:val="32"/>
          <w:szCs w:val="32"/>
        </w:rPr>
      </w:pPr>
      <w:r>
        <w:rPr>
          <w:rFonts w:eastAsia="楷体_GB2312"/>
          <w:sz w:val="32"/>
          <w:szCs w:val="32"/>
        </w:rPr>
        <w:t xml:space="preserve">第二条  规划原则</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1．统筹规划，分类实施</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统筹规划全区充（换）电设施布局网络，按照不同领域的充（换）电需求，推动全区充（换）电体系从建设设施数量向提升充电效率转变，充电为主向充换互补转变，定点规划向灵活布局转变。补齐建设空白区，提升区域充（换）电设施建设密度，构建城市基本公共服务充电圈。推广居住社区“统建统管、有序充电”模式，加快推进居民小区充电桩的建设进度，缓解私家电动汽车、电动自行车“充电焦虑”。</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2．适度超前，有序发展</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规模适度超前，充分考虑电动汽车的跃升式发展态势，统筹规划布局充（换）电基础设施，促进全区电动汽车、电动自行车推广使用，培育发展充（换）电设施产业、企业。监管适度超前，将充（换）电基础设施纳入遂宁市船山区新能源汽车、自行车及充电设施监测监管平台统一监测监管，拟打造“城市充（换）电一张网”，提升行业数字化水平。加强与城乡建设规划、电网规划及停车场布局规划等的统筹衔接，实现中心城区、城市新区、郊区新城因地制宜合理布局。</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3．服务为本，便民利民</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以提升服务水平、方便使用为重点，建设线上线下结合的充（换）电基础设施服务体系</w:t>
      </w:r>
      <w:r>
        <w:rPr>
          <w:rFonts w:eastAsia="仿宋_GB2312"/>
          <w:sz w:val="32"/>
          <w:szCs w:val="32"/>
        </w:rPr>
        <w:t xml:space="preserve">，提升人民群众充（换）电的获得感和满意度。基于遂宁市船山区新能源汽车、电动自行车及充电设施监测监管平台对电动自行车、电动汽车充电需求的预测分析，精准匹配公、专、自充（换）电基础设施，探索实现充（换）电运营企业与平台之间的启停支付功能，实现跨平台、多渠道支付结算，推广使用“川逸充”APP，并纳入“智慧城市系统”，提升充（换）电便利性和用户体验。推动全区电动自行车、电动汽车公专用充（换）电设施建设及形象标准设置，进一步提升用户的导向体验、视觉体验和服务体验，形成符合遂宁市船山区特色标准化的公专用充（换）电设施。</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w:t>
      </w:r>
      <w:r>
        <w:rPr>
          <w:rFonts w:hint="eastAsia" w:eastAsia="仿宋_GB2312"/>
          <w:sz w:val="32"/>
          <w:szCs w:val="32"/>
        </w:rPr>
        <w:t xml:space="preserve">．</w:t>
      </w:r>
      <w:r>
        <w:rPr>
          <w:rFonts w:eastAsia="仿宋_GB2312"/>
          <w:sz w:val="32"/>
          <w:szCs w:val="32"/>
        </w:rPr>
        <w:t xml:space="preserve">安全可靠，运行高效</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探索构建充（换）电设施地方标准体系，推动全区充（换）电设施建设、运营、安全的规范化、标准化建设，形成适配遂宁市船山区的地方标准体系。严格按照相关技术规范，建设管理充（换）电基础设施，建立新能源汽车及充电设施监测监管平台，健全备案及运营管理机制。落实企业安全主体责任、属地安全管理责任、行业安全监管责任。发挥遂宁市船山区新能源汽车、电动自行车及充电设施监测监管平台作用，推动全区充（换）电网络的负荷管控、智能调度，推动智能有序充电、大功率充电、无线充电等新型充电技术创新。</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jc w:val="center"/>
        <w:rPr>
          <w:rFonts w:eastAsia="黑体"/>
          <w:sz w:val="32"/>
          <w:szCs w:val="32"/>
        </w:rPr>
      </w:pPr>
      <w:r>
        <w:rPr>
          <w:rFonts w:eastAsia="黑体"/>
          <w:sz w:val="32"/>
          <w:szCs w:val="32"/>
        </w:rPr>
        <w:t xml:space="preserve">第三章  需求预测</w:t>
      </w:r>
      <w:r>
        <w:rPr>
          <w:rFonts w:eastAsia="黑体"/>
          <w:sz w:val="32"/>
          <w:szCs w:val="32"/>
        </w:rPr>
      </w:r>
      <w:r>
        <w:rPr>
          <w:rFonts w:eastAsia="黑体"/>
          <w:sz w:val="32"/>
          <w:szCs w:val="32"/>
        </w:rPr>
      </w:r>
    </w:p>
    <w:p>
      <w:pPr>
        <w:pStyle w:val="684"/>
        <w:pBdr/>
        <w:spacing w:line="600" w:lineRule="exact"/>
        <w:ind w:firstLine="640"/>
        <w:rPr>
          <w:rFonts w:eastAsia="楷体_GB2312"/>
          <w:sz w:val="32"/>
          <w:szCs w:val="32"/>
        </w:rPr>
      </w:pPr>
      <w:r>
        <w:rPr>
          <w:rFonts w:eastAsia="楷体_GB2312"/>
          <w:sz w:val="32"/>
          <w:szCs w:val="32"/>
        </w:rPr>
        <w:t xml:space="preserve">第一条  电动汽车保有量预测</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根据《遂宁市人民政府办公室关于市政协八届三次会议第19号提案办理答复的函》得知截至2023年5月遂宁市新能源汽车保有量5751辆；船山区为遂宁市五大区县第一大区，2023年全区新能源汽车保有量超3000辆，按人口数量经济水平平均测算，预测至2040年全区新能源汽车保有量超22000辆。</w:t>
      </w:r>
      <w:r>
        <w:rPr>
          <w:rFonts w:eastAsia="仿宋_GB2312"/>
          <w:sz w:val="32"/>
          <w:szCs w:val="32"/>
        </w:rPr>
      </w:r>
      <w:r>
        <w:rPr>
          <w:rFonts w:eastAsia="仿宋_GB2312"/>
          <w:sz w:val="32"/>
          <w:szCs w:val="32"/>
        </w:rPr>
      </w:r>
    </w:p>
    <w:p>
      <w:pPr>
        <w:pStyle w:val="684"/>
        <w:pBdr/>
        <w:spacing w:line="600" w:lineRule="exact"/>
        <w:ind/>
        <w:rPr>
          <w:rFonts w:eastAsia="楷体_GB2312"/>
          <w:sz w:val="32"/>
          <w:szCs w:val="32"/>
        </w:rPr>
      </w:pPr>
      <w:r>
        <w:rPr>
          <w:rFonts w:eastAsia="仿宋_GB2312"/>
          <w:sz w:val="32"/>
          <w:szCs w:val="32"/>
        </w:rPr>
        <w:t xml:space="preserve">　　</w:t>
      </w:r>
      <w:r>
        <w:rPr>
          <w:rFonts w:eastAsia="楷体_GB2312"/>
          <w:sz w:val="32"/>
          <w:szCs w:val="32"/>
        </w:rPr>
        <w:t xml:space="preserve">第二条  设施需求预测</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根据《遂宁市人民政府办公室关于市政协八届三次会议第19号提案办理答复的函》</w:t>
      </w:r>
      <w:r>
        <w:rPr>
          <w:rFonts w:eastAsia="仿宋_GB2312"/>
          <w:sz w:val="32"/>
          <w:szCs w:val="32"/>
        </w:rPr>
        <w:t xml:space="preserve">截至2023年05月，遂宁市已建有1806个充电桩，其中公用充电桩394个、专用充电桩105个、私人充电桩1307个。遂宁市2019年出台的《遂宁市电动汽车充换电设施发展建设规划》明确提出，预计到2030年，遂宁市全市规划布局建设电动汽车充换电站1345座、充电桩52435台，覆盖全市96个乡镇、127个加油站、8个高速服务区、20个旅游景区、210个机关事业单位和114个大型小区及商场，充分保障全市电动汽车的充换电需求。目前，船山区人民政府仅有8个慢充电桩，商业小区已安装的数量寥寥无几，目前全区无换电站。</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按国际上通常所要求的新能源汽车与充电桩至少达到1:1比例或更高的配置标准，船山区充电桩的数量远远不能满足当前市场的需求，按照适度超前原则，全区还面临着很大的缺口，所以本项目具有较强的市场份额优势。充电桩和换电站若按配置需求，2040年船山区至少需要配备22000个充电桩和15-20个换电站。本次项目建设19个换电站，24922个电动汽车充电桩、29600个电动自行车充电桩已超过需求配备要求，故符合市场需求。</w:t>
      </w:r>
      <w:r>
        <w:rPr>
          <w:rFonts w:eastAsia="仿宋_GB2312"/>
          <w:sz w:val="32"/>
          <w:szCs w:val="32"/>
        </w:rPr>
      </w:r>
      <w:r>
        <w:rPr>
          <w:rFonts w:eastAsia="仿宋_GB2312"/>
          <w:sz w:val="32"/>
          <w:szCs w:val="32"/>
        </w:rPr>
      </w:r>
    </w:p>
    <w:p>
      <w:pPr>
        <w:pStyle w:val="684"/>
        <w:pBdr/>
        <w:spacing w:line="600" w:lineRule="exact"/>
        <w:ind/>
        <w:jc w:val="center"/>
        <w:rPr>
          <w:rFonts w:eastAsia="楷体_GB2312"/>
          <w:sz w:val="32"/>
          <w:szCs w:val="32"/>
        </w:rPr>
      </w:pPr>
      <w:r>
        <w:rPr>
          <w:rFonts w:eastAsia="楷体_GB2312"/>
          <w:sz w:val="32"/>
          <w:szCs w:val="32"/>
        </w:rPr>
      </w:r>
      <w:r>
        <w:rPr>
          <w:rFonts w:eastAsia="楷体_GB2312"/>
          <w:sz w:val="32"/>
          <w:szCs w:val="32"/>
        </w:rPr>
      </w:r>
    </w:p>
    <w:p>
      <w:pPr>
        <w:pStyle w:val="684"/>
        <w:pBdr/>
        <w:spacing w:line="600" w:lineRule="exact"/>
        <w:ind/>
        <w:jc w:val="center"/>
        <w:rPr>
          <w:rFonts w:eastAsia="黑体"/>
          <w:sz w:val="32"/>
          <w:szCs w:val="32"/>
        </w:rPr>
      </w:pPr>
      <w:r>
        <w:rPr>
          <w:rFonts w:eastAsia="黑体"/>
          <w:sz w:val="32"/>
          <w:szCs w:val="32"/>
        </w:rPr>
        <w:t xml:space="preserve">第四章  设施布局</w:t>
      </w:r>
      <w:r>
        <w:rPr>
          <w:rFonts w:eastAsia="黑体"/>
          <w:sz w:val="32"/>
          <w:szCs w:val="32"/>
        </w:rPr>
      </w:r>
      <w:r>
        <w:rPr>
          <w:rFonts w:eastAsia="黑体"/>
          <w:sz w:val="32"/>
          <w:szCs w:val="32"/>
        </w:rPr>
      </w:r>
    </w:p>
    <w:p>
      <w:pPr>
        <w:pStyle w:val="684"/>
        <w:pBdr/>
        <w:spacing w:line="600" w:lineRule="exact"/>
        <w:ind/>
        <w:rPr>
          <w:rFonts w:eastAsia="仿宋_GB2312"/>
          <w:sz w:val="32"/>
          <w:szCs w:val="32"/>
        </w:rPr>
      </w:pPr>
      <w:r>
        <w:rPr>
          <w:rFonts w:eastAsia="仿宋_GB2312"/>
          <w:sz w:val="32"/>
          <w:szCs w:val="32"/>
        </w:rPr>
        <w:t xml:space="preserve">　　全区累计建成建设19个换电站，24922个电动汽车充电桩、29600个电动自行车充电桩。</w:t>
      </w:r>
      <w:r>
        <w:rPr>
          <w:rFonts w:eastAsia="仿宋_GB2312"/>
          <w:sz w:val="32"/>
          <w:szCs w:val="32"/>
        </w:rPr>
      </w:r>
      <w:r>
        <w:rPr>
          <w:rFonts w:eastAsia="仿宋_GB2312"/>
          <w:sz w:val="32"/>
          <w:szCs w:val="32"/>
        </w:rPr>
      </w:r>
    </w:p>
    <w:p>
      <w:pPr>
        <w:pStyle w:val="684"/>
        <w:pBdr/>
        <w:spacing w:line="600" w:lineRule="exact"/>
        <w:ind w:firstLine="640"/>
        <w:rPr>
          <w:rFonts w:eastAsia="楷体_GB2312"/>
          <w:sz w:val="32"/>
          <w:szCs w:val="32"/>
        </w:rPr>
      </w:pPr>
      <w:r>
        <w:rPr>
          <w:rFonts w:eastAsia="楷体_GB2312"/>
          <w:sz w:val="32"/>
          <w:szCs w:val="32"/>
        </w:rPr>
        <w:t xml:space="preserve">第一条  选用原则</w:t>
      </w:r>
      <w:r>
        <w:rPr>
          <w:rFonts w:eastAsia="楷体_GB2312"/>
          <w:sz w:val="32"/>
          <w:szCs w:val="32"/>
        </w:rPr>
      </w:r>
      <w:r>
        <w:rPr>
          <w:rFonts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各充电区域充电桩采用快慢结合的充电桩配置方式，提供更灵活、高效的充电服务，满足不同用户的需求，同时也有利于充电区域的可持续发展。根据本区域实际情况，一期电动汽车充电桩功率拟采用7KW（慢充）和120KW（快充）两种，二期电动汽车充电桩功率拟采用7KW（慢充）以及更新型充电技术480KW（快充）、600KW（快充）、高低压一体化群充电系统及液冷直流充电终端等；电动自行车充电桩功率拟采用3.5KW。</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7KW电动汽车充电桩的价格相对较低，对于个人用户或小型停车场来说，投资成本更为经济实惠；它对电力供应的要求不高，一般家庭或商业场所的电力容量可以满足其需求，安装过程相对简单，不需要进行大规模的电力改造；7KW的充电功率可以满足大多数电动汽车的日常充电需求，适用于家庭、工作场所、商业区等多种场景；具有较好的兼容性，可以适配多种类型的电动汽车。</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120KW电动汽车</w:t>
      </w:r>
      <w:r>
        <w:rPr>
          <w:rFonts w:eastAsia="仿宋_GB2312"/>
          <w:sz w:val="32"/>
          <w:szCs w:val="32"/>
        </w:rPr>
        <w:t xml:space="preserve">充电桩可以大大缩短电动汽车的充电时间，提高充电效率，让用户能够更快地继续行驶，减少等待时间；适用于城市快充站等需要快速为多辆电动汽车充电的场所，可以满足大量电动汽车的充电需求，减少排队等待时间；快速充电能够增加用户的使用便利性，特别是对于长途旅行或急需充电的情况，120KW 充电桩可以提供更快捷的服务，提升用户满意度；随着电动汽车技术的不断发展，高功率充电将成为趋势。拥有120KW充电桩可以更好地适应未来电动汽车的充电需求；120KW充电桩可以在相同时间内为更多车辆提供服务，提高充电站的运营效率和盈利能力。</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600KW电动汽车充电桩可以大大缩短充电时间，提高电动汽车的使用效率；减少用户等待时间，增加电动汽车的便利性和实用性；满足高性能电动汽车快速充电的要求；有助于解决消费者对充电时间长的顾虑，推动电动汽车市场的发展；在相同时间内可以为更多车辆充电，增加经济效益；为长续航里程的电动汽车提供快速补充电量的能力；随着电动汽车技术的进步，高功率充电桩将成为主流；对于商业运营的充电场站，能加快车辆流转，提高运营收益；对于充电服务提供商，拥有高功率充电桩可提升其在市场中的竞争力；合理分配充电功率，对电网的影响相对较小。</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高低压一</w:t>
      </w:r>
      <w:r>
        <w:rPr>
          <w:rFonts w:eastAsia="仿宋_GB2312"/>
          <w:sz w:val="32"/>
          <w:szCs w:val="32"/>
        </w:rPr>
        <w:t xml:space="preserve">体化群充电系统可以同时满足不同电压等级的电池充电需求，具有广泛的适用性；方便对多个充电设备进行集中监控和管理，提高管理效率；将高低压充电功能集成在一起，减少了设备占地面积，有利于节省空间；能够根据不同的电池类型和充电需求，灵活分配充电功率，提高充电效率；一体化设计减少了设备的采购和安装成本，同时也降低了维护成本；具备智能充电控制功能，能够自动调整充电参数，保证充电安全和电池寿命；采用高质量的电子元件和先进的控制技术，保证充电系统的稳定性和可靠性；可以根据实际需求方便地进行扩展和升级，满足不断增长的充电需求。</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液</w:t>
      </w:r>
      <w:r>
        <w:rPr>
          <w:rFonts w:eastAsia="仿宋_GB2312"/>
          <w:spacing w:val="-4"/>
          <w:sz w:val="32"/>
          <w:szCs w:val="32"/>
        </w:rPr>
        <w:t xml:space="preserve">冷直流充电终端能有效带走充电过程中产生的大量热量，确保设备长时间稳定运行，可实现更高的充电功率和更快的充电速度；有助于提高能量利用效率，降低因发热导致的能量损失；良好的散热可降低因过热带来的安全风险，如设备故障、火灾隐患等；相比传统风冷散热方式，可在相同功率下减小设备体积和重量，便于安装和布局；运行时噪音相对较小，改善使用环境；使充电模块等关键部件在适宜温度下工作，可延长其使用寿命；能在较宽温度范围内正常工作，适应不同的使用场景和气候条件。</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3.5KW电动汽车充电桩相比传统的低功率充电桩，3.5KW的充电桩可以大大缩短电动自行车的充电时间，提高用户的使用效率；其</w:t>
      </w:r>
      <w:r>
        <w:rPr>
          <w:rFonts w:eastAsia="仿宋_GB2312"/>
          <w:sz w:val="32"/>
          <w:szCs w:val="32"/>
        </w:rPr>
        <w:t xml:space="preserve">功率适用于大多数电动自行车的充电需求，无论是小型电动自行车还是较大型的电动摩托车都可以使用；3.5KW充电桩体积相对较小，安装方便，不占用过多空间，适合在各种场所安装，如小区、停车场、商业区等；高功率充电桩通常配备了更先进的安全保护功能，如过流保护、过压保护、短路保护等，可以有效避免充电过程中的安全隐患；一些3.5KW充电桩具备智能管理系统，可以实现远程监控、计费管理、故障诊断等功能，方便用户使用和管理；合理分布的3.5KW充电桩可以在一定程度上减轻电网的负担，避免大量低功率充电桩同时充电对电网造成的冲击。</w:t>
      </w:r>
      <w:r>
        <w:rPr>
          <w:rFonts w:eastAsia="仿宋_GB2312"/>
          <w:sz w:val="32"/>
          <w:szCs w:val="32"/>
        </w:rPr>
      </w:r>
      <w:r>
        <w:rPr>
          <w:rFonts w:eastAsia="仿宋_GB2312"/>
          <w:sz w:val="32"/>
          <w:szCs w:val="32"/>
        </w:rPr>
      </w:r>
    </w:p>
    <w:p>
      <w:pPr>
        <w:pStyle w:val="684"/>
        <w:pBdr/>
        <w:spacing w:line="600" w:lineRule="exact"/>
        <w:ind w:firstLine="640"/>
        <w:rPr>
          <w:rFonts w:eastAsia="楷体_GB2312"/>
          <w:sz w:val="32"/>
          <w:szCs w:val="32"/>
        </w:rPr>
      </w:pPr>
      <w:r>
        <w:rPr>
          <w:rFonts w:eastAsia="楷体_GB2312"/>
          <w:sz w:val="32"/>
          <w:szCs w:val="32"/>
        </w:rPr>
        <w:t xml:space="preserve">第二条  近期目标（一期）</w:t>
      </w:r>
      <w:r>
        <w:rPr>
          <w:rFonts w:eastAsia="楷体_GB2312"/>
          <w:sz w:val="32"/>
          <w:szCs w:val="32"/>
        </w:rPr>
      </w:r>
      <w:r>
        <w:rPr>
          <w:rFonts w:eastAsia="楷体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（一）乡乡全覆盖</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桂花镇、龙凤镇、河沙镇、永兴镇、仁里镇、老池镇、唐家乡共七个乡镇，现状约11.26万人，结合人口规模和汽车使用需求规划布局充电停车位418个。</w:t>
      </w:r>
      <w:r>
        <w:rPr>
          <w:rFonts w:eastAsia="仿宋_GB2312"/>
          <w:sz w:val="32"/>
          <w:szCs w:val="32"/>
        </w:rPr>
      </w:r>
      <w:r>
        <w:rPr>
          <w:rFonts w:eastAsia="仿宋_GB2312"/>
          <w:sz w:val="32"/>
          <w:szCs w:val="32"/>
        </w:rPr>
      </w:r>
    </w:p>
    <w:tbl>
      <w:tblPr>
        <w:tblW w:w="8908" w:type="dxa"/>
        <w:tblInd w:w="-1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108" w:type="dxa"/>
          <w:top w:w="0" w:type="dxa"/>
          <w:right w:w="108" w:type="dxa"/>
          <w:bottom w:w="0" w:type="dxa"/>
        </w:tblCellMar>
        <w:tblLook w:val="04A0" w:firstRow="1" w:lastRow="0" w:firstColumn="1" w:lastColumn="0" w:noHBand="0" w:noVBand="1"/>
      </w:tblPr>
      <w:tblGrid>
        <w:gridCol w:w="875"/>
        <w:gridCol w:w="1079"/>
        <w:gridCol w:w="2400"/>
        <w:gridCol w:w="800"/>
        <w:gridCol w:w="1369"/>
        <w:gridCol w:w="1300"/>
        <w:gridCol w:w="1085"/>
      </w:tblGrid>
      <w:tr>
        <w:trPr>
          <w:trHeight w:val="360"/>
          <w:tblHeader/>
        </w:trPr>
        <w:tc>
          <w:tcPr>
            <w:tcBorders/>
            <w:tcW w:w="875"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编号</w:t>
            </w:r>
            <w:r>
              <w:rPr>
                <w:rFonts w:eastAsia="仿宋_GB2312"/>
                <w:b/>
                <w:szCs w:val="21"/>
              </w:rPr>
            </w:r>
            <w:r>
              <w:rPr>
                <w:rFonts w:eastAsia="仿宋_GB2312"/>
                <w:b/>
                <w:szCs w:val="21"/>
              </w:rPr>
            </w:r>
          </w:p>
        </w:tc>
        <w:tc>
          <w:tcPr>
            <w:tcBorders/>
            <w:tcW w:w="1079"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乡镇</w:t>
            </w:r>
            <w:r>
              <w:rPr>
                <w:rFonts w:eastAsia="仿宋_GB2312"/>
                <w:b/>
                <w:szCs w:val="21"/>
              </w:rPr>
            </w:r>
            <w:r>
              <w:rPr>
                <w:rFonts w:eastAsia="仿宋_GB2312"/>
                <w:b/>
                <w:szCs w:val="21"/>
              </w:rPr>
            </w:r>
          </w:p>
        </w:tc>
        <w:tc>
          <w:tcPr>
            <w:tcBorders/>
            <w:tcW w:w="2400"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辖区单位名称</w:t>
            </w:r>
            <w:r>
              <w:rPr>
                <w:rFonts w:eastAsia="仿宋_GB2312"/>
                <w:b/>
                <w:szCs w:val="21"/>
              </w:rPr>
            </w:r>
            <w:r>
              <w:rPr>
                <w:rFonts w:eastAsia="仿宋_GB2312"/>
                <w:b/>
                <w:szCs w:val="21"/>
              </w:rPr>
            </w:r>
          </w:p>
        </w:tc>
        <w:tc>
          <w:tcPr>
            <w:tcBorders/>
            <w:tcW w:w="800"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车位</w:t>
            </w:r>
            <w:r>
              <w:rPr>
                <w:rFonts w:eastAsia="仿宋_GB2312"/>
                <w:b/>
                <w:szCs w:val="21"/>
              </w:rPr>
            </w:r>
            <w:r>
              <w:rPr>
                <w:rFonts w:eastAsia="仿宋_GB2312"/>
                <w:b/>
                <w:szCs w:val="21"/>
              </w:rPr>
            </w:r>
          </w:p>
        </w:tc>
        <w:tc>
          <w:tcPr>
            <w:gridSpan w:val="2"/>
            <w:tcBorders/>
            <w:tcW w:w="2669" w:type="dxa"/>
            <w:vAlign w:val="center"/>
            <w:textDirection w:val="lrTb"/>
            <w:noWrap w:val="false"/>
          </w:tcPr>
          <w:p>
            <w:pPr>
              <w:pStyle w:val="684"/>
              <w:pBdr/>
              <w:spacing/>
              <w:ind/>
              <w:jc w:val="center"/>
              <w:rPr>
                <w:rFonts w:eastAsia="仿宋_GB2312"/>
                <w:b/>
                <w:szCs w:val="21"/>
              </w:rPr>
            </w:pPr>
            <w:r>
              <w:rPr>
                <w:rFonts w:eastAsia="仿宋_GB2312"/>
                <w:b/>
                <w:szCs w:val="21"/>
                <w:lang w:bidi="ar"/>
              </w:rPr>
              <w:t xml:space="preserve">充电桩配置个数</w:t>
            </w:r>
            <w:r>
              <w:rPr>
                <w:rFonts w:eastAsia="仿宋_GB2312"/>
                <w:b/>
                <w:szCs w:val="21"/>
              </w:rPr>
            </w:r>
            <w:r>
              <w:rPr>
                <w:rFonts w:eastAsia="仿宋_GB2312"/>
                <w:b/>
                <w:szCs w:val="21"/>
              </w:rPr>
            </w:r>
          </w:p>
        </w:tc>
        <w:tc>
          <w:tcPr>
            <w:tcBorders/>
            <w:tcW w:w="1085"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合计</w:t>
            </w:r>
            <w:r>
              <w:rPr>
                <w:rFonts w:eastAsia="仿宋_GB2312"/>
                <w:b/>
                <w:szCs w:val="21"/>
              </w:rPr>
            </w:r>
            <w:r>
              <w:rPr>
                <w:rFonts w:eastAsia="仿宋_GB2312"/>
                <w:b/>
                <w:szCs w:val="21"/>
              </w:rPr>
            </w:r>
          </w:p>
        </w:tc>
      </w:tr>
      <w:tr>
        <w:trPr>
          <w:trHeight w:val="360"/>
          <w:tblHeader/>
        </w:trPr>
        <w:tc>
          <w:tcPr>
            <w:tcBorders/>
            <w:tcW w:w="875"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800"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b/>
                <w:bCs/>
                <w:szCs w:val="21"/>
              </w:rPr>
            </w:pPr>
            <w:r>
              <w:rPr>
                <w:rFonts w:eastAsia="仿宋_GB2312"/>
                <w:b/>
                <w:bCs/>
                <w:szCs w:val="21"/>
                <w:lang w:bidi="ar"/>
              </w:rPr>
              <w:t xml:space="preserve">7KW</w:t>
            </w:r>
            <w:r>
              <w:rPr>
                <w:rFonts w:eastAsia="仿宋_GB2312"/>
                <w:b/>
                <w:bCs/>
                <w:szCs w:val="21"/>
              </w:rPr>
            </w:r>
            <w:r>
              <w:rPr>
                <w:rFonts w:eastAsia="仿宋_GB2312"/>
                <w:b/>
                <w:bCs/>
                <w:szCs w:val="21"/>
              </w:rPr>
            </w:r>
          </w:p>
        </w:tc>
        <w:tc>
          <w:tcPr>
            <w:tcBorders/>
            <w:tcW w:w="1300" w:type="dxa"/>
            <w:vAlign w:val="center"/>
            <w:textDirection w:val="lrTb"/>
            <w:noWrap w:val="false"/>
          </w:tcPr>
          <w:p>
            <w:pPr>
              <w:pStyle w:val="684"/>
              <w:pBdr/>
              <w:spacing/>
              <w:ind/>
              <w:jc w:val="center"/>
              <w:rPr>
                <w:rFonts w:eastAsia="仿宋_GB2312"/>
                <w:b/>
                <w:bCs/>
                <w:szCs w:val="21"/>
              </w:rPr>
            </w:pPr>
            <w:r>
              <w:rPr>
                <w:rFonts w:eastAsia="仿宋_GB2312"/>
                <w:b/>
                <w:bCs/>
                <w:szCs w:val="21"/>
                <w:lang w:bidi="ar"/>
              </w:rPr>
              <w:t xml:space="preserve">120KW</w:t>
            </w:r>
            <w:r>
              <w:rPr>
                <w:rFonts w:eastAsia="仿宋_GB2312"/>
                <w:b/>
                <w:bCs/>
                <w:szCs w:val="21"/>
              </w:rPr>
            </w:r>
            <w:r>
              <w:rPr>
                <w:rFonts w:eastAsia="仿宋_GB2312"/>
                <w:b/>
                <w:bCs/>
                <w:szCs w:val="21"/>
              </w:rPr>
            </w:r>
          </w:p>
        </w:tc>
        <w:tc>
          <w:tcPr>
            <w:tcBorders/>
            <w:tcW w:w="1085"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r>
      <w:tr>
        <w:trPr>
          <w:trHeight w:val="36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w:t>
            </w:r>
            <w:r>
              <w:rPr>
                <w:rFonts w:eastAsia="仿宋_GB2312"/>
                <w:szCs w:val="21"/>
              </w:rPr>
            </w:r>
            <w:r>
              <w:rPr>
                <w:rFonts w:eastAsia="仿宋_GB2312"/>
                <w:szCs w:val="21"/>
              </w:rPr>
            </w:r>
          </w:p>
        </w:tc>
        <w:tc>
          <w:tcPr>
            <w:tcBorders/>
            <w:tcW w:w="1079"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桂花镇</w:t>
            </w: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桂花镇人民政府</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36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桂花镇中心卫生院</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32</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r>
      <w:tr>
        <w:trPr>
          <w:trHeight w:val="36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1A3</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桂花学校</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35</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9</w:t>
            </w:r>
            <w:r>
              <w:rPr>
                <w:rFonts w:eastAsia="仿宋_GB2312"/>
                <w:szCs w:val="21"/>
              </w:rPr>
            </w:r>
            <w:r>
              <w:rPr>
                <w:rFonts w:eastAsia="仿宋_GB2312"/>
                <w:szCs w:val="21"/>
              </w:rPr>
            </w:r>
          </w:p>
        </w:tc>
      </w:tr>
      <w:tr>
        <w:trPr>
          <w:trHeight w:val="36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1A4</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桂花场镇停车场</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68</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r>
      <w:tr>
        <w:trPr>
          <w:trHeight w:val="360"/>
        </w:trPr>
        <w:tc>
          <w:tcPr>
            <w:tcBorders/>
            <w:tcW w:w="875" w:type="dxa"/>
            <w:vAlign w:val="center"/>
            <w:textDirection w:val="lrTb"/>
            <w:noWrap w:val="false"/>
          </w:tcPr>
          <w:p>
            <w:pPr>
              <w:pStyle w:val="684"/>
              <w:pBdr/>
              <w:spacing/>
              <w:ind/>
              <w:jc w:val="center"/>
              <w:rPr>
                <w:rFonts w:eastAsia="仿宋_GB2312"/>
                <w:szCs w:val="21"/>
                <w:lang w:bidi="ar"/>
              </w:rPr>
            </w:pPr>
            <w:r>
              <w:rPr>
                <w:rFonts w:eastAsia="仿宋_GB2312"/>
                <w:szCs w:val="21"/>
                <w:lang w:bidi="ar"/>
              </w:rPr>
              <w:t xml:space="preserve">1A5</w:t>
            </w:r>
            <w:r>
              <w:rPr>
                <w:rFonts w:eastAsia="仿宋_GB2312"/>
                <w:szCs w:val="21"/>
                <w:lang w:bidi="ar"/>
              </w:rPr>
            </w:r>
            <w:r>
              <w:rPr>
                <w:rFonts w:eastAsia="仿宋_GB2312"/>
                <w:szCs w:val="21"/>
                <w:lang w:bidi="ar"/>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lang w:bidi="ar"/>
              </w:rPr>
            </w:pPr>
            <w:r>
              <w:rPr>
                <w:rFonts w:eastAsia="仿宋_GB2312"/>
                <w:szCs w:val="21"/>
                <w:lang w:bidi="ar"/>
              </w:rPr>
              <w:t xml:space="preserve">创新服务中心</w:t>
            </w:r>
            <w:r>
              <w:rPr>
                <w:rFonts w:eastAsia="仿宋_GB2312"/>
                <w:szCs w:val="21"/>
                <w:lang w:bidi="ar"/>
              </w:rPr>
            </w:r>
            <w:r>
              <w:rPr>
                <w:rFonts w:eastAsia="仿宋_GB2312"/>
                <w:szCs w:val="21"/>
                <w:lang w:bidi="ar"/>
              </w:rPr>
            </w:r>
          </w:p>
        </w:tc>
        <w:tc>
          <w:tcPr>
            <w:tcBorders/>
            <w:tcW w:w="800" w:type="dxa"/>
            <w:vAlign w:val="center"/>
            <w:textDirection w:val="lrTb"/>
            <w:noWrap w:val="false"/>
          </w:tcPr>
          <w:p>
            <w:pPr>
              <w:pStyle w:val="684"/>
              <w:pBdr/>
              <w:spacing/>
              <w:ind/>
              <w:jc w:val="center"/>
              <w:rPr>
                <w:rFonts w:eastAsia="仿宋_GB2312"/>
                <w:szCs w:val="21"/>
                <w:lang w:bidi="ar"/>
              </w:rPr>
            </w:pPr>
            <w:r>
              <w:rPr>
                <w:rFonts w:eastAsia="仿宋_GB2312"/>
                <w:szCs w:val="21"/>
                <w:lang w:bidi="ar"/>
              </w:rPr>
              <w:t xml:space="preserve">——</w:t>
            </w:r>
            <w:r>
              <w:rPr>
                <w:rFonts w:eastAsia="仿宋_GB2312"/>
                <w:szCs w:val="21"/>
                <w:lang w:bidi="ar"/>
              </w:rPr>
            </w:r>
            <w:r>
              <w:rPr>
                <w:rFonts w:eastAsia="仿宋_GB2312"/>
                <w:szCs w:val="21"/>
                <w:lang w:bidi="ar"/>
              </w:rPr>
            </w:r>
          </w:p>
        </w:tc>
        <w:tc>
          <w:tcPr>
            <w:tcBorders/>
            <w:tcW w:w="1369" w:type="dxa"/>
            <w:vAlign w:val="center"/>
            <w:textDirection w:val="lrTb"/>
            <w:noWrap w:val="false"/>
          </w:tcPr>
          <w:p>
            <w:pPr>
              <w:pStyle w:val="684"/>
              <w:pBdr/>
              <w:spacing/>
              <w:ind/>
              <w:jc w:val="center"/>
              <w:rPr>
                <w:rFonts w:eastAsia="仿宋_GB2312"/>
                <w:szCs w:val="21"/>
                <w:lang w:bidi="ar"/>
              </w:rPr>
            </w:pPr>
            <w:r>
              <w:rPr>
                <w:rFonts w:eastAsia="仿宋_GB2312"/>
                <w:szCs w:val="21"/>
                <w:lang w:bidi="ar"/>
              </w:rPr>
              <w:t xml:space="preserve">3</w:t>
            </w:r>
            <w:r>
              <w:rPr>
                <w:rFonts w:eastAsia="仿宋_GB2312"/>
                <w:szCs w:val="21"/>
                <w:lang w:bidi="ar"/>
              </w:rPr>
            </w:r>
            <w:r>
              <w:rPr>
                <w:rFonts w:eastAsia="仿宋_GB2312"/>
                <w:szCs w:val="21"/>
                <w:lang w:bidi="ar"/>
              </w:rPr>
            </w:r>
          </w:p>
        </w:tc>
        <w:tc>
          <w:tcPr>
            <w:tcBorders/>
            <w:tcW w:w="1300" w:type="dxa"/>
            <w:vAlign w:val="center"/>
            <w:textDirection w:val="lrTb"/>
            <w:noWrap w:val="false"/>
          </w:tcPr>
          <w:p>
            <w:pPr>
              <w:pStyle w:val="684"/>
              <w:pBdr/>
              <w:spacing/>
              <w:ind/>
              <w:jc w:val="center"/>
              <w:rPr>
                <w:rFonts w:eastAsia="仿宋_GB2312"/>
                <w:szCs w:val="21"/>
                <w:lang w:bidi="ar"/>
              </w:rPr>
            </w:pPr>
            <w:r>
              <w:rPr>
                <w:rFonts w:eastAsia="仿宋_GB2312"/>
                <w:szCs w:val="21"/>
                <w:lang w:bidi="ar"/>
              </w:rPr>
              <w:t xml:space="preserve">2</w:t>
            </w:r>
            <w:r>
              <w:rPr>
                <w:rFonts w:eastAsia="仿宋_GB2312"/>
                <w:szCs w:val="21"/>
                <w:lang w:bidi="ar"/>
              </w:rPr>
            </w:r>
            <w:r>
              <w:rPr>
                <w:rFonts w:eastAsia="仿宋_GB2312"/>
                <w:szCs w:val="21"/>
                <w:lang w:bidi="ar"/>
              </w:rPr>
            </w:r>
          </w:p>
        </w:tc>
        <w:tc>
          <w:tcPr>
            <w:tcBorders/>
            <w:tcW w:w="1085" w:type="dxa"/>
            <w:vAlign w:val="center"/>
            <w:textDirection w:val="lrTb"/>
            <w:noWrap w:val="false"/>
          </w:tcPr>
          <w:p>
            <w:pPr>
              <w:pStyle w:val="684"/>
              <w:pBdr/>
              <w:spacing/>
              <w:ind/>
              <w:jc w:val="center"/>
              <w:rPr>
                <w:rFonts w:eastAsia="仿宋_GB2312"/>
                <w:szCs w:val="21"/>
                <w:lang w:bidi="ar"/>
              </w:rPr>
            </w:pPr>
            <w:r>
              <w:rPr>
                <w:rFonts w:eastAsia="仿宋_GB2312"/>
                <w:szCs w:val="21"/>
                <w:lang w:bidi="ar"/>
              </w:rPr>
              <w:t xml:space="preserve">5</w:t>
            </w:r>
            <w:r>
              <w:rPr>
                <w:rFonts w:eastAsia="仿宋_GB2312"/>
                <w:szCs w:val="21"/>
                <w:lang w:bidi="ar"/>
              </w:rPr>
            </w:r>
            <w:r>
              <w:rPr>
                <w:rFonts w:eastAsia="仿宋_GB2312"/>
                <w:szCs w:val="21"/>
                <w:lang w:bidi="ar"/>
              </w:rPr>
            </w:r>
          </w:p>
        </w:tc>
      </w:tr>
      <w:tr>
        <w:trPr>
          <w:trHeight w:val="36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1A6</w:t>
            </w:r>
            <w:r>
              <w:rPr>
                <w:rFonts w:eastAsia="仿宋_GB2312"/>
                <w:szCs w:val="21"/>
              </w:rPr>
            </w:r>
            <w:r>
              <w:rPr>
                <w:rFonts w:eastAsia="仿宋_GB2312"/>
                <w:szCs w:val="21"/>
              </w:rPr>
            </w:r>
          </w:p>
        </w:tc>
        <w:tc>
          <w:tcPr>
            <w:tcBorders/>
            <w:tcW w:w="1079"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龙凤镇</w:t>
            </w: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消防队</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22</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r>
      <w:tr>
        <w:trPr>
          <w:trHeight w:val="36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1A7</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实验学校</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185</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28</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46</w:t>
            </w:r>
            <w:r>
              <w:rPr>
                <w:rFonts w:eastAsia="仿宋_GB2312"/>
                <w:szCs w:val="21"/>
              </w:rPr>
            </w:r>
            <w:r>
              <w:rPr>
                <w:rFonts w:eastAsia="仿宋_GB2312"/>
                <w:szCs w:val="21"/>
              </w:rPr>
            </w:r>
          </w:p>
        </w:tc>
      </w:tr>
      <w:tr>
        <w:trPr>
          <w:trHeight w:val="36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1A8</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彰德桥安置小区</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728</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109</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73</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182</w:t>
            </w:r>
            <w:r>
              <w:rPr>
                <w:rFonts w:eastAsia="仿宋_GB2312"/>
                <w:szCs w:val="21"/>
              </w:rPr>
            </w:r>
            <w:r>
              <w:rPr>
                <w:rFonts w:eastAsia="仿宋_GB2312"/>
                <w:szCs w:val="21"/>
              </w:rPr>
            </w:r>
          </w:p>
        </w:tc>
      </w:tr>
      <w:tr>
        <w:trPr>
          <w:trHeight w:val="361"/>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1A9</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复桥小学</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1A10</w:t>
            </w:r>
            <w:r>
              <w:rPr>
                <w:rFonts w:eastAsia="仿宋_GB2312"/>
                <w:szCs w:val="21"/>
              </w:rPr>
            </w:r>
            <w:r>
              <w:rPr>
                <w:rFonts w:eastAsia="仿宋_GB2312"/>
                <w:szCs w:val="21"/>
              </w:rPr>
            </w:r>
          </w:p>
        </w:tc>
        <w:tc>
          <w:tcPr>
            <w:tcBorders/>
            <w:tcW w:w="1079"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龙凤镇</w:t>
            </w: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复兴安置小区一期</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1A11</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复兴安置小区二期</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180</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27</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45</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1A12</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复兴社区</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1A13</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龙凤幼儿园</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1A14</w:t>
            </w:r>
            <w:r>
              <w:rPr>
                <w:rFonts w:eastAsia="仿宋_GB2312"/>
                <w:szCs w:val="21"/>
              </w:rPr>
            </w:r>
            <w:r>
              <w:rPr>
                <w:rFonts w:eastAsia="仿宋_GB2312"/>
                <w:szCs w:val="21"/>
              </w:rPr>
            </w:r>
          </w:p>
        </w:tc>
        <w:tc>
          <w:tcPr>
            <w:tcBorders/>
            <w:tcW w:w="1079"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河沙镇</w:t>
            </w: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河沙镇人民政府</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26</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1A15</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河沙镇小学</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17</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r>
      <w:tr>
        <w:trPr>
          <w:trHeight w:val="299"/>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1A16</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河沙镇中心卫生院</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1A17</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河沙镇派出所</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1A18</w:t>
            </w:r>
            <w:r>
              <w:rPr>
                <w:rFonts w:eastAsia="仿宋_GB2312"/>
                <w:szCs w:val="21"/>
              </w:rPr>
            </w:r>
            <w:r>
              <w:rPr>
                <w:rFonts w:eastAsia="仿宋_GB2312"/>
                <w:szCs w:val="21"/>
              </w:rPr>
            </w:r>
          </w:p>
        </w:tc>
        <w:tc>
          <w:tcPr>
            <w:tcBorders/>
            <w:tcW w:w="1079"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永兴镇</w:t>
            </w: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永兴镇人民政府</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1A19</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永兴镇中心卫生院</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48</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1A20</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永兴镇中心小学</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15</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1A21</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船山区职业中学</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60</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1A22</w:t>
            </w:r>
            <w:r>
              <w:rPr>
                <w:rFonts w:eastAsia="仿宋_GB2312"/>
                <w:szCs w:val="21"/>
              </w:rPr>
            </w:r>
            <w:r>
              <w:rPr>
                <w:rFonts w:eastAsia="仿宋_GB2312"/>
                <w:szCs w:val="21"/>
              </w:rPr>
            </w:r>
          </w:p>
        </w:tc>
        <w:tc>
          <w:tcPr>
            <w:tcBorders/>
            <w:tcW w:w="1079"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仁里镇</w:t>
            </w: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仁里镇人民政府</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37</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9</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1A23</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仁里派出所</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1A24</w:t>
            </w:r>
            <w:r>
              <w:rPr>
                <w:rFonts w:eastAsia="仿宋_GB2312"/>
                <w:szCs w:val="21"/>
              </w:rPr>
            </w:r>
            <w:r>
              <w:rPr>
                <w:rFonts w:eastAsia="仿宋_GB2312"/>
                <w:szCs w:val="21"/>
              </w:rPr>
            </w:r>
          </w:p>
        </w:tc>
        <w:tc>
          <w:tcPr>
            <w:tcBorders/>
            <w:tcW w:w="1079"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老池镇</w:t>
            </w: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老池镇人民政府</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r>
      <w:tr>
        <w:trPr>
          <w:trHeight w:val="299"/>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1A25</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三新学校</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1A26</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三新幼儿园</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1A27</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老池卫生院</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1A28</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老池幼儿园</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1A29</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老池小学</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1A30</w:t>
            </w:r>
            <w:r>
              <w:rPr>
                <w:rFonts w:eastAsia="仿宋_GB2312"/>
                <w:szCs w:val="21"/>
              </w:rPr>
            </w:r>
            <w:r>
              <w:rPr>
                <w:rFonts w:eastAsia="仿宋_GB2312"/>
                <w:szCs w:val="21"/>
              </w:rPr>
            </w:r>
          </w:p>
        </w:tc>
        <w:tc>
          <w:tcPr>
            <w:tcBorders/>
            <w:tcW w:w="1079"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唐家乡</w:t>
            </w: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唐家乡人民政府</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1A31</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唐家乡卫生院</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1A32</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红涪社区</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r>
      <w:tr>
        <w:trPr>
          <w:trHeight w:val="300"/>
        </w:trPr>
        <w:tc>
          <w:tcPr>
            <w:tcBorders/>
            <w:tcW w:w="87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1A33</w:t>
            </w:r>
            <w:r>
              <w:rPr>
                <w:rFonts w:eastAsia="仿宋_GB2312"/>
                <w:szCs w:val="21"/>
              </w:rPr>
            </w:r>
            <w:r>
              <w:rPr>
                <w:rFonts w:eastAsia="仿宋_GB2312"/>
                <w:szCs w:val="21"/>
              </w:rPr>
            </w:r>
          </w:p>
        </w:tc>
        <w:tc>
          <w:tcPr>
            <w:tcBorders/>
            <w:tcW w:w="10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24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唐家乡幼儿园</w:t>
            </w:r>
            <w:r>
              <w:rPr>
                <w:rFonts w:eastAsia="仿宋_GB2312"/>
                <w:szCs w:val="21"/>
              </w:rPr>
            </w:r>
            <w:r>
              <w:rPr>
                <w:rFonts w:eastAsia="仿宋_GB2312"/>
                <w:szCs w:val="21"/>
              </w:rPr>
            </w:r>
          </w:p>
        </w:tc>
        <w:tc>
          <w:tcPr>
            <w:tcBorders/>
            <w:tcW w:w="8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136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3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1085"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r>
    </w:tbl>
    <w:p>
      <w:pPr>
        <w:pStyle w:val="684"/>
        <w:pBdr/>
        <w:spacing w:line="600" w:lineRule="exact"/>
        <w:ind w:firstLine="640"/>
        <w:rPr>
          <w:rFonts w:eastAsia="仿宋_GB2312"/>
          <w:sz w:val="32"/>
          <w:szCs w:val="32"/>
        </w:rPr>
      </w:pPr>
      <w:r>
        <w:rPr>
          <w:rFonts w:eastAsia="仿宋_GB2312"/>
          <w:sz w:val="32"/>
          <w:szCs w:val="32"/>
        </w:rPr>
        <w:t xml:space="preserve">（二）智慧小区</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智慧小区规划充电停车位1344个，划分为老城区、兴船物业、介福路北小区社区、北河街社区、犀牛社区、和平西路社区、顺城社区、盐市街社区、育才北、育才西、育才北、遂州中路东、介福西路、锦华共13个区域。</w:t>
      </w:r>
      <w:r>
        <w:rPr>
          <w:rFonts w:eastAsia="仿宋_GB2312"/>
          <w:sz w:val="32"/>
          <w:szCs w:val="32"/>
        </w:rPr>
      </w:r>
      <w:r>
        <w:rPr>
          <w:rFonts w:eastAsia="仿宋_GB2312"/>
          <w:sz w:val="32"/>
          <w:szCs w:val="32"/>
        </w:rPr>
      </w:r>
    </w:p>
    <w:p>
      <w:pPr>
        <w:pStyle w:val="684"/>
        <w:pBdr/>
        <w:spacing w:before="207"/>
        <w:ind w:right="17"/>
        <w:jc w:val="center"/>
        <w:rPr>
          <w:rFonts w:eastAsia="黑体"/>
          <w:spacing w:val="-9"/>
          <w:sz w:val="28"/>
          <w:szCs w:val="28"/>
        </w:rPr>
      </w:pPr>
      <w:r>
        <w:rPr>
          <w:rFonts w:eastAsia="黑体"/>
          <w:spacing w:val="-9"/>
          <w:sz w:val="28"/>
          <w:szCs w:val="28"/>
        </w:rPr>
        <w:t xml:space="preserve">电动汽车充电设施明细表</w:t>
      </w:r>
      <w:r>
        <w:rPr>
          <w:rFonts w:eastAsia="黑体"/>
          <w:spacing w:val="-9"/>
          <w:sz w:val="28"/>
          <w:szCs w:val="28"/>
        </w:rPr>
      </w:r>
      <w:r>
        <w:rPr>
          <w:rFonts w:eastAsia="黑体"/>
          <w:spacing w:val="-9"/>
          <w:sz w:val="28"/>
          <w:szCs w:val="28"/>
        </w:rPr>
      </w:r>
    </w:p>
    <w:tbl>
      <w:tblPr>
        <w:tblW w:w="8886" w:type="dxa"/>
        <w:jc w:val="center"/>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left w:w="0" w:type="dxa"/>
          <w:top w:w="0" w:type="dxa"/>
          <w:right w:w="0" w:type="dxa"/>
          <w:bottom w:w="0" w:type="dxa"/>
        </w:tblCellMar>
        <w:tblLook w:val="04A0" w:firstRow="1" w:lastRow="0" w:firstColumn="1" w:lastColumn="0" w:noHBand="0" w:noVBand="1"/>
      </w:tblPr>
      <w:tblGrid>
        <w:gridCol w:w="782"/>
        <w:gridCol w:w="1222"/>
        <w:gridCol w:w="3572"/>
        <w:gridCol w:w="879"/>
        <w:gridCol w:w="1026"/>
        <w:gridCol w:w="803"/>
        <w:gridCol w:w="602"/>
      </w:tblGrid>
      <w:tr>
        <w:trPr>
          <w:trHeight w:val="220"/>
          <w:tblHeader/>
        </w:trPr>
        <w:tc>
          <w:tcPr>
            <w:tcBorders/>
            <w:tcW w:w="782"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编号</w:t>
            </w:r>
            <w:r>
              <w:rPr>
                <w:rFonts w:eastAsia="仿宋_GB2312"/>
                <w:b/>
                <w:szCs w:val="21"/>
              </w:rPr>
            </w:r>
            <w:r>
              <w:rPr>
                <w:rFonts w:eastAsia="仿宋_GB2312"/>
                <w:b/>
                <w:szCs w:val="21"/>
              </w:rPr>
            </w:r>
          </w:p>
        </w:tc>
        <w:tc>
          <w:tcPr>
            <w:tcBorders/>
            <w:tcW w:w="1222"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所属区域</w:t>
            </w:r>
            <w:r>
              <w:rPr>
                <w:rFonts w:eastAsia="仿宋_GB2312"/>
                <w:b/>
                <w:szCs w:val="21"/>
              </w:rPr>
            </w:r>
            <w:r>
              <w:rPr>
                <w:rFonts w:eastAsia="仿宋_GB2312"/>
                <w:b/>
                <w:szCs w:val="21"/>
              </w:rPr>
            </w:r>
          </w:p>
        </w:tc>
        <w:tc>
          <w:tcPr>
            <w:tcBorders/>
            <w:tcW w:w="3572"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辖区单位名称</w:t>
            </w:r>
            <w:r>
              <w:rPr>
                <w:rFonts w:eastAsia="仿宋_GB2312"/>
                <w:b/>
                <w:szCs w:val="21"/>
              </w:rPr>
            </w:r>
            <w:r>
              <w:rPr>
                <w:rFonts w:eastAsia="仿宋_GB2312"/>
                <w:b/>
                <w:szCs w:val="21"/>
              </w:rPr>
            </w:r>
          </w:p>
        </w:tc>
        <w:tc>
          <w:tcPr>
            <w:tcBorders/>
            <w:tcW w:w="879"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车位</w:t>
            </w:r>
            <w:r>
              <w:rPr>
                <w:rFonts w:eastAsia="仿宋_GB2312"/>
                <w:b/>
                <w:szCs w:val="21"/>
              </w:rPr>
            </w:r>
            <w:r>
              <w:rPr>
                <w:rFonts w:eastAsia="仿宋_GB2312"/>
                <w:b/>
                <w:szCs w:val="21"/>
              </w:rPr>
            </w:r>
          </w:p>
        </w:tc>
        <w:tc>
          <w:tcPr>
            <w:gridSpan w:val="2"/>
            <w:tcBorders/>
            <w:tcW w:w="1829" w:type="dxa"/>
            <w:vAlign w:val="center"/>
            <w:textDirection w:val="lrTb"/>
            <w:noWrap w:val="false"/>
          </w:tcPr>
          <w:p>
            <w:pPr>
              <w:pStyle w:val="684"/>
              <w:pBdr/>
              <w:spacing/>
              <w:ind/>
              <w:jc w:val="center"/>
              <w:rPr>
                <w:rFonts w:eastAsia="仿宋_GB2312"/>
                <w:b/>
                <w:szCs w:val="21"/>
              </w:rPr>
            </w:pPr>
            <w:r>
              <w:rPr>
                <w:rFonts w:eastAsia="仿宋_GB2312"/>
                <w:b/>
                <w:szCs w:val="21"/>
                <w:lang w:bidi="ar"/>
              </w:rPr>
              <w:t xml:space="preserve">充电桩配置个数</w:t>
            </w:r>
            <w:r>
              <w:rPr>
                <w:rFonts w:eastAsia="仿宋_GB2312"/>
                <w:b/>
                <w:szCs w:val="21"/>
              </w:rPr>
            </w:r>
            <w:r>
              <w:rPr>
                <w:rFonts w:eastAsia="仿宋_GB2312"/>
                <w:b/>
                <w:szCs w:val="21"/>
              </w:rPr>
            </w:r>
          </w:p>
        </w:tc>
        <w:tc>
          <w:tcPr>
            <w:tcBorders/>
            <w:tcW w:w="602"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合计</w:t>
            </w:r>
            <w:r>
              <w:rPr>
                <w:rFonts w:eastAsia="仿宋_GB2312"/>
                <w:b/>
                <w:szCs w:val="21"/>
              </w:rPr>
            </w:r>
            <w:r>
              <w:rPr>
                <w:rFonts w:eastAsia="仿宋_GB2312"/>
                <w:b/>
                <w:szCs w:val="21"/>
              </w:rPr>
            </w:r>
          </w:p>
        </w:tc>
      </w:tr>
      <w:tr>
        <w:trPr>
          <w:trHeight w:val="83"/>
          <w:tblHeader/>
        </w:trPr>
        <w:tc>
          <w:tcPr>
            <w:tcBorders/>
            <w:tcW w:w="78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879"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b/>
                <w:bCs/>
                <w:szCs w:val="21"/>
              </w:rPr>
            </w:pPr>
            <w:r>
              <w:rPr>
                <w:rFonts w:eastAsia="仿宋_GB2312"/>
                <w:b/>
                <w:bCs/>
                <w:szCs w:val="21"/>
                <w:lang w:bidi="ar"/>
              </w:rPr>
              <w:t xml:space="preserve">7KW</w:t>
            </w:r>
            <w:r>
              <w:rPr>
                <w:rFonts w:eastAsia="仿宋_GB2312"/>
                <w:b/>
                <w:bCs/>
                <w:szCs w:val="21"/>
              </w:rPr>
            </w:r>
            <w:r>
              <w:rPr>
                <w:rFonts w:eastAsia="仿宋_GB2312"/>
                <w:b/>
                <w:bCs/>
                <w:szCs w:val="21"/>
              </w:rPr>
            </w:r>
          </w:p>
        </w:tc>
        <w:tc>
          <w:tcPr>
            <w:tcBorders/>
            <w:tcW w:w="803" w:type="dxa"/>
            <w:vAlign w:val="center"/>
            <w:textDirection w:val="lrTb"/>
            <w:noWrap w:val="false"/>
          </w:tcPr>
          <w:p>
            <w:pPr>
              <w:pStyle w:val="684"/>
              <w:pBdr/>
              <w:spacing/>
              <w:ind/>
              <w:jc w:val="center"/>
              <w:rPr>
                <w:rFonts w:eastAsia="仿宋_GB2312"/>
                <w:b/>
                <w:bCs/>
                <w:szCs w:val="21"/>
              </w:rPr>
            </w:pPr>
            <w:r>
              <w:rPr>
                <w:rFonts w:eastAsia="仿宋_GB2312"/>
                <w:b/>
                <w:bCs/>
                <w:szCs w:val="21"/>
                <w:lang w:bidi="ar"/>
              </w:rPr>
              <w:t xml:space="preserve">120KW</w:t>
            </w:r>
            <w:r>
              <w:rPr>
                <w:rFonts w:eastAsia="仿宋_GB2312"/>
                <w:b/>
                <w:bCs/>
                <w:szCs w:val="21"/>
              </w:rPr>
            </w:r>
            <w:r>
              <w:rPr>
                <w:rFonts w:eastAsia="仿宋_GB2312"/>
                <w:b/>
                <w:bCs/>
                <w:szCs w:val="21"/>
              </w:rPr>
            </w:r>
          </w:p>
        </w:tc>
        <w:tc>
          <w:tcPr>
            <w:tcBorders/>
            <w:tcW w:w="60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w:t>
            </w:r>
            <w:r>
              <w:rPr>
                <w:rFonts w:eastAsia="仿宋_GB2312"/>
                <w:szCs w:val="21"/>
              </w:rPr>
            </w:r>
            <w:r>
              <w:rPr>
                <w:rFonts w:eastAsia="仿宋_GB2312"/>
                <w:szCs w:val="21"/>
              </w:rPr>
            </w:r>
          </w:p>
        </w:tc>
        <w:tc>
          <w:tcPr>
            <w:tcBorders/>
            <w:tcW w:w="1222"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老城区</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1#</w:t>
            </w:r>
            <w:r>
              <w:rPr>
                <w:rStyle w:val="703"/>
                <w:rFonts w:ascii="Times New Roman" w:hAnsi="Times New Roman" w:eastAsia="仿宋_GB2312" w:cs="Times New Roman"/>
                <w:color w:val="000000"/>
                <w:sz w:val="21"/>
                <w:szCs w:val="21"/>
                <w:lang w:bidi="ar"/>
              </w:rPr>
              <w:t xml:space="preserve">地块</w:t>
            </w:r>
            <w:r>
              <w:rPr>
                <w:rStyle w:val="702"/>
                <w:rFonts w:eastAsia="仿宋_GB2312"/>
                <w:sz w:val="21"/>
                <w:szCs w:val="21"/>
                <w:lang w:bidi="ar"/>
              </w:rPr>
              <w:t xml:space="preserve">（</w:t>
            </w:r>
            <w:r>
              <w:rPr>
                <w:rStyle w:val="703"/>
                <w:rFonts w:ascii="Times New Roman" w:hAnsi="Times New Roman" w:eastAsia="仿宋_GB2312" w:cs="Times New Roman"/>
                <w:color w:val="000000"/>
                <w:sz w:val="21"/>
                <w:szCs w:val="21"/>
                <w:lang w:bidi="ar"/>
              </w:rPr>
              <w:t xml:space="preserve">介福东路 </w:t>
            </w:r>
            <w:r>
              <w:rPr>
                <w:rStyle w:val="702"/>
                <w:rFonts w:eastAsia="仿宋_GB2312"/>
                <w:sz w:val="21"/>
                <w:szCs w:val="21"/>
                <w:lang w:bidi="ar"/>
              </w:rPr>
              <w:t xml:space="preserve">22 </w:t>
            </w:r>
            <w:r>
              <w:rPr>
                <w:rStyle w:val="703"/>
                <w:rFonts w:ascii="Times New Roman" w:hAnsi="Times New Roman" w:eastAsia="仿宋_GB2312" w:cs="Times New Roman"/>
                <w:color w:val="000000"/>
                <w:sz w:val="21"/>
                <w:szCs w:val="21"/>
                <w:lang w:bidi="ar"/>
              </w:rPr>
              <w:t xml:space="preserve">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2#</w:t>
            </w:r>
            <w:r>
              <w:rPr>
                <w:rStyle w:val="703"/>
                <w:rFonts w:ascii="Times New Roman" w:hAnsi="Times New Roman" w:eastAsia="仿宋_GB2312" w:cs="Times New Roman"/>
                <w:color w:val="000000"/>
                <w:sz w:val="21"/>
                <w:szCs w:val="21"/>
                <w:lang w:bidi="ar"/>
              </w:rPr>
              <w:t xml:space="preserve">地块（已完工）</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15</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1B3</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5#</w:t>
            </w:r>
            <w:r>
              <w:rPr>
                <w:rStyle w:val="703"/>
                <w:rFonts w:ascii="Times New Roman" w:hAnsi="Times New Roman" w:eastAsia="仿宋_GB2312" w:cs="Times New Roman"/>
                <w:color w:val="000000"/>
                <w:sz w:val="21"/>
                <w:szCs w:val="21"/>
                <w:lang w:bidi="ar"/>
              </w:rPr>
              <w:t xml:space="preserve">地块（已完工）</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15</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1B4</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11#</w:t>
            </w:r>
            <w:r>
              <w:rPr>
                <w:rStyle w:val="703"/>
                <w:rFonts w:ascii="Times New Roman" w:hAnsi="Times New Roman" w:eastAsia="仿宋_GB2312" w:cs="Times New Roman"/>
                <w:color w:val="000000"/>
                <w:sz w:val="21"/>
                <w:szCs w:val="21"/>
                <w:lang w:bidi="ar"/>
              </w:rPr>
              <w:t xml:space="preserve">地块（希望社区绿荫路）</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14</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1B5</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14#</w:t>
            </w:r>
            <w:r>
              <w:rPr>
                <w:rStyle w:val="703"/>
                <w:rFonts w:ascii="Times New Roman" w:hAnsi="Times New Roman" w:eastAsia="仿宋_GB2312" w:cs="Times New Roman"/>
                <w:color w:val="000000"/>
                <w:sz w:val="21"/>
                <w:szCs w:val="21"/>
                <w:lang w:bidi="ar"/>
              </w:rPr>
              <w:t xml:space="preserve">地块（已完工）</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15</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1B6</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15#</w:t>
            </w:r>
            <w:r>
              <w:rPr>
                <w:rStyle w:val="703"/>
                <w:rFonts w:ascii="Times New Roman" w:hAnsi="Times New Roman" w:eastAsia="仿宋_GB2312" w:cs="Times New Roman"/>
                <w:color w:val="000000"/>
                <w:sz w:val="21"/>
                <w:szCs w:val="21"/>
                <w:lang w:bidi="ar"/>
              </w:rPr>
              <w:t xml:space="preserve">地块（已完工）</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1B7</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17#</w:t>
            </w:r>
            <w:r>
              <w:rPr>
                <w:rStyle w:val="703"/>
                <w:rFonts w:ascii="Times New Roman" w:hAnsi="Times New Roman" w:eastAsia="仿宋_GB2312" w:cs="Times New Roman"/>
                <w:color w:val="000000"/>
                <w:sz w:val="21"/>
                <w:szCs w:val="21"/>
                <w:lang w:bidi="ar"/>
              </w:rPr>
              <w:t xml:space="preserve">地块</w:t>
            </w:r>
            <w:r>
              <w:rPr>
                <w:rStyle w:val="702"/>
                <w:rFonts w:eastAsia="仿宋_GB2312"/>
                <w:sz w:val="21"/>
                <w:szCs w:val="21"/>
                <w:lang w:bidi="ar"/>
              </w:rPr>
              <w:t xml:space="preserve">（</w:t>
            </w:r>
            <w:r>
              <w:rPr>
                <w:rStyle w:val="703"/>
                <w:rFonts w:ascii="Times New Roman" w:hAnsi="Times New Roman" w:eastAsia="仿宋_GB2312" w:cs="Times New Roman"/>
                <w:color w:val="000000"/>
                <w:sz w:val="21"/>
                <w:szCs w:val="21"/>
                <w:lang w:bidi="ar"/>
              </w:rPr>
              <w:t xml:space="preserve">梨园街</w:t>
            </w:r>
            <w:r>
              <w:rPr>
                <w:rStyle w:val="702"/>
                <w:rFonts w:eastAsia="仿宋_GB2312"/>
                <w:sz w:val="21"/>
                <w:szCs w:val="21"/>
                <w:lang w:bidi="ar"/>
              </w:rPr>
              <w:t xml:space="preserve">11</w:t>
            </w:r>
            <w:r>
              <w:rPr>
                <w:rStyle w:val="703"/>
                <w:rFonts w:ascii="Times New Roman" w:hAnsi="Times New Roman" w:eastAsia="仿宋_GB2312" w:cs="Times New Roman"/>
                <w:color w:val="000000"/>
                <w:sz w:val="21"/>
                <w:szCs w:val="21"/>
                <w:lang w:bidi="ar"/>
              </w:rPr>
              <w:t xml:space="preserve">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24</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1B8</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18#</w:t>
            </w:r>
            <w:r>
              <w:rPr>
                <w:rStyle w:val="703"/>
                <w:rFonts w:ascii="Times New Roman" w:hAnsi="Times New Roman" w:eastAsia="仿宋_GB2312" w:cs="Times New Roman"/>
                <w:color w:val="000000"/>
                <w:sz w:val="21"/>
                <w:szCs w:val="21"/>
                <w:lang w:bidi="ar"/>
              </w:rPr>
              <w:t xml:space="preserve">地块（和平路</w:t>
            </w:r>
            <w:r>
              <w:rPr>
                <w:rStyle w:val="702"/>
                <w:rFonts w:eastAsia="仿宋_GB2312"/>
                <w:sz w:val="21"/>
                <w:szCs w:val="21"/>
                <w:lang w:bidi="ar"/>
              </w:rPr>
              <w:t xml:space="preserve">129</w:t>
            </w:r>
            <w:r>
              <w:rPr>
                <w:rStyle w:val="703"/>
                <w:rFonts w:ascii="Times New Roman" w:hAnsi="Times New Roman" w:eastAsia="仿宋_GB2312" w:cs="Times New Roman"/>
                <w:color w:val="000000"/>
                <w:sz w:val="21"/>
                <w:szCs w:val="21"/>
                <w:lang w:bidi="ar"/>
              </w:rPr>
              <w:t xml:space="preserve">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45</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9</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1B9</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2"/>
                <w:rFonts w:eastAsia="仿宋_GB2312"/>
                <w:sz w:val="21"/>
                <w:szCs w:val="21"/>
                <w:lang w:bidi="ar"/>
              </w:rPr>
              <w:t xml:space="preserve">19#</w:t>
            </w:r>
            <w:r>
              <w:rPr>
                <w:rStyle w:val="703"/>
                <w:rFonts w:ascii="Times New Roman" w:hAnsi="Times New Roman" w:eastAsia="仿宋_GB2312" w:cs="Times New Roman"/>
                <w:color w:val="000000"/>
                <w:sz w:val="21"/>
                <w:szCs w:val="21"/>
                <w:lang w:bidi="ar"/>
              </w:rPr>
              <w:t xml:space="preserve">地块</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54</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11</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1B10</w:t>
            </w:r>
            <w:r>
              <w:rPr>
                <w:rFonts w:eastAsia="仿宋_GB2312"/>
                <w:szCs w:val="21"/>
              </w:rPr>
            </w:r>
            <w:r>
              <w:rPr>
                <w:rFonts w:eastAsia="仿宋_GB2312"/>
                <w:szCs w:val="21"/>
              </w:rPr>
            </w:r>
          </w:p>
        </w:tc>
        <w:tc>
          <w:tcPr>
            <w:tcBorders/>
            <w:tcW w:w="1222"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兴船物业</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金港名都小区</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27</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45</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1B11</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人社局宿舍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1B12</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紫金佳苑</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11</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1B13</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财政局宿舍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1B14</w:t>
            </w:r>
            <w:r>
              <w:rPr>
                <w:rFonts w:eastAsia="仿宋_GB2312"/>
                <w:szCs w:val="21"/>
              </w:rPr>
            </w:r>
            <w:r>
              <w:rPr>
                <w:rFonts w:eastAsia="仿宋_GB2312"/>
                <w:szCs w:val="21"/>
              </w:rPr>
            </w:r>
          </w:p>
        </w:tc>
        <w:tc>
          <w:tcPr>
            <w:tcBorders/>
            <w:tcW w:w="1222"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介福路北小区社区</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国土局宿舍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32</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1B15</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水利局宿舍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1B16</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电力公司</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1B17</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广电宿舍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1B18</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社保局宿舍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1B19</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3"/>
                <w:rFonts w:ascii="Times New Roman" w:hAnsi="Times New Roman" w:eastAsia="仿宋_GB2312" w:cs="Times New Roman"/>
                <w:color w:val="000000"/>
                <w:sz w:val="21"/>
                <w:szCs w:val="21"/>
                <w:lang w:bidi="ar"/>
              </w:rPr>
              <w:t xml:space="preserve">盐关街</w:t>
            </w:r>
            <w:r>
              <w:rPr>
                <w:rStyle w:val="702"/>
                <w:rFonts w:eastAsia="仿宋_GB2312"/>
                <w:sz w:val="21"/>
                <w:szCs w:val="21"/>
                <w:lang w:bidi="ar"/>
              </w:rPr>
              <w:t xml:space="preserve">11</w:t>
            </w:r>
            <w:r>
              <w:rPr>
                <w:rStyle w:val="703"/>
                <w:rFonts w:ascii="Times New Roman" w:hAnsi="Times New Roman" w:eastAsia="仿宋_GB2312" w:cs="Times New Roman"/>
                <w:color w:val="000000"/>
                <w:sz w:val="21"/>
                <w:szCs w:val="21"/>
                <w:lang w:bidi="ar"/>
              </w:rPr>
              <w:t xml:space="preserve">号麻子滩</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1B20</w:t>
            </w:r>
            <w:r>
              <w:rPr>
                <w:rFonts w:eastAsia="仿宋_GB2312"/>
                <w:szCs w:val="21"/>
              </w:rPr>
            </w:r>
            <w:r>
              <w:rPr>
                <w:rFonts w:eastAsia="仿宋_GB2312"/>
                <w:szCs w:val="21"/>
              </w:rPr>
            </w:r>
          </w:p>
        </w:tc>
        <w:tc>
          <w:tcPr>
            <w:tcBorders/>
            <w:tcW w:w="1222"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北河街社区</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农发行宿舍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1B21</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管委会宿舍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1B22</w:t>
            </w:r>
            <w:r>
              <w:rPr>
                <w:rFonts w:eastAsia="仿宋_GB2312"/>
                <w:szCs w:val="21"/>
              </w:rPr>
            </w:r>
            <w:r>
              <w:rPr>
                <w:rFonts w:eastAsia="仿宋_GB2312"/>
                <w:szCs w:val="21"/>
              </w:rPr>
            </w:r>
          </w:p>
        </w:tc>
        <w:tc>
          <w:tcPr>
            <w:tcBorders/>
            <w:tcW w:w="122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犀牛社区</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3"/>
                <w:rFonts w:ascii="Times New Roman" w:hAnsi="Times New Roman" w:eastAsia="仿宋_GB2312" w:cs="Times New Roman"/>
                <w:color w:val="000000"/>
                <w:sz w:val="21"/>
                <w:szCs w:val="21"/>
                <w:lang w:bidi="ar"/>
              </w:rPr>
              <w:t xml:space="preserve">红光街</w:t>
            </w:r>
            <w:r>
              <w:rPr>
                <w:rStyle w:val="702"/>
                <w:rFonts w:eastAsia="仿宋_GB2312"/>
                <w:sz w:val="21"/>
                <w:szCs w:val="21"/>
                <w:lang w:bidi="ar"/>
              </w:rPr>
              <w:t xml:space="preserve">2</w:t>
            </w:r>
            <w:r>
              <w:rPr>
                <w:rStyle w:val="703"/>
                <w:rFonts w:ascii="Times New Roman" w:hAnsi="Times New Roman" w:eastAsia="仿宋_GB2312" w:cs="Times New Roman"/>
                <w:color w:val="000000"/>
                <w:sz w:val="21"/>
                <w:szCs w:val="21"/>
                <w:lang w:bidi="ar"/>
              </w:rPr>
              <w:t xml:space="preserve">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1B23</w:t>
            </w:r>
            <w:r>
              <w:rPr>
                <w:rFonts w:eastAsia="仿宋_GB2312"/>
                <w:szCs w:val="21"/>
              </w:rPr>
            </w:r>
            <w:r>
              <w:rPr>
                <w:rFonts w:eastAsia="仿宋_GB2312"/>
                <w:szCs w:val="21"/>
              </w:rPr>
            </w:r>
          </w:p>
        </w:tc>
        <w:tc>
          <w:tcPr>
            <w:tcBorders/>
            <w:tcW w:w="122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和平西路社区</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3"/>
                <w:rFonts w:ascii="Times New Roman" w:hAnsi="Times New Roman" w:eastAsia="仿宋_GB2312" w:cs="Times New Roman"/>
                <w:color w:val="000000"/>
                <w:sz w:val="21"/>
                <w:szCs w:val="21"/>
                <w:lang w:bidi="ar"/>
              </w:rPr>
              <w:t xml:space="preserve">凯旋上路</w:t>
            </w:r>
            <w:r>
              <w:rPr>
                <w:rStyle w:val="702"/>
                <w:rFonts w:eastAsia="仿宋_GB2312"/>
                <w:sz w:val="21"/>
                <w:szCs w:val="21"/>
                <w:lang w:bidi="ar"/>
              </w:rPr>
              <w:t xml:space="preserve">225</w:t>
            </w:r>
            <w:r>
              <w:rPr>
                <w:rStyle w:val="703"/>
                <w:rFonts w:ascii="Times New Roman" w:hAnsi="Times New Roman" w:eastAsia="仿宋_GB2312" w:cs="Times New Roman"/>
                <w:color w:val="000000"/>
                <w:sz w:val="21"/>
                <w:szCs w:val="21"/>
                <w:lang w:bidi="ar"/>
              </w:rPr>
              <w:t xml:space="preserve">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42</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11</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1B24</w:t>
            </w:r>
            <w:r>
              <w:rPr>
                <w:rFonts w:eastAsia="仿宋_GB2312"/>
                <w:szCs w:val="21"/>
              </w:rPr>
            </w:r>
            <w:r>
              <w:rPr>
                <w:rFonts w:eastAsia="仿宋_GB2312"/>
                <w:szCs w:val="21"/>
              </w:rPr>
            </w:r>
          </w:p>
        </w:tc>
        <w:tc>
          <w:tcPr>
            <w:tcBorders/>
            <w:tcW w:w="122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顺城社区</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3"/>
                <w:rFonts w:ascii="Times New Roman" w:hAnsi="Times New Roman" w:eastAsia="仿宋_GB2312" w:cs="Times New Roman"/>
                <w:color w:val="000000"/>
                <w:sz w:val="21"/>
                <w:szCs w:val="21"/>
                <w:lang w:bidi="ar"/>
              </w:rPr>
              <w:t xml:space="preserve">小北街</w:t>
            </w:r>
            <w:r>
              <w:rPr>
                <w:rStyle w:val="702"/>
                <w:rFonts w:eastAsia="仿宋_GB2312"/>
                <w:sz w:val="21"/>
                <w:szCs w:val="21"/>
                <w:lang w:bidi="ar"/>
              </w:rPr>
              <w:t xml:space="preserve">51</w:t>
            </w:r>
            <w:r>
              <w:rPr>
                <w:rStyle w:val="703"/>
                <w:rFonts w:ascii="Times New Roman" w:hAnsi="Times New Roman" w:eastAsia="仿宋_GB2312" w:cs="Times New Roman"/>
                <w:color w:val="000000"/>
                <w:sz w:val="21"/>
                <w:szCs w:val="21"/>
                <w:lang w:bidi="ar"/>
              </w:rPr>
              <w:t xml:space="preserve">号市交通局宿舍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1B25</w:t>
            </w:r>
            <w:r>
              <w:rPr>
                <w:rFonts w:eastAsia="仿宋_GB2312"/>
                <w:szCs w:val="21"/>
              </w:rPr>
            </w:r>
            <w:r>
              <w:rPr>
                <w:rFonts w:eastAsia="仿宋_GB2312"/>
                <w:szCs w:val="21"/>
              </w:rPr>
            </w:r>
          </w:p>
        </w:tc>
        <w:tc>
          <w:tcPr>
            <w:tcBorders/>
            <w:tcW w:w="1222"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盐市街社区</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3"/>
                <w:rFonts w:ascii="Times New Roman" w:hAnsi="Times New Roman" w:eastAsia="仿宋_GB2312" w:cs="Times New Roman"/>
                <w:color w:val="000000"/>
                <w:sz w:val="21"/>
                <w:szCs w:val="21"/>
                <w:lang w:bidi="ar"/>
              </w:rPr>
              <w:t xml:space="preserve">育才东路</w:t>
            </w:r>
            <w:r>
              <w:rPr>
                <w:rStyle w:val="702"/>
                <w:rFonts w:eastAsia="仿宋_GB2312"/>
                <w:sz w:val="21"/>
                <w:szCs w:val="21"/>
                <w:lang w:bidi="ar"/>
              </w:rPr>
              <w:t xml:space="preserve">35</w:t>
            </w:r>
            <w:r>
              <w:rPr>
                <w:rStyle w:val="703"/>
                <w:rFonts w:ascii="Times New Roman" w:hAnsi="Times New Roman" w:eastAsia="仿宋_GB2312" w:cs="Times New Roman"/>
                <w:color w:val="000000"/>
                <w:sz w:val="21"/>
                <w:szCs w:val="21"/>
                <w:lang w:bidi="ar"/>
              </w:rPr>
              <w:t xml:space="preserve">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27</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r>
      <w:tr>
        <w:trPr>
          <w:trHeight w:val="28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1B26</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3"/>
                <w:rFonts w:ascii="Times New Roman" w:hAnsi="Times New Roman" w:eastAsia="仿宋_GB2312" w:cs="Times New Roman"/>
                <w:color w:val="000000"/>
                <w:sz w:val="21"/>
                <w:szCs w:val="21"/>
                <w:lang w:bidi="ar"/>
              </w:rPr>
              <w:t xml:space="preserve">育才东路</w:t>
            </w:r>
            <w:r>
              <w:rPr>
                <w:rStyle w:val="702"/>
                <w:rFonts w:eastAsia="仿宋_GB2312"/>
                <w:sz w:val="21"/>
                <w:szCs w:val="21"/>
                <w:lang w:bidi="ar"/>
              </w:rPr>
              <w:t xml:space="preserve">37</w:t>
            </w:r>
            <w:r>
              <w:rPr>
                <w:rStyle w:val="703"/>
                <w:rFonts w:ascii="Times New Roman" w:hAnsi="Times New Roman" w:eastAsia="仿宋_GB2312" w:cs="Times New Roman"/>
                <w:color w:val="000000"/>
                <w:sz w:val="21"/>
                <w:szCs w:val="21"/>
                <w:lang w:bidi="ar"/>
              </w:rPr>
              <w:t xml:space="preserve">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3829"/>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1B27</w:t>
            </w:r>
            <w:r>
              <w:rPr>
                <w:rFonts w:eastAsia="仿宋_GB2312"/>
                <w:szCs w:val="21"/>
              </w:rPr>
            </w:r>
            <w:r>
              <w:rPr>
                <w:rFonts w:eastAsia="仿宋_GB2312"/>
                <w:szCs w:val="21"/>
              </w:rPr>
            </w:r>
          </w:p>
        </w:tc>
        <w:tc>
          <w:tcPr>
            <w:tcBorders/>
            <w:tcW w:w="122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育才北</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line="260" w:lineRule="exact"/>
              <w:ind/>
              <w:jc w:val="center"/>
              <w:rPr>
                <w:rFonts w:eastAsia="仿宋_GB2312"/>
                <w:szCs w:val="21"/>
              </w:rPr>
            </w:pPr>
            <w:r>
              <w:rPr>
                <w:rFonts w:eastAsia="仿宋_GB2312"/>
                <w:szCs w:val="21"/>
                <w:lang w:bidi="ar"/>
              </w:rPr>
              <w:t xml:space="preserve">平安巷8号、金帝花园、杨柳巷13号、同福街7号烟草公司宿舍、凯旋上路42 号、育才东路145号、面粉厂宿舍、公安局宿舍（和平西路186号）、育才西路 96 号遂中宿舍、育才西路42号百货公司宿舍、遂州中路185号市国土局宿舍、遂州中路187号育才路办事处宿舍、遂州中路207号及附60号、遂州中路243 号川教宿舍、农机校宿舍、遂州中路249 号运管所宿舍、公租房、遂州中路265 号、267号、遂州中路299号、301号、遂州中路317号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30</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w:t>
            </w:r>
            <w:r>
              <w:rPr>
                <w:rFonts w:eastAsia="仿宋_GB2312"/>
                <w:szCs w:val="21"/>
              </w:rPr>
            </w:r>
            <w:r>
              <w:rPr>
                <w:rFonts w:eastAsia="仿宋_GB2312"/>
                <w:szCs w:val="21"/>
              </w:rPr>
            </w:r>
          </w:p>
        </w:tc>
      </w:tr>
      <w:tr>
        <w:trPr>
          <w:trHeight w:val="2951"/>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1B28</w:t>
            </w:r>
            <w:r>
              <w:rPr>
                <w:rFonts w:eastAsia="仿宋_GB2312"/>
                <w:szCs w:val="21"/>
              </w:rPr>
            </w:r>
            <w:r>
              <w:rPr>
                <w:rFonts w:eastAsia="仿宋_GB2312"/>
                <w:szCs w:val="21"/>
              </w:rPr>
            </w:r>
          </w:p>
        </w:tc>
        <w:tc>
          <w:tcPr>
            <w:tcBorders/>
            <w:tcW w:w="1222" w:type="dxa"/>
            <w:vAlign w:val="center"/>
            <w:textDirection w:val="lrTb"/>
            <w:noWrap/>
          </w:tcPr>
          <w:p>
            <w:pPr>
              <w:pStyle w:val="684"/>
              <w:pBdr/>
              <w:spacing/>
              <w:ind/>
              <w:jc w:val="center"/>
              <w:rPr>
                <w:rFonts w:eastAsia="仿宋_GB2312"/>
                <w:szCs w:val="21"/>
              </w:rPr>
            </w:pPr>
            <w:r>
              <w:rPr>
                <w:rFonts w:eastAsia="仿宋_GB2312"/>
                <w:szCs w:val="21"/>
                <w:lang w:bidi="ar"/>
              </w:rPr>
              <w:t xml:space="preserve">育才西</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line="260" w:lineRule="exact"/>
              <w:ind/>
              <w:jc w:val="center"/>
              <w:rPr>
                <w:rFonts w:eastAsia="仿宋_GB2312"/>
                <w:szCs w:val="21"/>
              </w:rPr>
            </w:pPr>
            <w:r>
              <w:rPr>
                <w:rFonts w:eastAsia="仿宋_GB2312"/>
                <w:szCs w:val="21"/>
                <w:lang w:bidi="ar"/>
              </w:rPr>
              <w:t xml:space="preserve">面粉厂宿舍、公安局宿舍（和平西路186 号）、育才西路96号遂中宿舍、育才西路 42 号百货公司宿舍、遂州中路185 号市国土局宿舍、遂州中路187号育才路办事处宿舍、遂州中路207号及附60 号、遂州中路243号川教宿舍、农机校宿舍、遂州中路249号运管所宿舍、公租房、遂州中路265号、267号、遂州中路299号、301号、遂州中路317号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27</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45</w:t>
            </w:r>
            <w:r>
              <w:rPr>
                <w:rFonts w:eastAsia="仿宋_GB2312"/>
                <w:szCs w:val="21"/>
              </w:rPr>
            </w:r>
            <w:r>
              <w:rPr>
                <w:rFonts w:eastAsia="仿宋_GB2312"/>
                <w:szCs w:val="21"/>
              </w:rPr>
            </w:r>
          </w:p>
        </w:tc>
      </w:tr>
      <w:tr>
        <w:trPr>
          <w:trHeight w:val="2311"/>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1B29</w:t>
            </w:r>
            <w:r>
              <w:rPr>
                <w:rFonts w:eastAsia="仿宋_GB2312"/>
                <w:szCs w:val="21"/>
              </w:rPr>
            </w:r>
            <w:r>
              <w:rPr>
                <w:rFonts w:eastAsia="仿宋_GB2312"/>
                <w:szCs w:val="21"/>
              </w:rPr>
            </w:r>
          </w:p>
        </w:tc>
        <w:tc>
          <w:tcPr>
            <w:tcBorders/>
            <w:tcW w:w="1222" w:type="dxa"/>
            <w:vAlign w:val="center"/>
            <w:textDirection w:val="lrTb"/>
            <w:noWrap/>
          </w:tcPr>
          <w:p>
            <w:pPr>
              <w:pStyle w:val="684"/>
              <w:pBdr/>
              <w:spacing/>
              <w:ind/>
              <w:jc w:val="center"/>
              <w:rPr>
                <w:rFonts w:eastAsia="仿宋_GB2312"/>
                <w:szCs w:val="21"/>
              </w:rPr>
            </w:pPr>
            <w:r>
              <w:rPr>
                <w:rFonts w:eastAsia="仿宋_GB2312"/>
                <w:szCs w:val="21"/>
                <w:lang w:bidi="ar"/>
              </w:rPr>
              <w:t xml:space="preserve">遂州中路东</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地税局宿舍、信欣大厦、遂州中路578  号、580号、600号、遂州中路498号、 514号、548号、556号、平安巷8号、 金帝花园、杨柳巷13号、同福街7号 烟草公司宿舍、凯旋上路42号、育才东路 145号</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27</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45</w:t>
            </w:r>
            <w:r>
              <w:rPr>
                <w:rFonts w:eastAsia="仿宋_GB2312"/>
                <w:szCs w:val="21"/>
              </w:rPr>
            </w:r>
            <w:r>
              <w:rPr>
                <w:rFonts w:eastAsia="仿宋_GB2312"/>
                <w:szCs w:val="21"/>
              </w:rPr>
            </w:r>
          </w:p>
        </w:tc>
      </w:tr>
      <w:tr>
        <w:trPr>
          <w:trHeight w:val="480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1B30</w:t>
            </w:r>
            <w:r>
              <w:rPr>
                <w:rFonts w:eastAsia="仿宋_GB2312"/>
                <w:szCs w:val="21"/>
              </w:rPr>
            </w:r>
            <w:r>
              <w:rPr>
                <w:rFonts w:eastAsia="仿宋_GB2312"/>
                <w:szCs w:val="21"/>
              </w:rPr>
            </w:r>
          </w:p>
        </w:tc>
        <w:tc>
          <w:tcPr>
            <w:tcBorders/>
            <w:tcW w:w="122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介福西路</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区纪委宿舍、二运司小区小区、六栋、通机厂、北固医院宿舍、布鞋厂宿舍、啤酒厂一、二、三栋、日杂公司宿舍、公交公司、紫荆嘉苑、京宁巷小区、区就业局宿舍、富丽华小区、织造印染厂宿舍（遂州中路891号）、老五中宿舍（遂州中路867号）、界福西路118号、遂中北校区宿舍、市政府宿舍、市国土局宿舍、广福苑小区、金叶公司宿舍、市房管局宿舍、人事局宿舍、再生资源公司宿舍卫计局宿舍、阳光名宅小区、嘉园公寓小区、西苑小区、东方世纪城小区、广福9号楼、嘉禾西路52号、统战部宿舍</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170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26</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17</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43</w:t>
            </w:r>
            <w:r>
              <w:rPr>
                <w:rFonts w:eastAsia="仿宋_GB2312"/>
                <w:szCs w:val="21"/>
              </w:rPr>
            </w:r>
            <w:r>
              <w:rPr>
                <w:rFonts w:eastAsia="仿宋_GB2312"/>
                <w:szCs w:val="21"/>
              </w:rPr>
            </w:r>
          </w:p>
        </w:tc>
      </w:tr>
      <w:tr>
        <w:trPr>
          <w:trHeight w:val="1864"/>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1B31</w:t>
            </w:r>
            <w:r>
              <w:rPr>
                <w:rFonts w:eastAsia="仿宋_GB2312"/>
                <w:szCs w:val="21"/>
              </w:rPr>
            </w:r>
            <w:r>
              <w:rPr>
                <w:rFonts w:eastAsia="仿宋_GB2312"/>
                <w:szCs w:val="21"/>
              </w:rPr>
            </w:r>
          </w:p>
        </w:tc>
        <w:tc>
          <w:tcPr>
            <w:tcBorders/>
            <w:tcW w:w="1222"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锦华</w:t>
            </w: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Style w:val="703"/>
                <w:rFonts w:ascii="Times New Roman" w:hAnsi="Times New Roman" w:eastAsia="仿宋_GB2312" w:cs="Times New Roman"/>
                <w:color w:val="000000"/>
                <w:sz w:val="21"/>
                <w:szCs w:val="21"/>
                <w:lang w:bidi="ar"/>
              </w:rPr>
              <w:t xml:space="preserve">福斯特小区、遂州中路</w:t>
            </w:r>
            <w:r>
              <w:rPr>
                <w:rStyle w:val="702"/>
                <w:rFonts w:eastAsia="仿宋_GB2312"/>
                <w:sz w:val="21"/>
                <w:szCs w:val="21"/>
                <w:lang w:bidi="ar"/>
              </w:rPr>
              <w:t xml:space="preserve">725</w:t>
            </w:r>
            <w:r>
              <w:rPr>
                <w:rStyle w:val="703"/>
                <w:rFonts w:ascii="Times New Roman" w:hAnsi="Times New Roman" w:eastAsia="仿宋_GB2312" w:cs="Times New Roman"/>
                <w:color w:val="000000"/>
                <w:sz w:val="21"/>
                <w:szCs w:val="21"/>
                <w:lang w:bidi="ar"/>
              </w:rPr>
              <w:t xml:space="preserve">号啤酒厂宿舍、水电物资宿舍、国税局宿舍、地税局宿舍遂州中路</w:t>
            </w:r>
            <w:r>
              <w:rPr>
                <w:rStyle w:val="702"/>
                <w:rFonts w:eastAsia="仿宋_GB2312"/>
                <w:sz w:val="21"/>
                <w:szCs w:val="21"/>
                <w:lang w:bidi="ar"/>
              </w:rPr>
              <w:t xml:space="preserve">765</w:t>
            </w:r>
            <w:r>
              <w:rPr>
                <w:rStyle w:val="703"/>
                <w:rFonts w:ascii="Times New Roman" w:hAnsi="Times New Roman" w:eastAsia="仿宋_GB2312" w:cs="Times New Roman"/>
                <w:color w:val="000000"/>
                <w:sz w:val="21"/>
                <w:szCs w:val="21"/>
                <w:lang w:bidi="ar"/>
              </w:rPr>
              <w:t xml:space="preserve">号、交警支队宿舍、设计院小区、经纬小区、中国银行宿舍、蓬开办宿舍、扶贫办宿、邮电局小区</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120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30</w:t>
            </w:r>
            <w:r>
              <w:rPr>
                <w:rFonts w:eastAsia="仿宋_GB2312"/>
                <w:szCs w:val="21"/>
              </w:rPr>
            </w:r>
            <w:r>
              <w:rPr>
                <w:rFonts w:eastAsia="仿宋_GB2312"/>
                <w:szCs w:val="21"/>
              </w:rPr>
            </w:r>
          </w:p>
        </w:tc>
      </w:tr>
      <w:tr>
        <w:trPr>
          <w:trHeight w:val="451"/>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1B32</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自管小区及三无小区</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4806</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425</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283</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708</w:t>
            </w:r>
            <w:r>
              <w:rPr>
                <w:rFonts w:eastAsia="仿宋_GB2312"/>
                <w:szCs w:val="21"/>
              </w:rPr>
            </w:r>
            <w:r>
              <w:rPr>
                <w:rFonts w:eastAsia="仿宋_GB2312"/>
                <w:szCs w:val="21"/>
              </w:rPr>
            </w:r>
          </w:p>
        </w:tc>
      </w:tr>
      <w:tr>
        <w:trPr>
          <w:trHeight w:val="462"/>
        </w:trPr>
        <w:tc>
          <w:tcPr>
            <w:tcBorders/>
            <w:tcW w:w="78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1B33</w:t>
            </w:r>
            <w:r>
              <w:rPr>
                <w:rFonts w:eastAsia="仿宋_GB2312"/>
                <w:szCs w:val="21"/>
              </w:rPr>
            </w:r>
            <w:r>
              <w:rPr>
                <w:rFonts w:eastAsia="仿宋_GB2312"/>
                <w:szCs w:val="21"/>
              </w:rPr>
            </w:r>
          </w:p>
        </w:tc>
        <w:tc>
          <w:tcPr>
            <w:tcBorders/>
            <w:tcW w:w="122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cW w:w="35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商住小区</w:t>
            </w:r>
            <w:r>
              <w:rPr>
                <w:rFonts w:eastAsia="仿宋_GB2312"/>
                <w:szCs w:val="21"/>
              </w:rPr>
            </w:r>
            <w:r>
              <w:rPr>
                <w:rFonts w:eastAsia="仿宋_GB2312"/>
                <w:szCs w:val="21"/>
              </w:rPr>
            </w:r>
          </w:p>
        </w:tc>
        <w:tc>
          <w:tcPr>
            <w:tcBorders/>
            <w:tcW w:w="87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1000</w:t>
            </w:r>
            <w:r>
              <w:rPr>
                <w:rFonts w:eastAsia="仿宋_GB2312"/>
                <w:szCs w:val="21"/>
              </w:rPr>
            </w:r>
            <w:r>
              <w:rPr>
                <w:rFonts w:eastAsia="仿宋_GB2312"/>
                <w:szCs w:val="21"/>
              </w:rPr>
            </w:r>
          </w:p>
        </w:tc>
        <w:tc>
          <w:tcPr>
            <w:tcBorders/>
            <w:tcW w:w="10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150</w:t>
            </w:r>
            <w:r>
              <w:rPr>
                <w:rFonts w:eastAsia="仿宋_GB2312"/>
                <w:szCs w:val="21"/>
              </w:rPr>
            </w:r>
            <w:r>
              <w:rPr>
                <w:rFonts w:eastAsia="仿宋_GB2312"/>
                <w:szCs w:val="21"/>
              </w:rPr>
            </w:r>
          </w:p>
        </w:tc>
        <w:tc>
          <w:tcPr>
            <w:tcBorders/>
            <w:tcW w:w="80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100</w:t>
            </w:r>
            <w:r>
              <w:rPr>
                <w:rFonts w:eastAsia="仿宋_GB2312"/>
                <w:szCs w:val="21"/>
              </w:rPr>
            </w:r>
            <w:r>
              <w:rPr>
                <w:rFonts w:eastAsia="仿宋_GB2312"/>
                <w:szCs w:val="21"/>
              </w:rPr>
            </w:r>
          </w:p>
        </w:tc>
        <w:tc>
          <w:tcPr>
            <w:tcBorders/>
            <w:tcW w:w="60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250</w:t>
            </w:r>
            <w:r>
              <w:rPr>
                <w:rFonts w:eastAsia="仿宋_GB2312"/>
                <w:szCs w:val="21"/>
              </w:rPr>
            </w:r>
            <w:r>
              <w:rPr>
                <w:rFonts w:eastAsia="仿宋_GB2312"/>
                <w:szCs w:val="21"/>
              </w:rPr>
            </w:r>
          </w:p>
        </w:tc>
      </w:tr>
    </w:tbl>
    <w:p>
      <w:pPr>
        <w:pStyle w:val="684"/>
        <w:pBdr/>
        <w:spacing w:line="540" w:lineRule="exact"/>
        <w:ind w:firstLine="640" w:left="105"/>
        <w:rPr>
          <w:rFonts w:eastAsia="仿宋_GB2312"/>
          <w:sz w:val="32"/>
          <w:szCs w:val="32"/>
        </w:rPr>
      </w:pPr>
      <w:r>
        <w:rPr>
          <w:rFonts w:eastAsia="仿宋_GB2312"/>
          <w:sz w:val="32"/>
          <w:szCs w:val="32"/>
        </w:rPr>
        <w:t xml:space="preserve">（三）景区</w:t>
      </w:r>
      <w:r>
        <w:rPr>
          <w:rFonts w:eastAsia="仿宋_GB2312"/>
          <w:sz w:val="32"/>
          <w:szCs w:val="32"/>
        </w:rPr>
      </w:r>
      <w:r>
        <w:rPr>
          <w:rFonts w:eastAsia="仿宋_GB2312"/>
          <w:sz w:val="32"/>
          <w:szCs w:val="32"/>
        </w:rPr>
      </w:r>
    </w:p>
    <w:p>
      <w:pPr>
        <w:pStyle w:val="684"/>
        <w:pBdr/>
        <w:spacing w:line="540" w:lineRule="exact"/>
        <w:ind w:firstLine="640" w:left="105"/>
        <w:rPr>
          <w:rFonts w:eastAsia="仿宋_GB2312"/>
          <w:sz w:val="32"/>
          <w:szCs w:val="32"/>
        </w:rPr>
      </w:pPr>
      <w:r>
        <w:rPr>
          <w:rFonts w:eastAsia="仿宋_GB2312"/>
          <w:sz w:val="32"/>
          <w:szCs w:val="32"/>
        </w:rPr>
        <w:t xml:space="preserve">结合旅游景区、郊野公园等配套停车场，设置不少于停车位10%的充电设施。规划充电停车位319个，包含龙凤古镇、现代农业园共二个景区。</w:t>
      </w:r>
      <w:r>
        <w:rPr>
          <w:rFonts w:eastAsia="仿宋_GB2312"/>
          <w:sz w:val="32"/>
          <w:szCs w:val="32"/>
        </w:rPr>
      </w:r>
      <w:r>
        <w:rPr>
          <w:rFonts w:eastAsia="仿宋_GB2312"/>
          <w:sz w:val="32"/>
          <w:szCs w:val="32"/>
        </w:rPr>
      </w:r>
    </w:p>
    <w:p>
      <w:pPr>
        <w:pStyle w:val="684"/>
        <w:pBdr/>
        <w:spacing w:before="207"/>
        <w:ind w:right="17" w:hanging="37" w:left="37"/>
        <w:jc w:val="center"/>
        <w:rPr>
          <w:rFonts w:eastAsia="黑体"/>
          <w:spacing w:val="-9"/>
          <w:sz w:val="28"/>
          <w:szCs w:val="28"/>
        </w:rPr>
      </w:pPr>
      <w:r>
        <w:rPr>
          <w:rFonts w:eastAsia="黑体"/>
          <w:spacing w:val="-9"/>
          <w:sz w:val="28"/>
          <w:szCs w:val="28"/>
        </w:rPr>
        <w:t xml:space="preserve">电动汽车充电设施明细表</w:t>
      </w:r>
      <w:r>
        <w:rPr>
          <w:rFonts w:eastAsia="黑体"/>
          <w:spacing w:val="-9"/>
          <w:sz w:val="28"/>
          <w:szCs w:val="28"/>
        </w:rPr>
      </w:r>
      <w:r>
        <w:rPr>
          <w:rFonts w:eastAsia="黑体"/>
          <w:spacing w:val="-9"/>
          <w:sz w:val="28"/>
          <w:szCs w:val="28"/>
        </w:rPr>
      </w:r>
    </w:p>
    <w:tbl>
      <w:tblPr>
        <w:tblW w:w="8863" w:type="dxa"/>
        <w:tblInd w:w="-15" w:type="dxa"/>
        <w:tblBorders/>
        <w:tblLayout w:type="autofit"/>
        <w:tblCellMar>
          <w:left w:w="108" w:type="dxa"/>
          <w:top w:w="0" w:type="dxa"/>
          <w:right w:w="108" w:type="dxa"/>
          <w:bottom w:w="0" w:type="dxa"/>
        </w:tblCellMar>
        <w:tblLook w:val="04A0" w:firstRow="1" w:lastRow="0" w:firstColumn="1" w:lastColumn="0" w:noHBand="0" w:noVBand="1"/>
      </w:tblPr>
      <w:tblGrid>
        <w:gridCol w:w="951"/>
        <w:gridCol w:w="1951"/>
        <w:gridCol w:w="2705"/>
        <w:gridCol w:w="1092"/>
        <w:gridCol w:w="1101"/>
        <w:gridCol w:w="1063"/>
      </w:tblGrid>
      <w:tr>
        <w:trPr>
          <w:trHeight w:val="373"/>
        </w:trPr>
        <w:tc>
          <w:tcPr>
            <w:gridSpan w:val="2"/>
            <w:tcBorders>
              <w:top w:val="single" w:color="000000" w:sz="4" w:space="0"/>
              <w:left w:val="single" w:color="000000" w:sz="4" w:space="0"/>
              <w:bottom w:val="single" w:color="000000" w:sz="4" w:space="0"/>
              <w:right w:val="single" w:color="000000" w:sz="4" w:space="0"/>
            </w:tcBorders>
            <w:tcW w:w="2902" w:type="dxa"/>
            <w:vAlign w:val="center"/>
            <w:vMerge w:val="restart"/>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所属区域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705" w:type="dxa"/>
            <w:vAlign w:val="center"/>
            <w:vMerge w:val="restart"/>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辖区单位名称</w:t>
            </w:r>
            <w:r>
              <w:rPr>
                <w:rFonts w:eastAsia="仿宋_GB2312"/>
                <w:szCs w:val="21"/>
              </w:rPr>
            </w:r>
            <w:r>
              <w:rPr>
                <w:rFonts w:eastAsia="仿宋_GB2312"/>
                <w:szCs w:val="21"/>
              </w:rPr>
            </w:r>
          </w:p>
        </w:tc>
        <w:tc>
          <w:tcPr>
            <w:gridSpan w:val="2"/>
            <w:tcBorders>
              <w:top w:val="single" w:color="000000" w:sz="4" w:space="0"/>
              <w:left w:val="single" w:color="000000" w:sz="4" w:space="0"/>
              <w:bottom w:val="single" w:color="000000" w:sz="4" w:space="0"/>
              <w:right w:val="single" w:color="000000" w:sz="4" w:space="0"/>
            </w:tcBorders>
            <w:tcW w:w="219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充电桩配置个数</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3" w:type="dxa"/>
            <w:vAlign w:val="center"/>
            <w:vMerge w:val="restart"/>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合计</w:t>
            </w:r>
            <w:r>
              <w:rPr>
                <w:rFonts w:eastAsia="仿宋_GB2312"/>
                <w:szCs w:val="21"/>
              </w:rPr>
            </w:r>
            <w:r>
              <w:rPr>
                <w:rFonts w:eastAsia="仿宋_GB2312"/>
                <w:szCs w:val="21"/>
              </w:rPr>
            </w:r>
          </w:p>
        </w:tc>
      </w:tr>
      <w:tr>
        <w:trPr>
          <w:trHeight w:val="421"/>
        </w:trPr>
        <w:tc>
          <w:tcPr>
            <w:gridSpan w:val="2"/>
            <w:tcBorders>
              <w:top w:val="single" w:color="000000" w:sz="4" w:space="0"/>
              <w:left w:val="single" w:color="000000" w:sz="4" w:space="0"/>
              <w:bottom w:val="single" w:color="000000" w:sz="4" w:space="0"/>
              <w:right w:val="single" w:color="000000" w:sz="4" w:space="0"/>
            </w:tcBorders>
            <w:tcW w:w="2902"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705"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92"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7KW</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101"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120KW</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063"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r>
      <w:tr>
        <w:trPr>
          <w:trHeight w:val="421"/>
        </w:trPr>
        <w:tc>
          <w:tcPr>
            <w:tcBorders>
              <w:top w:val="single" w:color="000000" w:sz="4" w:space="0"/>
              <w:left w:val="single" w:color="000000" w:sz="4" w:space="0"/>
              <w:bottom w:val="single" w:color="000000" w:sz="4" w:space="0"/>
              <w:right w:val="single" w:color="000000" w:sz="4" w:space="0"/>
            </w:tcBorders>
            <w:tcW w:w="951" w:type="dxa"/>
            <w:vAlign w:val="center"/>
            <w:vMerge w:val="restart"/>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景区（</w:t>
            </w:r>
            <w:r>
              <w:rPr>
                <w:rStyle w:val="704"/>
                <w:rFonts w:eastAsia="仿宋_GB2312"/>
                <w:color w:val="000000"/>
                <w:sz w:val="21"/>
                <w:szCs w:val="21"/>
                <w:lang w:bidi="ar"/>
              </w:rPr>
              <w:t xml:space="preserve">319 </w:t>
            </w:r>
            <w:r>
              <w:rPr>
                <w:rFonts w:eastAsia="仿宋_GB2312"/>
                <w:szCs w:val="21"/>
                <w:lang w:bidi="ar"/>
              </w:rPr>
              <w:t xml:space="preserve">个）</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951" w:type="dxa"/>
            <w:vAlign w:val="center"/>
            <w:vMerge w:val="restart"/>
            <w:textDirection w:val="lrTb"/>
            <w:noWrap w:val="false"/>
          </w:tcPr>
          <w:p>
            <w:pPr>
              <w:pStyle w:val="684"/>
              <w:pBdr/>
              <w:spacing w:line="240" w:lineRule="exact"/>
              <w:ind/>
              <w:rPr>
                <w:rFonts w:eastAsia="仿宋_GB2312"/>
                <w:szCs w:val="21"/>
              </w:rPr>
            </w:pPr>
            <w:r>
              <w:rPr>
                <w:rFonts w:eastAsia="仿宋_GB2312"/>
                <w:szCs w:val="21"/>
                <w:lang w:bidi="ar"/>
              </w:rPr>
              <w:t xml:space="preserve">龙凤古镇景区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70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半岛生态停车场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92"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31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1"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21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3"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52</w:t>
            </w:r>
            <w:r>
              <w:rPr>
                <w:rFonts w:eastAsia="仿宋_GB2312"/>
                <w:szCs w:val="21"/>
              </w:rPr>
            </w:r>
            <w:r>
              <w:rPr>
                <w:rFonts w:eastAsia="仿宋_GB2312"/>
                <w:szCs w:val="21"/>
              </w:rPr>
            </w:r>
          </w:p>
        </w:tc>
      </w:tr>
      <w:tr>
        <w:trPr>
          <w:trHeight w:val="421"/>
        </w:trPr>
        <w:tc>
          <w:tcPr>
            <w:tcBorders>
              <w:top w:val="single" w:color="000000" w:sz="4" w:space="0"/>
              <w:left w:val="single" w:color="000000" w:sz="4" w:space="0"/>
              <w:bottom w:val="single" w:color="000000" w:sz="4" w:space="0"/>
              <w:right w:val="single" w:color="000000" w:sz="4" w:space="0"/>
            </w:tcBorders>
            <w:tcW w:w="951"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951"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70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半岛河堤停车场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92"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17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1"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11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3"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28</w:t>
            </w:r>
            <w:r>
              <w:rPr>
                <w:rFonts w:eastAsia="仿宋_GB2312"/>
                <w:szCs w:val="21"/>
              </w:rPr>
            </w:r>
            <w:r>
              <w:rPr>
                <w:rFonts w:eastAsia="仿宋_GB2312"/>
                <w:szCs w:val="21"/>
              </w:rPr>
            </w:r>
          </w:p>
        </w:tc>
      </w:tr>
      <w:tr>
        <w:trPr>
          <w:trHeight w:val="472"/>
        </w:trPr>
        <w:tc>
          <w:tcPr>
            <w:tcBorders>
              <w:top w:val="single" w:color="000000" w:sz="4" w:space="0"/>
              <w:left w:val="single" w:color="000000" w:sz="4" w:space="0"/>
              <w:bottom w:val="single" w:color="000000" w:sz="4" w:space="0"/>
              <w:right w:val="single" w:color="000000" w:sz="4" w:space="0"/>
            </w:tcBorders>
            <w:tcW w:w="951"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951"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70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龙凤古镇大门停车场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92"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24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1"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15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3"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39</w:t>
            </w:r>
            <w:r>
              <w:rPr>
                <w:rFonts w:eastAsia="仿宋_GB2312"/>
                <w:szCs w:val="21"/>
              </w:rPr>
            </w:r>
            <w:r>
              <w:rPr>
                <w:rFonts w:eastAsia="仿宋_GB2312"/>
                <w:szCs w:val="21"/>
              </w:rPr>
            </w:r>
          </w:p>
        </w:tc>
      </w:tr>
      <w:tr>
        <w:trPr>
          <w:trHeight w:val="537"/>
        </w:trPr>
        <w:tc>
          <w:tcPr>
            <w:tcBorders>
              <w:top w:val="single" w:color="000000" w:sz="4" w:space="0"/>
              <w:left w:val="single" w:color="000000" w:sz="4" w:space="0"/>
              <w:bottom w:val="single" w:color="000000" w:sz="4" w:space="0"/>
              <w:right w:val="single" w:color="000000" w:sz="4" w:space="0"/>
            </w:tcBorders>
            <w:tcW w:w="951"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951"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现代农业园</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70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现代农业园停车场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92"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120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1"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80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3"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200</w:t>
            </w:r>
            <w:r>
              <w:rPr>
                <w:rFonts w:eastAsia="仿宋_GB2312"/>
                <w:szCs w:val="21"/>
              </w:rPr>
            </w:r>
            <w:r>
              <w:rPr>
                <w:rFonts w:eastAsia="仿宋_GB2312"/>
                <w:szCs w:val="21"/>
              </w:rPr>
            </w:r>
          </w:p>
        </w:tc>
      </w:tr>
    </w:tbl>
    <w:p>
      <w:pPr>
        <w:pStyle w:val="684"/>
        <w:pBdr/>
        <w:spacing w:line="600" w:lineRule="exact"/>
        <w:ind w:firstLine="640" w:left="105"/>
        <w:rPr>
          <w:rFonts w:eastAsia="仿宋_GB2312"/>
          <w:sz w:val="32"/>
          <w:szCs w:val="32"/>
        </w:rPr>
      </w:pPr>
      <w:r>
        <w:rPr>
          <w:rFonts w:eastAsia="仿宋_GB2312"/>
          <w:sz w:val="32"/>
          <w:szCs w:val="32"/>
        </w:rPr>
        <w:t xml:space="preserve">（四）其他区域</w:t>
      </w:r>
      <w:r>
        <w:rPr>
          <w:rFonts w:eastAsia="仿宋_GB2312"/>
          <w:sz w:val="32"/>
          <w:szCs w:val="32"/>
        </w:rPr>
      </w:r>
      <w:r>
        <w:rPr>
          <w:rFonts w:eastAsia="仿宋_GB2312"/>
          <w:sz w:val="32"/>
          <w:szCs w:val="32"/>
        </w:rPr>
      </w:r>
    </w:p>
    <w:p>
      <w:pPr>
        <w:pStyle w:val="684"/>
        <w:pBdr/>
        <w:spacing w:line="600" w:lineRule="exact"/>
        <w:ind w:firstLine="640" w:left="105"/>
        <w:rPr>
          <w:rFonts w:eastAsia="仿宋_GB2312"/>
          <w:sz w:val="32"/>
          <w:szCs w:val="32"/>
        </w:rPr>
      </w:pPr>
      <w:r>
        <w:rPr>
          <w:rFonts w:eastAsia="仿宋_GB2312"/>
          <w:sz w:val="32"/>
          <w:szCs w:val="32"/>
        </w:rPr>
        <w:t xml:space="preserve">规划充电停车位1885个，包含船山区机关企事业单位、船山园区共二个区域。</w:t>
      </w:r>
      <w:r>
        <w:rPr>
          <w:rFonts w:eastAsia="仿宋_GB2312"/>
          <w:sz w:val="32"/>
          <w:szCs w:val="32"/>
        </w:rPr>
      </w:r>
      <w:r>
        <w:rPr>
          <w:rFonts w:eastAsia="仿宋_GB2312"/>
          <w:sz w:val="32"/>
          <w:szCs w:val="32"/>
        </w:rPr>
      </w:r>
    </w:p>
    <w:p>
      <w:pPr>
        <w:pStyle w:val="684"/>
        <w:pBdr/>
        <w:spacing w:before="78"/>
        <w:ind/>
        <w:jc w:val="center"/>
        <w:rPr>
          <w:rFonts w:eastAsia="黑体"/>
          <w:sz w:val="28"/>
          <w:szCs w:val="28"/>
        </w:rPr>
      </w:pPr>
      <w:r>
        <w:rPr>
          <w:rFonts w:eastAsia="黑体"/>
          <w:spacing w:val="-9"/>
          <w:sz w:val="28"/>
          <w:szCs w:val="28"/>
        </w:rPr>
        <w:t xml:space="preserve">电动汽车充电设施明细表</w:t>
      </w:r>
      <w:r>
        <w:rPr>
          <w:rFonts w:eastAsia="黑体"/>
          <w:sz w:val="28"/>
          <w:szCs w:val="28"/>
        </w:rPr>
      </w:r>
      <w:r>
        <w:rPr>
          <w:rFonts w:eastAsia="黑体"/>
          <w:sz w:val="28"/>
          <w:szCs w:val="28"/>
        </w:rPr>
      </w:r>
    </w:p>
    <w:tbl>
      <w:tblPr>
        <w:tblW w:w="8854" w:type="dxa"/>
        <w:tblInd w:w="-15" w:type="dxa"/>
        <w:tblBorders/>
        <w:tblLayout w:type="autofit"/>
        <w:tblCellMar>
          <w:left w:w="108" w:type="dxa"/>
          <w:top w:w="0" w:type="dxa"/>
          <w:right w:w="108" w:type="dxa"/>
          <w:bottom w:w="0" w:type="dxa"/>
        </w:tblCellMar>
        <w:tblLook w:val="04A0" w:firstRow="1" w:lastRow="0" w:firstColumn="1" w:lastColumn="0" w:noHBand="0" w:noVBand="1"/>
      </w:tblPr>
      <w:tblGrid>
        <w:gridCol w:w="976"/>
        <w:gridCol w:w="1071"/>
        <w:gridCol w:w="3800"/>
        <w:gridCol w:w="1107"/>
        <w:gridCol w:w="1126"/>
        <w:gridCol w:w="774"/>
      </w:tblGrid>
      <w:tr>
        <w:trPr>
          <w:trHeight w:val="569"/>
        </w:trPr>
        <w:tc>
          <w:tcPr>
            <w:gridSpan w:val="2"/>
            <w:tcBorders>
              <w:top w:val="single" w:color="000000" w:sz="4" w:space="0"/>
              <w:left w:val="single" w:color="000000" w:sz="4" w:space="0"/>
              <w:bottom w:val="single" w:color="000000" w:sz="4" w:space="0"/>
              <w:right w:val="single" w:color="000000" w:sz="4" w:space="0"/>
            </w:tcBorders>
            <w:tcW w:w="2047"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所属区域</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3800"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辖区单位名称</w:t>
            </w:r>
            <w:r>
              <w:rPr>
                <w:rFonts w:eastAsia="仿宋_GB2312"/>
                <w:b/>
                <w:szCs w:val="21"/>
              </w:rPr>
            </w:r>
            <w:r>
              <w:rPr>
                <w:rFonts w:eastAsia="仿宋_GB2312"/>
                <w:b/>
                <w:szCs w:val="21"/>
              </w:rPr>
            </w:r>
          </w:p>
        </w:tc>
        <w:tc>
          <w:tcPr>
            <w:gridSpan w:val="2"/>
            <w:tcBorders>
              <w:top w:val="single" w:color="000000" w:sz="4" w:space="0"/>
              <w:left w:val="single" w:color="000000" w:sz="4" w:space="0"/>
              <w:bottom w:val="single" w:color="000000" w:sz="4" w:space="0"/>
              <w:right w:val="single" w:color="000000" w:sz="4" w:space="0"/>
            </w:tcBorders>
            <w:tcW w:w="2233" w:type="dxa"/>
            <w:vAlign w:val="center"/>
            <w:textDirection w:val="lrTb"/>
            <w:noWrap w:val="false"/>
          </w:tcPr>
          <w:p>
            <w:pPr>
              <w:pStyle w:val="684"/>
              <w:pBdr/>
              <w:spacing/>
              <w:ind/>
              <w:jc w:val="center"/>
              <w:rPr>
                <w:rFonts w:eastAsia="仿宋_GB2312"/>
                <w:b/>
                <w:szCs w:val="21"/>
              </w:rPr>
            </w:pPr>
            <w:r>
              <w:rPr>
                <w:rFonts w:eastAsia="仿宋_GB2312"/>
                <w:b/>
                <w:szCs w:val="21"/>
                <w:lang w:bidi="ar"/>
              </w:rPr>
              <w:t xml:space="preserve">充电桩配置个数</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774"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合计</w:t>
            </w:r>
            <w:r>
              <w:rPr>
                <w:rFonts w:eastAsia="仿宋_GB2312"/>
                <w:b/>
                <w:szCs w:val="21"/>
              </w:rPr>
            </w:r>
            <w:r>
              <w:rPr>
                <w:rFonts w:eastAsia="仿宋_GB2312"/>
                <w:b/>
                <w:szCs w:val="21"/>
              </w:rPr>
            </w:r>
          </w:p>
        </w:tc>
      </w:tr>
      <w:tr>
        <w:trPr>
          <w:trHeight w:val="393"/>
        </w:trPr>
        <w:tc>
          <w:tcPr>
            <w:gridSpan w:val="2"/>
            <w:tcBorders>
              <w:top w:val="single" w:color="000000" w:sz="4" w:space="0"/>
              <w:left w:val="single" w:color="000000" w:sz="4" w:space="0"/>
              <w:bottom w:val="single" w:color="000000" w:sz="4" w:space="0"/>
              <w:right w:val="single" w:color="000000" w:sz="4" w:space="0"/>
            </w:tcBorders>
            <w:tcW w:w="2047"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b/>
                <w:bCs/>
                <w:szCs w:val="21"/>
              </w:rPr>
            </w:pPr>
            <w:r>
              <w:rPr>
                <w:rFonts w:eastAsia="仿宋_GB2312"/>
                <w:b/>
                <w:bCs/>
                <w:szCs w:val="21"/>
                <w:lang w:bidi="ar"/>
              </w:rPr>
              <w:t xml:space="preserve">7KW</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b/>
                <w:bCs/>
                <w:szCs w:val="21"/>
              </w:rPr>
            </w:pPr>
            <w:r>
              <w:rPr>
                <w:rFonts w:eastAsia="仿宋_GB2312"/>
                <w:b/>
                <w:bCs/>
                <w:szCs w:val="21"/>
                <w:lang w:bidi="ar"/>
              </w:rPr>
              <w:t xml:space="preserve">120KW</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74"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其他领域（475个）</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restart"/>
            <w:textDirection w:val="lrTb"/>
            <w:noWrap w:val="false"/>
          </w:tcPr>
          <w:p>
            <w:pPr>
              <w:pStyle w:val="684"/>
              <w:pBdr/>
              <w:spacing/>
              <w:ind/>
              <w:rPr>
                <w:rFonts w:eastAsia="仿宋_GB2312"/>
                <w:szCs w:val="21"/>
              </w:rPr>
            </w:pPr>
            <w:r>
              <w:rPr>
                <w:rFonts w:eastAsia="仿宋_GB2312"/>
                <w:szCs w:val="21"/>
                <w:lang w:bidi="ar"/>
              </w:rPr>
              <w:t xml:space="preserve">船山区机关企事业单位</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船山区政府集中办公区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70</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船山区政府第二办公区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和平路纪委办公区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燕山街人社大楼</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卫健大楼</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11</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船山区公安局（小北街）</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船山区公安局（物流港）</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restart"/>
            <w:textDirection w:val="lrTb"/>
            <w:noWrap w:val="false"/>
          </w:tcPr>
          <w:p>
            <w:pPr>
              <w:pStyle w:val="684"/>
              <w:pBdr/>
              <w:spacing/>
              <w:ind/>
              <w:rPr>
                <w:rFonts w:eastAsia="仿宋_GB2312"/>
                <w:szCs w:val="21"/>
              </w:rPr>
            </w:pPr>
            <w:r>
              <w:rPr>
                <w:rFonts w:eastAsia="仿宋_GB2312"/>
                <w:szCs w:val="21"/>
                <w:lang w:bidi="ar"/>
              </w:rPr>
              <w:t xml:space="preserve">船山园区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标准厂房一期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28</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标准厂房二期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龙凤呈祥 A 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75</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龙凤呈祥 B 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64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106</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古镇二期安置房</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9</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22</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中医院龙凤园区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32</w:t>
            </w:r>
            <w:r>
              <w:rPr>
                <w:rFonts w:eastAsia="仿宋_GB2312"/>
                <w:szCs w:val="21"/>
              </w:rPr>
            </w:r>
            <w:r>
              <w:rPr>
                <w:rFonts w:eastAsia="仿宋_GB2312"/>
                <w:szCs w:val="21"/>
              </w:rPr>
            </w:r>
          </w:p>
        </w:tc>
      </w:tr>
      <w:tr>
        <w:trPr>
          <w:trHeight w:val="393"/>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全民健身中心</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w:t>
            </w:r>
            <w:r>
              <w:rPr>
                <w:rFonts w:eastAsia="仿宋_GB2312"/>
                <w:szCs w:val="21"/>
              </w:rPr>
            </w:r>
            <w:r>
              <w:rPr>
                <w:rFonts w:eastAsia="仿宋_GB2312"/>
                <w:szCs w:val="21"/>
              </w:rPr>
            </w:r>
          </w:p>
        </w:tc>
      </w:tr>
      <w:tr>
        <w:trPr>
          <w:trHeight w:val="431"/>
        </w:trPr>
        <w:tc>
          <w:tcPr>
            <w:tcBorders>
              <w:top w:val="single" w:color="000000" w:sz="4" w:space="0"/>
              <w:left w:val="single" w:color="000000" w:sz="4" w:space="0"/>
              <w:bottom w:val="single" w:color="000000" w:sz="4" w:space="0"/>
              <w:right w:val="single" w:color="000000" w:sz="4" w:space="0"/>
            </w:tcBorders>
            <w:tcW w:w="976"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1"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800" w:type="dxa"/>
            <w:vAlign w:val="center"/>
            <w:textDirection w:val="lrTb"/>
            <w:noWrap w:val="false"/>
          </w:tcPr>
          <w:p>
            <w:pPr>
              <w:pStyle w:val="684"/>
              <w:pBdr/>
              <w:spacing/>
              <w:ind/>
              <w:rPr>
                <w:rFonts w:eastAsia="仿宋_GB2312"/>
                <w:szCs w:val="21"/>
              </w:rPr>
            </w:pPr>
            <w:r>
              <w:rPr>
                <w:rFonts w:eastAsia="仿宋_GB2312"/>
                <w:szCs w:val="21"/>
                <w:lang w:bidi="ar"/>
              </w:rPr>
              <w:t xml:space="preserve">船山园区管委会停车场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07"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26"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18</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7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45</w:t>
            </w:r>
            <w:r>
              <w:rPr>
                <w:rFonts w:eastAsia="仿宋_GB2312"/>
                <w:szCs w:val="21"/>
              </w:rPr>
            </w:r>
            <w:r>
              <w:rPr>
                <w:rFonts w:eastAsia="仿宋_GB2312"/>
                <w:szCs w:val="21"/>
              </w:rPr>
            </w:r>
          </w:p>
        </w:tc>
      </w:tr>
    </w:tbl>
    <w:p>
      <w:pPr>
        <w:pStyle w:val="684"/>
        <w:pBdr/>
        <w:spacing w:line="600" w:lineRule="exact"/>
        <w:ind w:firstLine="676"/>
        <w:rPr>
          <w:rFonts w:eastAsia="仿宋_GB2312"/>
          <w:spacing w:val="9"/>
          <w:sz w:val="32"/>
          <w:szCs w:val="32"/>
        </w:rPr>
      </w:pPr>
      <w:r>
        <w:rPr>
          <w:rFonts w:eastAsia="仿宋_GB2312"/>
          <w:spacing w:val="9"/>
          <w:sz w:val="32"/>
          <w:szCs w:val="32"/>
        </w:rPr>
        <w:t xml:space="preserve">（五）换电站</w:t>
      </w:r>
      <w:r>
        <w:rPr>
          <w:rFonts w:eastAsia="仿宋_GB2312"/>
          <w:spacing w:val="9"/>
          <w:sz w:val="32"/>
          <w:szCs w:val="32"/>
        </w:rPr>
      </w:r>
      <w:r>
        <w:rPr>
          <w:rFonts w:eastAsia="仿宋_GB2312"/>
          <w:spacing w:val="9"/>
          <w:sz w:val="32"/>
          <w:szCs w:val="32"/>
        </w:rPr>
      </w:r>
    </w:p>
    <w:p>
      <w:pPr>
        <w:pStyle w:val="684"/>
        <w:pBdr/>
        <w:spacing w:line="600" w:lineRule="exact"/>
        <w:ind w:firstLine="676"/>
        <w:rPr>
          <w:rFonts w:eastAsia="仿宋_GB2312"/>
          <w:spacing w:val="9"/>
          <w:sz w:val="32"/>
          <w:szCs w:val="32"/>
        </w:rPr>
      </w:pPr>
      <w:r>
        <w:rPr>
          <w:rFonts w:eastAsia="仿宋_GB2312"/>
          <w:spacing w:val="9"/>
          <w:sz w:val="32"/>
          <w:szCs w:val="32"/>
        </w:rPr>
        <w:t xml:space="preserve">本期规划换电站1座</w:t>
      </w:r>
      <w:r>
        <w:rPr>
          <w:rFonts w:eastAsia="仿宋_GB2312"/>
          <w:spacing w:val="-9"/>
          <w:sz w:val="32"/>
          <w:szCs w:val="32"/>
        </w:rPr>
        <w:t xml:space="preserve">。</w:t>
      </w:r>
      <w:r>
        <w:rPr>
          <w:rFonts w:eastAsia="仿宋_GB2312"/>
          <w:spacing w:val="9"/>
          <w:sz w:val="32"/>
          <w:szCs w:val="32"/>
        </w:rPr>
      </w:r>
      <w:r>
        <w:rPr>
          <w:rFonts w:eastAsia="仿宋_GB2312"/>
          <w:spacing w:val="9"/>
          <w:sz w:val="32"/>
          <w:szCs w:val="32"/>
        </w:rPr>
      </w:r>
    </w:p>
    <w:p>
      <w:pPr>
        <w:pStyle w:val="684"/>
        <w:widowControl w:val="true"/>
        <w:pBdr/>
        <w:spacing w:line="600" w:lineRule="exact"/>
        <w:ind w:firstLine="636" w:left="40"/>
        <w:jc w:val="left"/>
        <w:outlineLvl w:val="2"/>
        <w:rPr>
          <w:rFonts w:eastAsia="楷体_GB2312"/>
          <w:spacing w:val="-1"/>
          <w:sz w:val="32"/>
          <w:szCs w:val="32"/>
        </w:rPr>
      </w:pPr>
      <w:r/>
      <w:bookmarkStart w:id="1" w:name="_Toc20041"/>
      <w:r>
        <w:rPr>
          <w:rFonts w:eastAsia="楷体_GB2312"/>
          <w:spacing w:val="-1"/>
          <w:sz w:val="32"/>
          <w:szCs w:val="32"/>
        </w:rPr>
        <w:t xml:space="preserve">第</w:t>
      </w:r>
      <w:r>
        <w:rPr>
          <w:rFonts w:hint="eastAsia" w:eastAsia="楷体_GB2312"/>
          <w:spacing w:val="-1"/>
          <w:sz w:val="32"/>
          <w:szCs w:val="32"/>
        </w:rPr>
        <w:t xml:space="preserve">三</w:t>
      </w:r>
      <w:r>
        <w:rPr>
          <w:rFonts w:eastAsia="楷体_GB2312"/>
          <w:spacing w:val="-1"/>
          <w:sz w:val="32"/>
          <w:szCs w:val="32"/>
        </w:rPr>
        <w:t xml:space="preserve">条  远期目标（二期）</w:t>
      </w:r>
      <w:bookmarkEnd w:id="1"/>
      <w:r>
        <w:rPr>
          <w:rFonts w:eastAsia="楷体_GB2312"/>
          <w:spacing w:val="-1"/>
          <w:sz w:val="32"/>
          <w:szCs w:val="32"/>
        </w:rPr>
      </w:r>
      <w:r>
        <w:rPr>
          <w:rFonts w:eastAsia="楷体_GB2312"/>
          <w:spacing w:val="-1"/>
          <w:sz w:val="32"/>
          <w:szCs w:val="32"/>
        </w:rPr>
      </w:r>
    </w:p>
    <w:p>
      <w:pPr>
        <w:pStyle w:val="684"/>
        <w:pBdr/>
        <w:spacing w:line="600" w:lineRule="exact"/>
        <w:ind w:right="17" w:firstLine="480" w:left="37"/>
        <w:rPr>
          <w:rFonts w:eastAsia="仿宋_GB2312"/>
          <w:spacing w:val="-9"/>
          <w:sz w:val="32"/>
          <w:szCs w:val="32"/>
        </w:rPr>
      </w:pPr>
      <w:r>
        <w:rPr>
          <w:rFonts w:eastAsia="仿宋_GB2312"/>
          <w:spacing w:val="-9"/>
          <w:sz w:val="32"/>
          <w:szCs w:val="32"/>
        </w:rPr>
        <w:t xml:space="preserve">（一）中心城区</w:t>
      </w:r>
      <w:r>
        <w:rPr>
          <w:rFonts w:eastAsia="仿宋_GB2312"/>
          <w:spacing w:val="-9"/>
          <w:sz w:val="32"/>
          <w:szCs w:val="32"/>
        </w:rPr>
      </w:r>
      <w:r>
        <w:rPr>
          <w:rFonts w:eastAsia="仿宋_GB2312"/>
          <w:spacing w:val="-9"/>
          <w:sz w:val="32"/>
          <w:szCs w:val="32"/>
        </w:rPr>
      </w:r>
    </w:p>
    <w:p>
      <w:pPr>
        <w:pStyle w:val="684"/>
        <w:pBdr/>
        <w:spacing w:line="600" w:lineRule="exact"/>
        <w:ind w:right="17" w:firstLine="480" w:left="37"/>
        <w:rPr>
          <w:rFonts w:eastAsia="仿宋_GB2312"/>
          <w:spacing w:val="-9"/>
          <w:sz w:val="32"/>
          <w:szCs w:val="32"/>
        </w:rPr>
      </w:pPr>
      <w:r>
        <w:rPr>
          <w:rFonts w:eastAsia="仿宋_GB2312"/>
          <w:spacing w:val="-9"/>
          <w:sz w:val="32"/>
          <w:szCs w:val="32"/>
        </w:rPr>
        <w:t xml:space="preserve">远期目标（二期）中心城区智慧小区规划24个区域，共规划电动汽车充电停车位3152套，电动自行车充电桩9000套。</w:t>
      </w:r>
      <w:r>
        <w:rPr>
          <w:rFonts w:eastAsia="仿宋_GB2312"/>
          <w:spacing w:val="-9"/>
          <w:sz w:val="32"/>
          <w:szCs w:val="32"/>
        </w:rPr>
      </w:r>
      <w:r>
        <w:rPr>
          <w:rFonts w:eastAsia="仿宋_GB2312"/>
          <w:spacing w:val="-9"/>
          <w:sz w:val="32"/>
          <w:szCs w:val="32"/>
        </w:rPr>
      </w:r>
    </w:p>
    <w:p>
      <w:pPr>
        <w:pStyle w:val="684"/>
        <w:pBdr/>
        <w:spacing w:before="207" w:line="374" w:lineRule="auto"/>
        <w:ind w:right="17" w:firstLine="480" w:left="37"/>
        <w:jc w:val="center"/>
        <w:rPr>
          <w:rFonts w:eastAsia="黑体"/>
          <w:spacing w:val="-9"/>
          <w:sz w:val="28"/>
          <w:szCs w:val="28"/>
        </w:rPr>
      </w:pPr>
      <w:r/>
      <w:bookmarkStart w:id="2" w:name="_Toc25802"/>
      <w:r/>
      <w:bookmarkStart w:id="3" w:name="_Toc5946"/>
      <w:r>
        <w:rPr>
          <w:rFonts w:eastAsia="黑体"/>
          <w:spacing w:val="-9"/>
          <w:sz w:val="28"/>
          <w:szCs w:val="28"/>
        </w:rPr>
        <w:t xml:space="preserve">电动汽车充电设施明细表</w:t>
      </w:r>
      <w:bookmarkEnd w:id="2"/>
      <w:r/>
      <w:bookmarkEnd w:id="3"/>
      <w:r>
        <w:rPr>
          <w:rFonts w:eastAsia="黑体"/>
          <w:spacing w:val="-9"/>
          <w:sz w:val="28"/>
          <w:szCs w:val="28"/>
        </w:rPr>
      </w:r>
      <w:r>
        <w:rPr>
          <w:rFonts w:eastAsia="黑体"/>
          <w:spacing w:val="-9"/>
          <w:sz w:val="28"/>
          <w:szCs w:val="28"/>
        </w:rPr>
      </w:r>
    </w:p>
    <w:tbl>
      <w:tblPr>
        <w:tblW w:w="4942" w:type="pct"/>
        <w:tblInd w:w="-108" w:type="dxa"/>
        <w:tblBorders/>
        <w:tblLayout w:type="fixed"/>
        <w:tblCellMar>
          <w:left w:w="108" w:type="dxa"/>
          <w:top w:w="0" w:type="dxa"/>
          <w:right w:w="108" w:type="dxa"/>
          <w:bottom w:w="0" w:type="dxa"/>
        </w:tblCellMar>
        <w:tblLook w:val="04A0" w:firstRow="1" w:lastRow="0" w:firstColumn="1" w:lastColumn="0" w:noHBand="0" w:noVBand="1"/>
      </w:tblPr>
      <w:tblGrid>
        <w:gridCol w:w="787"/>
        <w:gridCol w:w="1019"/>
        <w:gridCol w:w="4223"/>
        <w:gridCol w:w="720"/>
        <w:gridCol w:w="818"/>
        <w:gridCol w:w="806"/>
        <w:gridCol w:w="582"/>
      </w:tblGrid>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vMerge w:val="restart"/>
            <w:textDirection w:val="lrTb"/>
            <w:noWrap w:val="false"/>
          </w:tcPr>
          <w:p>
            <w:pPr>
              <w:pStyle w:val="684"/>
              <w:pBdr/>
              <w:spacing w:line="200" w:lineRule="exact"/>
              <w:ind/>
              <w:jc w:val="center"/>
              <w:rPr>
                <w:rFonts w:eastAsia="仿宋_GB2312"/>
                <w:b/>
                <w:sz w:val="18"/>
                <w:szCs w:val="18"/>
              </w:rPr>
            </w:pPr>
            <w:r>
              <w:rPr>
                <w:rFonts w:eastAsia="仿宋_GB2312"/>
                <w:b/>
                <w:sz w:val="18"/>
                <w:szCs w:val="18"/>
                <w:lang w:bidi="ar"/>
              </w:rPr>
              <w:t xml:space="preserve">编号</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none" w:color="000000" w:sz="4" w:space="0"/>
            </w:tcBorders>
            <w:tcW w:w="569" w:type="dxa"/>
            <w:vAlign w:val="center"/>
            <w:vMerge w:val="restart"/>
            <w:textDirection w:val="lrTb"/>
            <w:noWrap w:val="false"/>
          </w:tcPr>
          <w:p>
            <w:pPr>
              <w:pStyle w:val="684"/>
              <w:pBdr/>
              <w:spacing w:line="200" w:lineRule="exact"/>
              <w:ind/>
              <w:jc w:val="center"/>
              <w:rPr>
                <w:rFonts w:eastAsia="仿宋_GB2312"/>
                <w:b/>
                <w:sz w:val="18"/>
                <w:szCs w:val="18"/>
              </w:rPr>
            </w:pPr>
            <w:r>
              <w:rPr>
                <w:rFonts w:eastAsia="仿宋_GB2312"/>
                <w:b/>
                <w:sz w:val="18"/>
                <w:szCs w:val="18"/>
                <w:lang w:bidi="ar"/>
              </w:rPr>
              <w:t xml:space="preserve">所属区域</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vMerge w:val="restart"/>
            <w:textDirection w:val="lrTb"/>
            <w:noWrap w:val="false"/>
          </w:tcPr>
          <w:p>
            <w:pPr>
              <w:pStyle w:val="684"/>
              <w:pBdr/>
              <w:spacing w:line="200" w:lineRule="exact"/>
              <w:ind/>
              <w:jc w:val="center"/>
              <w:rPr>
                <w:rFonts w:eastAsia="仿宋_GB2312"/>
                <w:b/>
                <w:sz w:val="18"/>
                <w:szCs w:val="18"/>
              </w:rPr>
            </w:pPr>
            <w:r>
              <w:rPr>
                <w:rFonts w:eastAsia="仿宋_GB2312"/>
                <w:b/>
                <w:sz w:val="18"/>
                <w:szCs w:val="18"/>
                <w:lang w:bidi="ar"/>
              </w:rPr>
              <w:t xml:space="preserve">辖区单位名称</w:t>
            </w:r>
            <w:r>
              <w:rPr>
                <w:rFonts w:eastAsia="仿宋_GB2312"/>
                <w:b/>
                <w:sz w:val="18"/>
                <w:szCs w:val="18"/>
              </w:rPr>
            </w:r>
            <w:r>
              <w:rPr>
                <w:rFonts w:eastAsia="仿宋_GB2312"/>
                <w:b/>
                <w:sz w:val="18"/>
                <w:szCs w:val="18"/>
              </w:rPr>
            </w:r>
          </w:p>
        </w:tc>
        <w:tc>
          <w:tcPr>
            <w:gridSpan w:val="3"/>
            <w:tcBorders>
              <w:top w:val="single" w:color="000000" w:sz="4" w:space="0"/>
              <w:left w:val="single" w:color="000000" w:sz="4" w:space="0"/>
              <w:bottom w:val="single" w:color="000000" w:sz="4" w:space="0"/>
              <w:right w:val="single" w:color="000000" w:sz="4" w:space="0"/>
            </w:tcBorders>
            <w:tcW w:w="2344" w:type="dxa"/>
            <w:vAlign w:val="center"/>
            <w:textDirection w:val="lrTb"/>
            <w:noWrap w:val="false"/>
          </w:tcPr>
          <w:p>
            <w:pPr>
              <w:pStyle w:val="684"/>
              <w:pBdr/>
              <w:spacing w:line="200" w:lineRule="exact"/>
              <w:ind/>
              <w:jc w:val="center"/>
              <w:rPr>
                <w:rFonts w:eastAsia="仿宋_GB2312"/>
                <w:b/>
                <w:sz w:val="18"/>
                <w:szCs w:val="18"/>
              </w:rPr>
            </w:pPr>
            <w:r>
              <w:rPr>
                <w:rFonts w:eastAsia="仿宋_GB2312"/>
                <w:b/>
                <w:sz w:val="18"/>
                <w:szCs w:val="18"/>
                <w:lang w:bidi="ar"/>
              </w:rPr>
              <w:t xml:space="preserve">充电桩配置 个数</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vMerge w:val="restart"/>
            <w:textDirection w:val="lrTb"/>
            <w:noWrap w:val="false"/>
          </w:tcPr>
          <w:p>
            <w:pPr>
              <w:pStyle w:val="684"/>
              <w:pBdr/>
              <w:spacing w:line="200" w:lineRule="exact"/>
              <w:ind/>
              <w:jc w:val="center"/>
              <w:rPr>
                <w:rFonts w:eastAsia="仿宋_GB2312"/>
                <w:b/>
                <w:sz w:val="18"/>
                <w:szCs w:val="18"/>
              </w:rPr>
            </w:pPr>
            <w:r>
              <w:rPr>
                <w:rFonts w:eastAsia="仿宋_GB2312"/>
                <w:b/>
                <w:sz w:val="18"/>
                <w:szCs w:val="18"/>
                <w:lang w:bidi="ar"/>
              </w:rPr>
              <w:t xml:space="preserve">合计</w:t>
            </w:r>
            <w:r>
              <w:rPr>
                <w:rFonts w:eastAsia="仿宋_GB2312"/>
                <w:b/>
                <w:sz w:val="18"/>
                <w:szCs w:val="18"/>
              </w:rPr>
            </w:r>
            <w:r>
              <w:rPr>
                <w:rFonts w:eastAsia="仿宋_GB2312"/>
                <w:b/>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787" w:type="dxa"/>
            <w:vAlign w:val="center"/>
            <w:vMerge w:val="continue"/>
            <w:textDirection w:val="lrTb"/>
            <w:noWrap w:val="false"/>
          </w:tcPr>
          <w:p>
            <w:pPr>
              <w:pStyle w:val="684"/>
              <w:pBdr/>
              <w:spacing w:line="20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none" w:color="000000" w:sz="4" w:space="0"/>
            </w:tcBorders>
            <w:tcW w:w="569" w:type="dxa"/>
            <w:vAlign w:val="center"/>
            <w:vMerge w:val="continue"/>
            <w:textDirection w:val="lrTb"/>
            <w:noWrap w:val="false"/>
          </w:tcPr>
          <w:p>
            <w:pPr>
              <w:pStyle w:val="684"/>
              <w:pBdr/>
              <w:spacing w:line="20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vMerge w:val="continue"/>
            <w:textDirection w:val="lrTb"/>
            <w:noWrap w:val="false"/>
          </w:tcPr>
          <w:p>
            <w:pPr>
              <w:pStyle w:val="684"/>
              <w:pBdr/>
              <w:spacing w:line="20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val="false"/>
          </w:tcPr>
          <w:p>
            <w:pPr>
              <w:pStyle w:val="684"/>
              <w:pBdr/>
              <w:spacing w:line="200" w:lineRule="exact"/>
              <w:ind/>
              <w:jc w:val="center"/>
              <w:rPr>
                <w:rFonts w:eastAsia="仿宋_GB2312"/>
                <w:b/>
                <w:bCs/>
                <w:sz w:val="18"/>
                <w:szCs w:val="18"/>
              </w:rPr>
            </w:pPr>
            <w:r>
              <w:rPr>
                <w:rFonts w:eastAsia="仿宋_GB2312"/>
                <w:b/>
                <w:bCs/>
                <w:sz w:val="18"/>
                <w:szCs w:val="18"/>
                <w:lang w:bidi="ar"/>
              </w:rPr>
              <w:t xml:space="preserve">7KW</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val="false"/>
          </w:tcPr>
          <w:p>
            <w:pPr>
              <w:pStyle w:val="684"/>
              <w:pBdr/>
              <w:spacing w:line="200" w:lineRule="exact"/>
              <w:ind/>
              <w:jc w:val="center"/>
              <w:rPr>
                <w:rFonts w:eastAsia="仿宋_GB2312"/>
                <w:b/>
                <w:bCs/>
                <w:sz w:val="18"/>
                <w:szCs w:val="18"/>
              </w:rPr>
            </w:pPr>
            <w:r>
              <w:rPr>
                <w:rFonts w:eastAsia="仿宋_GB2312"/>
                <w:b/>
                <w:bCs/>
                <w:sz w:val="18"/>
                <w:szCs w:val="18"/>
                <w:lang w:bidi="ar"/>
              </w:rPr>
              <w:t xml:space="preserve">480KW</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val="false"/>
          </w:tcPr>
          <w:p>
            <w:pPr>
              <w:pStyle w:val="684"/>
              <w:pBdr/>
              <w:spacing w:line="200" w:lineRule="exact"/>
              <w:ind/>
              <w:jc w:val="center"/>
              <w:rPr>
                <w:rFonts w:eastAsia="仿宋_GB2312"/>
                <w:b/>
                <w:bCs/>
                <w:sz w:val="18"/>
                <w:szCs w:val="18"/>
              </w:rPr>
            </w:pPr>
            <w:r>
              <w:rPr>
                <w:rFonts w:eastAsia="仿宋_GB2312"/>
                <w:b/>
                <w:bCs/>
                <w:sz w:val="18"/>
                <w:szCs w:val="18"/>
                <w:lang w:bidi="ar"/>
              </w:rPr>
              <w:t xml:space="preserve">600KW</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vMerge w:val="continue"/>
            <w:textDirection w:val="lrTb"/>
            <w:noWrap w:val="false"/>
          </w:tcPr>
          <w:p>
            <w:pPr>
              <w:pStyle w:val="684"/>
              <w:pBdr/>
              <w:spacing w:line="200" w:lineRule="exact"/>
              <w:ind/>
              <w:rPr>
                <w:rFonts w:eastAsia="仿宋_GB2312"/>
                <w:sz w:val="18"/>
                <w:szCs w:val="18"/>
              </w:rPr>
            </w:pP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val="false"/>
          </w:tcPr>
          <w:p>
            <w:pPr>
              <w:pStyle w:val="684"/>
              <w:pBdr/>
              <w:spacing w:line="200" w:lineRule="exact"/>
              <w:ind/>
              <w:rPr>
                <w:rFonts w:eastAsia="仿宋_GB2312"/>
                <w:sz w:val="18"/>
                <w:szCs w:val="18"/>
              </w:rPr>
            </w:pPr>
            <w:r>
              <w:rPr>
                <w:rFonts w:eastAsia="仿宋_GB2312"/>
                <w:sz w:val="18"/>
                <w:szCs w:val="18"/>
                <w:lang w:bidi="ar"/>
              </w:rPr>
              <w:t xml:space="preserve">明月路-遂州中路-渠河路-嘉禾西路围合区域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40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45</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val="false"/>
          </w:tcPr>
          <w:p>
            <w:pPr>
              <w:pStyle w:val="684"/>
              <w:pBdr/>
              <w:spacing w:line="200" w:lineRule="exact"/>
              <w:ind/>
              <w:rPr>
                <w:rFonts w:eastAsia="仿宋_GB2312"/>
                <w:sz w:val="18"/>
                <w:szCs w:val="18"/>
              </w:rPr>
            </w:pPr>
            <w:r>
              <w:rPr>
                <w:rFonts w:eastAsia="仿宋_GB2312"/>
                <w:sz w:val="18"/>
                <w:szCs w:val="18"/>
                <w:lang w:bidi="ar"/>
              </w:rPr>
              <w:t xml:space="preserve">明月路-遂州北路-嘉禾东路-滨江北路围合区域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32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36</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val="false"/>
          </w:tcPr>
          <w:p>
            <w:pPr>
              <w:pStyle w:val="684"/>
              <w:pBdr/>
              <w:spacing w:line="200" w:lineRule="exact"/>
              <w:ind/>
              <w:rPr>
                <w:rFonts w:eastAsia="仿宋_GB2312"/>
                <w:sz w:val="18"/>
                <w:szCs w:val="18"/>
              </w:rPr>
            </w:pPr>
            <w:r>
              <w:rPr>
                <w:rFonts w:eastAsia="仿宋_GB2312"/>
                <w:sz w:val="18"/>
                <w:szCs w:val="18"/>
                <w:lang w:bidi="ar"/>
              </w:rPr>
              <w:t xml:space="preserve">嘉禾西路-渠河中路-介福西路-遂州中路围合区域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120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133</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嘉禾东路-遂州中路-介福东路-滨江北路围合区域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118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135</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介福西路-渠河中路-荣兴街-遂州中路围合区域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147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167</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介福东路-遂州中路-北河街-滨江中路围合区域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94</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荣兴街-渠河中路-和平西路-遂州中路围合区域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9</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131</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北河街-遂州中路-和平东路-渠河中路围合区域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97</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2B9</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和平西路-渠河中路-育才西路-遂州中路围合区域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75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82</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和平东路-遂州中路-育才东路-滨江中路围合区域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46</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育才西路-渠河南路-德胜西路-遂州中路围合区域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94</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育才东路-遂州中路-德胜东路-滨江中路围合区域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150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170</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德胜西路-渠河南路-公园西路-遂州中路围合区域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87</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德胜东路-遂州中路-公园中路-滨江中路围合区域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126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141</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公园西路-渠河南路-凯旋路围合区域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110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124</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公园东路-凯旋路-凯东路-天宫北路围合区域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88</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滨江中路-天宫北路-凯东路围合区域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106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126</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凯东路-南津北路-明霞路-天宫北路围合区域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72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87</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2B19</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凯东路-天宫北路-明霞路-滨江中路围合区域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130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150</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天宫北路-明霞路-开善路围合区域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160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184</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2B21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天宫北路-明霞路-滨江中路-开善东围合区域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170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195</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2B22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圣莲岛区域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170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190</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2B23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圣平岛区域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200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18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224</w:t>
            </w:r>
            <w:r>
              <w:rPr>
                <w:rFonts w:eastAsia="仿宋_GB2312"/>
                <w:sz w:val="18"/>
                <w:szCs w:val="18"/>
              </w:rPr>
            </w:r>
            <w:r>
              <w:rPr>
                <w:rFonts w:eastAsia="仿宋_GB2312"/>
                <w:sz w:val="18"/>
                <w:szCs w:val="18"/>
              </w:rPr>
            </w:r>
          </w:p>
        </w:tc>
      </w:tr>
      <w:tr>
        <w:trPr>
          <w:trHeight w:val="295"/>
        </w:trPr>
        <w:tc>
          <w:tcPr>
            <w:tcBorders>
              <w:top w:val="single" w:color="000000" w:sz="4" w:space="0"/>
              <w:left w:val="single" w:color="000000" w:sz="4" w:space="0"/>
              <w:bottom w:val="single" w:color="000000" w:sz="4" w:space="0"/>
              <w:right w:val="single" w:color="000000" w:sz="4" w:space="0"/>
            </w:tcBorders>
            <w:tcW w:w="43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2B24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69" w:type="dxa"/>
            <w:vAlign w:val="center"/>
            <w:textDirection w:val="lrTb"/>
            <w:noWrap w:val="false"/>
          </w:tcPr>
          <w:p>
            <w:pPr>
              <w:pStyle w:val="684"/>
              <w:pBdr/>
              <w:spacing w:line="200" w:lineRule="exact"/>
              <w:ind/>
              <w:jc w:val="center"/>
              <w:rPr>
                <w:rFonts w:eastAsia="仿宋_GB2312"/>
                <w:sz w:val="18"/>
                <w:szCs w:val="18"/>
              </w:rPr>
            </w:pPr>
            <w:r>
              <w:rPr>
                <w:rFonts w:eastAsia="仿宋_GB2312"/>
                <w:sz w:val="18"/>
                <w:szCs w:val="18"/>
                <w:lang w:bidi="ar"/>
              </w:rPr>
              <w:t xml:space="preserve">中心城区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57" w:type="dxa"/>
            <w:vAlign w:val="center"/>
            <w:textDirection w:val="lrTb"/>
            <w:noWrap/>
          </w:tcPr>
          <w:p>
            <w:pPr>
              <w:pStyle w:val="684"/>
              <w:pBdr/>
              <w:spacing w:line="200" w:lineRule="exact"/>
              <w:ind/>
              <w:rPr>
                <w:rFonts w:eastAsia="仿宋_GB2312"/>
                <w:sz w:val="18"/>
                <w:szCs w:val="18"/>
              </w:rPr>
            </w:pPr>
            <w:r>
              <w:rPr>
                <w:rFonts w:eastAsia="仿宋_GB2312"/>
                <w:sz w:val="18"/>
                <w:szCs w:val="18"/>
                <w:lang w:bidi="ar"/>
              </w:rPr>
              <w:t xml:space="preserve">船山园区</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290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326</w:t>
            </w:r>
            <w:r>
              <w:rPr>
                <w:rFonts w:eastAsia="仿宋_GB2312"/>
                <w:sz w:val="18"/>
                <w:szCs w:val="18"/>
              </w:rPr>
            </w:r>
            <w:r>
              <w:rPr>
                <w:rFonts w:eastAsia="仿宋_GB2312"/>
                <w:sz w:val="18"/>
                <w:szCs w:val="18"/>
              </w:rPr>
            </w:r>
          </w:p>
        </w:tc>
      </w:tr>
      <w:tr>
        <w:trPr>
          <w:trHeight w:val="295"/>
        </w:trPr>
        <w:tc>
          <w:tcPr>
            <w:gridSpan w:val="3"/>
            <w:tcBorders>
              <w:top w:val="single" w:color="000000" w:sz="4" w:space="0"/>
              <w:left w:val="single" w:color="000000" w:sz="4" w:space="0"/>
              <w:bottom w:val="single" w:color="000000" w:sz="4" w:space="0"/>
              <w:right w:val="single" w:color="000000" w:sz="4" w:space="0"/>
            </w:tcBorders>
            <w:tcW w:w="6029"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合计</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2"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2794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7"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269</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0"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89</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25" w:type="dxa"/>
            <w:vAlign w:val="center"/>
            <w:textDirection w:val="lrTb"/>
            <w:noWrap/>
          </w:tcPr>
          <w:p>
            <w:pPr>
              <w:pStyle w:val="684"/>
              <w:pBdr/>
              <w:spacing w:line="200" w:lineRule="exact"/>
              <w:ind/>
              <w:jc w:val="center"/>
              <w:rPr>
                <w:rFonts w:eastAsia="仿宋_GB2312"/>
                <w:sz w:val="18"/>
                <w:szCs w:val="18"/>
              </w:rPr>
            </w:pPr>
            <w:r>
              <w:rPr>
                <w:rFonts w:eastAsia="仿宋_GB2312"/>
                <w:sz w:val="18"/>
                <w:szCs w:val="18"/>
                <w:lang w:bidi="ar"/>
              </w:rPr>
              <w:t xml:space="preserve">3152</w:t>
            </w:r>
            <w:r>
              <w:rPr>
                <w:rFonts w:eastAsia="仿宋_GB2312"/>
                <w:sz w:val="18"/>
                <w:szCs w:val="18"/>
              </w:rPr>
            </w:r>
            <w:r>
              <w:rPr>
                <w:rFonts w:eastAsia="仿宋_GB2312"/>
                <w:sz w:val="18"/>
                <w:szCs w:val="18"/>
              </w:rPr>
            </w:r>
          </w:p>
        </w:tc>
      </w:tr>
    </w:tbl>
    <w:p>
      <w:pPr>
        <w:pStyle w:val="684"/>
        <w:pBdr/>
        <w:spacing w:line="40" w:lineRule="exact"/>
        <w:ind/>
        <w:rPr>
          <w:spacing w:val="-9"/>
          <w:sz w:val="24"/>
        </w:rPr>
      </w:pPr>
      <w:r>
        <w:rPr>
          <w:spacing w:val="-9"/>
          <w:sz w:val="24"/>
        </w:rPr>
      </w:r>
      <w:r>
        <w:rPr>
          <w:spacing w:val="-9"/>
          <w:sz w:val="24"/>
        </w:rPr>
      </w:r>
    </w:p>
    <w:p>
      <w:pPr>
        <w:pStyle w:val="684"/>
        <w:pBdr/>
        <w:spacing w:line="600" w:lineRule="exact"/>
        <w:ind/>
        <w:jc w:val="center"/>
        <w:rPr>
          <w:rFonts w:eastAsia="黑体"/>
          <w:spacing w:val="-9"/>
          <w:sz w:val="28"/>
          <w:szCs w:val="28"/>
        </w:rPr>
      </w:pPr>
      <w:r>
        <w:rPr>
          <w:spacing w:val="-9"/>
          <w:sz w:val="24"/>
        </w:rPr>
        <w:br w:type="page" w:clear="all"/>
      </w:r>
      <w:r>
        <w:rPr>
          <w:rFonts w:eastAsia="黑体"/>
          <w:spacing w:val="-9"/>
          <w:sz w:val="28"/>
          <w:szCs w:val="28"/>
        </w:rPr>
        <w:t xml:space="preserve">电动自行车充电设施明细表</w:t>
      </w:r>
      <w:r>
        <w:rPr>
          <w:rFonts w:eastAsia="黑体"/>
          <w:spacing w:val="-9"/>
          <w:sz w:val="28"/>
          <w:szCs w:val="28"/>
        </w:rPr>
      </w:r>
      <w:r>
        <w:rPr>
          <w:rFonts w:eastAsia="黑体"/>
          <w:spacing w:val="-9"/>
          <w:sz w:val="28"/>
          <w:szCs w:val="28"/>
        </w:rPr>
      </w:r>
    </w:p>
    <w:tbl>
      <w:tblPr>
        <w:tblW w:w="8849" w:type="dxa"/>
        <w:tblInd w:w="-15" w:type="dxa"/>
        <w:tblBorders/>
        <w:tblLayout w:type="fixed"/>
        <w:tblCellMar>
          <w:left w:w="108" w:type="dxa"/>
          <w:top w:w="0" w:type="dxa"/>
          <w:right w:w="108" w:type="dxa"/>
          <w:bottom w:w="0" w:type="dxa"/>
        </w:tblCellMar>
        <w:tblLook w:val="04A0" w:firstRow="1" w:lastRow="0" w:firstColumn="1" w:lastColumn="0" w:noHBand="0" w:noVBand="1"/>
      </w:tblPr>
      <w:tblGrid>
        <w:gridCol w:w="852"/>
        <w:gridCol w:w="1292"/>
        <w:gridCol w:w="5722"/>
        <w:gridCol w:w="983"/>
      </w:tblGrid>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编号</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1292"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所属区域</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5722"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辖区单位名称</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983"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3.5KW充电桩配置个数</w:t>
            </w:r>
            <w:r>
              <w:rPr>
                <w:rFonts w:eastAsia="仿宋_GB2312"/>
                <w:b/>
                <w:szCs w:val="21"/>
              </w:rPr>
            </w:r>
            <w:r>
              <w:rPr>
                <w:rFonts w:eastAsia="仿宋_GB2312"/>
                <w:b/>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val="false"/>
          </w:tcPr>
          <w:p>
            <w:pPr>
              <w:pStyle w:val="684"/>
              <w:pBdr/>
              <w:spacing/>
              <w:ind/>
              <w:rPr>
                <w:rFonts w:eastAsia="仿宋_GB2312"/>
                <w:szCs w:val="21"/>
              </w:rPr>
            </w:pPr>
            <w:r>
              <w:rPr>
                <w:rFonts w:eastAsia="仿宋_GB2312"/>
                <w:szCs w:val="21"/>
                <w:lang w:bidi="ar"/>
              </w:rPr>
              <w:t xml:space="preserve">明月路-遂州中路-渠河路-嘉禾西路围合区域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350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val="false"/>
          </w:tcPr>
          <w:p>
            <w:pPr>
              <w:pStyle w:val="684"/>
              <w:pBdr/>
              <w:spacing/>
              <w:ind/>
              <w:rPr>
                <w:rFonts w:eastAsia="仿宋_GB2312"/>
                <w:szCs w:val="21"/>
              </w:rPr>
            </w:pPr>
            <w:r>
              <w:rPr>
                <w:rFonts w:eastAsia="仿宋_GB2312"/>
                <w:szCs w:val="21"/>
                <w:lang w:bidi="ar"/>
              </w:rPr>
              <w:t xml:space="preserve">明月路-遂州北路-嘉禾东路-滨江北路围合区域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420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val="false"/>
          </w:tcPr>
          <w:p>
            <w:pPr>
              <w:pStyle w:val="684"/>
              <w:pBdr/>
              <w:spacing/>
              <w:ind/>
              <w:rPr>
                <w:rFonts w:eastAsia="仿宋_GB2312"/>
                <w:szCs w:val="21"/>
              </w:rPr>
            </w:pPr>
            <w:r>
              <w:rPr>
                <w:rFonts w:eastAsia="仿宋_GB2312"/>
                <w:szCs w:val="21"/>
                <w:lang w:bidi="ar"/>
              </w:rPr>
              <w:t xml:space="preserve">嘉禾西路-渠河中路-介福西路-遂州中路围合区域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380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嘉禾东路-遂州中路-介福东路-滨江北路围合区域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420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介福西路-渠河中路-荣兴街-遂州中路围合区域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350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3B6</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介福东路-遂州中路-北河街-滨江中路围合区域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280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荣兴街-渠河中路-和平西路-遂州中路围合区域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520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3B8</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北河街-遂州中路-和平东路-渠河中路围合区域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350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3B9</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和平西路-渠河中路-育才西路-遂州中路围合区域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310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和平东路-遂州中路-育才东路-滨江中路围合区域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育才西路-渠河南路-德胜西路-遂州中路围合区域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育才东路-遂州中路-德胜东路-滨江中路围合区域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400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德胜西路-渠河南路-公园西路-遂州中路围合区域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360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德胜东路-遂州中路-公园中路-滨江中路围合区域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400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公园西路-渠河南路-凯旋路围合区域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3B16</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公园东路-凯旋路-凯东路-天宫北路围合区域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390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滨江中路-天宫北路-凯东路围合区域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3B18</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凯东路-南津北路-明霞路-天宫北路围合区域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3B19</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凯东路-天宫北路-明霞路-滨江中路围合区域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250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天宫北路-明霞路-开善路围合区域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260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3B21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天宫北路-明霞路-滨江中路-开善东围合区域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370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3B22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圣莲岛区域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600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3B23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圣平岛区域</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800</w:t>
            </w:r>
            <w:r>
              <w:rPr>
                <w:rFonts w:eastAsia="仿宋_GB2312"/>
                <w:szCs w:val="21"/>
              </w:rPr>
            </w:r>
            <w:r>
              <w:rPr>
                <w:rFonts w:eastAsia="仿宋_GB2312"/>
                <w:szCs w:val="21"/>
              </w:rPr>
            </w:r>
          </w:p>
        </w:tc>
      </w:tr>
      <w:tr>
        <w:trPr>
          <w:trHeight w:val="436"/>
        </w:trPr>
        <w:tc>
          <w:tcPr>
            <w:tcBorders>
              <w:top w:val="single" w:color="000000" w:sz="4" w:space="0"/>
              <w:left w:val="single" w:color="000000" w:sz="4" w:space="0"/>
              <w:bottom w:val="single" w:color="000000" w:sz="4" w:space="0"/>
              <w:right w:val="single" w:color="000000" w:sz="4" w:space="0"/>
            </w:tcBorders>
            <w:tcW w:w="85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3B24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9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中心城区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722" w:type="dxa"/>
            <w:vAlign w:val="center"/>
            <w:textDirection w:val="lrTb"/>
            <w:noWrap/>
          </w:tcPr>
          <w:p>
            <w:pPr>
              <w:pStyle w:val="684"/>
              <w:pBdr/>
              <w:spacing/>
              <w:ind/>
              <w:rPr>
                <w:rFonts w:eastAsia="仿宋_GB2312"/>
                <w:szCs w:val="21"/>
              </w:rPr>
            </w:pPr>
            <w:r>
              <w:rPr>
                <w:rFonts w:eastAsia="仿宋_GB2312"/>
                <w:szCs w:val="21"/>
                <w:lang w:bidi="ar"/>
              </w:rPr>
              <w:t xml:space="preserve">船山园区</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290</w:t>
            </w:r>
            <w:r>
              <w:rPr>
                <w:rFonts w:eastAsia="仿宋_GB2312"/>
                <w:szCs w:val="21"/>
              </w:rPr>
            </w:r>
            <w:r>
              <w:rPr>
                <w:rFonts w:eastAsia="仿宋_GB2312"/>
                <w:szCs w:val="21"/>
              </w:rPr>
            </w:r>
          </w:p>
        </w:tc>
      </w:tr>
      <w:tr>
        <w:trPr>
          <w:trHeight w:val="436"/>
        </w:trPr>
        <w:tc>
          <w:tcPr>
            <w:gridSpan w:val="3"/>
            <w:tcBorders>
              <w:top w:val="single" w:color="000000" w:sz="4" w:space="0"/>
              <w:left w:val="single" w:color="000000" w:sz="4" w:space="0"/>
              <w:bottom w:val="single" w:color="000000" w:sz="4" w:space="0"/>
              <w:right w:val="single" w:color="000000" w:sz="4" w:space="0"/>
            </w:tcBorders>
            <w:tcW w:w="7866" w:type="dxa"/>
            <w:vAlign w:val="center"/>
            <w:textDirection w:val="lrTb"/>
            <w:noWrap/>
          </w:tcPr>
          <w:p>
            <w:pPr>
              <w:pStyle w:val="684"/>
              <w:pBdr/>
              <w:spacing/>
              <w:ind/>
              <w:jc w:val="center"/>
              <w:rPr>
                <w:rFonts w:eastAsia="仿宋_GB2312"/>
                <w:szCs w:val="21"/>
              </w:rPr>
            </w:pPr>
            <w:r>
              <w:rPr>
                <w:rFonts w:eastAsia="仿宋_GB2312"/>
                <w:szCs w:val="21"/>
                <w:lang w:bidi="ar"/>
              </w:rPr>
              <w:t xml:space="preserve">合计</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83" w:type="dxa"/>
            <w:vAlign w:val="center"/>
            <w:textDirection w:val="lrTb"/>
            <w:noWrap/>
          </w:tcPr>
          <w:p>
            <w:pPr>
              <w:pStyle w:val="684"/>
              <w:pBdr/>
              <w:spacing/>
              <w:ind/>
              <w:jc w:val="center"/>
              <w:rPr>
                <w:rFonts w:eastAsia="仿宋_GB2312"/>
                <w:szCs w:val="21"/>
              </w:rPr>
            </w:pPr>
            <w:r>
              <w:rPr>
                <w:rFonts w:eastAsia="仿宋_GB2312"/>
                <w:szCs w:val="21"/>
                <w:lang w:bidi="ar"/>
              </w:rPr>
              <w:t xml:space="preserve">9000</w:t>
            </w:r>
            <w:r>
              <w:rPr>
                <w:rFonts w:eastAsia="仿宋_GB2312"/>
                <w:szCs w:val="21"/>
              </w:rPr>
            </w:r>
            <w:r>
              <w:rPr>
                <w:rFonts w:eastAsia="仿宋_GB2312"/>
                <w:szCs w:val="21"/>
              </w:rPr>
            </w:r>
          </w:p>
        </w:tc>
      </w:tr>
    </w:tbl>
    <w:p>
      <w:pPr>
        <w:pStyle w:val="684"/>
        <w:pBdr/>
        <w:spacing w:line="600" w:lineRule="exact"/>
        <w:ind w:firstLine="444"/>
        <w:rPr>
          <w:rFonts w:eastAsia="仿宋_GB2312"/>
          <w:spacing w:val="-9"/>
          <w:sz w:val="32"/>
          <w:szCs w:val="32"/>
        </w:rPr>
      </w:pPr>
      <w:r>
        <w:rPr>
          <w:spacing w:val="-9"/>
          <w:sz w:val="24"/>
        </w:rPr>
        <w:br w:type="page" w:clear="all"/>
      </w:r>
      <w:r>
        <w:rPr>
          <w:rFonts w:eastAsia="仿宋_GB2312"/>
          <w:spacing w:val="-9"/>
          <w:sz w:val="32"/>
          <w:szCs w:val="32"/>
        </w:rPr>
        <w:t xml:space="preserve">（二）东片区</w:t>
      </w:r>
      <w:r>
        <w:rPr>
          <w:rFonts w:eastAsia="仿宋_GB2312"/>
          <w:spacing w:val="-9"/>
          <w:sz w:val="32"/>
          <w:szCs w:val="32"/>
        </w:rPr>
      </w:r>
      <w:r>
        <w:rPr>
          <w:rFonts w:eastAsia="仿宋_GB2312"/>
          <w:spacing w:val="-9"/>
          <w:sz w:val="32"/>
          <w:szCs w:val="32"/>
        </w:rPr>
      </w:r>
    </w:p>
    <w:p>
      <w:pPr>
        <w:pStyle w:val="684"/>
        <w:pBdr/>
        <w:spacing w:line="600" w:lineRule="exact"/>
        <w:ind w:right="17" w:firstLine="604" w:left="37"/>
        <w:rPr>
          <w:rFonts w:eastAsia="仿宋_GB2312"/>
          <w:spacing w:val="-9"/>
          <w:sz w:val="32"/>
          <w:szCs w:val="32"/>
        </w:rPr>
      </w:pPr>
      <w:r>
        <w:rPr>
          <w:rFonts w:eastAsia="仿宋_GB2312"/>
          <w:spacing w:val="-9"/>
          <w:sz w:val="32"/>
          <w:szCs w:val="32"/>
        </w:rPr>
        <w:t xml:space="preserve">远期目标（二期）东片区智慧小区规划33个区域，共规划电动汽车充电停车位2460套，电动自行车充电桩3000套。</w:t>
      </w:r>
      <w:r>
        <w:rPr>
          <w:rFonts w:eastAsia="仿宋_GB2312"/>
          <w:spacing w:val="-9"/>
          <w:sz w:val="32"/>
          <w:szCs w:val="32"/>
        </w:rPr>
      </w:r>
      <w:r>
        <w:rPr>
          <w:rFonts w:eastAsia="仿宋_GB2312"/>
          <w:spacing w:val="-9"/>
          <w:sz w:val="32"/>
          <w:szCs w:val="32"/>
        </w:rPr>
      </w:r>
    </w:p>
    <w:p>
      <w:pPr>
        <w:pStyle w:val="684"/>
        <w:pBdr/>
        <w:spacing w:before="207" w:line="374" w:lineRule="auto"/>
        <w:ind w:right="17" w:firstLine="480" w:left="37"/>
        <w:jc w:val="center"/>
        <w:rPr>
          <w:rFonts w:eastAsia="黑体"/>
          <w:spacing w:val="-9"/>
          <w:sz w:val="28"/>
          <w:szCs w:val="28"/>
        </w:rPr>
      </w:pPr>
      <w:r>
        <w:rPr>
          <w:rFonts w:eastAsia="黑体"/>
          <w:spacing w:val="-9"/>
          <w:sz w:val="28"/>
          <w:szCs w:val="28"/>
        </w:rPr>
        <w:t xml:space="preserve">电动汽车充电设施明细表</w:t>
      </w:r>
      <w:r>
        <w:rPr>
          <w:rFonts w:eastAsia="黑体"/>
          <w:spacing w:val="-9"/>
          <w:sz w:val="28"/>
          <w:szCs w:val="28"/>
        </w:rPr>
      </w:r>
      <w:r>
        <w:rPr>
          <w:rFonts w:eastAsia="黑体"/>
          <w:spacing w:val="-9"/>
          <w:sz w:val="28"/>
          <w:szCs w:val="28"/>
        </w:rPr>
      </w:r>
    </w:p>
    <w:tbl>
      <w:tblPr>
        <w:tblW w:w="4917" w:type="pct"/>
        <w:jc w:val="center"/>
        <w:tblInd w:w="-108" w:type="dxa"/>
        <w:tblBorders/>
        <w:tblLayout w:type="autofit"/>
        <w:tblCellMar>
          <w:left w:w="108" w:type="dxa"/>
          <w:top w:w="0" w:type="dxa"/>
          <w:right w:w="108" w:type="dxa"/>
          <w:bottom w:w="0" w:type="dxa"/>
        </w:tblCellMar>
        <w:tblLook w:val="04A0" w:firstRow="1" w:lastRow="0" w:firstColumn="1" w:lastColumn="0" w:noHBand="0" w:noVBand="1"/>
      </w:tblPr>
      <w:tblGrid>
        <w:gridCol w:w="742"/>
        <w:gridCol w:w="1358"/>
        <w:gridCol w:w="2363"/>
        <w:gridCol w:w="821"/>
        <w:gridCol w:w="1015"/>
        <w:gridCol w:w="1015"/>
        <w:gridCol w:w="1016"/>
        <w:gridCol w:w="730"/>
      </w:tblGrid>
      <w:tr>
        <w:trPr>
          <w:trHeight w:val="597"/>
          <w:tblHeader/>
        </w:trPr>
        <w:tc>
          <w:tcPr>
            <w:tcBorders>
              <w:top w:val="single" w:color="000000" w:sz="4" w:space="0"/>
              <w:left w:val="single" w:color="000000" w:sz="4" w:space="0"/>
              <w:bottom w:val="single" w:color="000000" w:sz="4" w:space="0"/>
              <w:right w:val="single" w:color="000000" w:sz="4" w:space="0"/>
            </w:tcBorders>
            <w:tcW w:w="758"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编号</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406"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所属区域</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2454"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辖区单位名称</w:t>
            </w:r>
            <w:r>
              <w:rPr>
                <w:rFonts w:eastAsia="仿宋_GB2312"/>
                <w:b/>
                <w:bCs/>
                <w:szCs w:val="21"/>
              </w:rPr>
            </w:r>
            <w:r>
              <w:rPr>
                <w:rFonts w:eastAsia="仿宋_GB2312"/>
                <w:b/>
                <w:bCs/>
                <w:szCs w:val="21"/>
              </w:rPr>
            </w:r>
          </w:p>
        </w:tc>
        <w:tc>
          <w:tcPr>
            <w:gridSpan w:val="4"/>
            <w:tcBorders>
              <w:top w:val="single" w:color="000000" w:sz="4" w:space="0"/>
              <w:left w:val="none" w:color="000000" w:sz="4" w:space="0"/>
              <w:bottom w:val="single" w:color="000000" w:sz="4" w:space="0"/>
              <w:right w:val="single" w:color="000000" w:sz="4" w:space="0"/>
            </w:tcBorders>
            <w:tcW w:w="3867"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充电桩配置个数</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25"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合计</w:t>
            </w:r>
            <w:r>
              <w:rPr>
                <w:rFonts w:eastAsia="仿宋_GB2312"/>
                <w:b/>
                <w:bCs/>
                <w:szCs w:val="21"/>
              </w:rPr>
            </w:r>
            <w:r>
              <w:rPr>
                <w:rFonts w:eastAsia="仿宋_GB2312"/>
                <w:b/>
                <w:bCs/>
                <w:szCs w:val="21"/>
              </w:rPr>
            </w:r>
          </w:p>
        </w:tc>
      </w:tr>
      <w:tr>
        <w:trPr>
          <w:trHeight w:val="598"/>
          <w:tblHeader/>
        </w:trPr>
        <w:tc>
          <w:tcPr>
            <w:tcBorders>
              <w:top w:val="single" w:color="000000" w:sz="4" w:space="0"/>
              <w:left w:val="single" w:color="000000" w:sz="4" w:space="0"/>
              <w:bottom w:val="single" w:color="000000" w:sz="4" w:space="0"/>
              <w:right w:val="single" w:color="000000" w:sz="4" w:space="0"/>
            </w:tcBorders>
            <w:tcW w:w="742"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single" w:color="000000" w:sz="4" w:space="0"/>
              <w:left w:val="single" w:color="000000" w:sz="4" w:space="0"/>
              <w:bottom w:val="single" w:color="000000" w:sz="4" w:space="0"/>
              <w:right w:val="single" w:color="000000" w:sz="4" w:space="0"/>
            </w:tcBorders>
            <w:tcW w:w="1358"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single" w:color="000000" w:sz="4" w:space="0"/>
              <w:left w:val="single" w:color="000000" w:sz="4" w:space="0"/>
              <w:bottom w:val="single" w:color="000000" w:sz="4" w:space="0"/>
              <w:right w:val="single" w:color="000000" w:sz="4" w:space="0"/>
            </w:tcBorders>
            <w:tcW w:w="2363"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7KW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120KW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480KW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600KW</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30"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钟灵敏秀小区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64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76</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鸿福家园</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73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88</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东湖锦城</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58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70</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金融商务中心</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107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130</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永盛湖畔</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48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56</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香林怡景—芳洲别院</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55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64</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任家渡安置小区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61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71</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成达铁路—五彩缤纷路—东阳路—东平大道</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74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87</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2C09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旗山路—东平大道—旌忠路—芳洲路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81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96</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东阳路—东平大道—慈音路—五彩缤纷路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73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83</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东升路—东平大道—慈音路—五彩缤纷路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45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63</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旗山路—东平大道—慈音路—芳洲路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77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83</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东升路—东平大道—慈音路—芳洲路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42</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东升路—东平大道—栖霞路—芳洲路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23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31</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东升路—东平大道—栖霞路—五彩缤纷路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88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99</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灵云路—芳洲路—栖霞路—香林南路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46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56</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灵云路—东平大道—栖霞路—香林南路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73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90</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灵云路—东平大道—栖霞路—五彩缤纷路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62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71</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2C19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灵云路—芳洲路—慈航路—香林南路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46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63</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灵云路—东平大道—慈航路—香林南路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87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102</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灵云路—东平大道—慈航路—五彩缤纷路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51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60</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东平大道—慈航路—芳洲路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91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108</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东平大道—慈航路—五彩缤纷路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84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98</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right="-59" w:hanging="109"/>
              <w:jc w:val="center"/>
              <w:rPr>
                <w:rFonts w:eastAsia="仿宋_GB2312"/>
                <w:szCs w:val="21"/>
              </w:rPr>
            </w:pPr>
            <w:r>
              <w:rPr>
                <w:rFonts w:eastAsia="仿宋_GB2312"/>
                <w:szCs w:val="21"/>
              </w:rPr>
              <w:t xml:space="preserve">能源学院—乡村振兴学院</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82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99</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保利养生谷</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38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45</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旗山安置小区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36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43</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职业技术学校</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67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78</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荣海温泉酒店</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25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30</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2C29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学苑小区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19</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2C30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乘龙苑安置小区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27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32</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2C31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灵泉景区北入口</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104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14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125</w:t>
            </w:r>
            <w:r>
              <w:rPr>
                <w:rFonts w:eastAsia="仿宋_GB2312"/>
                <w:szCs w:val="21"/>
              </w:rPr>
            </w:r>
            <w:r>
              <w:rPr>
                <w:rFonts w:eastAsia="仿宋_GB2312"/>
                <w:szCs w:val="21"/>
              </w:rPr>
            </w:r>
          </w:p>
        </w:tc>
      </w:tr>
      <w:tr>
        <w:trPr>
          <w:trHeight w:val="597"/>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2C32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灵泉景区东入口</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26</w:t>
            </w:r>
            <w:r>
              <w:rPr>
                <w:rFonts w:eastAsia="仿宋_GB2312"/>
                <w:szCs w:val="21"/>
              </w:rPr>
            </w:r>
            <w:r>
              <w:rPr>
                <w:rFonts w:eastAsia="仿宋_GB2312"/>
                <w:szCs w:val="21"/>
              </w:rPr>
            </w:r>
          </w:p>
        </w:tc>
      </w:tr>
      <w:tr>
        <w:trPr>
          <w:trHeight w:val="598"/>
        </w:trPr>
        <w:tc>
          <w:tcPr>
            <w:tcBorders>
              <w:top w:val="none" w:color="000000" w:sz="4" w:space="0"/>
              <w:left w:val="single" w:color="000000" w:sz="4" w:space="0"/>
              <w:bottom w:val="single" w:color="000000" w:sz="4" w:space="0"/>
              <w:right w:val="single" w:color="000000" w:sz="4" w:space="0"/>
            </w:tcBorders>
            <w:tcW w:w="758" w:type="dxa"/>
            <w:vAlign w:val="center"/>
            <w:textDirection w:val="lrTb"/>
            <w:noWrap/>
          </w:tcPr>
          <w:p>
            <w:pPr>
              <w:pStyle w:val="684"/>
              <w:pBdr/>
              <w:spacing/>
              <w:ind/>
              <w:jc w:val="center"/>
              <w:rPr>
                <w:rFonts w:eastAsia="仿宋_GB2312"/>
                <w:szCs w:val="21"/>
              </w:rPr>
            </w:pPr>
            <w:r>
              <w:rPr>
                <w:rFonts w:eastAsia="仿宋_GB2312"/>
                <w:szCs w:val="21"/>
              </w:rPr>
              <w:t xml:space="preserve">2C33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406"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454" w:type="dxa"/>
            <w:vAlign w:val="center"/>
            <w:textDirection w:val="lrTb"/>
            <w:noWrap/>
          </w:tcPr>
          <w:p>
            <w:pPr>
              <w:pStyle w:val="684"/>
              <w:pBdr/>
              <w:spacing/>
              <w:ind/>
              <w:jc w:val="center"/>
              <w:rPr>
                <w:rFonts w:eastAsia="仿宋_GB2312"/>
                <w:szCs w:val="21"/>
              </w:rPr>
            </w:pPr>
            <w:r>
              <w:rPr>
                <w:rFonts w:eastAsia="仿宋_GB2312"/>
                <w:szCs w:val="21"/>
              </w:rPr>
              <w:t xml:space="preserve">仁里片区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147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176</w:t>
            </w:r>
            <w:r>
              <w:rPr>
                <w:rFonts w:eastAsia="仿宋_GB2312"/>
                <w:szCs w:val="21"/>
              </w:rPr>
            </w:r>
            <w:r>
              <w:rPr>
                <w:rFonts w:eastAsia="仿宋_GB2312"/>
                <w:szCs w:val="21"/>
              </w:rPr>
            </w:r>
          </w:p>
        </w:tc>
      </w:tr>
      <w:tr>
        <w:trPr>
          <w:trHeight w:val="598"/>
        </w:trPr>
        <w:tc>
          <w:tcPr>
            <w:gridSpan w:val="3"/>
            <w:tcBorders>
              <w:top w:val="single" w:color="000000" w:sz="4" w:space="0"/>
              <w:left w:val="single" w:color="000000" w:sz="4" w:space="0"/>
              <w:bottom w:val="single" w:color="000000" w:sz="4" w:space="0"/>
              <w:right w:val="single" w:color="000000" w:sz="4" w:space="0"/>
            </w:tcBorders>
            <w:tcW w:w="4618" w:type="dxa"/>
            <w:vAlign w:val="center"/>
            <w:textDirection w:val="lrTb"/>
            <w:noWrap/>
          </w:tcPr>
          <w:p>
            <w:pPr>
              <w:pStyle w:val="684"/>
              <w:pBdr/>
              <w:spacing/>
              <w:ind/>
              <w:jc w:val="center"/>
              <w:rPr>
                <w:rFonts w:eastAsia="仿宋_GB2312"/>
                <w:szCs w:val="21"/>
              </w:rPr>
            </w:pPr>
            <w:r>
              <w:rPr>
                <w:rFonts w:eastAsia="仿宋_GB2312"/>
                <w:szCs w:val="21"/>
              </w:rPr>
              <w:t xml:space="preserve">合计</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47" w:type="dxa"/>
            <w:vAlign w:val="center"/>
            <w:textDirection w:val="lrTb"/>
            <w:noWrap/>
          </w:tcPr>
          <w:p>
            <w:pPr>
              <w:pStyle w:val="684"/>
              <w:pBdr/>
              <w:spacing/>
              <w:ind/>
              <w:jc w:val="center"/>
              <w:rPr>
                <w:rFonts w:eastAsia="仿宋_GB2312"/>
                <w:szCs w:val="21"/>
              </w:rPr>
            </w:pPr>
            <w:r>
              <w:rPr>
                <w:rFonts w:eastAsia="仿宋_GB2312"/>
                <w:szCs w:val="21"/>
              </w:rPr>
              <w:t xml:space="preserve">2050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286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96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7" w:type="dxa"/>
            <w:vAlign w:val="center"/>
            <w:textDirection w:val="lrTb"/>
            <w:noWrap/>
          </w:tcPr>
          <w:p>
            <w:pPr>
              <w:pStyle w:val="684"/>
              <w:pBdr/>
              <w:spacing/>
              <w:ind/>
              <w:jc w:val="center"/>
              <w:rPr>
                <w:rFonts w:eastAsia="仿宋_GB2312"/>
                <w:szCs w:val="21"/>
              </w:rPr>
            </w:pPr>
            <w:r>
              <w:rPr>
                <w:rFonts w:eastAsia="仿宋_GB2312"/>
                <w:szCs w:val="21"/>
              </w:rPr>
              <w:t xml:space="preserve">28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25" w:type="dxa"/>
            <w:vAlign w:val="center"/>
            <w:textDirection w:val="lrTb"/>
            <w:noWrap/>
          </w:tcPr>
          <w:p>
            <w:pPr>
              <w:pStyle w:val="684"/>
              <w:pBdr/>
              <w:spacing/>
              <w:ind/>
              <w:jc w:val="center"/>
              <w:rPr>
                <w:rFonts w:eastAsia="仿宋_GB2312"/>
                <w:szCs w:val="21"/>
              </w:rPr>
            </w:pPr>
            <w:r>
              <w:rPr>
                <w:rFonts w:eastAsia="仿宋_GB2312"/>
                <w:szCs w:val="21"/>
              </w:rPr>
              <w:t xml:space="preserve">2460</w:t>
            </w:r>
            <w:r>
              <w:rPr>
                <w:rFonts w:eastAsia="仿宋_GB2312"/>
                <w:szCs w:val="21"/>
              </w:rPr>
            </w:r>
            <w:r>
              <w:rPr>
                <w:rFonts w:eastAsia="仿宋_GB2312"/>
                <w:szCs w:val="21"/>
              </w:rPr>
            </w:r>
          </w:p>
        </w:tc>
      </w:tr>
    </w:tbl>
    <w:p>
      <w:pPr>
        <w:pStyle w:val="684"/>
        <w:pBdr/>
        <w:spacing w:before="207"/>
        <w:ind w:right="17" w:firstLine="480" w:left="37"/>
        <w:jc w:val="center"/>
        <w:rPr>
          <w:rFonts w:eastAsia="黑体"/>
          <w:spacing w:val="-9"/>
          <w:sz w:val="28"/>
          <w:szCs w:val="28"/>
        </w:rPr>
      </w:pPr>
      <w:r>
        <w:rPr>
          <w:rFonts w:eastAsia="黑体"/>
          <w:spacing w:val="-9"/>
          <w:sz w:val="28"/>
          <w:szCs w:val="28"/>
        </w:rPr>
        <w:t xml:space="preserve">电动自行车充电设施明细表</w:t>
      </w:r>
      <w:r>
        <w:rPr>
          <w:rFonts w:eastAsia="黑体"/>
          <w:spacing w:val="-9"/>
          <w:sz w:val="28"/>
          <w:szCs w:val="28"/>
        </w:rPr>
      </w:r>
      <w:r>
        <w:rPr>
          <w:rFonts w:eastAsia="黑体"/>
          <w:spacing w:val="-9"/>
          <w:sz w:val="28"/>
          <w:szCs w:val="28"/>
        </w:rPr>
      </w:r>
    </w:p>
    <w:tbl>
      <w:tblPr>
        <w:tblW w:w="8830" w:type="dxa"/>
        <w:tblInd w:w="5" w:type="dxa"/>
        <w:tblBorders/>
        <w:tblLayout w:type="autofit"/>
        <w:tblCellMar>
          <w:left w:w="108" w:type="dxa"/>
          <w:top w:w="0" w:type="dxa"/>
          <w:right w:w="108" w:type="dxa"/>
          <w:bottom w:w="0" w:type="dxa"/>
        </w:tblCellMar>
        <w:tblLook w:val="04A0" w:firstRow="1" w:lastRow="0" w:firstColumn="1" w:lastColumn="0" w:noHBand="0" w:noVBand="1"/>
      </w:tblPr>
      <w:tblGrid>
        <w:gridCol w:w="1081"/>
        <w:gridCol w:w="1322"/>
        <w:gridCol w:w="4825"/>
        <w:gridCol w:w="1602"/>
      </w:tblGrid>
      <w:tr>
        <w:trPr>
          <w:trHeight w:val="377"/>
        </w:trPr>
        <w:tc>
          <w:tcPr>
            <w:tcBorders>
              <w:top w:val="single" w:color="000000" w:sz="4" w:space="0"/>
              <w:left w:val="single" w:color="000000" w:sz="4" w:space="0"/>
              <w:bottom w:val="single" w:color="000000" w:sz="4" w:space="0"/>
              <w:right w:val="single" w:color="000000" w:sz="4" w:space="0"/>
            </w:tcBorders>
            <w:tcW w:w="1081"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编号</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322"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所属区域</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825"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辖区单位名称</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602"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3.5KW充电桩配置个数</w:t>
            </w:r>
            <w:r>
              <w:rPr>
                <w:rFonts w:eastAsia="仿宋_GB2312"/>
                <w:b/>
                <w:bCs/>
                <w:szCs w:val="21"/>
              </w:rPr>
            </w:r>
            <w:r>
              <w:rPr>
                <w:rFonts w:eastAsia="仿宋_GB2312"/>
                <w:b/>
                <w:bCs/>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钟灵敏秀小区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94</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鸿福家园</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107</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东湖锦城</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85</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金融商务中心</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156</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永盛湖畔</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72</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香林怡景—芳洲别院</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83</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任家渡安置小区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89</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成达铁路—五彩缤纷路—东阳路—东平大道</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108</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2C09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旗山路—东平大道—旌忠路—芳洲路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118</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东阳路—东平大道—慈音路—五彩缤纷路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106</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东升路—东平大道—慈音路—五彩缤纷路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65</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旗山路—东平大道—慈音路—芳洲路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112</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东升路—东平大道—慈音路—芳洲路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35</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东升路—东平大道—栖霞路—芳洲路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33</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东升路—东平大道—栖霞路—五彩缤纷路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128</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灵云路—芳洲路—栖霞路—香林南路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67</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灵云路—东平大道—栖霞路—香林南路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107</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灵云路—东平大道—栖霞路—五彩缤纷路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94</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2C19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灵云路—芳洲路—慈航路—香林南路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68</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灵云路—东平大道—慈航路—香林南路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127</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灵云路—东平大道—慈航路—五彩缤纷路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74</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东平大道—慈航路—芳洲路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133</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东平大道—慈航路—五彩缤纷路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122</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能源学院—乡村振兴学院</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120</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保利养生谷</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57</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旗山安置小区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53</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职业技术学校</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98</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荣海温泉酒店</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36</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2C29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学苑小区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23</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2C30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乘龙苑安置小区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39</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2C31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灵泉景区北入口</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152</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2C32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灵泉景区东入口</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24</w:t>
            </w:r>
            <w:r>
              <w:rPr>
                <w:rFonts w:eastAsia="仿宋_GB2312"/>
                <w:szCs w:val="21"/>
              </w:rPr>
            </w:r>
            <w:r>
              <w:rPr>
                <w:rFonts w:eastAsia="仿宋_GB2312"/>
                <w:szCs w:val="21"/>
              </w:rPr>
            </w:r>
          </w:p>
        </w:tc>
      </w:tr>
      <w:tr>
        <w:trPr>
          <w:trHeight w:val="328"/>
        </w:trPr>
        <w:tc>
          <w:tcPr>
            <w:tcBorders>
              <w:top w:val="none" w:color="000000" w:sz="4" w:space="0"/>
              <w:left w:val="single" w:color="000000" w:sz="4" w:space="0"/>
              <w:bottom w:val="single" w:color="000000" w:sz="4" w:space="0"/>
              <w:right w:val="single" w:color="000000" w:sz="4" w:space="0"/>
            </w:tcBorders>
            <w:tcW w:w="1081" w:type="dxa"/>
            <w:vAlign w:val="center"/>
            <w:textDirection w:val="lrTb"/>
            <w:noWrap/>
          </w:tcPr>
          <w:p>
            <w:pPr>
              <w:pStyle w:val="684"/>
              <w:pBdr/>
              <w:spacing/>
              <w:ind/>
              <w:jc w:val="center"/>
              <w:rPr>
                <w:rFonts w:eastAsia="仿宋_GB2312"/>
                <w:szCs w:val="21"/>
              </w:rPr>
            </w:pPr>
            <w:r>
              <w:rPr>
                <w:rFonts w:eastAsia="仿宋_GB2312"/>
                <w:szCs w:val="21"/>
              </w:rPr>
              <w:t xml:space="preserve">2C33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ind/>
              <w:jc w:val="center"/>
              <w:rPr>
                <w:rFonts w:eastAsia="仿宋_GB2312"/>
                <w:szCs w:val="21"/>
              </w:rPr>
            </w:pPr>
            <w:r>
              <w:rPr>
                <w:rFonts w:eastAsia="仿宋_GB2312"/>
                <w:spacing w:val="-9"/>
                <w:szCs w:val="21"/>
              </w:rPr>
              <w:t xml:space="preserve">东片区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25" w:type="dxa"/>
            <w:vAlign w:val="center"/>
            <w:textDirection w:val="lrTb"/>
            <w:noWrap/>
          </w:tcPr>
          <w:p>
            <w:pPr>
              <w:pStyle w:val="684"/>
              <w:pBdr/>
              <w:spacing/>
              <w:ind/>
              <w:jc w:val="center"/>
              <w:rPr>
                <w:rFonts w:eastAsia="仿宋_GB2312"/>
                <w:szCs w:val="21"/>
              </w:rPr>
            </w:pPr>
            <w:r>
              <w:rPr>
                <w:rFonts w:eastAsia="仿宋_GB2312"/>
                <w:szCs w:val="21"/>
              </w:rPr>
              <w:t xml:space="preserve">仁里片区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215</w:t>
            </w:r>
            <w:r>
              <w:rPr>
                <w:rFonts w:eastAsia="仿宋_GB2312"/>
                <w:szCs w:val="21"/>
              </w:rPr>
            </w:r>
            <w:r>
              <w:rPr>
                <w:rFonts w:eastAsia="仿宋_GB2312"/>
                <w:szCs w:val="21"/>
              </w:rPr>
            </w:r>
          </w:p>
        </w:tc>
      </w:tr>
      <w:tr>
        <w:trPr>
          <w:trHeight w:val="328"/>
        </w:trPr>
        <w:tc>
          <w:tcPr>
            <w:gridSpan w:val="3"/>
            <w:tcBorders>
              <w:top w:val="single" w:color="000000" w:sz="4" w:space="0"/>
              <w:left w:val="single" w:color="000000" w:sz="4" w:space="0"/>
              <w:bottom w:val="single" w:color="000000" w:sz="4" w:space="0"/>
              <w:right w:val="single" w:color="000000" w:sz="4" w:space="0"/>
            </w:tcBorders>
            <w:tcW w:w="7228" w:type="dxa"/>
            <w:vAlign w:val="center"/>
            <w:textDirection w:val="lrTb"/>
            <w:noWrap/>
          </w:tcPr>
          <w:p>
            <w:pPr>
              <w:pStyle w:val="684"/>
              <w:pBdr/>
              <w:spacing/>
              <w:ind/>
              <w:jc w:val="center"/>
              <w:rPr>
                <w:rFonts w:eastAsia="仿宋_GB2312"/>
                <w:szCs w:val="21"/>
              </w:rPr>
            </w:pPr>
            <w:r>
              <w:rPr>
                <w:rFonts w:eastAsia="仿宋_GB2312"/>
                <w:szCs w:val="21"/>
              </w:rPr>
              <w:t xml:space="preserve">合计</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2" w:type="dxa"/>
            <w:vAlign w:val="center"/>
            <w:textDirection w:val="lrTb"/>
            <w:noWrap/>
          </w:tcPr>
          <w:p>
            <w:pPr>
              <w:pStyle w:val="684"/>
              <w:pBdr/>
              <w:spacing/>
              <w:ind/>
              <w:jc w:val="center"/>
              <w:rPr>
                <w:rFonts w:eastAsia="仿宋_GB2312"/>
                <w:szCs w:val="21"/>
              </w:rPr>
            </w:pPr>
            <w:r>
              <w:rPr>
                <w:rFonts w:eastAsia="仿宋_GB2312"/>
                <w:szCs w:val="21"/>
              </w:rPr>
              <w:t xml:space="preserve">3000</w:t>
            </w:r>
            <w:r>
              <w:rPr>
                <w:rFonts w:eastAsia="仿宋_GB2312"/>
                <w:szCs w:val="21"/>
              </w:rPr>
            </w:r>
            <w:r>
              <w:rPr>
                <w:rFonts w:eastAsia="仿宋_GB2312"/>
                <w:szCs w:val="21"/>
              </w:rPr>
            </w:r>
          </w:p>
        </w:tc>
      </w:tr>
    </w:tbl>
    <w:p>
      <w:pPr>
        <w:pStyle w:val="684"/>
        <w:pBdr/>
        <w:spacing w:before="207"/>
        <w:ind w:right="17" w:firstLine="480" w:left="37"/>
        <w:jc w:val="center"/>
        <w:rPr>
          <w:spacing w:val="-9"/>
          <w:sz w:val="24"/>
        </w:rPr>
      </w:pPr>
      <w:r>
        <w:rPr>
          <w:spacing w:val="-9"/>
          <w:sz w:val="24"/>
        </w:rPr>
      </w:r>
      <w:r>
        <w:rPr>
          <w:spacing w:val="-9"/>
          <w:sz w:val="24"/>
        </w:rPr>
      </w:r>
    </w:p>
    <w:p>
      <w:pPr>
        <w:pStyle w:val="684"/>
        <w:pBdr/>
        <w:spacing w:line="600" w:lineRule="exact"/>
        <w:ind w:firstLine="604"/>
        <w:rPr>
          <w:rFonts w:eastAsia="仿宋_GB2312"/>
          <w:spacing w:val="-9"/>
          <w:sz w:val="32"/>
          <w:szCs w:val="32"/>
        </w:rPr>
      </w:pPr>
      <w:r>
        <w:rPr>
          <w:rFonts w:eastAsia="仿宋_GB2312"/>
          <w:spacing w:val="-9"/>
          <w:sz w:val="32"/>
          <w:szCs w:val="32"/>
        </w:rPr>
        <w:t xml:space="preserve">（三）西片区</w:t>
      </w:r>
      <w:r>
        <w:rPr>
          <w:rFonts w:eastAsia="仿宋_GB2312"/>
          <w:spacing w:val="-9"/>
          <w:sz w:val="32"/>
          <w:szCs w:val="32"/>
        </w:rPr>
      </w:r>
      <w:r>
        <w:rPr>
          <w:rFonts w:eastAsia="仿宋_GB2312"/>
          <w:spacing w:val="-9"/>
          <w:sz w:val="32"/>
          <w:szCs w:val="32"/>
        </w:rPr>
      </w:r>
    </w:p>
    <w:p>
      <w:pPr>
        <w:pStyle w:val="684"/>
        <w:pBdr/>
        <w:spacing w:line="600" w:lineRule="exact"/>
        <w:ind w:firstLine="604"/>
        <w:rPr>
          <w:rFonts w:eastAsia="仿宋_GB2312"/>
          <w:spacing w:val="-9"/>
          <w:sz w:val="32"/>
          <w:szCs w:val="32"/>
        </w:rPr>
      </w:pPr>
      <w:r>
        <w:rPr>
          <w:rFonts w:eastAsia="仿宋_GB2312"/>
          <w:spacing w:val="-9"/>
          <w:sz w:val="32"/>
          <w:szCs w:val="32"/>
        </w:rPr>
        <w:t xml:space="preserve">远期目标（二期）西片区智慧小区规划20个区域，共规划电动汽车充电停车位4156套，电动自行车充电桩5600套。</w:t>
      </w:r>
      <w:r>
        <w:rPr>
          <w:rFonts w:eastAsia="仿宋_GB2312"/>
          <w:spacing w:val="-9"/>
          <w:sz w:val="32"/>
          <w:szCs w:val="32"/>
        </w:rPr>
      </w:r>
      <w:r>
        <w:rPr>
          <w:rFonts w:eastAsia="仿宋_GB2312"/>
          <w:spacing w:val="-9"/>
          <w:sz w:val="32"/>
          <w:szCs w:val="32"/>
        </w:rPr>
      </w:r>
    </w:p>
    <w:p>
      <w:pPr>
        <w:pStyle w:val="684"/>
        <w:pBdr/>
        <w:spacing w:before="207" w:line="374" w:lineRule="auto"/>
        <w:ind w:right="17" w:firstLine="480" w:left="37"/>
        <w:jc w:val="center"/>
        <w:rPr>
          <w:rFonts w:eastAsia="黑体"/>
          <w:spacing w:val="-9"/>
          <w:sz w:val="28"/>
          <w:szCs w:val="28"/>
        </w:rPr>
      </w:pPr>
      <w:r>
        <w:rPr>
          <w:rFonts w:eastAsia="黑体"/>
          <w:spacing w:val="-9"/>
          <w:sz w:val="28"/>
          <w:szCs w:val="28"/>
        </w:rPr>
        <w:t xml:space="preserve">电动汽车充电设施明细表</w:t>
      </w:r>
      <w:r>
        <w:rPr>
          <w:rFonts w:eastAsia="黑体"/>
          <w:spacing w:val="-9"/>
          <w:sz w:val="28"/>
          <w:szCs w:val="28"/>
        </w:rPr>
      </w:r>
      <w:r>
        <w:rPr>
          <w:rFonts w:eastAsia="黑体"/>
          <w:spacing w:val="-9"/>
          <w:sz w:val="28"/>
          <w:szCs w:val="28"/>
        </w:rPr>
      </w:r>
    </w:p>
    <w:tbl>
      <w:tblPr>
        <w:tblW w:w="4917" w:type="pct"/>
        <w:jc w:val="center"/>
        <w:tblInd w:w="-108" w:type="dxa"/>
        <w:tblBorders/>
        <w:tblLayout w:type="autofit"/>
        <w:tblCellMar>
          <w:left w:w="108" w:type="dxa"/>
          <w:top w:w="0" w:type="dxa"/>
          <w:right w:w="108" w:type="dxa"/>
          <w:bottom w:w="0" w:type="dxa"/>
        </w:tblCellMar>
        <w:tblLook w:val="04A0" w:firstRow="1" w:lastRow="0" w:firstColumn="1" w:lastColumn="0" w:noHBand="0" w:noVBand="1"/>
      </w:tblPr>
      <w:tblGrid>
        <w:gridCol w:w="761"/>
        <w:gridCol w:w="928"/>
        <w:gridCol w:w="2896"/>
        <w:gridCol w:w="730"/>
        <w:gridCol w:w="1007"/>
        <w:gridCol w:w="1007"/>
        <w:gridCol w:w="1007"/>
        <w:gridCol w:w="724"/>
      </w:tblGrid>
      <w:tr>
        <w:trPr>
          <w:trHeight w:val="400"/>
        </w:trPr>
        <w:tc>
          <w:tcPr>
            <w:tcBorders>
              <w:top w:val="single" w:color="000000" w:sz="4" w:space="0"/>
              <w:left w:val="single" w:color="000000" w:sz="4" w:space="0"/>
              <w:bottom w:val="single" w:color="000000" w:sz="4" w:space="0"/>
              <w:right w:val="single" w:color="000000" w:sz="4" w:space="0"/>
            </w:tcBorders>
            <w:tcW w:w="790"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编号</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966"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所属</w:t>
            </w:r>
            <w:r>
              <w:rPr>
                <w:rFonts w:eastAsia="仿宋_GB2312"/>
                <w:b/>
                <w:bCs/>
                <w:szCs w:val="21"/>
              </w:rPr>
            </w:r>
            <w:r>
              <w:rPr>
                <w:rFonts w:eastAsia="仿宋_GB2312"/>
                <w:b/>
                <w:bCs/>
                <w:szCs w:val="21"/>
              </w:rPr>
            </w:r>
          </w:p>
          <w:p>
            <w:pPr>
              <w:pStyle w:val="684"/>
              <w:pBdr/>
              <w:spacing/>
              <w:ind/>
              <w:jc w:val="center"/>
              <w:rPr>
                <w:rFonts w:eastAsia="仿宋_GB2312"/>
                <w:b/>
                <w:bCs/>
                <w:szCs w:val="21"/>
              </w:rPr>
            </w:pPr>
            <w:r>
              <w:rPr>
                <w:rFonts w:eastAsia="仿宋_GB2312"/>
                <w:b/>
                <w:bCs/>
                <w:szCs w:val="21"/>
              </w:rPr>
              <w:t xml:space="preserve">区域</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039"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辖区单位名称</w:t>
            </w:r>
            <w:r>
              <w:rPr>
                <w:rFonts w:eastAsia="仿宋_GB2312"/>
                <w:b/>
                <w:bCs/>
                <w:szCs w:val="21"/>
              </w:rPr>
            </w:r>
            <w:r>
              <w:rPr>
                <w:rFonts w:eastAsia="仿宋_GB2312"/>
                <w:b/>
                <w:bCs/>
                <w:szCs w:val="21"/>
              </w:rPr>
            </w:r>
          </w:p>
        </w:tc>
        <w:tc>
          <w:tcPr>
            <w:gridSpan w:val="4"/>
            <w:tcBorders>
              <w:top w:val="single" w:color="000000" w:sz="4" w:space="0"/>
              <w:left w:val="none" w:color="000000" w:sz="4" w:space="0"/>
              <w:bottom w:val="single" w:color="000000" w:sz="4" w:space="0"/>
              <w:right w:val="single" w:color="000000" w:sz="4" w:space="0"/>
            </w:tcBorders>
            <w:tcW w:w="3751"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充电桩配置个数</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698"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合计</w:t>
            </w:r>
            <w:r>
              <w:rPr>
                <w:rFonts w:eastAsia="仿宋_GB2312"/>
                <w:b/>
                <w:bCs/>
                <w:szCs w:val="21"/>
              </w:rPr>
            </w:r>
            <w:r>
              <w:rPr>
                <w:rFonts w:eastAsia="仿宋_GB2312"/>
                <w:b/>
                <w:bCs/>
                <w:szCs w:val="21"/>
              </w:rPr>
            </w:r>
          </w:p>
        </w:tc>
      </w:tr>
      <w:tr>
        <w:trPr>
          <w:trHeight w:val="400"/>
        </w:trPr>
        <w:tc>
          <w:tcPr>
            <w:tcBorders>
              <w:top w:val="single" w:color="000000" w:sz="4" w:space="0"/>
              <w:left w:val="single" w:color="000000" w:sz="4" w:space="0"/>
              <w:bottom w:val="single" w:color="000000" w:sz="4" w:space="0"/>
              <w:right w:val="single" w:color="000000" w:sz="4" w:space="0"/>
            </w:tcBorders>
            <w:tcW w:w="761"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single" w:color="000000" w:sz="4" w:space="0"/>
              <w:left w:val="single" w:color="000000" w:sz="4" w:space="0"/>
              <w:bottom w:val="single" w:color="000000" w:sz="4" w:space="0"/>
              <w:right w:val="single" w:color="000000" w:sz="4" w:space="0"/>
            </w:tcBorders>
            <w:tcW w:w="928"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single" w:color="000000" w:sz="4" w:space="0"/>
              <w:left w:val="single" w:color="000000" w:sz="4" w:space="0"/>
              <w:bottom w:val="single" w:color="000000" w:sz="4" w:space="0"/>
              <w:right w:val="single" w:color="000000" w:sz="4" w:space="0"/>
            </w:tcBorders>
            <w:tcW w:w="2896"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7KW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120KW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480KW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600KW</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24"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卧龙东路—卧龙路—黄龙路—中环线</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193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242</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职业学院</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131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162</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兴业人才公寓</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136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168</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北部棚改小区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153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192</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体育公园</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193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237</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西宁大道—中环线—华翔城—高速</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210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264</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西宁大道—中环线—北湖路—春晓路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214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273</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鹭栖湖公园</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68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87</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2D09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远成物流片区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267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47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333</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建坤城片区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421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74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523</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湖翠路—中环线—玫瑰大道—春晓路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102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122</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玫瑰大道—春晓路—栖凤路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136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168</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凉水井小区二期</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153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193</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凉水井小区四期</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73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89</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南片区棚改小区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91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117</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实验小学片区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119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154</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铁路—玫瑰大道—达详路—西宁大道</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147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190</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达详路—西宁大道—致远路—渠河</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165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209</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2D19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达详路—玫瑰大道—致远路—渠河</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204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250</w:t>
            </w:r>
            <w:r>
              <w:rPr>
                <w:rFonts w:eastAsia="仿宋_GB2312"/>
                <w:szCs w:val="21"/>
              </w:rPr>
            </w:r>
            <w:r>
              <w:rPr>
                <w:rFonts w:eastAsia="仿宋_GB2312"/>
                <w:szCs w:val="21"/>
              </w:rPr>
            </w:r>
          </w:p>
        </w:tc>
      </w:tr>
      <w:tr>
        <w:trPr>
          <w:trHeight w:val="400"/>
        </w:trPr>
        <w:tc>
          <w:tcPr>
            <w:tcBorders>
              <w:top w:val="none" w:color="000000" w:sz="4" w:space="0"/>
              <w:left w:val="single" w:color="000000" w:sz="4" w:space="0"/>
              <w:bottom w:val="single" w:color="000000" w:sz="4" w:space="0"/>
              <w:right w:val="single" w:color="000000" w:sz="4" w:space="0"/>
            </w:tcBorders>
            <w:tcW w:w="790" w:type="dxa"/>
            <w:vAlign w:val="center"/>
            <w:textDirection w:val="lrTb"/>
            <w:noWrap/>
          </w:tcPr>
          <w:p>
            <w:pPr>
              <w:pStyle w:val="684"/>
              <w:pBdr/>
              <w:spacing/>
              <w:ind/>
              <w:jc w:val="center"/>
              <w:rPr>
                <w:rFonts w:eastAsia="仿宋_GB2312"/>
                <w:szCs w:val="21"/>
              </w:rPr>
            </w:pPr>
            <w:r>
              <w:rPr>
                <w:rFonts w:eastAsia="仿宋_GB2312"/>
                <w:szCs w:val="21"/>
              </w:rPr>
              <w:t xml:space="preserve">2D20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66"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3039" w:type="dxa"/>
            <w:vAlign w:val="center"/>
            <w:textDirection w:val="lrTb"/>
            <w:noWrap/>
          </w:tcPr>
          <w:p>
            <w:pPr>
              <w:pStyle w:val="684"/>
              <w:pBdr/>
              <w:spacing/>
              <w:ind/>
              <w:jc w:val="center"/>
              <w:rPr>
                <w:rFonts w:eastAsia="仿宋_GB2312"/>
                <w:szCs w:val="21"/>
              </w:rPr>
            </w:pPr>
            <w:r>
              <w:rPr>
                <w:rFonts w:eastAsia="仿宋_GB2312"/>
                <w:szCs w:val="21"/>
              </w:rPr>
              <w:t xml:space="preserve">玫瑰大道—栖凤路—渠河</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148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183</w:t>
            </w:r>
            <w:r>
              <w:rPr>
                <w:rFonts w:eastAsia="仿宋_GB2312"/>
                <w:szCs w:val="21"/>
              </w:rPr>
            </w:r>
            <w:r>
              <w:rPr>
                <w:rFonts w:eastAsia="仿宋_GB2312"/>
                <w:szCs w:val="21"/>
              </w:rPr>
            </w:r>
          </w:p>
        </w:tc>
      </w:tr>
      <w:tr>
        <w:trPr>
          <w:trHeight w:val="400"/>
        </w:trPr>
        <w:tc>
          <w:tcPr>
            <w:gridSpan w:val="3"/>
            <w:tcBorders>
              <w:top w:val="single" w:color="000000" w:sz="4" w:space="0"/>
              <w:left w:val="single" w:color="000000" w:sz="4" w:space="0"/>
              <w:bottom w:val="single" w:color="000000" w:sz="4" w:space="0"/>
              <w:right w:val="single" w:color="000000" w:sz="4" w:space="0"/>
            </w:tcBorders>
            <w:tcW w:w="4795" w:type="dxa"/>
            <w:vAlign w:val="center"/>
            <w:textDirection w:val="lrTb"/>
            <w:noWrap/>
          </w:tcPr>
          <w:p>
            <w:pPr>
              <w:pStyle w:val="684"/>
              <w:pBdr/>
              <w:spacing/>
              <w:ind/>
              <w:jc w:val="center"/>
              <w:rPr>
                <w:rFonts w:eastAsia="仿宋_GB2312"/>
                <w:szCs w:val="21"/>
              </w:rPr>
            </w:pPr>
            <w:r>
              <w:rPr>
                <w:rFonts w:eastAsia="仿宋_GB2312"/>
                <w:szCs w:val="21"/>
              </w:rPr>
              <w:t xml:space="preserve">合计</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00" w:type="dxa"/>
            <w:vAlign w:val="center"/>
            <w:textDirection w:val="lrTb"/>
            <w:noWrap/>
          </w:tcPr>
          <w:p>
            <w:pPr>
              <w:pStyle w:val="684"/>
              <w:pBdr/>
              <w:spacing/>
              <w:ind/>
              <w:jc w:val="center"/>
              <w:rPr>
                <w:rFonts w:eastAsia="仿宋_GB2312"/>
                <w:szCs w:val="21"/>
              </w:rPr>
            </w:pPr>
            <w:r>
              <w:rPr>
                <w:rFonts w:eastAsia="仿宋_GB2312"/>
                <w:szCs w:val="21"/>
              </w:rPr>
              <w:t xml:space="preserve">3324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584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186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06" w:type="dxa"/>
            <w:vAlign w:val="center"/>
            <w:textDirection w:val="lrTb"/>
            <w:noWrap/>
          </w:tcPr>
          <w:p>
            <w:pPr>
              <w:pStyle w:val="684"/>
              <w:pBdr/>
              <w:spacing/>
              <w:ind/>
              <w:jc w:val="center"/>
              <w:rPr>
                <w:rFonts w:eastAsia="仿宋_GB2312"/>
                <w:szCs w:val="21"/>
              </w:rPr>
            </w:pPr>
            <w:r>
              <w:rPr>
                <w:rFonts w:eastAsia="仿宋_GB2312"/>
                <w:szCs w:val="21"/>
              </w:rPr>
              <w:t xml:space="preserve">62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698" w:type="dxa"/>
            <w:vAlign w:val="center"/>
            <w:textDirection w:val="lrTb"/>
            <w:noWrap/>
          </w:tcPr>
          <w:p>
            <w:pPr>
              <w:pStyle w:val="684"/>
              <w:pBdr/>
              <w:spacing/>
              <w:ind/>
              <w:jc w:val="center"/>
              <w:rPr>
                <w:rFonts w:eastAsia="仿宋_GB2312"/>
                <w:szCs w:val="21"/>
              </w:rPr>
            </w:pPr>
            <w:r>
              <w:rPr>
                <w:rFonts w:eastAsia="仿宋_GB2312"/>
                <w:szCs w:val="21"/>
              </w:rPr>
              <w:t xml:space="preserve">4156</w:t>
            </w:r>
            <w:r>
              <w:rPr>
                <w:rFonts w:eastAsia="仿宋_GB2312"/>
                <w:szCs w:val="21"/>
              </w:rPr>
            </w:r>
            <w:r>
              <w:rPr>
                <w:rFonts w:eastAsia="仿宋_GB2312"/>
                <w:szCs w:val="21"/>
              </w:rPr>
            </w:r>
          </w:p>
        </w:tc>
      </w:tr>
    </w:tbl>
    <w:p>
      <w:pPr>
        <w:pStyle w:val="684"/>
        <w:pBdr/>
        <w:spacing w:before="207"/>
        <w:ind w:right="17" w:firstLine="480" w:left="37"/>
        <w:jc w:val="center"/>
        <w:rPr>
          <w:rFonts w:eastAsia="黑体"/>
          <w:spacing w:val="-9"/>
          <w:sz w:val="28"/>
          <w:szCs w:val="28"/>
        </w:rPr>
      </w:pPr>
      <w:r>
        <w:rPr>
          <w:rFonts w:eastAsia="黑体"/>
          <w:spacing w:val="-9"/>
          <w:sz w:val="28"/>
          <w:szCs w:val="28"/>
        </w:rPr>
        <w:t xml:space="preserve">电动自行车充电设施明细表</w:t>
      </w:r>
      <w:r>
        <w:rPr>
          <w:rFonts w:eastAsia="黑体"/>
          <w:spacing w:val="-9"/>
          <w:sz w:val="28"/>
          <w:szCs w:val="28"/>
        </w:rPr>
      </w:r>
      <w:r>
        <w:rPr>
          <w:rFonts w:eastAsia="黑体"/>
          <w:spacing w:val="-9"/>
          <w:sz w:val="28"/>
          <w:szCs w:val="28"/>
        </w:rPr>
      </w:r>
    </w:p>
    <w:tbl>
      <w:tblPr>
        <w:tblW w:w="8854" w:type="dxa"/>
        <w:tblInd w:w="0" w:type="dxa"/>
        <w:tblBorders/>
        <w:tblLayout w:type="autofit"/>
        <w:tblCellMar>
          <w:left w:w="108" w:type="dxa"/>
          <w:top w:w="0" w:type="dxa"/>
          <w:right w:w="108" w:type="dxa"/>
          <w:bottom w:w="0" w:type="dxa"/>
        </w:tblCellMar>
        <w:tblLook w:val="04A0" w:firstRow="1" w:lastRow="0" w:firstColumn="1" w:lastColumn="0" w:noHBand="0" w:noVBand="1"/>
      </w:tblPr>
      <w:tblGrid>
        <w:gridCol w:w="1084"/>
        <w:gridCol w:w="1325"/>
        <w:gridCol w:w="4839"/>
        <w:gridCol w:w="1606"/>
      </w:tblGrid>
      <w:tr>
        <w:trPr>
          <w:trHeight w:val="475"/>
        </w:trPr>
        <w:tc>
          <w:tcPr>
            <w:tcBorders>
              <w:top w:val="single" w:color="000000" w:sz="4" w:space="0"/>
              <w:left w:val="single" w:color="000000" w:sz="4" w:space="0"/>
              <w:bottom w:val="single" w:color="000000" w:sz="4" w:space="0"/>
              <w:right w:val="single" w:color="000000" w:sz="4" w:space="0"/>
            </w:tcBorders>
            <w:tcW w:w="1084"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编号</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325"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所属区域</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839"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辖区单位名称</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606"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3.5KW充电桩配置个数</w:t>
            </w:r>
            <w:r>
              <w:rPr>
                <w:rFonts w:eastAsia="仿宋_GB2312"/>
                <w:b/>
                <w:bCs/>
                <w:szCs w:val="21"/>
              </w:rPr>
            </w:r>
            <w:r>
              <w:rPr>
                <w:rFonts w:eastAsia="仿宋_GB2312"/>
                <w:b/>
                <w:bCs/>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卧龙东路—卧龙路—黄龙路—中环线</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326</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职业学院</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220</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兴业人才公寓</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232</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北部棚改小区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258</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体育公园</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334</w:t>
            </w:r>
            <w:r>
              <w:rPr>
                <w:rFonts w:eastAsia="仿宋_GB2312"/>
                <w:szCs w:val="21"/>
              </w:rPr>
            </w:r>
            <w:r>
              <w:rPr>
                <w:rFonts w:eastAsia="仿宋_GB2312"/>
                <w:szCs w:val="21"/>
              </w:rPr>
            </w:r>
          </w:p>
        </w:tc>
      </w:tr>
      <w:tr>
        <w:trPr>
          <w:trHeight w:val="476"/>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西宁大道—中环线—华翔城—高速</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354</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西宁大道—中环线—北湖路—春晓路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367</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鹭栖湖公园</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115</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2D09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远成物流片区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453</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建坤城片区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706</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湖翠路—中环线—玫瑰大道—春晓路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173</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玫瑰大道—春晓路—栖凤路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231</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凉水井小区二期</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256</w:t>
            </w:r>
            <w:r>
              <w:rPr>
                <w:rFonts w:eastAsia="仿宋_GB2312"/>
                <w:szCs w:val="21"/>
              </w:rPr>
            </w:r>
            <w:r>
              <w:rPr>
                <w:rFonts w:eastAsia="仿宋_GB2312"/>
                <w:szCs w:val="21"/>
              </w:rPr>
            </w:r>
          </w:p>
        </w:tc>
      </w:tr>
      <w:tr>
        <w:trPr>
          <w:trHeight w:val="476"/>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凉水井小区四期</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124</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南片区棚改小区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156</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实验小学片区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203</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铁路—玫瑰大道—达详路—西宁大道</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257</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达详路—西宁大道—致远路—渠河</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278</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2D19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达详路—玫瑰大道—致远路—渠河</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336</w:t>
            </w:r>
            <w:r>
              <w:rPr>
                <w:rFonts w:eastAsia="仿宋_GB2312"/>
                <w:szCs w:val="21"/>
              </w:rPr>
            </w:r>
            <w:r>
              <w:rPr>
                <w:rFonts w:eastAsia="仿宋_GB2312"/>
                <w:szCs w:val="21"/>
              </w:rPr>
            </w:r>
          </w:p>
        </w:tc>
      </w:tr>
      <w:tr>
        <w:trPr>
          <w:trHeight w:val="475"/>
        </w:trPr>
        <w:tc>
          <w:tcPr>
            <w:tcBorders>
              <w:top w:val="none" w:color="000000" w:sz="4" w:space="0"/>
              <w:left w:val="single" w:color="000000" w:sz="4" w:space="0"/>
              <w:bottom w:val="single" w:color="000000" w:sz="4" w:space="0"/>
              <w:right w:val="single" w:color="000000" w:sz="4" w:space="0"/>
            </w:tcBorders>
            <w:tcW w:w="1084" w:type="dxa"/>
            <w:vAlign w:val="center"/>
            <w:textDirection w:val="lrTb"/>
            <w:noWrap/>
          </w:tcPr>
          <w:p>
            <w:pPr>
              <w:pStyle w:val="684"/>
              <w:pBdr/>
              <w:spacing/>
              <w:ind/>
              <w:jc w:val="center"/>
              <w:rPr>
                <w:rFonts w:eastAsia="仿宋_GB2312"/>
                <w:szCs w:val="21"/>
              </w:rPr>
            </w:pPr>
            <w:r>
              <w:rPr>
                <w:rFonts w:eastAsia="仿宋_GB2312"/>
                <w:szCs w:val="21"/>
              </w:rPr>
              <w:t xml:space="preserve">2D20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325" w:type="dxa"/>
            <w:vAlign w:val="center"/>
            <w:textDirection w:val="lrTb"/>
            <w:noWrap/>
          </w:tcPr>
          <w:p>
            <w:pPr>
              <w:pStyle w:val="684"/>
              <w:pBdr/>
              <w:spacing/>
              <w:ind/>
              <w:jc w:val="center"/>
              <w:rPr>
                <w:rFonts w:eastAsia="仿宋_GB2312"/>
                <w:szCs w:val="21"/>
              </w:rPr>
            </w:pPr>
            <w:r>
              <w:rPr>
                <w:rFonts w:eastAsia="仿宋_GB2312"/>
                <w:spacing w:val="-9"/>
                <w:szCs w:val="21"/>
              </w:rPr>
              <w:t xml:space="preserve">西片区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4839" w:type="dxa"/>
            <w:vAlign w:val="center"/>
            <w:textDirection w:val="lrTb"/>
            <w:noWrap/>
          </w:tcPr>
          <w:p>
            <w:pPr>
              <w:pStyle w:val="684"/>
              <w:pBdr/>
              <w:spacing/>
              <w:ind/>
              <w:jc w:val="center"/>
              <w:rPr>
                <w:rFonts w:eastAsia="仿宋_GB2312"/>
                <w:szCs w:val="21"/>
              </w:rPr>
            </w:pPr>
            <w:r>
              <w:rPr>
                <w:rFonts w:eastAsia="仿宋_GB2312"/>
                <w:szCs w:val="21"/>
              </w:rPr>
              <w:t xml:space="preserve">玫瑰大道—栖凤路—渠河</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221</w:t>
            </w:r>
            <w:r>
              <w:rPr>
                <w:rFonts w:eastAsia="仿宋_GB2312"/>
                <w:szCs w:val="21"/>
              </w:rPr>
            </w:r>
            <w:r>
              <w:rPr>
                <w:rFonts w:eastAsia="仿宋_GB2312"/>
                <w:szCs w:val="21"/>
              </w:rPr>
            </w:r>
          </w:p>
        </w:tc>
      </w:tr>
      <w:tr>
        <w:trPr>
          <w:trHeight w:val="476"/>
        </w:trPr>
        <w:tc>
          <w:tcPr>
            <w:gridSpan w:val="3"/>
            <w:tcBorders>
              <w:top w:val="single" w:color="000000" w:sz="4" w:space="0"/>
              <w:left w:val="single" w:color="000000" w:sz="4" w:space="0"/>
              <w:bottom w:val="single" w:color="000000" w:sz="4" w:space="0"/>
              <w:right w:val="single" w:color="000000" w:sz="4" w:space="0"/>
            </w:tcBorders>
            <w:tcW w:w="7248" w:type="dxa"/>
            <w:vAlign w:val="center"/>
            <w:textDirection w:val="lrTb"/>
            <w:noWrap/>
          </w:tcPr>
          <w:p>
            <w:pPr>
              <w:pStyle w:val="684"/>
              <w:pBdr/>
              <w:spacing/>
              <w:ind/>
              <w:jc w:val="center"/>
              <w:rPr>
                <w:rFonts w:eastAsia="仿宋_GB2312"/>
                <w:szCs w:val="21"/>
              </w:rPr>
            </w:pPr>
            <w:r>
              <w:rPr>
                <w:rFonts w:eastAsia="仿宋_GB2312"/>
                <w:szCs w:val="21"/>
              </w:rPr>
              <w:t xml:space="preserve">合计</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606" w:type="dxa"/>
            <w:vAlign w:val="center"/>
            <w:textDirection w:val="lrTb"/>
            <w:noWrap/>
          </w:tcPr>
          <w:p>
            <w:pPr>
              <w:pStyle w:val="684"/>
              <w:pBdr/>
              <w:spacing/>
              <w:ind/>
              <w:jc w:val="center"/>
              <w:rPr>
                <w:rFonts w:eastAsia="仿宋_GB2312"/>
                <w:szCs w:val="21"/>
              </w:rPr>
            </w:pPr>
            <w:r>
              <w:rPr>
                <w:rFonts w:eastAsia="仿宋_GB2312"/>
                <w:szCs w:val="21"/>
              </w:rPr>
              <w:t xml:space="preserve">5600</w:t>
            </w:r>
            <w:r>
              <w:rPr>
                <w:rFonts w:eastAsia="仿宋_GB2312"/>
                <w:szCs w:val="21"/>
              </w:rPr>
            </w:r>
            <w:r>
              <w:rPr>
                <w:rFonts w:eastAsia="仿宋_GB2312"/>
                <w:szCs w:val="21"/>
              </w:rPr>
            </w:r>
          </w:p>
        </w:tc>
      </w:tr>
    </w:tbl>
    <w:p>
      <w:pPr>
        <w:pStyle w:val="684"/>
        <w:pBdr/>
        <w:spacing w:line="600" w:lineRule="exact"/>
        <w:ind w:firstLine="604"/>
        <w:rPr>
          <w:rFonts w:eastAsia="仿宋_GB2312"/>
          <w:spacing w:val="-9"/>
          <w:sz w:val="32"/>
          <w:szCs w:val="32"/>
        </w:rPr>
      </w:pPr>
      <w:r>
        <w:rPr>
          <w:rFonts w:eastAsia="仿宋_GB2312"/>
          <w:spacing w:val="-9"/>
          <w:sz w:val="32"/>
          <w:szCs w:val="32"/>
        </w:rPr>
        <w:t xml:space="preserve">（四）西北片区、南片区</w:t>
      </w:r>
      <w:r>
        <w:rPr>
          <w:rFonts w:eastAsia="仿宋_GB2312"/>
          <w:spacing w:val="-9"/>
          <w:sz w:val="32"/>
          <w:szCs w:val="32"/>
        </w:rPr>
      </w:r>
      <w:r>
        <w:rPr>
          <w:rFonts w:eastAsia="仿宋_GB2312"/>
          <w:spacing w:val="-9"/>
          <w:sz w:val="32"/>
          <w:szCs w:val="32"/>
        </w:rPr>
      </w:r>
    </w:p>
    <w:p>
      <w:pPr>
        <w:pStyle w:val="684"/>
        <w:pBdr/>
        <w:spacing w:line="600" w:lineRule="exact"/>
        <w:ind w:firstLine="604"/>
        <w:rPr>
          <w:rFonts w:eastAsia="仿宋_GB2312"/>
          <w:spacing w:val="-9"/>
          <w:sz w:val="32"/>
          <w:szCs w:val="32"/>
        </w:rPr>
      </w:pPr>
      <w:r>
        <w:rPr>
          <w:rFonts w:eastAsia="仿宋_GB2312"/>
          <w:spacing w:val="-9"/>
          <w:sz w:val="32"/>
          <w:szCs w:val="32"/>
        </w:rPr>
        <w:t xml:space="preserve">远期目标（二期）西北片区、南片区智慧小区规划43个区域，共规划电动汽车充电停车位8676套，电动自行车充电桩12000套。</w:t>
      </w:r>
      <w:r>
        <w:rPr>
          <w:rFonts w:eastAsia="仿宋_GB2312"/>
          <w:spacing w:val="-9"/>
          <w:sz w:val="32"/>
          <w:szCs w:val="32"/>
        </w:rPr>
      </w:r>
      <w:r>
        <w:rPr>
          <w:rFonts w:eastAsia="仿宋_GB2312"/>
          <w:spacing w:val="-9"/>
          <w:sz w:val="32"/>
          <w:szCs w:val="32"/>
        </w:rPr>
      </w:r>
    </w:p>
    <w:p>
      <w:pPr>
        <w:pStyle w:val="684"/>
        <w:pBdr/>
        <w:spacing w:before="207" w:line="374" w:lineRule="auto"/>
        <w:ind w:right="17" w:firstLine="480" w:left="37"/>
        <w:jc w:val="center"/>
        <w:rPr>
          <w:rFonts w:eastAsia="黑体"/>
          <w:spacing w:val="-9"/>
          <w:sz w:val="28"/>
          <w:szCs w:val="28"/>
        </w:rPr>
      </w:pPr>
      <w:r>
        <w:rPr>
          <w:rFonts w:eastAsia="黑体"/>
          <w:spacing w:val="-9"/>
          <w:sz w:val="28"/>
          <w:szCs w:val="28"/>
        </w:rPr>
        <w:t xml:space="preserve">电动汽车充电设施明细表</w:t>
      </w:r>
      <w:r>
        <w:rPr>
          <w:rFonts w:eastAsia="黑体"/>
          <w:spacing w:val="-9"/>
          <w:sz w:val="28"/>
          <w:szCs w:val="28"/>
        </w:rPr>
      </w:r>
      <w:r>
        <w:rPr>
          <w:rFonts w:eastAsia="黑体"/>
          <w:spacing w:val="-9"/>
          <w:sz w:val="28"/>
          <w:szCs w:val="28"/>
        </w:rPr>
      </w:r>
    </w:p>
    <w:tbl>
      <w:tblPr>
        <w:tblW w:w="5028" w:type="pct"/>
        <w:jc w:val="center"/>
        <w:tblInd w:w="-108" w:type="dxa"/>
        <w:tblBorders/>
        <w:tblLayout w:type="autofit"/>
        <w:tblCellMar>
          <w:left w:w="108" w:type="dxa"/>
          <w:top w:w="0" w:type="dxa"/>
          <w:right w:w="108" w:type="dxa"/>
          <w:bottom w:w="0" w:type="dxa"/>
        </w:tblCellMar>
        <w:tblLook w:val="04A0" w:firstRow="1" w:lastRow="0" w:firstColumn="1" w:lastColumn="0" w:noHBand="0" w:noVBand="1"/>
      </w:tblPr>
      <w:tblGrid>
        <w:gridCol w:w="756"/>
        <w:gridCol w:w="1242"/>
        <w:gridCol w:w="2734"/>
        <w:gridCol w:w="886"/>
        <w:gridCol w:w="1049"/>
        <w:gridCol w:w="1049"/>
        <w:gridCol w:w="1049"/>
        <w:gridCol w:w="751"/>
      </w:tblGrid>
      <w:tr>
        <w:trPr>
          <w:trHeight w:val="518"/>
          <w:tblHeader/>
        </w:trPr>
        <w:tc>
          <w:tcPr>
            <w:tcBorders>
              <w:top w:val="single" w:color="000000" w:sz="4" w:space="0"/>
              <w:left w:val="single" w:color="000000" w:sz="4" w:space="0"/>
              <w:bottom w:val="single" w:color="000000" w:sz="4" w:space="0"/>
              <w:right w:val="single" w:color="000000" w:sz="4" w:space="0"/>
            </w:tcBorders>
            <w:tcW w:w="756"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编号</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242"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所属区域</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2733"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辖区单位名称</w:t>
            </w:r>
            <w:r>
              <w:rPr>
                <w:rFonts w:eastAsia="仿宋_GB2312"/>
                <w:b/>
                <w:bCs/>
                <w:szCs w:val="21"/>
              </w:rPr>
            </w:r>
            <w:r>
              <w:rPr>
                <w:rFonts w:eastAsia="仿宋_GB2312"/>
                <w:b/>
                <w:bCs/>
                <w:szCs w:val="21"/>
              </w:rPr>
            </w:r>
          </w:p>
        </w:tc>
        <w:tc>
          <w:tcPr>
            <w:gridSpan w:val="4"/>
            <w:tcBorders>
              <w:top w:val="single" w:color="000000" w:sz="4" w:space="0"/>
              <w:left w:val="none" w:color="000000" w:sz="4" w:space="0"/>
              <w:bottom w:val="single" w:color="000000" w:sz="4" w:space="0"/>
              <w:right w:val="single" w:color="000000" w:sz="4" w:space="0"/>
            </w:tcBorders>
            <w:tcW w:w="4033"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充电桩配置个数</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13" w:type="dxa"/>
            <w:vAlign w:val="center"/>
            <w:vMerge w:val="restart"/>
            <w:textDirection w:val="lrTb"/>
            <w:noWrap w:val="false"/>
          </w:tcPr>
          <w:p>
            <w:pPr>
              <w:pStyle w:val="684"/>
              <w:pBdr/>
              <w:spacing/>
              <w:ind/>
              <w:jc w:val="center"/>
              <w:rPr>
                <w:rFonts w:eastAsia="仿宋_GB2312"/>
                <w:b/>
                <w:bCs/>
                <w:szCs w:val="21"/>
              </w:rPr>
            </w:pPr>
            <w:r>
              <w:rPr>
                <w:rFonts w:eastAsia="仿宋_GB2312"/>
                <w:b/>
                <w:bCs/>
                <w:szCs w:val="21"/>
              </w:rPr>
              <w:t xml:space="preserve">合计</w:t>
            </w:r>
            <w:r>
              <w:rPr>
                <w:rFonts w:eastAsia="仿宋_GB2312"/>
                <w:b/>
                <w:bCs/>
                <w:szCs w:val="21"/>
              </w:rPr>
            </w:r>
            <w:r>
              <w:rPr>
                <w:rFonts w:eastAsia="仿宋_GB2312"/>
                <w:b/>
                <w:bCs/>
                <w:szCs w:val="21"/>
              </w:rPr>
            </w:r>
          </w:p>
        </w:tc>
      </w:tr>
      <w:tr>
        <w:trPr>
          <w:trHeight w:val="519"/>
          <w:tblHeader/>
        </w:trPr>
        <w:tc>
          <w:tcPr>
            <w:tcBorders>
              <w:top w:val="single" w:color="000000" w:sz="4" w:space="0"/>
              <w:left w:val="single" w:color="000000" w:sz="4" w:space="0"/>
              <w:bottom w:val="single" w:color="000000" w:sz="4" w:space="0"/>
              <w:right w:val="single" w:color="000000" w:sz="4" w:space="0"/>
            </w:tcBorders>
            <w:tcW w:w="756"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single" w:color="000000" w:sz="4" w:space="0"/>
              <w:left w:val="single" w:color="000000" w:sz="4" w:space="0"/>
              <w:bottom w:val="single" w:color="000000" w:sz="4" w:space="0"/>
              <w:right w:val="single" w:color="000000" w:sz="4" w:space="0"/>
            </w:tcBorders>
            <w:tcW w:w="1242"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single" w:color="000000" w:sz="4" w:space="0"/>
              <w:left w:val="single" w:color="000000" w:sz="4" w:space="0"/>
              <w:bottom w:val="single" w:color="000000" w:sz="4" w:space="0"/>
              <w:right w:val="single" w:color="000000" w:sz="4" w:space="0"/>
            </w:tcBorders>
            <w:tcW w:w="2733"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7KW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120KW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480KW</w:t>
            </w:r>
            <w:r>
              <w:rPr>
                <w:rFonts w:eastAsia="仿宋_GB2312"/>
                <w:b/>
                <w:bCs/>
                <w:szCs w:val="21"/>
              </w:rPr>
            </w:r>
            <w:r>
              <w:rPr>
                <w:rFonts w:eastAsia="仿宋_GB2312"/>
                <w:b/>
                <w:bCs/>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val="false"/>
          </w:tcPr>
          <w:p>
            <w:pPr>
              <w:pStyle w:val="684"/>
              <w:pBdr/>
              <w:spacing/>
              <w:ind/>
              <w:jc w:val="center"/>
              <w:rPr>
                <w:rFonts w:eastAsia="仿宋_GB2312"/>
                <w:b/>
                <w:bCs/>
                <w:szCs w:val="21"/>
              </w:rPr>
            </w:pPr>
            <w:r>
              <w:rPr>
                <w:rFonts w:eastAsia="仿宋_GB2312"/>
                <w:b/>
                <w:bCs/>
                <w:szCs w:val="21"/>
              </w:rPr>
              <w:t xml:space="preserve">600KW</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13" w:type="dxa"/>
            <w:vAlign w:val="center"/>
            <w:vMerge w:val="continue"/>
            <w:textDirection w:val="lrTb"/>
            <w:noWrap w:val="false"/>
          </w:tcPr>
          <w:p>
            <w:pPr>
              <w:pStyle w:val="684"/>
              <w:pBdr/>
              <w:spacing/>
              <w:ind/>
              <w:rPr>
                <w:rFonts w:eastAsia="仿宋_GB2312"/>
                <w:bCs/>
                <w:szCs w:val="21"/>
              </w:rPr>
            </w:pPr>
            <w:r>
              <w:rPr>
                <w:rFonts w:eastAsia="仿宋_GB2312"/>
                <w:bCs/>
                <w:szCs w:val="21"/>
              </w:rPr>
            </w:r>
            <w:r>
              <w:rPr>
                <w:rFonts w:eastAsia="仿宋_GB2312"/>
                <w:bCs/>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pacing w:val="-6"/>
                <w:szCs w:val="21"/>
              </w:rPr>
              <w:t xml:space="preserve">滨江路—广灵街—遂州北路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150</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遂州北路—渠河—广灵街</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87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116</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滨江路—广灵街—遂州北路—北固街</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136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169</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渠河—广灵街—遂州北路—北固街</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94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123</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滨江路—蜀绣街—遂州北路—北固街</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134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162</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渠河—蜀绣街—遂州北路—北固街</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165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206</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滨江路—蜀绣街—遂州北路—明月河流</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178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226</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渠河—蜀绣街—遂州北路—明月河流</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176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219</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2E09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西山路—明月路—象山路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127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169</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明月路——惠民路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138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174</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高铁站片区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229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286</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邓家湾片区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196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248</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pacing w:val="-6"/>
                <w:szCs w:val="21"/>
              </w:rPr>
            </w:pPr>
            <w:r>
              <w:rPr>
                <w:rFonts w:eastAsia="仿宋_GB2312"/>
                <w:spacing w:val="-6"/>
                <w:szCs w:val="21"/>
              </w:rPr>
              <w:t xml:space="preserve">德泉路—明月路——中环线</w:t>
            </w:r>
            <w:r>
              <w:rPr>
                <w:rFonts w:eastAsia="仿宋_GB2312"/>
                <w:spacing w:val="-6"/>
                <w:szCs w:val="21"/>
              </w:rPr>
            </w:r>
            <w:r>
              <w:rPr>
                <w:rFonts w:eastAsia="仿宋_GB2312"/>
                <w:spacing w:val="-6"/>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246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41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312</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明月路中段</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76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91</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明月路—中环线—新月路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184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225</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right="-189"/>
              <w:jc w:val="center"/>
              <w:rPr>
                <w:rFonts w:eastAsia="仿宋_GB2312"/>
                <w:szCs w:val="21"/>
              </w:rPr>
            </w:pPr>
            <w:r>
              <w:rPr>
                <w:rFonts w:eastAsia="仿宋_GB2312"/>
                <w:spacing w:val="-6"/>
                <w:szCs w:val="21"/>
              </w:rPr>
              <w:t xml:space="preserve">明月路—中环线—铁路—高速</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98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120</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西山路北段</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216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272</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象山小区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146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181</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2E19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西山路中段</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103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145</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西山路南段</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94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116</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十字河安置房</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146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177</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广德片区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284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357</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西宁路中段</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135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178</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pacing w:val="-9"/>
                <w:szCs w:val="21"/>
              </w:rPr>
              <w:t xml:space="preserve">西北片区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西宁路西段</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145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184</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开善东路—南津北路—富源路—渠河</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162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219</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南环路—明星大道—富源路—渠河</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143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48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206</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南环路—明星大道—富源路—南津北路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173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213</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开善东路—南津北路—富源路—银河南路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183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227</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2E29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南环路—南津北路—富源路—银河南路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179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226</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开善东路—滨江路—富源路—银河南路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217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47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284</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line="240" w:lineRule="exact"/>
              <w:ind/>
              <w:jc w:val="center"/>
              <w:rPr>
                <w:rFonts w:eastAsia="仿宋_GB2312"/>
                <w:szCs w:val="21"/>
              </w:rPr>
            </w:pPr>
            <w:r>
              <w:rPr>
                <w:rFonts w:eastAsia="仿宋_GB2312"/>
                <w:szCs w:val="21"/>
              </w:rPr>
              <w:t xml:space="preserve">开善东路—滨江路—南环路—银河南路</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198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237</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邦泰理想城</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204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249</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碧江新城</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164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202</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机场小区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157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189</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喜之郎片区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168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219</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健康国际城</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197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250</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南强新建小区1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186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40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240</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清净新居</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216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267</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2E39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南强新建小区2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247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296</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2E40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南强新建小区3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136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18</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159</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2E41</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南强新建小区4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146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182</w:t>
            </w:r>
            <w:r>
              <w:rPr>
                <w:rFonts w:eastAsia="仿宋_GB2312"/>
                <w:szCs w:val="21"/>
              </w:rPr>
            </w:r>
            <w:r>
              <w:rPr>
                <w:rFonts w:eastAsia="仿宋_GB2312"/>
                <w:szCs w:val="21"/>
              </w:rPr>
            </w:r>
          </w:p>
        </w:tc>
      </w:tr>
      <w:tr>
        <w:trPr>
          <w:trHeight w:val="518"/>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2E42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南强新建小区5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97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117</w:t>
            </w:r>
            <w:r>
              <w:rPr>
                <w:rFonts w:eastAsia="仿宋_GB2312"/>
                <w:szCs w:val="21"/>
              </w:rPr>
            </w:r>
            <w:r>
              <w:rPr>
                <w:rFonts w:eastAsia="仿宋_GB2312"/>
                <w:szCs w:val="21"/>
              </w:rPr>
            </w:r>
          </w:p>
        </w:tc>
      </w:tr>
      <w:tr>
        <w:trPr>
          <w:trHeight w:val="519"/>
        </w:trPr>
        <w:tc>
          <w:tcPr>
            <w:tcBorders>
              <w:top w:val="none" w:color="000000" w:sz="4" w:space="0"/>
              <w:left w:val="single" w:color="000000" w:sz="4" w:space="0"/>
              <w:bottom w:val="single" w:color="000000" w:sz="4" w:space="0"/>
              <w:right w:val="single" w:color="000000" w:sz="4" w:space="0"/>
            </w:tcBorders>
            <w:tcW w:w="756" w:type="dxa"/>
            <w:vAlign w:val="center"/>
            <w:textDirection w:val="lrTb"/>
            <w:noWrap/>
          </w:tcPr>
          <w:p>
            <w:pPr>
              <w:pStyle w:val="684"/>
              <w:pBdr/>
              <w:spacing/>
              <w:ind/>
              <w:jc w:val="center"/>
              <w:rPr>
                <w:rFonts w:eastAsia="仿宋_GB2312"/>
                <w:szCs w:val="21"/>
              </w:rPr>
            </w:pPr>
            <w:r>
              <w:rPr>
                <w:rFonts w:eastAsia="仿宋_GB2312"/>
                <w:szCs w:val="21"/>
              </w:rPr>
              <w:t xml:space="preserve">2E43</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1242"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2733" w:type="dxa"/>
            <w:vAlign w:val="center"/>
            <w:textDirection w:val="lrTb"/>
            <w:noWrap/>
          </w:tcPr>
          <w:p>
            <w:pPr>
              <w:pStyle w:val="684"/>
              <w:pBdr/>
              <w:spacing/>
              <w:ind/>
              <w:jc w:val="center"/>
              <w:rPr>
                <w:rFonts w:eastAsia="仿宋_GB2312"/>
                <w:szCs w:val="21"/>
              </w:rPr>
            </w:pPr>
            <w:r>
              <w:rPr>
                <w:rFonts w:eastAsia="仿宋_GB2312"/>
                <w:szCs w:val="21"/>
              </w:rPr>
              <w:t xml:space="preserve">天星坝棚改小区</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77</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0</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88</w:t>
            </w:r>
            <w:r>
              <w:rPr>
                <w:rFonts w:eastAsia="仿宋_GB2312"/>
                <w:szCs w:val="21"/>
              </w:rPr>
            </w:r>
            <w:r>
              <w:rPr>
                <w:rFonts w:eastAsia="仿宋_GB2312"/>
                <w:szCs w:val="21"/>
              </w:rPr>
            </w:r>
          </w:p>
        </w:tc>
      </w:tr>
      <w:tr>
        <w:trPr>
          <w:trHeight w:val="519"/>
        </w:trPr>
        <w:tc>
          <w:tcPr>
            <w:gridSpan w:val="3"/>
            <w:tcBorders>
              <w:top w:val="single" w:color="000000" w:sz="4" w:space="0"/>
              <w:left w:val="single" w:color="000000" w:sz="4" w:space="0"/>
              <w:bottom w:val="single" w:color="000000" w:sz="4" w:space="0"/>
              <w:right w:val="single" w:color="000000" w:sz="4" w:space="0"/>
            </w:tcBorders>
            <w:tcW w:w="4732" w:type="dxa"/>
            <w:vAlign w:val="center"/>
            <w:textDirection w:val="lrTb"/>
            <w:noWrap/>
          </w:tcPr>
          <w:p>
            <w:pPr>
              <w:pStyle w:val="684"/>
              <w:pBdr/>
              <w:spacing/>
              <w:ind/>
              <w:jc w:val="center"/>
              <w:rPr>
                <w:rFonts w:eastAsia="仿宋_GB2312"/>
                <w:szCs w:val="21"/>
              </w:rPr>
            </w:pPr>
            <w:r>
              <w:rPr>
                <w:rFonts w:eastAsia="仿宋_GB2312"/>
                <w:szCs w:val="21"/>
              </w:rPr>
              <w:t xml:space="preserve">合计</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886" w:type="dxa"/>
            <w:vAlign w:val="center"/>
            <w:textDirection w:val="lrTb"/>
            <w:noWrap/>
          </w:tcPr>
          <w:p>
            <w:pPr>
              <w:pStyle w:val="684"/>
              <w:pBdr/>
              <w:spacing/>
              <w:ind/>
              <w:jc w:val="center"/>
              <w:rPr>
                <w:rFonts w:eastAsia="仿宋_GB2312"/>
                <w:szCs w:val="21"/>
              </w:rPr>
            </w:pPr>
            <w:r>
              <w:rPr>
                <w:rFonts w:eastAsia="仿宋_GB2312"/>
                <w:szCs w:val="21"/>
              </w:rPr>
              <w:t xml:space="preserve">6904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1226</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402</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927" w:type="dxa"/>
            <w:vAlign w:val="center"/>
            <w:textDirection w:val="lrTb"/>
            <w:noWrap/>
          </w:tcPr>
          <w:p>
            <w:pPr>
              <w:pStyle w:val="684"/>
              <w:pBdr/>
              <w:spacing/>
              <w:ind/>
              <w:jc w:val="center"/>
              <w:rPr>
                <w:rFonts w:eastAsia="仿宋_GB2312"/>
                <w:szCs w:val="21"/>
              </w:rPr>
            </w:pPr>
            <w:r>
              <w:rPr>
                <w:rFonts w:eastAsia="仿宋_GB2312"/>
                <w:szCs w:val="21"/>
              </w:rPr>
              <w:t xml:space="preserve">144</w:t>
            </w:r>
            <w:r>
              <w:rPr>
                <w:rFonts w:eastAsia="仿宋_GB2312"/>
                <w:szCs w:val="21"/>
              </w:rPr>
            </w:r>
            <w:r>
              <w:rPr>
                <w:rFonts w:eastAsia="仿宋_GB2312"/>
                <w:szCs w:val="21"/>
              </w:rPr>
            </w:r>
          </w:p>
        </w:tc>
        <w:tc>
          <w:tcPr>
            <w:tcBorders>
              <w:top w:val="none" w:color="000000" w:sz="4" w:space="0"/>
              <w:left w:val="none" w:color="000000" w:sz="4" w:space="0"/>
              <w:bottom w:val="single" w:color="000000" w:sz="4" w:space="0"/>
              <w:right w:val="single" w:color="000000" w:sz="4" w:space="0"/>
            </w:tcBorders>
            <w:tcW w:w="713" w:type="dxa"/>
            <w:vAlign w:val="center"/>
            <w:textDirection w:val="lrTb"/>
            <w:noWrap/>
          </w:tcPr>
          <w:p>
            <w:pPr>
              <w:pStyle w:val="684"/>
              <w:pBdr/>
              <w:spacing/>
              <w:ind/>
              <w:jc w:val="center"/>
              <w:rPr>
                <w:rFonts w:eastAsia="仿宋_GB2312"/>
                <w:szCs w:val="21"/>
              </w:rPr>
            </w:pPr>
            <w:r>
              <w:rPr>
                <w:rFonts w:eastAsia="仿宋_GB2312"/>
                <w:szCs w:val="21"/>
              </w:rPr>
              <w:t xml:space="preserve">8676</w:t>
            </w:r>
            <w:r>
              <w:rPr>
                <w:rFonts w:eastAsia="仿宋_GB2312"/>
                <w:szCs w:val="21"/>
              </w:rPr>
            </w:r>
            <w:r>
              <w:rPr>
                <w:rFonts w:eastAsia="仿宋_GB2312"/>
                <w:szCs w:val="21"/>
              </w:rPr>
            </w:r>
          </w:p>
        </w:tc>
      </w:tr>
    </w:tbl>
    <w:p>
      <w:pPr>
        <w:pStyle w:val="684"/>
        <w:pBdr/>
        <w:spacing w:before="207"/>
        <w:ind w:right="17" w:firstLine="480" w:left="37"/>
        <w:jc w:val="center"/>
        <w:rPr>
          <w:rFonts w:eastAsia="黑体"/>
          <w:spacing w:val="-9"/>
          <w:sz w:val="28"/>
          <w:szCs w:val="28"/>
        </w:rPr>
      </w:pPr>
      <w:r>
        <w:rPr>
          <w:rFonts w:eastAsia="黑体"/>
          <w:spacing w:val="-9"/>
          <w:sz w:val="28"/>
          <w:szCs w:val="28"/>
        </w:rPr>
        <w:t xml:space="preserve">电动自行车充电设施明细表</w:t>
      </w:r>
      <w:r>
        <w:rPr>
          <w:rFonts w:eastAsia="黑体"/>
          <w:spacing w:val="-9"/>
          <w:sz w:val="28"/>
          <w:szCs w:val="28"/>
        </w:rPr>
      </w:r>
      <w:r>
        <w:rPr>
          <w:rFonts w:eastAsia="黑体"/>
          <w:spacing w:val="-9"/>
          <w:sz w:val="28"/>
          <w:szCs w:val="28"/>
        </w:rPr>
      </w:r>
    </w:p>
    <w:tbl>
      <w:tblPr>
        <w:tblW w:w="8836" w:type="dxa"/>
        <w:tblInd w:w="0" w:type="dxa"/>
        <w:tblBorders/>
        <w:tblLayout w:type="autofit"/>
        <w:tblCellMar>
          <w:left w:w="108" w:type="dxa"/>
          <w:top w:w="0" w:type="dxa"/>
          <w:right w:w="108" w:type="dxa"/>
          <w:bottom w:w="0" w:type="dxa"/>
        </w:tblCellMar>
        <w:tblLook w:val="04A0" w:firstRow="1" w:lastRow="0" w:firstColumn="1" w:lastColumn="0" w:noHBand="0" w:noVBand="1"/>
      </w:tblPr>
      <w:tblGrid>
        <w:gridCol w:w="1082"/>
        <w:gridCol w:w="1322"/>
        <w:gridCol w:w="4829"/>
        <w:gridCol w:w="1603"/>
      </w:tblGrid>
      <w:tr>
        <w:trPr>
          <w:trHeight w:val="301"/>
        </w:trPr>
        <w:tc>
          <w:tcPr>
            <w:tcBorders>
              <w:top w:val="single" w:color="000000" w:sz="4" w:space="0"/>
              <w:left w:val="single" w:color="000000" w:sz="4" w:space="0"/>
              <w:bottom w:val="single" w:color="000000" w:sz="4" w:space="0"/>
              <w:right w:val="single" w:color="000000" w:sz="4" w:space="0"/>
            </w:tcBorders>
            <w:tcW w:w="1082" w:type="dxa"/>
            <w:vAlign w:val="center"/>
            <w:vMerge w:val="restart"/>
            <w:textDirection w:val="lrTb"/>
            <w:noWrap w:val="false"/>
          </w:tcPr>
          <w:p>
            <w:pPr>
              <w:pStyle w:val="684"/>
              <w:pBdr/>
              <w:spacing w:line="220" w:lineRule="exact"/>
              <w:ind/>
              <w:jc w:val="center"/>
              <w:rPr>
                <w:rFonts w:eastAsia="仿宋_GB2312"/>
                <w:b/>
                <w:bCs/>
                <w:sz w:val="18"/>
                <w:szCs w:val="18"/>
              </w:rPr>
            </w:pPr>
            <w:r>
              <w:rPr>
                <w:rFonts w:eastAsia="仿宋_GB2312"/>
                <w:b/>
                <w:bCs/>
                <w:sz w:val="18"/>
                <w:szCs w:val="18"/>
              </w:rPr>
              <w:t xml:space="preserve">编号</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1322" w:type="dxa"/>
            <w:vAlign w:val="center"/>
            <w:vMerge w:val="restart"/>
            <w:textDirection w:val="lrTb"/>
            <w:noWrap w:val="false"/>
          </w:tcPr>
          <w:p>
            <w:pPr>
              <w:pStyle w:val="684"/>
              <w:pBdr/>
              <w:spacing w:line="220" w:lineRule="exact"/>
              <w:ind/>
              <w:jc w:val="center"/>
              <w:rPr>
                <w:rFonts w:eastAsia="仿宋_GB2312"/>
                <w:b/>
                <w:bCs/>
                <w:sz w:val="18"/>
                <w:szCs w:val="18"/>
              </w:rPr>
            </w:pPr>
            <w:r>
              <w:rPr>
                <w:rFonts w:eastAsia="仿宋_GB2312"/>
                <w:b/>
                <w:bCs/>
                <w:sz w:val="18"/>
                <w:szCs w:val="18"/>
              </w:rPr>
              <w:t xml:space="preserve">所属区域</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829" w:type="dxa"/>
            <w:vAlign w:val="center"/>
            <w:vMerge w:val="restart"/>
            <w:textDirection w:val="lrTb"/>
            <w:noWrap w:val="false"/>
          </w:tcPr>
          <w:p>
            <w:pPr>
              <w:pStyle w:val="684"/>
              <w:pBdr/>
              <w:spacing w:line="220" w:lineRule="exact"/>
              <w:ind/>
              <w:jc w:val="center"/>
              <w:rPr>
                <w:rFonts w:eastAsia="仿宋_GB2312"/>
                <w:b/>
                <w:bCs/>
                <w:sz w:val="18"/>
                <w:szCs w:val="18"/>
              </w:rPr>
            </w:pPr>
            <w:r>
              <w:rPr>
                <w:rFonts w:eastAsia="仿宋_GB2312"/>
                <w:b/>
                <w:bCs/>
                <w:sz w:val="18"/>
                <w:szCs w:val="18"/>
              </w:rPr>
              <w:t xml:space="preserve">辖区单位名称</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1603" w:type="dxa"/>
            <w:vAlign w:val="center"/>
            <w:vMerge w:val="restart"/>
            <w:textDirection w:val="lrTb"/>
            <w:noWrap w:val="false"/>
          </w:tcPr>
          <w:p>
            <w:pPr>
              <w:pStyle w:val="684"/>
              <w:pBdr/>
              <w:spacing w:line="220" w:lineRule="exact"/>
              <w:ind/>
              <w:jc w:val="center"/>
              <w:rPr>
                <w:rFonts w:eastAsia="仿宋_GB2312"/>
                <w:b/>
                <w:bCs/>
                <w:sz w:val="18"/>
                <w:szCs w:val="18"/>
              </w:rPr>
            </w:pPr>
            <w:r>
              <w:rPr>
                <w:rFonts w:eastAsia="仿宋_GB2312"/>
                <w:b/>
                <w:bCs/>
                <w:sz w:val="18"/>
                <w:szCs w:val="18"/>
              </w:rPr>
              <w:t xml:space="preserve">3.5KW充电桩配置个数</w:t>
            </w:r>
            <w:r>
              <w:rPr>
                <w:rFonts w:eastAsia="仿宋_GB2312"/>
                <w:b/>
                <w:bCs/>
                <w:sz w:val="18"/>
                <w:szCs w:val="18"/>
              </w:rPr>
            </w:r>
            <w:r>
              <w:rPr>
                <w:rFonts w:eastAsia="仿宋_GB2312"/>
                <w:b/>
                <w:bCs/>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2E01</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滨江路—广灵街—遂州北路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210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2E02</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遂州北路—渠河—广灵街</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150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2E03</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滨江路—广灵街—遂州北路—北固街</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240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2E04</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渠河—广灵街—遂州北路—北固街</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200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2E05</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滨江路—蜀绣街—遂州北路—北固街</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230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2E06</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渠河—蜀绣街—遂州北路—北固街</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280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2E07</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滨江路—蜀绣街—遂州北路—明月河流</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300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2E08</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渠河—蜀绣街—遂州北路—明月河流</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210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2E09</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西山路—明月路—象山路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220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2E10</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明月路——惠民路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270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2E11</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高铁站片区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390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2E12</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邓家湾片区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360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2E13</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德泉路—明月路——中环线</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420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2E14</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明月路中段</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130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2E15</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明月路—中环线—新月路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320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2E16</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明月路—中环线—铁路—高速</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160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2E17</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西山路北段</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380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2E18</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象山小区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260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2E19</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西山路中段</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180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2E20</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西山路南段</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160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2E21</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十字河安置房</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260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2E22</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广德片区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570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2E23</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西宁路中段</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230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2E24</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pacing w:val="-9"/>
                <w:sz w:val="18"/>
                <w:szCs w:val="18"/>
              </w:rPr>
              <w:t xml:space="preserve">西北片区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西宁路西段</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270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2E25</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开善东路—南津北路—富源路—渠河</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280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2E26</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南环路—明星大道—富源路—渠河</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270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2E27</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南环路—明星大道—富源路—南津北路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300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2E28</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开善东路—南津北路—富源路—银河南路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320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2E29</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南环路—南津北路—富源路—银河南路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300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2E30</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开善东路—滨江路—富源路—银河南路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370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2E31</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开善东路—滨江路—南环路—银河南路</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340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2E32</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邦泰理想城</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350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2E33</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碧江新城</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280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2E34</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机场小区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270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2E35</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喜之郎片区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290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2E36</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健康国际城</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340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2E37</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南强新建小区1</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330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2E38</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清净新居</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360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2E39</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南强新建小区2</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430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2E40</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南强新建小区3</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240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2E41</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南强新建小区4</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260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2E42</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南强新建小区5</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150</w:t>
            </w:r>
            <w:r>
              <w:rPr>
                <w:rFonts w:eastAsia="仿宋_GB2312"/>
                <w:sz w:val="18"/>
                <w:szCs w:val="18"/>
              </w:rPr>
            </w:r>
            <w:r>
              <w:rPr>
                <w:rFonts w:eastAsia="仿宋_GB2312"/>
                <w:sz w:val="18"/>
                <w:szCs w:val="18"/>
              </w:rPr>
            </w:r>
          </w:p>
        </w:tc>
      </w:tr>
      <w:tr>
        <w:trPr>
          <w:trHeight w:val="260"/>
        </w:trPr>
        <w:tc>
          <w:tcPr>
            <w:tcBorders>
              <w:top w:val="none" w:color="000000" w:sz="4" w:space="0"/>
              <w:left w:val="single" w:color="000000" w:sz="4" w:space="0"/>
              <w:bottom w:val="single" w:color="000000" w:sz="4" w:space="0"/>
              <w:right w:val="single" w:color="000000" w:sz="4" w:space="0"/>
            </w:tcBorders>
            <w:tcW w:w="108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2E43</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322"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南片区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4829"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天星坝棚改小区</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120</w:t>
            </w:r>
            <w:r>
              <w:rPr>
                <w:rFonts w:eastAsia="仿宋_GB2312"/>
                <w:sz w:val="18"/>
                <w:szCs w:val="18"/>
              </w:rPr>
            </w:r>
            <w:r>
              <w:rPr>
                <w:rFonts w:eastAsia="仿宋_GB2312"/>
                <w:sz w:val="18"/>
                <w:szCs w:val="18"/>
              </w:rPr>
            </w:r>
          </w:p>
        </w:tc>
      </w:tr>
      <w:tr>
        <w:trPr>
          <w:trHeight w:val="260"/>
        </w:trPr>
        <w:tc>
          <w:tcPr>
            <w:gridSpan w:val="3"/>
            <w:tcBorders>
              <w:top w:val="single" w:color="000000" w:sz="4" w:space="0"/>
              <w:left w:val="single" w:color="000000" w:sz="4" w:space="0"/>
              <w:bottom w:val="single" w:color="000000" w:sz="4" w:space="0"/>
              <w:right w:val="single" w:color="000000" w:sz="4" w:space="0"/>
            </w:tcBorders>
            <w:tcW w:w="723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合计</w:t>
            </w:r>
            <w:r>
              <w:rPr>
                <w:rFonts w:eastAsia="仿宋_GB2312"/>
                <w:sz w:val="18"/>
                <w:szCs w:val="18"/>
              </w:rPr>
            </w:r>
            <w:r>
              <w:rPr>
                <w:rFonts w:eastAsia="仿宋_GB2312"/>
                <w:sz w:val="18"/>
                <w:szCs w:val="18"/>
              </w:rPr>
            </w:r>
          </w:p>
        </w:tc>
        <w:tc>
          <w:tcPr>
            <w:tcBorders>
              <w:top w:val="none" w:color="000000" w:sz="4" w:space="0"/>
              <w:left w:val="none" w:color="000000" w:sz="4" w:space="0"/>
              <w:bottom w:val="single" w:color="000000" w:sz="4" w:space="0"/>
              <w:right w:val="single" w:color="000000" w:sz="4" w:space="0"/>
            </w:tcBorders>
            <w:tcW w:w="1603" w:type="dxa"/>
            <w:vAlign w:val="center"/>
            <w:textDirection w:val="lrTb"/>
            <w:noWrap/>
          </w:tcPr>
          <w:p>
            <w:pPr>
              <w:pStyle w:val="684"/>
              <w:pBdr/>
              <w:spacing w:line="220" w:lineRule="exact"/>
              <w:ind/>
              <w:jc w:val="center"/>
              <w:rPr>
                <w:rFonts w:eastAsia="仿宋_GB2312"/>
                <w:sz w:val="18"/>
                <w:szCs w:val="18"/>
              </w:rPr>
            </w:pPr>
            <w:r>
              <w:rPr>
                <w:rFonts w:eastAsia="仿宋_GB2312"/>
                <w:sz w:val="18"/>
                <w:szCs w:val="18"/>
              </w:rPr>
              <w:t xml:space="preserve">12000</w:t>
            </w:r>
            <w:r>
              <w:rPr>
                <w:rFonts w:eastAsia="仿宋_GB2312"/>
                <w:sz w:val="18"/>
                <w:szCs w:val="18"/>
              </w:rPr>
            </w:r>
            <w:r>
              <w:rPr>
                <w:rFonts w:eastAsia="仿宋_GB2312"/>
                <w:sz w:val="18"/>
                <w:szCs w:val="18"/>
              </w:rPr>
            </w:r>
          </w:p>
        </w:tc>
      </w:tr>
    </w:tbl>
    <w:p>
      <w:pPr>
        <w:pStyle w:val="684"/>
        <w:pBdr/>
        <w:spacing w:line="600" w:lineRule="exact"/>
        <w:ind w:firstLine="640"/>
        <w:rPr>
          <w:rFonts w:eastAsia="仿宋_GB2312"/>
          <w:sz w:val="32"/>
          <w:szCs w:val="32"/>
        </w:rPr>
      </w:pPr>
      <w:r>
        <w:rPr>
          <w:rFonts w:eastAsia="仿宋_GB2312"/>
          <w:sz w:val="32"/>
          <w:szCs w:val="32"/>
        </w:rPr>
        <w:t xml:space="preserve">（五）换电站</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规划布局18座换电桩，其中东片区5处，北片区3处，中心城区2处，西片区6处，南片区2处。</w:t>
      </w:r>
      <w:r>
        <w:rPr>
          <w:rFonts w:eastAsia="仿宋_GB2312"/>
          <w:sz w:val="32"/>
          <w:szCs w:val="32"/>
        </w:rPr>
      </w:r>
      <w:r>
        <w:rPr>
          <w:rFonts w:eastAsia="仿宋_GB2312"/>
          <w:sz w:val="32"/>
          <w:szCs w:val="32"/>
        </w:rPr>
      </w:r>
    </w:p>
    <w:p>
      <w:pPr>
        <w:pStyle w:val="684"/>
        <w:pBdr/>
        <w:spacing w:line="600" w:lineRule="exact"/>
        <w:ind w:firstLine="640"/>
        <w:rPr>
          <w:rFonts w:eastAsia="楷体_GB2312"/>
          <w:sz w:val="32"/>
          <w:szCs w:val="32"/>
        </w:rPr>
      </w:pPr>
      <w:r>
        <w:rPr>
          <w:rFonts w:eastAsia="楷体_GB2312"/>
          <w:sz w:val="32"/>
          <w:szCs w:val="32"/>
        </w:rPr>
        <w:t xml:space="preserve">第</w:t>
      </w:r>
      <w:r>
        <w:rPr>
          <w:rFonts w:hint="eastAsia" w:eastAsia="楷体_GB2312"/>
          <w:sz w:val="32"/>
          <w:szCs w:val="32"/>
        </w:rPr>
        <w:t xml:space="preserve">四</w:t>
      </w:r>
      <w:r>
        <w:rPr>
          <w:rFonts w:eastAsia="楷体_GB2312"/>
          <w:sz w:val="32"/>
          <w:szCs w:val="32"/>
        </w:rPr>
        <w:t xml:space="preserve">条  远景目标（三期）</w:t>
      </w:r>
      <w:r>
        <w:rPr>
          <w:rFonts w:eastAsia="楷体_GB2312"/>
          <w:sz w:val="32"/>
          <w:szCs w:val="32"/>
        </w:rPr>
      </w:r>
      <w:r>
        <w:rPr>
          <w:rFonts w:eastAsia="楷体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（一）加氢站</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本次共规划1座加氢站，位于遂宁高速北出入口处。</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（二）太阳能光伏发电</w:t>
      </w:r>
      <w:r>
        <w:rPr>
          <w:rFonts w:eastAsia="仿宋_GB2312"/>
          <w:sz w:val="32"/>
          <w:szCs w:val="32"/>
        </w:rPr>
      </w:r>
      <w:r>
        <w:rPr>
          <w:rFonts w:eastAsia="仿宋_GB2312"/>
          <w:sz w:val="32"/>
          <w:szCs w:val="32"/>
        </w:rPr>
      </w:r>
    </w:p>
    <w:p>
      <w:pPr>
        <w:pStyle w:val="684"/>
        <w:pBdr/>
        <w:spacing w:line="600" w:lineRule="exact"/>
        <w:ind w:firstLine="640"/>
        <w:rPr>
          <w:rFonts w:hint="eastAsia" w:eastAsia="仿宋_GB2312"/>
          <w:sz w:val="32"/>
          <w:szCs w:val="32"/>
        </w:rPr>
      </w:pPr>
      <w:r>
        <w:rPr>
          <w:rFonts w:eastAsia="仿宋_GB2312"/>
          <w:sz w:val="32"/>
          <w:szCs w:val="32"/>
        </w:rPr>
        <w:t xml:space="preserve">本次规划利用公共停车场顶棚设置太阳能光伏发电，共布局31处光伏发电停车场，总计安置光伏发电板19600块，装机容量达到6432KW。</w:t>
      </w:r>
      <w:r>
        <w:rPr>
          <w:rFonts w:hint="eastAsia" w:eastAsia="仿宋_GB2312"/>
          <w:sz w:val="32"/>
          <w:szCs w:val="32"/>
        </w:rPr>
      </w:r>
      <w:r>
        <w:rPr>
          <w:rFonts w:hint="eastAsia" w:eastAsia="仿宋_GB2312"/>
          <w:sz w:val="32"/>
          <w:szCs w:val="32"/>
        </w:rPr>
      </w:r>
    </w:p>
    <w:p>
      <w:pPr>
        <w:pStyle w:val="684"/>
        <w:pBdr/>
        <w:spacing w:line="600" w:lineRule="exact"/>
        <w:ind w:firstLine="640"/>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line="218" w:lineRule="auto"/>
        <w:ind/>
        <w:jc w:val="center"/>
        <w:rPr>
          <w:rFonts w:hint="eastAsia" w:ascii="宋体" w:hAnsi="宋体" w:cs="宋体"/>
          <w:sz w:val="24"/>
        </w:rPr>
      </w:pPr>
      <w:r>
        <w:rPr>
          <w:rFonts w:hint="eastAsia" w:ascii="黑体" w:hAnsi="黑体" w:eastAsia="黑体" w:cs="宋体"/>
          <w:sz w:val="28"/>
          <w:szCs w:val="28"/>
        </w:rPr>
        <w:t xml:space="preserve">光伏发电设施明细表</w:t>
      </w:r>
      <w:r>
        <w:rPr>
          <w:rFonts w:hint="eastAsia" w:ascii="宋体" w:hAnsi="宋体" w:cs="宋体"/>
          <w:sz w:val="24"/>
        </w:rPr>
      </w:r>
      <w:r>
        <w:rPr>
          <w:rFonts w:hint="eastAsia" w:ascii="宋体" w:hAnsi="宋体" w:cs="宋体"/>
          <w:sz w:val="24"/>
        </w:rPr>
      </w:r>
    </w:p>
    <w:tbl>
      <w:tblPr>
        <w:tblStyle w:val="713"/>
        <w:tblW w:w="4904" w:type="pct"/>
        <w:jc w:val="center"/>
        <w:tblInd w:w="2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left w:w="0" w:type="dxa"/>
          <w:top w:w="0" w:type="dxa"/>
          <w:right w:w="0" w:type="dxa"/>
          <w:bottom w:w="0" w:type="dxa"/>
        </w:tblCellMar>
        <w:tblLook w:val="04A0" w:firstRow="1" w:lastRow="0" w:firstColumn="1" w:lastColumn="0" w:noHBand="0" w:noVBand="1"/>
      </w:tblPr>
      <w:tblGrid>
        <w:gridCol w:w="839"/>
        <w:gridCol w:w="2231"/>
        <w:gridCol w:w="2073"/>
        <w:gridCol w:w="1954"/>
        <w:gridCol w:w="1757"/>
      </w:tblGrid>
      <w:tr>
        <w:trPr>
          <w:trHeight w:val="307"/>
          <w:tblHeader/>
        </w:trPr>
        <w:tc>
          <w:tcPr>
            <w:tcBorders/>
            <w:tcW w:w="842" w:type="dxa"/>
            <w:vAlign w:val="center"/>
            <w:textDirection w:val="lrTb"/>
            <w:noWrap/>
          </w:tcPr>
          <w:p>
            <w:pPr>
              <w:pStyle w:val="684"/>
              <w:pBdr/>
              <w:spacing/>
              <w:ind/>
              <w:jc w:val="center"/>
              <w:rPr>
                <w:rFonts w:eastAsia="仿宋_GB2312"/>
                <w:b/>
                <w:szCs w:val="21"/>
              </w:rPr>
            </w:pPr>
            <w:r>
              <w:rPr>
                <w:rFonts w:eastAsia="仿宋_GB2312"/>
                <w:b/>
                <w:szCs w:val="21"/>
              </w:rPr>
              <w:t xml:space="preserve">序号</w:t>
            </w:r>
            <w:r>
              <w:rPr>
                <w:rFonts w:eastAsia="仿宋_GB2312"/>
                <w:b/>
                <w:szCs w:val="21"/>
              </w:rPr>
            </w:r>
            <w:r>
              <w:rPr>
                <w:rFonts w:eastAsia="仿宋_GB2312"/>
                <w:b/>
                <w:szCs w:val="21"/>
              </w:rPr>
            </w:r>
          </w:p>
        </w:tc>
        <w:tc>
          <w:tcPr>
            <w:tcBorders/>
            <w:tcW w:w="2239" w:type="dxa"/>
            <w:vAlign w:val="center"/>
            <w:textDirection w:val="lrTb"/>
            <w:noWrap/>
          </w:tcPr>
          <w:p>
            <w:pPr>
              <w:pStyle w:val="684"/>
              <w:pBdr/>
              <w:spacing/>
              <w:ind/>
              <w:jc w:val="center"/>
              <w:rPr>
                <w:rFonts w:eastAsia="仿宋_GB2312"/>
                <w:b/>
                <w:szCs w:val="21"/>
              </w:rPr>
            </w:pPr>
            <w:r>
              <w:rPr>
                <w:rFonts w:eastAsia="仿宋_GB2312"/>
                <w:b/>
                <w:szCs w:val="21"/>
              </w:rPr>
              <w:t xml:space="preserve">位置</w:t>
            </w:r>
            <w:r>
              <w:rPr>
                <w:rFonts w:eastAsia="仿宋_GB2312"/>
                <w:b/>
                <w:szCs w:val="21"/>
              </w:rPr>
            </w:r>
            <w:r>
              <w:rPr>
                <w:rFonts w:eastAsia="仿宋_GB2312"/>
                <w:b/>
                <w:szCs w:val="21"/>
              </w:rPr>
            </w:r>
          </w:p>
        </w:tc>
        <w:tc>
          <w:tcPr>
            <w:tcBorders/>
            <w:tcW w:w="2081" w:type="dxa"/>
            <w:vAlign w:val="center"/>
            <w:textDirection w:val="lrTb"/>
            <w:noWrap/>
          </w:tcPr>
          <w:p>
            <w:pPr>
              <w:pStyle w:val="684"/>
              <w:pBdr/>
              <w:spacing/>
              <w:ind/>
              <w:jc w:val="center"/>
              <w:rPr>
                <w:rFonts w:eastAsia="仿宋_GB2312"/>
                <w:b/>
                <w:szCs w:val="21"/>
              </w:rPr>
            </w:pPr>
            <w:r>
              <w:rPr>
                <w:rFonts w:eastAsia="仿宋_GB2312"/>
                <w:b/>
                <w:szCs w:val="21"/>
              </w:rPr>
              <w:t xml:space="preserve">光伏板数量（块）</w:t>
            </w:r>
            <w:r>
              <w:rPr>
                <w:rFonts w:eastAsia="仿宋_GB2312"/>
                <w:b/>
                <w:szCs w:val="21"/>
              </w:rPr>
            </w:r>
            <w:r>
              <w:rPr>
                <w:rFonts w:eastAsia="仿宋_GB2312"/>
                <w:b/>
                <w:szCs w:val="21"/>
              </w:rPr>
            </w:r>
          </w:p>
        </w:tc>
        <w:tc>
          <w:tcPr>
            <w:tcBorders/>
            <w:tcW w:w="1961" w:type="dxa"/>
            <w:vAlign w:val="center"/>
            <w:textDirection w:val="lrTb"/>
            <w:noWrap/>
          </w:tcPr>
          <w:p>
            <w:pPr>
              <w:pStyle w:val="684"/>
              <w:pBdr/>
              <w:spacing/>
              <w:ind/>
              <w:jc w:val="center"/>
              <w:rPr>
                <w:rFonts w:eastAsia="仿宋_GB2312"/>
                <w:b/>
                <w:szCs w:val="21"/>
              </w:rPr>
            </w:pPr>
            <w:r>
              <w:rPr>
                <w:rFonts w:eastAsia="仿宋_GB2312"/>
                <w:b/>
                <w:szCs w:val="21"/>
              </w:rPr>
              <w:t xml:space="preserve">光伏板面积（</w:t>
            </w:r>
            <w:r>
              <w:rPr>
                <w:b/>
                <w:szCs w:val="21"/>
              </w:rPr>
              <w:t xml:space="preserve">㎡</w:t>
            </w:r>
            <w:r>
              <w:rPr>
                <w:rFonts w:eastAsia="仿宋_GB2312"/>
                <w:b/>
                <w:szCs w:val="21"/>
              </w:rPr>
              <w:t xml:space="preserve">）</w:t>
            </w:r>
            <w:r>
              <w:rPr>
                <w:rFonts w:eastAsia="仿宋_GB2312"/>
                <w:b/>
                <w:szCs w:val="21"/>
              </w:rPr>
            </w:r>
            <w:r>
              <w:rPr>
                <w:rFonts w:eastAsia="仿宋_GB2312"/>
                <w:b/>
                <w:szCs w:val="21"/>
              </w:rPr>
            </w:r>
          </w:p>
        </w:tc>
        <w:tc>
          <w:tcPr>
            <w:tcBorders/>
            <w:tcW w:w="1763" w:type="dxa"/>
            <w:vAlign w:val="center"/>
            <w:textDirection w:val="lrTb"/>
            <w:noWrap/>
          </w:tcPr>
          <w:p>
            <w:pPr>
              <w:pStyle w:val="684"/>
              <w:pBdr/>
              <w:spacing/>
              <w:ind/>
              <w:jc w:val="center"/>
              <w:rPr>
                <w:rFonts w:eastAsia="仿宋_GB2312"/>
                <w:b/>
                <w:szCs w:val="21"/>
              </w:rPr>
            </w:pPr>
            <w:r>
              <w:rPr>
                <w:rFonts w:eastAsia="仿宋_GB2312"/>
                <w:b/>
                <w:szCs w:val="21"/>
              </w:rPr>
              <w:t xml:space="preserve">装机容量（KW）</w:t>
            </w:r>
            <w:r>
              <w:rPr>
                <w:rFonts w:eastAsia="仿宋_GB2312"/>
                <w:b/>
                <w:szCs w:val="21"/>
              </w:rPr>
            </w:r>
            <w:r>
              <w:rPr>
                <w:rFonts w:eastAsia="仿宋_GB2312"/>
                <w:b/>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东片区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东片区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3</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东片区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4</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东片区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600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1164</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192</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5</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东片区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1000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1940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320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东片区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1000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1940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320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7</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东片区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600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1164</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192</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圣莲岛</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1000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1940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320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800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1552</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256</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10</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1000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1940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320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11</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1000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1940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320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12</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13</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600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1164</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192</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14</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15</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1000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1940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320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16</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800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1552</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256</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17</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老城区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300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582</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96</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18</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老城区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600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1164</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192</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19</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20</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21</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22</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1000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1940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320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23</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24</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25</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26</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西片区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27</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南片区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28</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龙凤片区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1000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1940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320</w:t>
            </w:r>
            <w:r>
              <w:rPr>
                <w:rFonts w:eastAsia="仿宋_GB2312"/>
                <w:szCs w:val="21"/>
              </w:rPr>
            </w:r>
            <w:r>
              <w:rPr>
                <w:rFonts w:eastAsia="仿宋_GB2312"/>
                <w:szCs w:val="21"/>
              </w:rPr>
            </w:r>
          </w:p>
        </w:tc>
      </w:tr>
      <w:tr>
        <w:trPr>
          <w:trHeight w:val="308"/>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29</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龙凤片区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800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1552</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256</w:t>
            </w:r>
            <w:r>
              <w:rPr>
                <w:rFonts w:eastAsia="仿宋_GB2312"/>
                <w:szCs w:val="21"/>
              </w:rPr>
            </w:r>
            <w:r>
              <w:rPr>
                <w:rFonts w:eastAsia="仿宋_GB2312"/>
                <w:szCs w:val="21"/>
              </w:rPr>
            </w:r>
          </w:p>
        </w:tc>
      </w:tr>
      <w:tr>
        <w:trPr>
          <w:trHeight w:val="307"/>
        </w:trPr>
        <w:tc>
          <w:tcPr>
            <w:tcBorders/>
            <w:tcW w:w="842" w:type="dxa"/>
            <w:vAlign w:val="center"/>
            <w:textDirection w:val="lrTb"/>
            <w:noWrap/>
          </w:tcPr>
          <w:p>
            <w:pPr>
              <w:pStyle w:val="684"/>
              <w:pBdr/>
              <w:spacing/>
              <w:ind/>
              <w:jc w:val="center"/>
              <w:rPr>
                <w:rFonts w:eastAsia="仿宋_GB2312"/>
                <w:szCs w:val="21"/>
              </w:rPr>
            </w:pPr>
            <w:r>
              <w:rPr>
                <w:rFonts w:eastAsia="仿宋_GB2312"/>
                <w:szCs w:val="21"/>
              </w:rPr>
              <w:t xml:space="preserve">30</w:t>
            </w:r>
            <w:r>
              <w:rPr>
                <w:rFonts w:eastAsia="仿宋_GB2312"/>
                <w:szCs w:val="21"/>
              </w:rPr>
            </w:r>
            <w:r>
              <w:rPr>
                <w:rFonts w:eastAsia="仿宋_GB2312"/>
                <w:szCs w:val="21"/>
              </w:rPr>
            </w:r>
          </w:p>
        </w:tc>
        <w:tc>
          <w:tcPr>
            <w:tcBorders/>
            <w:tcW w:w="2239" w:type="dxa"/>
            <w:vAlign w:val="center"/>
            <w:textDirection w:val="lrTb"/>
            <w:noWrap/>
          </w:tcPr>
          <w:p>
            <w:pPr>
              <w:pStyle w:val="684"/>
              <w:pBdr/>
              <w:spacing/>
              <w:ind/>
              <w:jc w:val="center"/>
              <w:rPr>
                <w:rFonts w:eastAsia="仿宋_GB2312"/>
                <w:szCs w:val="21"/>
              </w:rPr>
            </w:pPr>
            <w:r>
              <w:rPr>
                <w:rFonts w:eastAsia="仿宋_GB2312"/>
                <w:szCs w:val="21"/>
              </w:rPr>
              <w:t xml:space="preserve">龙凤片区</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500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970</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160</w:t>
            </w:r>
            <w:r>
              <w:rPr>
                <w:rFonts w:eastAsia="仿宋_GB2312"/>
                <w:szCs w:val="21"/>
              </w:rPr>
            </w:r>
            <w:r>
              <w:rPr>
                <w:rFonts w:eastAsia="仿宋_GB2312"/>
                <w:szCs w:val="21"/>
              </w:rPr>
            </w:r>
          </w:p>
        </w:tc>
      </w:tr>
      <w:tr>
        <w:trPr>
          <w:trHeight w:val="308"/>
        </w:trPr>
        <w:tc>
          <w:tcPr>
            <w:gridSpan w:val="2"/>
            <w:tcBorders/>
            <w:tcW w:w="3080" w:type="dxa"/>
            <w:vAlign w:val="center"/>
            <w:textDirection w:val="lrTb"/>
            <w:noWrap/>
          </w:tcPr>
          <w:p>
            <w:pPr>
              <w:pStyle w:val="684"/>
              <w:pBdr/>
              <w:spacing/>
              <w:ind/>
              <w:jc w:val="center"/>
              <w:rPr>
                <w:rFonts w:eastAsia="仿宋_GB2312"/>
                <w:szCs w:val="21"/>
              </w:rPr>
            </w:pPr>
            <w:r>
              <w:rPr>
                <w:rFonts w:eastAsia="仿宋_GB2312"/>
                <w:szCs w:val="21"/>
              </w:rPr>
              <w:t xml:space="preserve">合计</w:t>
            </w:r>
            <w:r>
              <w:rPr>
                <w:rFonts w:eastAsia="仿宋_GB2312"/>
                <w:szCs w:val="21"/>
              </w:rPr>
            </w:r>
            <w:r>
              <w:rPr>
                <w:rFonts w:eastAsia="仿宋_GB2312"/>
                <w:szCs w:val="21"/>
              </w:rPr>
            </w:r>
          </w:p>
        </w:tc>
        <w:tc>
          <w:tcPr>
            <w:tcBorders/>
            <w:tcW w:w="2081" w:type="dxa"/>
            <w:vAlign w:val="center"/>
            <w:textDirection w:val="lrTb"/>
            <w:noWrap/>
          </w:tcPr>
          <w:p>
            <w:pPr>
              <w:pStyle w:val="684"/>
              <w:pBdr/>
              <w:spacing/>
              <w:ind/>
              <w:jc w:val="center"/>
              <w:rPr>
                <w:rFonts w:eastAsia="仿宋_GB2312"/>
                <w:szCs w:val="21"/>
              </w:rPr>
            </w:pPr>
            <w:r>
              <w:rPr>
                <w:rFonts w:eastAsia="仿宋_GB2312"/>
                <w:szCs w:val="21"/>
              </w:rPr>
              <w:t xml:space="preserve">19600</w:t>
            </w:r>
            <w:r>
              <w:rPr>
                <w:rFonts w:eastAsia="仿宋_GB2312"/>
                <w:szCs w:val="21"/>
              </w:rPr>
            </w:r>
            <w:r>
              <w:rPr>
                <w:rFonts w:eastAsia="仿宋_GB2312"/>
                <w:szCs w:val="21"/>
              </w:rPr>
            </w:r>
          </w:p>
        </w:tc>
        <w:tc>
          <w:tcPr>
            <w:tcBorders/>
            <w:tcW w:w="1961" w:type="dxa"/>
            <w:vAlign w:val="center"/>
            <w:textDirection w:val="lrTb"/>
            <w:noWrap/>
          </w:tcPr>
          <w:p>
            <w:pPr>
              <w:pStyle w:val="684"/>
              <w:pBdr/>
              <w:spacing/>
              <w:ind/>
              <w:jc w:val="center"/>
              <w:rPr>
                <w:rFonts w:eastAsia="仿宋_GB2312"/>
                <w:szCs w:val="21"/>
              </w:rPr>
            </w:pPr>
            <w:r>
              <w:rPr>
                <w:rFonts w:eastAsia="仿宋_GB2312"/>
                <w:szCs w:val="21"/>
              </w:rPr>
              <w:t xml:space="preserve">38994</w:t>
            </w:r>
            <w:r>
              <w:rPr>
                <w:rFonts w:eastAsia="仿宋_GB2312"/>
                <w:szCs w:val="21"/>
              </w:rPr>
            </w:r>
            <w:r>
              <w:rPr>
                <w:rFonts w:eastAsia="仿宋_GB2312"/>
                <w:szCs w:val="21"/>
              </w:rPr>
            </w:r>
          </w:p>
        </w:tc>
        <w:tc>
          <w:tcPr>
            <w:tcBorders/>
            <w:tcW w:w="1763" w:type="dxa"/>
            <w:vAlign w:val="center"/>
            <w:textDirection w:val="lrTb"/>
            <w:noWrap/>
          </w:tcPr>
          <w:p>
            <w:pPr>
              <w:pStyle w:val="684"/>
              <w:pBdr/>
              <w:spacing/>
              <w:ind/>
              <w:jc w:val="center"/>
              <w:rPr>
                <w:rFonts w:eastAsia="仿宋_GB2312"/>
                <w:szCs w:val="21"/>
              </w:rPr>
            </w:pPr>
            <w:r>
              <w:rPr>
                <w:rFonts w:eastAsia="仿宋_GB2312"/>
                <w:szCs w:val="21"/>
              </w:rPr>
              <w:t xml:space="preserve">6432</w:t>
            </w:r>
            <w:r>
              <w:rPr>
                <w:rFonts w:eastAsia="仿宋_GB2312"/>
                <w:szCs w:val="21"/>
              </w:rPr>
            </w:r>
            <w:r>
              <w:rPr>
                <w:rFonts w:eastAsia="仿宋_GB2312"/>
                <w:szCs w:val="21"/>
              </w:rPr>
            </w:r>
          </w:p>
        </w:tc>
      </w:tr>
    </w:tbl>
    <w:p>
      <w:pPr>
        <w:pStyle w:val="684"/>
        <w:pBdr/>
        <w:spacing w:line="600" w:lineRule="exact"/>
        <w:ind w:firstLine="604"/>
        <w:rPr>
          <w:rFonts w:hint="eastAsia" w:ascii="仿宋_GB2312" w:hAnsi="黑体" w:eastAsia="仿宋_GB2312" w:cs="黑体"/>
          <w:color w:val="000000"/>
          <w:spacing w:val="-1"/>
          <w:sz w:val="32"/>
          <w:szCs w:val="32"/>
        </w:rPr>
      </w:pPr>
      <w:r>
        <w:rPr>
          <w:rFonts w:hint="eastAsia" w:ascii="仿宋_GB2312" w:hAnsi="宋体" w:eastAsia="仿宋_GB2312" w:cs="宋体"/>
          <w:color w:val="000000"/>
          <w:spacing w:val="-9"/>
          <w:sz w:val="32"/>
          <w:szCs w:val="32"/>
        </w:rPr>
        <w:t xml:space="preserve">（二）大型重卡换电站</w:t>
      </w:r>
      <w:r>
        <w:rPr>
          <w:rFonts w:hint="eastAsia" w:ascii="仿宋_GB2312" w:hAnsi="黑体" w:eastAsia="仿宋_GB2312" w:cs="黑体"/>
          <w:color w:val="000000"/>
          <w:spacing w:val="-1"/>
          <w:sz w:val="32"/>
          <w:szCs w:val="32"/>
        </w:rPr>
      </w:r>
      <w:r>
        <w:rPr>
          <w:rFonts w:hint="eastAsia" w:ascii="仿宋_GB2312" w:hAnsi="黑体" w:eastAsia="仿宋_GB2312" w:cs="黑体"/>
          <w:color w:val="000000"/>
          <w:spacing w:val="-1"/>
          <w:sz w:val="32"/>
          <w:szCs w:val="32"/>
        </w:rPr>
      </w:r>
    </w:p>
    <w:p>
      <w:pPr>
        <w:pStyle w:val="684"/>
        <w:pBdr/>
        <w:spacing w:line="600" w:lineRule="exact"/>
        <w:ind w:firstLine="620"/>
        <w:rPr>
          <w:rFonts w:hint="eastAsia" w:ascii="仿宋_GB2312" w:hAnsi="宋体" w:eastAsia="仿宋_GB2312" w:cs="宋体"/>
          <w:color w:val="000000"/>
          <w:spacing w:val="-5"/>
          <w:sz w:val="32"/>
          <w:szCs w:val="32"/>
        </w:rPr>
      </w:pPr>
      <w:r>
        <w:rPr>
          <w:rFonts w:hint="eastAsia" w:ascii="仿宋_GB2312" w:hAnsi="宋体" w:eastAsia="仿宋_GB2312" w:cs="宋体"/>
          <w:color w:val="000000"/>
          <w:spacing w:val="-5"/>
          <w:sz w:val="32"/>
          <w:szCs w:val="32"/>
        </w:rPr>
        <w:t xml:space="preserve">考虑到循环经济产业园使用需求，布局一处300KW的大型重卡换电站。</w:t>
      </w:r>
      <w:r>
        <w:rPr>
          <w:rFonts w:hint="eastAsia" w:ascii="仿宋_GB2312" w:hAnsi="宋体" w:eastAsia="仿宋_GB2312" w:cs="宋体"/>
          <w:color w:val="000000"/>
          <w:spacing w:val="-5"/>
          <w:sz w:val="32"/>
          <w:szCs w:val="32"/>
        </w:rPr>
      </w:r>
      <w:r>
        <w:rPr>
          <w:rFonts w:hint="eastAsia" w:ascii="仿宋_GB2312" w:hAnsi="宋体" w:eastAsia="仿宋_GB2312" w:cs="宋体"/>
          <w:color w:val="000000"/>
          <w:spacing w:val="-5"/>
          <w:sz w:val="32"/>
          <w:szCs w:val="32"/>
        </w:rPr>
      </w:r>
    </w:p>
    <w:p>
      <w:pPr>
        <w:pStyle w:val="684"/>
        <w:pBdr/>
        <w:spacing w:before="78" w:line="600" w:lineRule="exact"/>
        <w:ind w:firstLine="620"/>
        <w:rPr>
          <w:rFonts w:hint="eastAsia" w:ascii="仿宋_GB2312" w:hAnsi="宋体" w:eastAsia="仿宋_GB2312" w:cs="宋体"/>
          <w:color w:val="000000"/>
          <w:spacing w:val="-5"/>
          <w:sz w:val="32"/>
          <w:szCs w:val="32"/>
        </w:rPr>
      </w:pPr>
      <w:r>
        <w:rPr>
          <w:rFonts w:hint="eastAsia" w:ascii="仿宋_GB2312" w:hAnsi="宋体" w:eastAsia="仿宋_GB2312" w:cs="宋体"/>
          <w:color w:val="000000"/>
          <w:spacing w:val="-5"/>
          <w:sz w:val="32"/>
          <w:szCs w:val="32"/>
        </w:rPr>
      </w:r>
      <w:r>
        <w:rPr>
          <w:rFonts w:hint="eastAsia" w:ascii="仿宋_GB2312" w:hAnsi="宋体" w:eastAsia="仿宋_GB2312" w:cs="宋体"/>
          <w:color w:val="000000"/>
          <w:spacing w:val="-5"/>
          <w:sz w:val="32"/>
          <w:szCs w:val="32"/>
        </w:rPr>
      </w:r>
    </w:p>
    <w:p>
      <w:pPr>
        <w:pStyle w:val="684"/>
        <w:pBdr/>
        <w:spacing w:line="600" w:lineRule="exact"/>
        <w:ind/>
        <w:jc w:val="center"/>
        <w:rPr>
          <w:rFonts w:ascii="黑体" w:hAnsi="黑体" w:eastAsia="黑体"/>
          <w:sz w:val="32"/>
          <w:szCs w:val="32"/>
        </w:rPr>
      </w:pPr>
      <w:r>
        <w:rPr>
          <w:rFonts w:ascii="黑体" w:hAnsi="黑体" w:eastAsia="黑体"/>
          <w:sz w:val="32"/>
          <w:szCs w:val="32"/>
        </w:rPr>
        <w:t xml:space="preserve">第五章 </w:t>
      </w:r>
      <w:r>
        <w:rPr>
          <w:rFonts w:hint="eastAsia" w:ascii="黑体" w:hAnsi="黑体" w:eastAsia="黑体"/>
          <w:sz w:val="32"/>
          <w:szCs w:val="32"/>
        </w:rPr>
        <w:t xml:space="preserve"> </w:t>
      </w:r>
      <w:r>
        <w:rPr>
          <w:rFonts w:ascii="黑体" w:hAnsi="黑体" w:eastAsia="黑体"/>
          <w:sz w:val="32"/>
          <w:szCs w:val="32"/>
        </w:rPr>
        <w:t xml:space="preserve">实施保障</w:t>
      </w:r>
      <w:r>
        <w:rPr>
          <w:rFonts w:ascii="黑体" w:hAnsi="黑体" w:eastAsia="黑体"/>
          <w:sz w:val="32"/>
          <w:szCs w:val="32"/>
        </w:rPr>
      </w:r>
      <w:r>
        <w:rPr>
          <w:rFonts w:ascii="黑体" w:hAnsi="黑体" w:eastAsia="黑体"/>
          <w:sz w:val="32"/>
          <w:szCs w:val="32"/>
        </w:rPr>
      </w:r>
    </w:p>
    <w:p>
      <w:pPr>
        <w:pStyle w:val="684"/>
        <w:pBdr/>
        <w:spacing w:line="600" w:lineRule="exact"/>
        <w:ind w:firstLine="640"/>
        <w:rPr>
          <w:rFonts w:hint="eastAsia" w:ascii="楷体_GB2312" w:eastAsia="楷体_GB2312"/>
          <w:sz w:val="32"/>
          <w:szCs w:val="32"/>
        </w:rPr>
      </w:pPr>
      <w:r>
        <w:rPr>
          <w:rFonts w:hint="eastAsia" w:ascii="楷体_GB2312" w:eastAsia="楷体_GB2312"/>
          <w:sz w:val="32"/>
          <w:szCs w:val="32"/>
        </w:rPr>
        <w:t xml:space="preserve">第一条  督促落地落实</w:t>
      </w:r>
      <w:r>
        <w:rPr>
          <w:rFonts w:hint="eastAsia" w:ascii="楷体_GB2312" w:eastAsia="楷体_GB2312"/>
          <w:sz w:val="32"/>
          <w:szCs w:val="32"/>
        </w:rPr>
      </w:r>
      <w:r>
        <w:rPr>
          <w:rFonts w:hint="eastAsia" w:ascii="楷体_GB2312" w:eastAsia="楷体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全区各街道（乡镇）和各行业主管部门严格按照职责分工推动落实；各街道（乡镇）要切实履行属地主体责任，统筹本区域充（换）电基础设施规划、建设和管理工作。同时拟打造“城市电动汽车、电动自行车充（换）电一张图”，不断丰富应用场景，更好满足和服务市民充（换）电需求。</w:t>
      </w:r>
      <w:r>
        <w:rPr>
          <w:rFonts w:eastAsia="仿宋_GB2312"/>
          <w:sz w:val="32"/>
          <w:szCs w:val="32"/>
        </w:rPr>
      </w:r>
      <w:r>
        <w:rPr>
          <w:rFonts w:eastAsia="仿宋_GB2312"/>
          <w:sz w:val="32"/>
          <w:szCs w:val="32"/>
        </w:rPr>
      </w:r>
    </w:p>
    <w:p>
      <w:pPr>
        <w:pStyle w:val="684"/>
        <w:pBdr/>
        <w:spacing w:line="600" w:lineRule="exact"/>
        <w:ind w:firstLine="640"/>
        <w:rPr>
          <w:rFonts w:ascii="楷体_GB2312" w:eastAsia="楷体_GB2312"/>
          <w:sz w:val="32"/>
          <w:szCs w:val="32"/>
        </w:rPr>
      </w:pPr>
      <w:r>
        <w:rPr>
          <w:rFonts w:ascii="楷体_GB2312" w:eastAsia="楷体_GB2312"/>
          <w:sz w:val="32"/>
          <w:szCs w:val="32"/>
        </w:rPr>
        <w:t xml:space="preserve">第二条 </w:t>
      </w:r>
      <w:r>
        <w:rPr>
          <w:rFonts w:hint="eastAsia" w:ascii="楷体_GB2312" w:eastAsia="楷体_GB2312"/>
          <w:sz w:val="32"/>
          <w:szCs w:val="32"/>
        </w:rPr>
        <w:t xml:space="preserve"> </w:t>
      </w:r>
      <w:r>
        <w:rPr>
          <w:rFonts w:ascii="楷体_GB2312" w:eastAsia="楷体_GB2312"/>
          <w:sz w:val="32"/>
          <w:szCs w:val="32"/>
        </w:rPr>
        <w:t xml:space="preserve">完善配套政策</w:t>
      </w:r>
      <w:r>
        <w:rPr>
          <w:rFonts w:ascii="楷体_GB2312" w:eastAsia="楷体_GB2312"/>
          <w:sz w:val="32"/>
          <w:szCs w:val="32"/>
        </w:rPr>
      </w:r>
      <w:r>
        <w:rPr>
          <w:rFonts w:ascii="楷体_GB2312" w:eastAsia="楷体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相关部门牵头修订完善充（换）电基础设施市级补贴政策，制定充（换）电基础设施行业准入标准、建设运营安全管理办法、项目验收办法等行业政策，规范充（换）电基础设施建设和管理。电网企业要做好电力接入及居民社区供配电设施移交工作，适度超前实施配电网升级改造，满足居民充（换）电设施未来用电需求。</w:t>
      </w:r>
      <w:r>
        <w:rPr>
          <w:rFonts w:eastAsia="仿宋_GB2312"/>
          <w:sz w:val="32"/>
          <w:szCs w:val="32"/>
        </w:rPr>
      </w:r>
      <w:r>
        <w:rPr>
          <w:rFonts w:eastAsia="仿宋_GB2312"/>
          <w:sz w:val="32"/>
          <w:szCs w:val="32"/>
        </w:rPr>
      </w:r>
    </w:p>
    <w:p>
      <w:pPr>
        <w:pStyle w:val="684"/>
        <w:pBdr/>
        <w:spacing w:line="600" w:lineRule="exact"/>
        <w:ind w:firstLine="640"/>
        <w:rPr>
          <w:rFonts w:ascii="楷体_GB2312" w:eastAsia="楷体_GB2312"/>
          <w:sz w:val="32"/>
          <w:szCs w:val="32"/>
        </w:rPr>
      </w:pPr>
      <w:r>
        <w:rPr>
          <w:rFonts w:ascii="楷体_GB2312" w:eastAsia="楷体_GB2312"/>
          <w:sz w:val="32"/>
          <w:szCs w:val="32"/>
        </w:rPr>
        <w:t xml:space="preserve">第三条 </w:t>
      </w:r>
      <w:r>
        <w:rPr>
          <w:rFonts w:hint="eastAsia" w:ascii="楷体_GB2312" w:eastAsia="楷体_GB2312"/>
          <w:sz w:val="32"/>
          <w:szCs w:val="32"/>
        </w:rPr>
        <w:t xml:space="preserve"> </w:t>
      </w:r>
      <w:r>
        <w:rPr>
          <w:rFonts w:ascii="楷体_GB2312" w:eastAsia="楷体_GB2312"/>
          <w:sz w:val="32"/>
          <w:szCs w:val="32"/>
        </w:rPr>
        <w:t xml:space="preserve">加强宣传引导</w:t>
      </w:r>
      <w:r>
        <w:rPr>
          <w:rFonts w:ascii="楷体_GB2312" w:eastAsia="楷体_GB2312"/>
          <w:sz w:val="32"/>
          <w:szCs w:val="32"/>
        </w:rPr>
      </w:r>
      <w:r>
        <w:rPr>
          <w:rFonts w:ascii="楷体_GB2312" w:eastAsia="楷体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各街道（乡镇）、相关部门要充分利用各类新闻媒体，通过多种形式对充（换）电基础设施发展政策、规划布局和建设动态等进行宣传，提高社会的认知度和接受度。加强舆论监督，曝光阻碍充（换）电基础设施建设、损害消费者权益等行为，形成有利于充（换）电基础设施推广发展的良好氛围。</w:t>
      </w:r>
      <w:r>
        <w:rPr>
          <w:rFonts w:eastAsia="仿宋_GB2312"/>
          <w:sz w:val="32"/>
          <w:szCs w:val="32"/>
        </w:rPr>
      </w:r>
      <w:r>
        <w:rPr>
          <w:rFonts w:eastAsia="仿宋_GB2312"/>
          <w:sz w:val="32"/>
          <w:szCs w:val="32"/>
        </w:rPr>
      </w:r>
    </w:p>
    <w:p>
      <w:pPr>
        <w:pStyle w:val="684"/>
        <w:pBdr/>
        <w:spacing w:line="600" w:lineRule="exact"/>
        <w:ind w:firstLine="640"/>
        <w:rPr>
          <w:rFonts w:ascii="楷体_GB2312" w:eastAsia="楷体_GB2312"/>
          <w:sz w:val="32"/>
          <w:szCs w:val="32"/>
        </w:rPr>
      </w:pPr>
      <w:r>
        <w:rPr>
          <w:rFonts w:ascii="楷体_GB2312" w:eastAsia="楷体_GB2312"/>
          <w:sz w:val="32"/>
          <w:szCs w:val="32"/>
        </w:rPr>
        <w:t xml:space="preserve">第四条 </w:t>
      </w:r>
      <w:r>
        <w:rPr>
          <w:rFonts w:hint="eastAsia" w:ascii="楷体_GB2312" w:eastAsia="楷体_GB2312"/>
          <w:sz w:val="32"/>
          <w:szCs w:val="32"/>
        </w:rPr>
        <w:t xml:space="preserve"> </w:t>
      </w:r>
      <w:r>
        <w:rPr>
          <w:rFonts w:ascii="楷体_GB2312" w:eastAsia="楷体_GB2312"/>
          <w:sz w:val="32"/>
          <w:szCs w:val="32"/>
        </w:rPr>
        <w:t xml:space="preserve">坚持市场运行</w:t>
      </w:r>
      <w:r>
        <w:rPr>
          <w:rFonts w:ascii="楷体_GB2312" w:eastAsia="楷体_GB2312"/>
          <w:sz w:val="32"/>
          <w:szCs w:val="32"/>
        </w:rPr>
      </w:r>
      <w:r>
        <w:rPr>
          <w:rFonts w:ascii="楷体_GB2312" w:eastAsia="楷体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按照“政府引导、市场主导，社会参与、全民受益”原则，充分运用行政、</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经济、技术和法治手段统筹推进充（换）电基础设施建设。探索新能源应用场景，支持绿色技术、绿色产品研制推广。</w:t>
      </w:r>
      <w:r>
        <w:rPr>
          <w:rFonts w:eastAsia="仿宋_GB2312"/>
          <w:sz w:val="32"/>
          <w:szCs w:val="32"/>
        </w:rPr>
      </w:r>
      <w:r>
        <w:rPr>
          <w:rFonts w:eastAsia="仿宋_GB2312"/>
          <w:sz w:val="32"/>
          <w:szCs w:val="32"/>
        </w:rPr>
      </w:r>
    </w:p>
    <w:p>
      <w:pPr>
        <w:pStyle w:val="684"/>
        <w:pBdr/>
        <w:spacing w:line="600" w:lineRule="exact"/>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line="600" w:lineRule="exact"/>
        <w:ind/>
        <w:jc w:val="center"/>
        <w:rPr>
          <w:rFonts w:ascii="黑体" w:hAnsi="黑体" w:eastAsia="黑体"/>
          <w:sz w:val="32"/>
          <w:szCs w:val="32"/>
        </w:rPr>
      </w:pPr>
      <w:r>
        <w:rPr>
          <w:rFonts w:ascii="黑体" w:hAnsi="黑体" w:eastAsia="黑体"/>
          <w:sz w:val="32"/>
          <w:szCs w:val="32"/>
        </w:rPr>
        <w:t xml:space="preserve">第六章 </w:t>
      </w:r>
      <w:r>
        <w:rPr>
          <w:rFonts w:hint="eastAsia" w:ascii="黑体" w:hAnsi="黑体" w:eastAsia="黑体"/>
          <w:sz w:val="32"/>
          <w:szCs w:val="32"/>
        </w:rPr>
        <w:t xml:space="preserve"> </w:t>
      </w:r>
      <w:r>
        <w:rPr>
          <w:rFonts w:ascii="黑体" w:hAnsi="黑体" w:eastAsia="黑体"/>
          <w:sz w:val="32"/>
          <w:szCs w:val="32"/>
        </w:rPr>
        <w:t xml:space="preserve">项目投融资与财务方案</w:t>
      </w:r>
      <w:r>
        <w:rPr>
          <w:rFonts w:ascii="黑体" w:hAnsi="黑体" w:eastAsia="黑体"/>
          <w:sz w:val="32"/>
          <w:szCs w:val="32"/>
        </w:rPr>
      </w:r>
      <w:r>
        <w:rPr>
          <w:rFonts w:ascii="黑体" w:hAnsi="黑体" w:eastAsia="黑体"/>
          <w:sz w:val="32"/>
          <w:szCs w:val="32"/>
        </w:rPr>
      </w:r>
    </w:p>
    <w:p>
      <w:pPr>
        <w:pStyle w:val="684"/>
        <w:pBdr/>
        <w:spacing w:line="600" w:lineRule="exact"/>
        <w:ind w:firstLine="640"/>
        <w:rPr>
          <w:rFonts w:ascii="楷体_GB2312" w:eastAsia="楷体_GB2312"/>
          <w:sz w:val="32"/>
          <w:szCs w:val="32"/>
        </w:rPr>
      </w:pPr>
      <w:r>
        <w:rPr>
          <w:rFonts w:ascii="楷体_GB2312" w:eastAsia="楷体_GB2312"/>
          <w:sz w:val="32"/>
          <w:szCs w:val="32"/>
        </w:rPr>
        <w:t xml:space="preserve">第一条 </w:t>
      </w:r>
      <w:r>
        <w:rPr>
          <w:rFonts w:hint="eastAsia" w:ascii="楷体_GB2312" w:eastAsia="楷体_GB2312"/>
          <w:sz w:val="32"/>
          <w:szCs w:val="32"/>
        </w:rPr>
        <w:t xml:space="preserve"> </w:t>
      </w:r>
      <w:r>
        <w:rPr>
          <w:rFonts w:ascii="楷体_GB2312" w:eastAsia="楷体_GB2312"/>
          <w:sz w:val="32"/>
          <w:szCs w:val="32"/>
        </w:rPr>
        <w:t xml:space="preserve">估算依据及说明</w:t>
      </w:r>
      <w:r>
        <w:rPr>
          <w:rFonts w:ascii="楷体_GB2312" w:eastAsia="楷体_GB2312"/>
          <w:sz w:val="32"/>
          <w:szCs w:val="32"/>
        </w:rPr>
      </w:r>
      <w:r>
        <w:rPr>
          <w:rFonts w:ascii="楷体_GB2312" w:eastAsia="楷体_GB2312"/>
          <w:sz w:val="32"/>
          <w:szCs w:val="32"/>
        </w:rPr>
      </w:r>
    </w:p>
    <w:p>
      <w:pPr>
        <w:pStyle w:val="684"/>
        <w:pBdr/>
        <w:spacing w:line="600" w:lineRule="exact"/>
        <w:ind/>
        <w:rPr>
          <w:rFonts w:eastAsia="仿宋_GB2312"/>
          <w:sz w:val="32"/>
          <w:szCs w:val="32"/>
        </w:rPr>
      </w:pPr>
      <w:r>
        <w:rPr>
          <w:rFonts w:eastAsia="仿宋_GB2312"/>
          <w:sz w:val="32"/>
          <w:szCs w:val="32"/>
        </w:rPr>
        <w:t xml:space="preserve">　　1</w:t>
      </w:r>
      <w:r>
        <w:rPr>
          <w:rFonts w:hint="eastAsia" w:eastAsia="仿宋_GB2312"/>
          <w:sz w:val="32"/>
          <w:szCs w:val="32"/>
        </w:rPr>
        <w:t xml:space="preserve">．</w:t>
      </w:r>
      <w:r>
        <w:rPr>
          <w:rFonts w:eastAsia="仿宋_GB2312"/>
          <w:sz w:val="32"/>
          <w:szCs w:val="32"/>
        </w:rPr>
        <w:t xml:space="preserve">估算依据</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（1）《建设项目经济评价方法与参数》（国家发改委、建设部）；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（2）《建设工程工程量清单计价规范》（GB50500</w:t>
      </w:r>
      <w:r>
        <w:rPr>
          <w:rFonts w:hint="eastAsia" w:eastAsia="仿宋_GB2312"/>
          <w:sz w:val="32"/>
          <w:szCs w:val="32"/>
        </w:rPr>
        <w:t xml:space="preserve">—</w:t>
      </w:r>
      <w:r>
        <w:rPr>
          <w:rFonts w:eastAsia="仿宋_GB2312"/>
          <w:sz w:val="32"/>
          <w:szCs w:val="32"/>
        </w:rPr>
        <w:t xml:space="preserve">2013）；</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（3）《通用安装工程工程量计算规范》GB50586</w:t>
      </w:r>
      <w:r>
        <w:rPr>
          <w:rFonts w:hint="eastAsia" w:eastAsia="仿宋_GB2312"/>
          <w:sz w:val="32"/>
          <w:szCs w:val="32"/>
        </w:rPr>
        <w:t xml:space="preserve">—</w:t>
      </w:r>
      <w:r>
        <w:rPr>
          <w:rFonts w:eastAsia="仿宋_GB2312"/>
          <w:sz w:val="32"/>
          <w:szCs w:val="32"/>
        </w:rPr>
        <w:t xml:space="preserve">2013）；</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（4）《四川省建设工程工程量清单计价定额》（2020）；</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（5）发改价格〔2023〕526 号；</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（6）工程建设其他费用相关配套文件；</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（7）主要材料设备市场现行价格；</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w:t>
      </w:r>
      <w:r>
        <w:rPr>
          <w:rFonts w:hint="eastAsia" w:eastAsia="仿宋_GB2312"/>
          <w:sz w:val="32"/>
          <w:szCs w:val="32"/>
        </w:rPr>
        <w:t xml:space="preserve">．</w:t>
      </w:r>
      <w:r>
        <w:rPr>
          <w:rFonts w:eastAsia="仿宋_GB2312"/>
          <w:sz w:val="32"/>
          <w:szCs w:val="32"/>
        </w:rPr>
        <w:t xml:space="preserve">投资估算说明</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2.1</w:t>
      </w:r>
      <w:r>
        <w:rPr>
          <w:rFonts w:hint="eastAsia" w:eastAsia="仿宋_GB2312"/>
          <w:sz w:val="32"/>
          <w:szCs w:val="32"/>
        </w:rPr>
        <w:t xml:space="preserve">．</w:t>
      </w:r>
      <w:r>
        <w:rPr>
          <w:rFonts w:eastAsia="仿宋_GB2312"/>
          <w:sz w:val="32"/>
          <w:szCs w:val="32"/>
        </w:rPr>
        <w:t xml:space="preserve">参考同一地区、同类建设项目已完工竣工决算资料，采用投资指标估算法进行投资估算。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2.2</w:t>
      </w:r>
      <w:r>
        <w:rPr>
          <w:rFonts w:hint="eastAsia" w:eastAsia="仿宋_GB2312"/>
          <w:sz w:val="32"/>
          <w:szCs w:val="32"/>
        </w:rPr>
        <w:t xml:space="preserve">．</w:t>
      </w:r>
      <w:r>
        <w:rPr>
          <w:rFonts w:eastAsia="仿宋_GB2312"/>
          <w:sz w:val="32"/>
          <w:szCs w:val="32"/>
        </w:rPr>
        <w:t xml:space="preserve">工程建设其他费用的计取</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（1）建设单位管理费：指建设单位从项目开工之日起至办理竣工财务决算之日止发生的管理性的开支。根据财建</w:t>
      </w:r>
      <w:r>
        <w:rPr>
          <w:rFonts w:hint="eastAsia" w:eastAsia="仿宋_GB2312"/>
          <w:sz w:val="32"/>
          <w:szCs w:val="32"/>
        </w:rPr>
        <w:t xml:space="preserve">〔</w:t>
      </w:r>
      <w:r>
        <w:rPr>
          <w:rFonts w:eastAsia="仿宋_GB2312"/>
          <w:sz w:val="32"/>
          <w:szCs w:val="32"/>
        </w:rPr>
        <w:t xml:space="preserve">2016</w:t>
      </w:r>
      <w:r>
        <w:rPr>
          <w:rFonts w:hint="eastAsia" w:eastAsia="仿宋_GB2312"/>
          <w:sz w:val="32"/>
          <w:szCs w:val="32"/>
        </w:rPr>
        <w:t xml:space="preserve">〕</w:t>
      </w:r>
      <w:r>
        <w:rPr>
          <w:rFonts w:eastAsia="仿宋_GB2312"/>
          <w:sz w:val="32"/>
          <w:szCs w:val="32"/>
        </w:rPr>
        <w:t xml:space="preserve">504号文件按照工程项目的不同规模分别确定的建设单位管理费率计算。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（2）可行性研究报告编制费：参考发改价格〔2023〕526号文件、计价格〔</w:t>
      </w:r>
      <w:r>
        <w:rPr>
          <w:rFonts w:hint="eastAsia" w:eastAsia="仿宋_GB2312"/>
          <w:sz w:val="32"/>
          <w:szCs w:val="32"/>
        </w:rPr>
        <w:t xml:space="preserve">1999</w:t>
      </w:r>
      <w:r>
        <w:rPr>
          <w:rFonts w:eastAsia="仿宋_GB2312"/>
          <w:sz w:val="32"/>
          <w:szCs w:val="32"/>
        </w:rPr>
        <w:t xml:space="preserve">〕1283号文件以及本项目实际费用计算不下浮。</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（3）工程监理费：参考发改价格〔2023〕526号文件相关规定计算下浮20%。</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（4）勘察、设计费：包括工程地质勘察、初步设计及施工图设计等，参考发改价格〔2023〕526号文件相关规定计算下浮 20%。</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（5）招标代理费：参考发改价格〔2015〕299号文、国家计委、建设部计价格〔2002〕1980号和发改办价格〔2003〕857号文之规定计算下浮20%。</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（6）工程造价咨询费：依据《四川省物价局、四川省建设厅关 于〈工程造价咨询服务收费标准〉的通知》（川价发〔2008〕141号）规定要求计算。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（7）环境影响评价费：参考发改价格〔2015〕299号文、国家计委、国家环境保护总局《关于规范环境影响咨询收费有关问题的通知》（计价格〔2002〕125号）规定要求计算下浮20%。</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（8）施工图审查费：依据川发改价格（2011）323号文件计算。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（9）其他费用参照国家、省市级行业有关规定计取。</w:t>
      </w:r>
      <w:r>
        <w:rPr>
          <w:rFonts w:eastAsia="仿宋_GB2312"/>
          <w:sz w:val="32"/>
          <w:szCs w:val="32"/>
        </w:rPr>
      </w:r>
      <w:r>
        <w:rPr>
          <w:rFonts w:eastAsia="仿宋_GB2312"/>
          <w:sz w:val="32"/>
          <w:szCs w:val="32"/>
        </w:rPr>
      </w:r>
    </w:p>
    <w:p>
      <w:pPr>
        <w:pStyle w:val="684"/>
        <w:pBdr/>
        <w:spacing w:line="600" w:lineRule="exact"/>
        <w:ind w:firstLine="480"/>
        <w:rPr>
          <w:rFonts w:hint="eastAsia" w:ascii="楷体_GB2312" w:eastAsia="楷体_GB2312"/>
          <w:sz w:val="32"/>
          <w:szCs w:val="32"/>
        </w:rPr>
      </w:pPr>
      <w:r>
        <w:rPr>
          <w:rFonts w:hint="eastAsia" w:ascii="楷体_GB2312" w:eastAsia="楷体_GB2312"/>
          <w:sz w:val="32"/>
          <w:szCs w:val="32"/>
        </w:rPr>
        <w:t xml:space="preserve">第二条  投资估算</w:t>
      </w:r>
      <w:r>
        <w:rPr>
          <w:rFonts w:hint="eastAsia" w:ascii="楷体_GB2312" w:eastAsia="楷体_GB2312"/>
          <w:sz w:val="32"/>
          <w:szCs w:val="32"/>
        </w:rPr>
      </w:r>
      <w:r>
        <w:rPr>
          <w:rFonts w:hint="eastAsia" w:ascii="楷体_GB2312" w:eastAsia="楷体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1</w:t>
      </w:r>
      <w:r>
        <w:rPr>
          <w:rFonts w:hint="eastAsia" w:eastAsia="仿宋_GB2312"/>
          <w:sz w:val="32"/>
          <w:szCs w:val="32"/>
        </w:rPr>
        <w:t xml:space="preserve">．</w:t>
      </w:r>
      <w:r>
        <w:rPr>
          <w:rFonts w:eastAsia="仿宋_GB2312"/>
          <w:sz w:val="32"/>
          <w:szCs w:val="32"/>
        </w:rPr>
        <w:t xml:space="preserve">新能源、电动汽车、电动自行车充电桩及配套设施单价</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①电动汽车充电桩：目前市场各型号费用如下：</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单个7KW充电桩费用（含设备、辅材及安装费）</w:t>
      </w:r>
      <w:r>
        <w:rPr>
          <w:rFonts w:hint="eastAsia" w:eastAsia="仿宋_GB2312"/>
          <w:sz w:val="32"/>
          <w:szCs w:val="32"/>
        </w:rPr>
        <w:t xml:space="preserve">：</w:t>
      </w:r>
      <w:r>
        <w:rPr>
          <w:rFonts w:eastAsia="仿宋_GB2312"/>
          <w:sz w:val="32"/>
          <w:szCs w:val="32"/>
        </w:rPr>
        <w:t xml:space="preserve">5650元；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单个120KW充电桩费用（含设备、辅材及安装费）</w:t>
      </w:r>
      <w:r>
        <w:rPr>
          <w:rFonts w:hint="eastAsia" w:eastAsia="仿宋_GB2312"/>
          <w:sz w:val="32"/>
          <w:szCs w:val="32"/>
        </w:rPr>
        <w:t xml:space="preserve">：</w:t>
      </w:r>
      <w:r>
        <w:rPr>
          <w:rFonts w:eastAsia="仿宋_GB2312"/>
          <w:sz w:val="32"/>
          <w:szCs w:val="32"/>
        </w:rPr>
        <w:t xml:space="preserve">78200元；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单个480KW充电桩费用（含设备、辅材及安装费）</w:t>
      </w:r>
      <w:r>
        <w:rPr>
          <w:rFonts w:hint="eastAsia" w:eastAsia="仿宋_GB2312"/>
          <w:sz w:val="32"/>
          <w:szCs w:val="32"/>
        </w:rPr>
        <w:t xml:space="preserve">：</w:t>
      </w:r>
      <w:r>
        <w:rPr>
          <w:rFonts w:eastAsia="仿宋_GB2312"/>
          <w:sz w:val="32"/>
          <w:szCs w:val="32"/>
        </w:rPr>
        <w:t xml:space="preserve">387400元；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单个600KW充电桩费用（含设备、辅材及安装费）</w:t>
      </w:r>
      <w:r>
        <w:rPr>
          <w:rFonts w:hint="eastAsia" w:eastAsia="仿宋_GB2312"/>
          <w:sz w:val="32"/>
          <w:szCs w:val="32"/>
        </w:rPr>
        <w:t xml:space="preserve">：</w:t>
      </w:r>
      <w:r>
        <w:rPr>
          <w:rFonts w:eastAsia="仿宋_GB2312"/>
          <w:sz w:val="32"/>
          <w:szCs w:val="32"/>
        </w:rPr>
        <w:t xml:space="preserve">484300元；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②电动自行车充电桩</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单套预计配置成本为：0.56万元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③变压器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变压器建设成本详表6-1</w:t>
      </w: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pPr>
      <w:r>
        <w:rPr>
          <w:rFonts w:ascii="黑体" w:hAnsi="黑体" w:eastAsia="黑体"/>
          <w:sz w:val="28"/>
          <w:szCs w:val="28"/>
        </w:rPr>
        <w:t xml:space="preserve">变压器建设成本详表6-1</w:t>
      </w:r>
      <w:r>
        <w:rPr>
          <w:rFonts w:ascii="黑体" w:hAnsi="黑体" w:eastAsia="黑体"/>
          <w:sz w:val="28"/>
          <w:szCs w:val="28"/>
        </w:rPr>
      </w:r>
      <w:r>
        <w:rPr>
          <w:rFonts w:ascii="黑体" w:hAnsi="黑体" w:eastAsia="黑体"/>
          <w:sz w:val="28"/>
          <w:szCs w:val="28"/>
        </w:rPr>
      </w:r>
    </w:p>
    <w:tbl>
      <w:tblPr>
        <w:tblStyle w:val="712"/>
        <w:tblW w:w="4892" w:type="pct"/>
        <w:jc w:val="center"/>
        <w:tblInd w:w="-1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left w:w="108" w:type="dxa"/>
          <w:top w:w="0" w:type="dxa"/>
          <w:right w:w="108" w:type="dxa"/>
          <w:bottom w:w="0" w:type="dxa"/>
        </w:tblCellMar>
        <w:tblLook w:val="04A0" w:firstRow="1" w:lastRow="0" w:firstColumn="1" w:lastColumn="0" w:noHBand="0" w:noVBand="1"/>
      </w:tblPr>
      <w:tblGrid>
        <w:gridCol w:w="2278"/>
        <w:gridCol w:w="2269"/>
        <w:gridCol w:w="2269"/>
        <w:gridCol w:w="2048"/>
      </w:tblGrid>
      <w:tr>
        <w:trPr>
          <w:trHeight w:val="294"/>
        </w:trPr>
        <w:tc>
          <w:tcPr>
            <w:tcBorders/>
            <w:tcW w:w="1285" w:type="dxa"/>
            <w:vAlign w:val="center"/>
            <w:textDirection w:val="lrTb"/>
            <w:noWrap w:val="false"/>
          </w:tcPr>
          <w:p>
            <w:pPr>
              <w:pStyle w:val="711"/>
              <w:pBdr/>
              <w:spacing w:line="240" w:lineRule="exact"/>
              <w:ind/>
              <w:jc w:val="center"/>
              <w:rPr>
                <w:rFonts w:eastAsia="仿宋_GB2312"/>
                <w:b/>
                <w:color w:val="000000"/>
              </w:rPr>
            </w:pPr>
            <w:r>
              <w:rPr>
                <w:rFonts w:eastAsia="仿宋_GB2312"/>
                <w:b/>
                <w:color w:val="000000"/>
                <w:spacing w:val="-17"/>
              </w:rPr>
              <w:t xml:space="preserve">容量（KVA）</w:t>
            </w:r>
            <w:r>
              <w:rPr>
                <w:rFonts w:eastAsia="仿宋_GB2312"/>
                <w:b/>
                <w:color w:val="000000"/>
              </w:rPr>
            </w:r>
            <w:r>
              <w:rPr>
                <w:rFonts w:eastAsia="仿宋_GB2312"/>
                <w:b/>
                <w:color w:val="000000"/>
              </w:rPr>
            </w:r>
          </w:p>
        </w:tc>
        <w:tc>
          <w:tcPr>
            <w:tcBorders/>
            <w:tcW w:w="1280" w:type="dxa"/>
            <w:vAlign w:val="center"/>
            <w:textDirection w:val="lrTb"/>
            <w:noWrap w:val="false"/>
          </w:tcPr>
          <w:p>
            <w:pPr>
              <w:pStyle w:val="711"/>
              <w:pBdr/>
              <w:spacing w:line="240" w:lineRule="exact"/>
              <w:ind w:right="147" w:hanging="127" w:left="282"/>
              <w:jc w:val="center"/>
              <w:rPr>
                <w:rFonts w:eastAsia="仿宋_GB2312"/>
                <w:b/>
                <w:color w:val="000000"/>
              </w:rPr>
            </w:pPr>
            <w:r>
              <w:rPr>
                <w:rFonts w:eastAsia="仿宋_GB2312"/>
                <w:b/>
                <w:color w:val="000000"/>
                <w:spacing w:val="-3"/>
              </w:rPr>
              <w:t xml:space="preserve">设备购置费</w:t>
            </w:r>
            <w:r>
              <w:rPr>
                <w:rFonts w:eastAsia="仿宋_GB2312"/>
                <w:b/>
                <w:color w:val="000000"/>
              </w:rPr>
            </w:r>
            <w:r>
              <w:rPr>
                <w:rFonts w:eastAsia="仿宋_GB2312"/>
                <w:b/>
                <w:color w:val="000000"/>
              </w:rPr>
            </w:r>
          </w:p>
          <w:p>
            <w:pPr>
              <w:pStyle w:val="711"/>
              <w:pBdr/>
              <w:spacing w:line="240" w:lineRule="exact"/>
              <w:ind w:right="147" w:hanging="127" w:left="282"/>
              <w:jc w:val="center"/>
              <w:rPr>
                <w:rFonts w:eastAsia="仿宋_GB2312"/>
                <w:b/>
                <w:color w:val="000000"/>
              </w:rPr>
            </w:pPr>
            <w:r>
              <w:rPr>
                <w:rFonts w:eastAsia="仿宋_GB2312"/>
                <w:b/>
                <w:color w:val="000000"/>
                <w:spacing w:val="-6"/>
              </w:rPr>
              <w:t xml:space="preserve">（万元）</w:t>
            </w:r>
            <w:r>
              <w:rPr>
                <w:rFonts w:eastAsia="仿宋_GB2312"/>
                <w:b/>
                <w:color w:val="000000"/>
              </w:rPr>
            </w:r>
            <w:r>
              <w:rPr>
                <w:rFonts w:eastAsia="仿宋_GB2312"/>
                <w:b/>
                <w:color w:val="000000"/>
              </w:rPr>
            </w:r>
          </w:p>
        </w:tc>
        <w:tc>
          <w:tcPr>
            <w:tcBorders/>
            <w:tcW w:w="1280" w:type="dxa"/>
            <w:vAlign w:val="center"/>
            <w:textDirection w:val="lrTb"/>
            <w:noWrap w:val="false"/>
          </w:tcPr>
          <w:p>
            <w:pPr>
              <w:pStyle w:val="711"/>
              <w:pBdr/>
              <w:spacing w:line="240" w:lineRule="exact"/>
              <w:ind w:right="5" w:firstLine="41" w:left="116"/>
              <w:jc w:val="center"/>
              <w:rPr>
                <w:rFonts w:eastAsia="仿宋_GB2312"/>
                <w:b/>
                <w:color w:val="000000"/>
                <w:spacing w:val="-13"/>
                <w:lang w:eastAsia="zh-CN"/>
              </w:rPr>
            </w:pPr>
            <w:r>
              <w:rPr>
                <w:rFonts w:eastAsia="仿宋_GB2312"/>
                <w:b/>
                <w:color w:val="000000"/>
                <w:spacing w:val="-3"/>
                <w:lang w:eastAsia="zh-CN"/>
              </w:rPr>
              <w:t xml:space="preserve">安装及辅材</w:t>
            </w:r>
            <w:r>
              <w:rPr>
                <w:rFonts w:eastAsia="仿宋_GB2312"/>
                <w:b/>
                <w:color w:val="000000"/>
                <w:spacing w:val="-13"/>
                <w:lang w:eastAsia="zh-CN"/>
              </w:rPr>
              <w:t xml:space="preserve">单价</w:t>
            </w:r>
            <w:r>
              <w:rPr>
                <w:rFonts w:eastAsia="仿宋_GB2312"/>
                <w:b/>
                <w:color w:val="000000"/>
                <w:spacing w:val="-13"/>
                <w:lang w:eastAsia="zh-CN"/>
              </w:rPr>
            </w:r>
            <w:r>
              <w:rPr>
                <w:rFonts w:eastAsia="仿宋_GB2312"/>
                <w:b/>
                <w:color w:val="000000"/>
                <w:spacing w:val="-13"/>
                <w:lang w:eastAsia="zh-CN"/>
              </w:rPr>
            </w:r>
          </w:p>
          <w:p>
            <w:pPr>
              <w:pStyle w:val="711"/>
              <w:pBdr/>
              <w:spacing w:line="240" w:lineRule="exact"/>
              <w:ind w:right="5" w:firstLine="41" w:left="116"/>
              <w:jc w:val="center"/>
              <w:rPr>
                <w:rFonts w:eastAsia="仿宋_GB2312"/>
                <w:b/>
                <w:color w:val="000000"/>
                <w:lang w:eastAsia="zh-CN"/>
              </w:rPr>
            </w:pPr>
            <w:r>
              <w:rPr>
                <w:rFonts w:eastAsia="仿宋_GB2312"/>
                <w:b/>
                <w:color w:val="000000"/>
                <w:spacing w:val="-13"/>
                <w:lang w:eastAsia="zh-CN"/>
              </w:rPr>
              <w:t xml:space="preserve">（万元）</w:t>
            </w:r>
            <w:r>
              <w:rPr>
                <w:rFonts w:eastAsia="仿宋_GB2312"/>
                <w:b/>
                <w:color w:val="000000"/>
                <w:lang w:eastAsia="zh-CN"/>
              </w:rPr>
            </w:r>
            <w:r>
              <w:rPr>
                <w:rFonts w:eastAsia="仿宋_GB2312"/>
                <w:b/>
                <w:color w:val="000000"/>
                <w:lang w:eastAsia="zh-CN"/>
              </w:rPr>
            </w:r>
          </w:p>
        </w:tc>
        <w:tc>
          <w:tcPr>
            <w:tcBorders/>
            <w:tcW w:w="1155" w:type="dxa"/>
            <w:vAlign w:val="center"/>
            <w:textDirection w:val="lrTb"/>
            <w:noWrap w:val="false"/>
          </w:tcPr>
          <w:p>
            <w:pPr>
              <w:pStyle w:val="711"/>
              <w:pBdr/>
              <w:spacing w:line="240" w:lineRule="exact"/>
              <w:ind/>
              <w:jc w:val="center"/>
              <w:rPr>
                <w:rFonts w:eastAsia="仿宋_GB2312"/>
                <w:b/>
                <w:color w:val="000000"/>
              </w:rPr>
            </w:pPr>
            <w:r>
              <w:rPr>
                <w:rFonts w:eastAsia="仿宋_GB2312"/>
                <w:b/>
                <w:color w:val="000000"/>
                <w:spacing w:val="-12"/>
              </w:rPr>
              <w:t xml:space="preserve">单价（万元）</w:t>
            </w:r>
            <w:r>
              <w:rPr>
                <w:rFonts w:eastAsia="仿宋_GB2312"/>
                <w:b/>
                <w:color w:val="000000"/>
              </w:rPr>
            </w:r>
            <w:r>
              <w:rPr>
                <w:rFonts w:eastAsia="仿宋_GB2312"/>
                <w:b/>
                <w:color w:val="000000"/>
              </w:rPr>
            </w:r>
          </w:p>
        </w:tc>
      </w:tr>
      <w:tr>
        <w:trPr>
          <w:trHeight w:val="380"/>
        </w:trPr>
        <w:tc>
          <w:tcPr>
            <w:tcBorders/>
            <w:tcW w:w="1285" w:type="dxa"/>
            <w:vAlign w:val="center"/>
            <w:textDirection w:val="lrTb"/>
            <w:noWrap w:val="false"/>
          </w:tcPr>
          <w:p>
            <w:pPr>
              <w:pStyle w:val="684"/>
              <w:pBdr/>
              <w:spacing w:line="240" w:lineRule="exact"/>
              <w:ind w:left="576"/>
              <w:jc w:val="center"/>
              <w:rPr>
                <w:rFonts w:eastAsia="仿宋_GB2312"/>
                <w:szCs w:val="21"/>
              </w:rPr>
            </w:pPr>
            <w:r>
              <w:rPr>
                <w:rFonts w:eastAsia="仿宋_GB2312"/>
                <w:spacing w:val="-4"/>
                <w:szCs w:val="21"/>
              </w:rPr>
              <w:t xml:space="preserve">315</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96"/>
              <w:jc w:val="center"/>
              <w:rPr>
                <w:rFonts w:eastAsia="仿宋_GB2312"/>
                <w:szCs w:val="21"/>
              </w:rPr>
            </w:pPr>
            <w:r>
              <w:rPr>
                <w:rFonts w:eastAsia="仿宋_GB2312"/>
                <w:szCs w:val="21"/>
              </w:rPr>
              <w:t xml:space="preserve">8</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598"/>
              <w:jc w:val="center"/>
              <w:rPr>
                <w:rFonts w:eastAsia="仿宋_GB2312"/>
                <w:szCs w:val="21"/>
              </w:rPr>
            </w:pPr>
            <w:r>
              <w:rPr>
                <w:rFonts w:eastAsia="仿宋_GB2312"/>
                <w:spacing w:val="-2"/>
                <w:szCs w:val="21"/>
              </w:rPr>
              <w:t xml:space="preserve">4.8</w:t>
            </w:r>
            <w:r>
              <w:rPr>
                <w:rFonts w:eastAsia="仿宋_GB2312"/>
                <w:szCs w:val="21"/>
              </w:rPr>
            </w:r>
            <w:r>
              <w:rPr>
                <w:rFonts w:eastAsia="仿宋_GB2312"/>
                <w:szCs w:val="21"/>
              </w:rPr>
            </w:r>
          </w:p>
        </w:tc>
        <w:tc>
          <w:tcPr>
            <w:tcBorders/>
            <w:tcW w:w="1155" w:type="dxa"/>
            <w:vAlign w:val="center"/>
            <w:textDirection w:val="lrTb"/>
            <w:noWrap w:val="false"/>
          </w:tcPr>
          <w:p>
            <w:pPr>
              <w:pStyle w:val="684"/>
              <w:pBdr/>
              <w:spacing w:line="240" w:lineRule="exact"/>
              <w:ind w:left="566"/>
              <w:jc w:val="center"/>
              <w:rPr>
                <w:rFonts w:eastAsia="仿宋_GB2312"/>
                <w:szCs w:val="21"/>
              </w:rPr>
            </w:pPr>
            <w:r>
              <w:rPr>
                <w:rFonts w:eastAsia="仿宋_GB2312"/>
                <w:spacing w:val="-8"/>
                <w:szCs w:val="21"/>
              </w:rPr>
              <w:t xml:space="preserve">12.8</w:t>
            </w:r>
            <w:r>
              <w:rPr>
                <w:rFonts w:eastAsia="仿宋_GB2312"/>
                <w:szCs w:val="21"/>
              </w:rPr>
            </w:r>
            <w:r>
              <w:rPr>
                <w:rFonts w:eastAsia="仿宋_GB2312"/>
                <w:szCs w:val="21"/>
              </w:rPr>
            </w:r>
          </w:p>
        </w:tc>
      </w:tr>
      <w:tr>
        <w:trPr>
          <w:trHeight w:val="383"/>
        </w:trPr>
        <w:tc>
          <w:tcPr>
            <w:tcBorders/>
            <w:tcW w:w="1285" w:type="dxa"/>
            <w:vAlign w:val="center"/>
            <w:textDirection w:val="lrTb"/>
            <w:noWrap w:val="false"/>
          </w:tcPr>
          <w:p>
            <w:pPr>
              <w:pStyle w:val="684"/>
              <w:pBdr/>
              <w:spacing w:line="240" w:lineRule="exact"/>
              <w:ind w:left="570"/>
              <w:jc w:val="center"/>
              <w:rPr>
                <w:rFonts w:eastAsia="仿宋_GB2312"/>
                <w:szCs w:val="21"/>
              </w:rPr>
            </w:pPr>
            <w:r>
              <w:rPr>
                <w:rFonts w:eastAsia="仿宋_GB2312"/>
                <w:spacing w:val="-2"/>
                <w:szCs w:val="21"/>
              </w:rPr>
              <w:t xml:space="preserve">400</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91"/>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05"/>
              <w:jc w:val="center"/>
              <w:rPr>
                <w:rFonts w:eastAsia="仿宋_GB2312"/>
                <w:szCs w:val="21"/>
              </w:rPr>
            </w:pPr>
            <w:r>
              <w:rPr>
                <w:rFonts w:eastAsia="仿宋_GB2312"/>
                <w:spacing w:val="-4"/>
                <w:szCs w:val="21"/>
              </w:rPr>
              <w:t xml:space="preserve">5.4</w:t>
            </w:r>
            <w:r>
              <w:rPr>
                <w:rFonts w:eastAsia="仿宋_GB2312"/>
                <w:szCs w:val="21"/>
              </w:rPr>
            </w:r>
            <w:r>
              <w:rPr>
                <w:rFonts w:eastAsia="仿宋_GB2312"/>
                <w:szCs w:val="21"/>
              </w:rPr>
            </w:r>
          </w:p>
        </w:tc>
        <w:tc>
          <w:tcPr>
            <w:tcBorders/>
            <w:tcW w:w="1155" w:type="dxa"/>
            <w:vAlign w:val="center"/>
            <w:textDirection w:val="lrTb"/>
            <w:noWrap w:val="false"/>
          </w:tcPr>
          <w:p>
            <w:pPr>
              <w:pStyle w:val="684"/>
              <w:pBdr/>
              <w:spacing w:line="240" w:lineRule="exact"/>
              <w:ind w:left="566"/>
              <w:jc w:val="center"/>
              <w:rPr>
                <w:rFonts w:eastAsia="仿宋_GB2312"/>
                <w:szCs w:val="21"/>
              </w:rPr>
            </w:pPr>
            <w:r>
              <w:rPr>
                <w:rFonts w:eastAsia="仿宋_GB2312"/>
                <w:spacing w:val="-8"/>
                <w:szCs w:val="21"/>
              </w:rPr>
              <w:t xml:space="preserve">14.4</w:t>
            </w:r>
            <w:r>
              <w:rPr>
                <w:rFonts w:eastAsia="仿宋_GB2312"/>
                <w:szCs w:val="21"/>
              </w:rPr>
            </w:r>
            <w:r>
              <w:rPr>
                <w:rFonts w:eastAsia="仿宋_GB2312"/>
                <w:szCs w:val="21"/>
              </w:rPr>
            </w:r>
          </w:p>
        </w:tc>
      </w:tr>
      <w:tr>
        <w:trPr>
          <w:trHeight w:val="384"/>
        </w:trPr>
        <w:tc>
          <w:tcPr>
            <w:tcBorders/>
            <w:tcW w:w="1285" w:type="dxa"/>
            <w:vAlign w:val="center"/>
            <w:textDirection w:val="lrTb"/>
            <w:noWrap w:val="false"/>
          </w:tcPr>
          <w:p>
            <w:pPr>
              <w:pStyle w:val="684"/>
              <w:pBdr/>
              <w:spacing w:line="240" w:lineRule="exact"/>
              <w:ind w:left="578"/>
              <w:jc w:val="center"/>
              <w:rPr>
                <w:rFonts w:eastAsia="仿宋_GB2312"/>
                <w:szCs w:val="21"/>
              </w:rPr>
            </w:pPr>
            <w:r>
              <w:rPr>
                <w:rFonts w:eastAsia="仿宋_GB2312"/>
                <w:spacing w:val="-4"/>
                <w:szCs w:val="21"/>
              </w:rPr>
              <w:t xml:space="preserve">500</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50"/>
              <w:jc w:val="center"/>
              <w:rPr>
                <w:rFonts w:eastAsia="仿宋_GB2312"/>
                <w:szCs w:val="21"/>
              </w:rPr>
            </w:pPr>
            <w:r>
              <w:rPr>
                <w:rFonts w:eastAsia="仿宋_GB2312"/>
                <w:spacing w:val="-15"/>
                <w:szCs w:val="21"/>
              </w:rPr>
              <w:t xml:space="preserve">10</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93"/>
              <w:jc w:val="center"/>
              <w:rPr>
                <w:rFonts w:eastAsia="仿宋_GB2312"/>
                <w:szCs w:val="21"/>
              </w:rPr>
            </w:pPr>
            <w:r>
              <w:rPr>
                <w:rFonts w:eastAsia="仿宋_GB2312"/>
                <w:szCs w:val="21"/>
              </w:rPr>
              <w:t xml:space="preserve">6</w:t>
            </w:r>
            <w:r>
              <w:rPr>
                <w:rFonts w:eastAsia="仿宋_GB2312"/>
                <w:szCs w:val="21"/>
              </w:rPr>
            </w:r>
            <w:r>
              <w:rPr>
                <w:rFonts w:eastAsia="仿宋_GB2312"/>
                <w:szCs w:val="21"/>
              </w:rPr>
            </w:r>
          </w:p>
        </w:tc>
        <w:tc>
          <w:tcPr>
            <w:tcBorders/>
            <w:tcW w:w="1155" w:type="dxa"/>
            <w:vAlign w:val="center"/>
            <w:textDirection w:val="lrTb"/>
            <w:noWrap w:val="false"/>
          </w:tcPr>
          <w:p>
            <w:pPr>
              <w:pStyle w:val="684"/>
              <w:pBdr/>
              <w:spacing w:line="240" w:lineRule="exact"/>
              <w:ind w:left="654"/>
              <w:jc w:val="center"/>
              <w:rPr>
                <w:rFonts w:eastAsia="仿宋_GB2312"/>
                <w:szCs w:val="21"/>
              </w:rPr>
            </w:pPr>
            <w:r>
              <w:rPr>
                <w:rFonts w:eastAsia="仿宋_GB2312"/>
                <w:spacing w:val="-15"/>
                <w:szCs w:val="21"/>
              </w:rPr>
              <w:t xml:space="preserve">16</w:t>
            </w:r>
            <w:r>
              <w:rPr>
                <w:rFonts w:eastAsia="仿宋_GB2312"/>
                <w:szCs w:val="21"/>
              </w:rPr>
            </w:r>
            <w:r>
              <w:rPr>
                <w:rFonts w:eastAsia="仿宋_GB2312"/>
                <w:szCs w:val="21"/>
              </w:rPr>
            </w:r>
          </w:p>
        </w:tc>
      </w:tr>
      <w:tr>
        <w:trPr>
          <w:trHeight w:val="383"/>
        </w:trPr>
        <w:tc>
          <w:tcPr>
            <w:tcBorders/>
            <w:tcW w:w="1285" w:type="dxa"/>
            <w:vAlign w:val="center"/>
            <w:textDirection w:val="lrTb"/>
            <w:noWrap w:val="false"/>
          </w:tcPr>
          <w:p>
            <w:pPr>
              <w:pStyle w:val="684"/>
              <w:pBdr/>
              <w:spacing w:line="240" w:lineRule="exact"/>
              <w:ind w:left="577"/>
              <w:jc w:val="center"/>
              <w:rPr>
                <w:rFonts w:eastAsia="仿宋_GB2312"/>
                <w:szCs w:val="21"/>
              </w:rPr>
            </w:pPr>
            <w:r>
              <w:rPr>
                <w:rFonts w:eastAsia="仿宋_GB2312"/>
                <w:spacing w:val="-4"/>
                <w:szCs w:val="21"/>
              </w:rPr>
              <w:t xml:space="preserve">630</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50"/>
              <w:jc w:val="center"/>
              <w:rPr>
                <w:rFonts w:eastAsia="仿宋_GB2312"/>
                <w:szCs w:val="21"/>
              </w:rPr>
            </w:pPr>
            <w:r>
              <w:rPr>
                <w:rFonts w:eastAsia="仿宋_GB2312"/>
                <w:spacing w:val="-15"/>
                <w:szCs w:val="21"/>
              </w:rPr>
              <w:t xml:space="preserve">13</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03"/>
              <w:jc w:val="center"/>
              <w:rPr>
                <w:rFonts w:eastAsia="仿宋_GB2312"/>
                <w:szCs w:val="21"/>
              </w:rPr>
            </w:pPr>
            <w:r>
              <w:rPr>
                <w:rFonts w:eastAsia="仿宋_GB2312"/>
                <w:spacing w:val="-3"/>
                <w:szCs w:val="21"/>
              </w:rPr>
              <w:t xml:space="preserve">7.8</w:t>
            </w:r>
            <w:r>
              <w:rPr>
                <w:rFonts w:eastAsia="仿宋_GB2312"/>
                <w:szCs w:val="21"/>
              </w:rPr>
            </w:r>
            <w:r>
              <w:rPr>
                <w:rFonts w:eastAsia="仿宋_GB2312"/>
                <w:szCs w:val="21"/>
              </w:rPr>
            </w:r>
          </w:p>
        </w:tc>
        <w:tc>
          <w:tcPr>
            <w:tcBorders/>
            <w:tcW w:w="1155" w:type="dxa"/>
            <w:vAlign w:val="center"/>
            <w:textDirection w:val="lrTb"/>
            <w:noWrap w:val="false"/>
          </w:tcPr>
          <w:p>
            <w:pPr>
              <w:pStyle w:val="684"/>
              <w:pBdr/>
              <w:spacing w:line="240" w:lineRule="exact"/>
              <w:ind w:left="543"/>
              <w:jc w:val="center"/>
              <w:rPr>
                <w:rFonts w:eastAsia="仿宋_GB2312"/>
                <w:szCs w:val="21"/>
              </w:rPr>
            </w:pPr>
            <w:r>
              <w:rPr>
                <w:rFonts w:eastAsia="仿宋_GB2312"/>
                <w:spacing w:val="-2"/>
                <w:szCs w:val="21"/>
              </w:rPr>
              <w:t xml:space="preserve">20.8</w:t>
            </w:r>
            <w:r>
              <w:rPr>
                <w:rFonts w:eastAsia="仿宋_GB2312"/>
                <w:szCs w:val="21"/>
              </w:rPr>
            </w:r>
            <w:r>
              <w:rPr>
                <w:rFonts w:eastAsia="仿宋_GB2312"/>
                <w:szCs w:val="21"/>
              </w:rPr>
            </w:r>
          </w:p>
        </w:tc>
      </w:tr>
      <w:tr>
        <w:trPr>
          <w:trHeight w:val="384"/>
        </w:trPr>
        <w:tc>
          <w:tcPr>
            <w:tcBorders/>
            <w:tcW w:w="1285" w:type="dxa"/>
            <w:vAlign w:val="center"/>
            <w:textDirection w:val="lrTb"/>
            <w:noWrap w:val="false"/>
          </w:tcPr>
          <w:p>
            <w:pPr>
              <w:pStyle w:val="684"/>
              <w:pBdr/>
              <w:spacing w:line="240" w:lineRule="exact"/>
              <w:ind w:left="581"/>
              <w:jc w:val="center"/>
              <w:rPr>
                <w:rFonts w:eastAsia="仿宋_GB2312"/>
                <w:szCs w:val="21"/>
              </w:rPr>
            </w:pPr>
            <w:r>
              <w:rPr>
                <w:rFonts w:eastAsia="仿宋_GB2312"/>
                <w:spacing w:val="-5"/>
                <w:szCs w:val="21"/>
              </w:rPr>
              <w:t xml:space="preserve">800</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50"/>
              <w:jc w:val="center"/>
              <w:rPr>
                <w:rFonts w:eastAsia="仿宋_GB2312"/>
                <w:szCs w:val="21"/>
              </w:rPr>
            </w:pPr>
            <w:r>
              <w:rPr>
                <w:rFonts w:eastAsia="仿宋_GB2312"/>
                <w:spacing w:val="-15"/>
                <w:szCs w:val="21"/>
              </w:rPr>
              <w:t xml:space="preserve">15</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92"/>
              <w:jc w:val="center"/>
              <w:rPr>
                <w:rFonts w:eastAsia="仿宋_GB2312"/>
                <w:szCs w:val="21"/>
              </w:rPr>
            </w:pPr>
            <w:r>
              <w:rPr>
                <w:rFonts w:eastAsia="仿宋_GB2312"/>
                <w:szCs w:val="21"/>
              </w:rPr>
              <w:t xml:space="preserve">9</w:t>
            </w:r>
            <w:r>
              <w:rPr>
                <w:rFonts w:eastAsia="仿宋_GB2312"/>
                <w:szCs w:val="21"/>
              </w:rPr>
            </w:r>
            <w:r>
              <w:rPr>
                <w:rFonts w:eastAsia="仿宋_GB2312"/>
                <w:szCs w:val="21"/>
              </w:rPr>
            </w:r>
          </w:p>
        </w:tc>
        <w:tc>
          <w:tcPr>
            <w:tcBorders/>
            <w:tcW w:w="1155" w:type="dxa"/>
            <w:vAlign w:val="center"/>
            <w:textDirection w:val="lrTb"/>
            <w:noWrap w:val="false"/>
          </w:tcPr>
          <w:p>
            <w:pPr>
              <w:pStyle w:val="684"/>
              <w:pBdr/>
              <w:spacing w:line="240" w:lineRule="exact"/>
              <w:ind w:left="631"/>
              <w:jc w:val="center"/>
              <w:rPr>
                <w:rFonts w:eastAsia="仿宋_GB2312"/>
                <w:szCs w:val="21"/>
              </w:rPr>
            </w:pPr>
            <w:r>
              <w:rPr>
                <w:rFonts w:eastAsia="仿宋_GB2312"/>
                <w:spacing w:val="-3"/>
                <w:szCs w:val="21"/>
              </w:rPr>
              <w:t xml:space="preserve">24</w:t>
            </w:r>
            <w:r>
              <w:rPr>
                <w:rFonts w:eastAsia="仿宋_GB2312"/>
                <w:szCs w:val="21"/>
              </w:rPr>
            </w:r>
            <w:r>
              <w:rPr>
                <w:rFonts w:eastAsia="仿宋_GB2312"/>
                <w:szCs w:val="21"/>
              </w:rPr>
            </w:r>
          </w:p>
        </w:tc>
      </w:tr>
      <w:tr>
        <w:trPr>
          <w:trHeight w:val="384"/>
        </w:trPr>
        <w:tc>
          <w:tcPr>
            <w:tcBorders/>
            <w:tcW w:w="1285" w:type="dxa"/>
            <w:vAlign w:val="center"/>
            <w:textDirection w:val="lrTb"/>
            <w:noWrap w:val="false"/>
          </w:tcPr>
          <w:p>
            <w:pPr>
              <w:pStyle w:val="684"/>
              <w:pBdr/>
              <w:spacing w:line="240" w:lineRule="exact"/>
              <w:ind w:left="534"/>
              <w:jc w:val="center"/>
              <w:rPr>
                <w:rFonts w:eastAsia="仿宋_GB2312"/>
                <w:szCs w:val="21"/>
              </w:rPr>
            </w:pPr>
            <w:r>
              <w:rPr>
                <w:rFonts w:eastAsia="仿宋_GB2312"/>
                <w:spacing w:val="-8"/>
                <w:szCs w:val="21"/>
              </w:rPr>
              <w:t xml:space="preserve">1000</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50"/>
              <w:jc w:val="center"/>
              <w:rPr>
                <w:rFonts w:eastAsia="仿宋_GB2312"/>
                <w:szCs w:val="21"/>
              </w:rPr>
            </w:pPr>
            <w:r>
              <w:rPr>
                <w:rFonts w:eastAsia="仿宋_GB2312"/>
                <w:spacing w:val="-15"/>
                <w:szCs w:val="21"/>
              </w:rPr>
              <w:t xml:space="preserve">18</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562"/>
              <w:jc w:val="center"/>
              <w:rPr>
                <w:rFonts w:eastAsia="仿宋_GB2312"/>
                <w:szCs w:val="21"/>
              </w:rPr>
            </w:pPr>
            <w:r>
              <w:rPr>
                <w:rFonts w:eastAsia="仿宋_GB2312"/>
                <w:spacing w:val="-8"/>
                <w:szCs w:val="21"/>
              </w:rPr>
              <w:t xml:space="preserve">10.8</w:t>
            </w:r>
            <w:r>
              <w:rPr>
                <w:rFonts w:eastAsia="仿宋_GB2312"/>
                <w:szCs w:val="21"/>
              </w:rPr>
            </w:r>
            <w:r>
              <w:rPr>
                <w:rFonts w:eastAsia="仿宋_GB2312"/>
                <w:szCs w:val="21"/>
              </w:rPr>
            </w:r>
          </w:p>
        </w:tc>
        <w:tc>
          <w:tcPr>
            <w:tcBorders/>
            <w:tcW w:w="1155" w:type="dxa"/>
            <w:vAlign w:val="center"/>
            <w:textDirection w:val="lrTb"/>
            <w:noWrap w:val="false"/>
          </w:tcPr>
          <w:p>
            <w:pPr>
              <w:pStyle w:val="684"/>
              <w:pBdr/>
              <w:spacing w:line="240" w:lineRule="exact"/>
              <w:ind w:left="543"/>
              <w:jc w:val="center"/>
              <w:rPr>
                <w:rFonts w:eastAsia="仿宋_GB2312"/>
                <w:szCs w:val="21"/>
              </w:rPr>
            </w:pPr>
            <w:r>
              <w:rPr>
                <w:rFonts w:eastAsia="仿宋_GB2312"/>
                <w:spacing w:val="-2"/>
                <w:szCs w:val="21"/>
              </w:rPr>
              <w:t xml:space="preserve">28.8</w:t>
            </w:r>
            <w:r>
              <w:rPr>
                <w:rFonts w:eastAsia="仿宋_GB2312"/>
                <w:szCs w:val="21"/>
              </w:rPr>
            </w:r>
            <w:r>
              <w:rPr>
                <w:rFonts w:eastAsia="仿宋_GB2312"/>
                <w:szCs w:val="21"/>
              </w:rPr>
            </w:r>
          </w:p>
        </w:tc>
      </w:tr>
      <w:tr>
        <w:trPr>
          <w:trHeight w:val="385"/>
        </w:trPr>
        <w:tc>
          <w:tcPr>
            <w:tcBorders/>
            <w:tcW w:w="1285" w:type="dxa"/>
            <w:vAlign w:val="center"/>
            <w:textDirection w:val="lrTb"/>
            <w:noWrap w:val="false"/>
          </w:tcPr>
          <w:p>
            <w:pPr>
              <w:pStyle w:val="684"/>
              <w:pBdr/>
              <w:spacing w:line="240" w:lineRule="exact"/>
              <w:ind w:left="534"/>
              <w:jc w:val="center"/>
              <w:rPr>
                <w:rFonts w:eastAsia="仿宋_GB2312"/>
                <w:szCs w:val="21"/>
              </w:rPr>
            </w:pPr>
            <w:r>
              <w:rPr>
                <w:rFonts w:eastAsia="仿宋_GB2312"/>
                <w:spacing w:val="-8"/>
                <w:szCs w:val="21"/>
              </w:rPr>
              <w:t xml:space="preserve">1250</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27"/>
              <w:jc w:val="center"/>
              <w:rPr>
                <w:rFonts w:eastAsia="仿宋_GB2312"/>
                <w:szCs w:val="21"/>
              </w:rPr>
            </w:pPr>
            <w:r>
              <w:rPr>
                <w:rFonts w:eastAsia="仿宋_GB2312"/>
                <w:spacing w:val="-3"/>
                <w:szCs w:val="21"/>
              </w:rPr>
              <w:t xml:space="preserve">20</w:t>
            </w:r>
            <w:r>
              <w:rPr>
                <w:rFonts w:eastAsia="仿宋_GB2312"/>
                <w:szCs w:val="21"/>
              </w:rPr>
            </w:r>
            <w:r>
              <w:rPr>
                <w:rFonts w:eastAsia="仿宋_GB2312"/>
                <w:szCs w:val="21"/>
              </w:rPr>
            </w:r>
          </w:p>
        </w:tc>
        <w:tc>
          <w:tcPr>
            <w:tcBorders/>
            <w:tcW w:w="1280" w:type="dxa"/>
            <w:vAlign w:val="center"/>
            <w:textDirection w:val="lrTb"/>
            <w:noWrap w:val="false"/>
          </w:tcPr>
          <w:p>
            <w:pPr>
              <w:pStyle w:val="684"/>
              <w:pBdr/>
              <w:spacing w:line="240" w:lineRule="exact"/>
              <w:ind w:left="651"/>
              <w:jc w:val="center"/>
              <w:rPr>
                <w:rFonts w:eastAsia="仿宋_GB2312"/>
                <w:szCs w:val="21"/>
              </w:rPr>
            </w:pPr>
            <w:r>
              <w:rPr>
                <w:rFonts w:eastAsia="仿宋_GB2312"/>
                <w:spacing w:val="-15"/>
                <w:szCs w:val="21"/>
              </w:rPr>
              <w:t xml:space="preserve">12</w:t>
            </w:r>
            <w:r>
              <w:rPr>
                <w:rFonts w:eastAsia="仿宋_GB2312"/>
                <w:szCs w:val="21"/>
              </w:rPr>
            </w:r>
            <w:r>
              <w:rPr>
                <w:rFonts w:eastAsia="仿宋_GB2312"/>
                <w:szCs w:val="21"/>
              </w:rPr>
            </w:r>
          </w:p>
        </w:tc>
        <w:tc>
          <w:tcPr>
            <w:tcBorders/>
            <w:tcW w:w="1155" w:type="dxa"/>
            <w:vAlign w:val="center"/>
            <w:textDirection w:val="lrTb"/>
            <w:noWrap w:val="false"/>
          </w:tcPr>
          <w:p>
            <w:pPr>
              <w:pStyle w:val="684"/>
              <w:pBdr/>
              <w:spacing w:line="240" w:lineRule="exact"/>
              <w:ind w:left="636"/>
              <w:jc w:val="center"/>
              <w:rPr>
                <w:rFonts w:eastAsia="仿宋_GB2312"/>
                <w:szCs w:val="21"/>
              </w:rPr>
            </w:pPr>
            <w:r>
              <w:rPr>
                <w:rFonts w:eastAsia="仿宋_GB2312"/>
                <w:spacing w:val="-5"/>
                <w:szCs w:val="21"/>
              </w:rPr>
              <w:t xml:space="preserve">32</w:t>
            </w:r>
            <w:r>
              <w:rPr>
                <w:rFonts w:eastAsia="仿宋_GB2312"/>
                <w:szCs w:val="21"/>
              </w:rPr>
            </w:r>
            <w:r>
              <w:rPr>
                <w:rFonts w:eastAsia="仿宋_GB2312"/>
                <w:szCs w:val="21"/>
              </w:rPr>
            </w:r>
          </w:p>
        </w:tc>
      </w:tr>
      <w:tr>
        <w:trPr>
          <w:trHeight w:val="370"/>
        </w:trPr>
        <w:tc>
          <w:tcPr>
            <w:gridSpan w:val="4"/>
            <w:tcBorders/>
            <w:tcW w:w="8864" w:type="dxa"/>
            <w:vAlign w:val="center"/>
            <w:textDirection w:val="lrTb"/>
            <w:noWrap w:val="false"/>
          </w:tcPr>
          <w:p>
            <w:pPr>
              <w:pStyle w:val="711"/>
              <w:pBdr/>
              <w:spacing w:line="240" w:lineRule="exact"/>
              <w:ind w:left="2763"/>
              <w:jc w:val="center"/>
              <w:rPr>
                <w:rFonts w:eastAsia="仿宋_GB2312"/>
                <w:color w:val="000000"/>
              </w:rPr>
            </w:pPr>
            <w:r>
              <w:rPr>
                <w:rFonts w:eastAsia="仿宋_GB2312"/>
                <w:color w:val="000000"/>
                <w:spacing w:val="-6"/>
              </w:rPr>
              <w:t xml:space="preserve">合计</w:t>
            </w:r>
            <w:r>
              <w:rPr>
                <w:rFonts w:eastAsia="仿宋_GB2312"/>
                <w:color w:val="000000"/>
              </w:rPr>
            </w:r>
            <w:r>
              <w:rPr>
                <w:rFonts w:eastAsia="仿宋_GB2312"/>
                <w:color w:val="000000"/>
              </w:rPr>
            </w:r>
          </w:p>
        </w:tc>
      </w:tr>
    </w:tbl>
    <w:p>
      <w:pPr>
        <w:pStyle w:val="684"/>
        <w:pBdr/>
        <w:spacing w:line="600" w:lineRule="exact"/>
        <w:ind w:firstLine="640"/>
        <w:rPr>
          <w:rFonts w:eastAsia="仿宋_GB2312"/>
          <w:sz w:val="32"/>
          <w:szCs w:val="32"/>
        </w:rPr>
      </w:pPr>
      <w:r>
        <w:rPr>
          <w:rFonts w:eastAsia="仿宋_GB2312"/>
          <w:sz w:val="32"/>
          <w:szCs w:val="32"/>
        </w:rPr>
        <w:t xml:space="preserve">（2）换电站</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按目前单个换电站市场平均建设成本约900元/KW计算，单座换电站315KW建设成本约为：315KW×900元=28.35万元；13块电池，70KW和100KW配比为9：4，约为 105万元；基建成本260万元（自己报装箱变电）。28.35万+105万+260万=393.35万元</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2</w:t>
      </w:r>
      <w:r>
        <w:rPr>
          <w:rFonts w:hint="eastAsia" w:eastAsia="仿宋_GB2312"/>
          <w:sz w:val="32"/>
          <w:szCs w:val="32"/>
        </w:rPr>
        <w:t xml:space="preserve">．</w:t>
      </w:r>
      <w:r>
        <w:rPr>
          <w:rFonts w:eastAsia="仿宋_GB2312"/>
          <w:sz w:val="32"/>
          <w:szCs w:val="32"/>
        </w:rPr>
        <w:t xml:space="preserve">项目投资估算</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本项目总投资为161819.7万元，资金来源为建设单位自筹+社会资本融资+国家财政充电设施激励和任务补贴资金。项目共分三期实施：其中一期总投资16892.70万元，占总投资的10.44%；二期总投资139927.00万元，占总投资的86.47%；三期总投资5000.00万元，占总投资的3.09%。</w:t>
      </w: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pPr>
      <w:r>
        <w:rPr>
          <w:rFonts w:ascii="黑体" w:hAnsi="黑体" w:eastAsia="黑体"/>
          <w:sz w:val="28"/>
          <w:szCs w:val="28"/>
        </w:rPr>
        <w:t xml:space="preserve">一期建设投资估算明细表</w:t>
      </w:r>
      <w:r>
        <w:rPr>
          <w:rFonts w:ascii="黑体" w:hAnsi="黑体" w:eastAsia="黑体"/>
          <w:sz w:val="28"/>
          <w:szCs w:val="28"/>
        </w:rPr>
      </w:r>
      <w:r>
        <w:rPr>
          <w:rFonts w:ascii="黑体" w:hAnsi="黑体" w:eastAsia="黑体"/>
          <w:sz w:val="28"/>
          <w:szCs w:val="28"/>
        </w:rPr>
      </w:r>
    </w:p>
    <w:tbl>
      <w:tblPr>
        <w:tblW w:w="5063" w:type="pct"/>
        <w:jc w:val="center"/>
        <w:tblInd w:w="-108" w:type="dxa"/>
        <w:tblBorders/>
        <w:tblLayout w:type="fixed"/>
        <w:tblCellMar>
          <w:left w:w="108" w:type="dxa"/>
          <w:top w:w="0" w:type="dxa"/>
          <w:right w:w="108" w:type="dxa"/>
          <w:bottom w:w="0" w:type="dxa"/>
        </w:tblCellMar>
        <w:tblLook w:val="04A0" w:firstRow="1" w:lastRow="0" w:firstColumn="1" w:lastColumn="0" w:noHBand="0" w:noVBand="1"/>
      </w:tblPr>
      <w:tblGrid>
        <w:gridCol w:w="549"/>
        <w:gridCol w:w="1215"/>
        <w:gridCol w:w="859"/>
        <w:gridCol w:w="1011"/>
        <w:gridCol w:w="912"/>
        <w:gridCol w:w="1061"/>
        <w:gridCol w:w="523"/>
        <w:gridCol w:w="703"/>
        <w:gridCol w:w="706"/>
        <w:gridCol w:w="319"/>
        <w:gridCol w:w="483"/>
        <w:gridCol w:w="833"/>
      </w:tblGrid>
      <w:tr>
        <w:trPr>
          <w:trHeight w:val="9"/>
          <w:tblHeader/>
        </w:trPr>
        <w:tc>
          <w:tcPr>
            <w:tcBorders>
              <w:top w:val="single" w:color="000000" w:sz="4" w:space="0"/>
              <w:left w:val="single" w:color="000000" w:sz="4" w:space="0"/>
              <w:bottom w:val="single" w:color="000000" w:sz="4" w:space="0"/>
              <w:right w:val="single" w:color="000000" w:sz="4" w:space="0"/>
            </w:tcBorders>
            <w:tcW w:w="300"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序号</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工程或费用名称</w:t>
            </w:r>
            <w:r>
              <w:rPr>
                <w:rFonts w:eastAsia="仿宋_GB2312"/>
                <w:b/>
                <w:sz w:val="18"/>
                <w:szCs w:val="18"/>
              </w:rPr>
            </w:r>
            <w:r>
              <w:rPr>
                <w:rFonts w:eastAsia="仿宋_GB2312"/>
                <w:b/>
                <w:sz w:val="18"/>
                <w:szCs w:val="18"/>
              </w:rPr>
            </w:r>
          </w:p>
        </w:tc>
        <w:tc>
          <w:tcPr>
            <w:gridSpan w:val="4"/>
            <w:tcBorders>
              <w:top w:val="single" w:color="000000" w:sz="4" w:space="0"/>
              <w:left w:val="single" w:color="000000" w:sz="4" w:space="0"/>
              <w:bottom w:val="single" w:color="000000" w:sz="4" w:space="0"/>
              <w:right w:val="single" w:color="000000" w:sz="4" w:space="0"/>
            </w:tcBorders>
            <w:tcW w:w="3843"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估算投资（万元）</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单位</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数量</w:t>
            </w:r>
            <w:r>
              <w:rPr>
                <w:rFonts w:eastAsia="仿宋_GB2312"/>
                <w:b/>
                <w:sz w:val="18"/>
                <w:szCs w:val="18"/>
              </w:rPr>
            </w:r>
            <w:r>
              <w:rPr>
                <w:rFonts w:eastAsia="仿宋_GB2312"/>
                <w:b/>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单位造价</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备注</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占总投资比例</w:t>
            </w:r>
            <w:r>
              <w:rPr>
                <w:rFonts w:eastAsia="仿宋_GB2312"/>
                <w:b/>
                <w:sz w:val="18"/>
                <w:szCs w:val="18"/>
              </w:rPr>
            </w:r>
            <w:r>
              <w:rPr>
                <w:rFonts w:eastAsia="仿宋_GB2312"/>
                <w:b/>
                <w:sz w:val="18"/>
                <w:szCs w:val="18"/>
              </w:rPr>
            </w:r>
          </w:p>
        </w:tc>
      </w:tr>
      <w:tr>
        <w:trPr>
          <w:trHeight w:val="14"/>
          <w:tblHeader/>
        </w:trPr>
        <w:tc>
          <w:tcPr>
            <w:tcBorders>
              <w:top w:val="single" w:color="000000" w:sz="4" w:space="0"/>
              <w:left w:val="single" w:color="000000" w:sz="4" w:space="0"/>
              <w:bottom w:val="single" w:color="000000" w:sz="4" w:space="0"/>
              <w:right w:val="single" w:color="000000" w:sz="4" w:space="0"/>
            </w:tcBorders>
            <w:tcW w:w="549"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1215"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建筑工 程费</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设备购置及安装费</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其他工程费</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合计</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703"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（万元/台套）</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r>
      <w:tr>
        <w:trPr>
          <w:trHeight w:val="474"/>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一</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设施、设备</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353.84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13107.76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13461.60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79.69%</w:t>
            </w: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电动汽车充电桩</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8757.18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8757.18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充电桩（7KW）</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874.62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874.62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1548</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0.57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充电桩（120KW）</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7882.56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7882.56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1008</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7.82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变压器</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2940.80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2940.80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变压器 315KVA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128.00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128.00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10</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12.80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变压器 400KVA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115.20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115.20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8</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14.40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变压器 500KVA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32.00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32.00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16.00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变压器 630KVA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124.80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124.80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6</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20.80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变压器 800KVA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432.00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432.00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18</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24.00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变压器 1000KVA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2044.80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2044.80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71</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28.80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变压器 1250KVA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64.00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64.00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32.00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换电站（315KW）</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393.35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393.35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个</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393.35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附属工程</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353.84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1016.43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1370.27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电缆沟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35.32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35.32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m</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758.6</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465.55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限位器</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409.55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409.55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117</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35004.25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地基基础</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41.04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41.04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117</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3508.10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ight="-90"/>
              <w:rPr>
                <w:rFonts w:eastAsia="仿宋_GB2312"/>
                <w:spacing w:val="-10"/>
                <w:sz w:val="18"/>
                <w:szCs w:val="18"/>
              </w:rPr>
            </w:pPr>
            <w:r>
              <w:rPr>
                <w:rFonts w:eastAsia="仿宋_GB2312"/>
                <w:spacing w:val="-10"/>
                <w:sz w:val="18"/>
                <w:szCs w:val="18"/>
                <w:lang w:bidi="ar"/>
              </w:rPr>
              <w:t xml:space="preserve">防雷、接地系统</w:t>
            </w:r>
            <w:r>
              <w:rPr>
                <w:rFonts w:eastAsia="仿宋_GB2312"/>
                <w:spacing w:val="-10"/>
                <w:sz w:val="18"/>
                <w:szCs w:val="18"/>
              </w:rPr>
            </w:r>
            <w:r>
              <w:rPr>
                <w:rFonts w:eastAsia="仿宋_GB2312"/>
                <w:spacing w:val="-10"/>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32.74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32.74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117</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2798.66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钢筋绑扎</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10.07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10.07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117</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860.35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模板安装</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7.82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7.82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117</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668.12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混凝土浇灌</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29.77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29.77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117</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2544.05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地面硬化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208.95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208.95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m</w:t>
            </w:r>
            <w:r>
              <w:rPr>
                <w:rStyle w:val="710"/>
                <w:rFonts w:ascii="Times New Roman" w:hAnsi="Times New Roman" w:eastAsia="仿宋_GB2312" w:cs="Times New Roman"/>
                <w:color w:val="000000"/>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3793</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550.88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4.9</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遮阳雨棚</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139.11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139.11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m</w:t>
            </w:r>
            <w:r>
              <w:rPr>
                <w:rStyle w:val="710"/>
                <w:rFonts w:ascii="Times New Roman" w:hAnsi="Times New Roman" w:eastAsia="仿宋_GB2312" w:cs="Times New Roman"/>
                <w:color w:val="000000"/>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3793</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366.75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4.10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监控系统</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27.63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27.63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m</w:t>
            </w:r>
            <w:r>
              <w:rPr>
                <w:rStyle w:val="710"/>
                <w:rFonts w:ascii="Times New Roman" w:hAnsi="Times New Roman" w:eastAsia="仿宋_GB2312" w:cs="Times New Roman"/>
                <w:color w:val="000000"/>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3793</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72.85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34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4.11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照明工程</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20.88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20.88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m</w:t>
            </w:r>
            <w:r>
              <w:rPr>
                <w:rStyle w:val="710"/>
                <w:rFonts w:ascii="Times New Roman" w:hAnsi="Times New Roman" w:eastAsia="仿宋_GB2312" w:cs="Times New Roman"/>
                <w:color w:val="000000"/>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3793</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55.06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525"/>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4.12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充电系统管理软件</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407.39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right"/>
              <w:rPr>
                <w:rFonts w:eastAsia="仿宋_GB2312"/>
                <w:sz w:val="18"/>
                <w:szCs w:val="18"/>
              </w:rPr>
            </w:pPr>
            <w:r>
              <w:rPr>
                <w:rFonts w:eastAsia="仿宋_GB2312"/>
                <w:sz w:val="18"/>
                <w:szCs w:val="18"/>
                <w:lang w:bidi="ar"/>
              </w:rPr>
              <w:t xml:space="preserve">407.39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117</w:t>
            </w: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34819.90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525"/>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二</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工程建设其他费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1611.40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1611.40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102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6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9.54%</w:t>
            </w:r>
            <w:r>
              <w:rPr>
                <w:rFonts w:eastAsia="仿宋_GB2312"/>
                <w:sz w:val="18"/>
                <w:szCs w:val="18"/>
              </w:rPr>
            </w:r>
            <w:r>
              <w:rPr>
                <w:rFonts w:eastAsia="仿宋_GB2312"/>
                <w:sz w:val="18"/>
                <w:szCs w:val="18"/>
              </w:rPr>
            </w:r>
          </w:p>
        </w:tc>
      </w:tr>
      <w:tr>
        <w:trPr>
          <w:trHeight w:val="525"/>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建设单位管理费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217.54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217.54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pacing w:val="-6"/>
                <w:sz w:val="18"/>
                <w:szCs w:val="18"/>
                <w:lang w:bidi="ar"/>
              </w:rPr>
              <w:t xml:space="preserve">根据财建[2016]504号文计取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可行性研究报告编制费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27.51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27.51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pacing w:val="-6"/>
                <w:sz w:val="18"/>
                <w:szCs w:val="18"/>
              </w:rPr>
            </w:pPr>
            <w:r>
              <w:rPr>
                <w:rFonts w:eastAsia="仿宋_GB2312"/>
                <w:spacing w:val="-6"/>
                <w:sz w:val="18"/>
                <w:szCs w:val="18"/>
                <w:lang w:bidi="ar"/>
              </w:rPr>
              <w:t xml:space="preserve">参考发改价格〔2015〕299 号文、计价格[1999]1283号文计取、（川价字费（2000）35号）</w:t>
            </w:r>
            <w:r>
              <w:rPr>
                <w:rFonts w:eastAsia="仿宋_GB2312"/>
                <w:spacing w:val="-6"/>
                <w:sz w:val="18"/>
                <w:szCs w:val="18"/>
              </w:rPr>
            </w:r>
            <w:r>
              <w:rPr>
                <w:rFonts w:eastAsia="仿宋_GB2312"/>
                <w:spacing w:val="-6"/>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48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工程勘察费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103.15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103.15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参考临近地段同等规模建筑</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48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工程设计费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357.60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357.60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hint="eastAsia" w:eastAsia="仿宋_GB2312"/>
                <w:spacing w:val="-12"/>
                <w:sz w:val="18"/>
                <w:szCs w:val="18"/>
              </w:rPr>
            </w:pPr>
            <w:r>
              <w:rPr>
                <w:rFonts w:eastAsia="仿宋_GB2312"/>
                <w:spacing w:val="-12"/>
                <w:sz w:val="18"/>
                <w:szCs w:val="18"/>
                <w:lang w:bidi="ar"/>
              </w:rPr>
              <w:t xml:space="preserve">参考发改价格〔2015〕299号文</w:t>
            </w:r>
            <w:r>
              <w:rPr>
                <w:rFonts w:hint="eastAsia" w:eastAsia="仿宋_GB2312"/>
                <w:spacing w:val="-12"/>
                <w:sz w:val="18"/>
                <w:szCs w:val="18"/>
              </w:rPr>
            </w:r>
            <w:r>
              <w:rPr>
                <w:rFonts w:hint="eastAsia" w:eastAsia="仿宋_GB2312"/>
                <w:spacing w:val="-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48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施工图审查费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36.26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36.26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计价格[2002]10号文计取依据川发改价格〔2011〕323号文计取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工程建设监理费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290.19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290.19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参考、发改价格〔2015〕299号文发改价【2007】670号文计取，下浮20%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8"/>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招标代理费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24.07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24.07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含建安费和设备购置费，参考发改价格[2011]534号文、计价格[2002]1980号文计取，下浮20%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72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编制工程量清单及招标控制价</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98.02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98.02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pacing w:val="-8"/>
                <w:sz w:val="18"/>
                <w:szCs w:val="18"/>
              </w:rPr>
            </w:pPr>
            <w:r>
              <w:rPr>
                <w:rFonts w:eastAsia="仿宋_GB2312"/>
                <w:spacing w:val="-8"/>
                <w:sz w:val="18"/>
                <w:szCs w:val="18"/>
                <w:lang w:bidi="ar"/>
              </w:rPr>
              <w:t xml:space="preserve">根据川价发【2008】141号文计取</w:t>
            </w:r>
            <w:r>
              <w:rPr>
                <w:rFonts w:eastAsia="仿宋_GB2312"/>
                <w:spacing w:val="-8"/>
                <w:sz w:val="18"/>
                <w:szCs w:val="18"/>
              </w:rPr>
            </w:r>
            <w:r>
              <w:rPr>
                <w:rFonts w:eastAsia="仿宋_GB2312"/>
                <w:spacing w:val="-8"/>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72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9</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审核竣工结算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110.03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110.03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pacing w:val="-8"/>
                <w:sz w:val="18"/>
                <w:szCs w:val="18"/>
              </w:rPr>
            </w:pPr>
            <w:r>
              <w:rPr>
                <w:rFonts w:eastAsia="仿宋_GB2312"/>
                <w:spacing w:val="-8"/>
                <w:sz w:val="18"/>
                <w:szCs w:val="18"/>
                <w:lang w:bidi="ar"/>
              </w:rPr>
              <w:t xml:space="preserve">根据川价发【2008】141号文计取</w:t>
            </w:r>
            <w:r>
              <w:rPr>
                <w:rFonts w:eastAsia="仿宋_GB2312"/>
                <w:spacing w:val="-8"/>
                <w:sz w:val="18"/>
                <w:szCs w:val="18"/>
              </w:rPr>
            </w:r>
            <w:r>
              <w:rPr>
                <w:rFonts w:eastAsia="仿宋_GB2312"/>
                <w:spacing w:val="-8"/>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72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环境影响评价咨询费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17.19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17.19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参考发改价格〔2015〕299号文、计价格[2002]125号文计取，下浮20%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72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社会风险稳定评估费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15.47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15.47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参考市场价格计取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72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工程检测费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96.74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96.74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根据政府采购技术服务收费标准（国家发展改革委令第［2009]216 号）计取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72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财务决算费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24.17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24.17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参考工程决算财务审计收费标 准计取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72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场地准备及临时设施费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120.91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120.91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根据国家及地方工程措施取费 标准计取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72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工程保险费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72.55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72.55 </w:t>
            </w:r>
            <w:r>
              <w:rPr>
                <w:rFonts w:eastAsia="仿宋_GB2312"/>
                <w:sz w:val="18"/>
                <w:szCs w:val="18"/>
              </w:rPr>
            </w:r>
            <w:r>
              <w:rPr>
                <w:rFonts w:eastAsia="仿宋_GB2312"/>
                <w:sz w:val="18"/>
                <w:szCs w:val="18"/>
              </w:rPr>
            </w:r>
          </w:p>
        </w:tc>
        <w:tc>
          <w:tcPr>
            <w:gridSpan w:val="5"/>
            <w:tcBorders>
              <w:top w:val="single" w:color="000000" w:sz="4" w:space="0"/>
              <w:left w:val="single" w:color="000000" w:sz="4" w:space="0"/>
              <w:bottom w:val="single" w:color="000000" w:sz="4" w:space="0"/>
              <w:right w:val="single" w:color="000000" w:sz="4" w:space="0"/>
            </w:tcBorders>
            <w:tcW w:w="2734"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根据国家及地方工程保险费取 费标准计取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48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三</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预备费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1819.70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1819.70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80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10.77%</w:t>
            </w:r>
            <w:r>
              <w:rPr>
                <w:rFonts w:eastAsia="仿宋_GB2312"/>
                <w:sz w:val="18"/>
                <w:szCs w:val="18"/>
              </w:rPr>
            </w:r>
            <w:r>
              <w:rPr>
                <w:rFonts w:eastAsia="仿宋_GB2312"/>
                <w:sz w:val="18"/>
                <w:szCs w:val="18"/>
              </w:rPr>
            </w:r>
          </w:p>
        </w:tc>
      </w:tr>
      <w:tr>
        <w:trPr>
          <w:trHeight w:val="48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流动资金</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1319.20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1319.20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80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48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建设期利息</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68"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51"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97"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500.50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500.50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80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rPr>
            </w:r>
            <w:r>
              <w:rPr>
                <w:rFonts w:eastAsia="仿宋_GB2312"/>
                <w:sz w:val="18"/>
                <w:szCs w:val="18"/>
              </w:rPr>
            </w:r>
          </w:p>
        </w:tc>
      </w:tr>
      <w:tr>
        <w:trPr>
          <w:trHeight w:val="480"/>
        </w:trPr>
        <w:tc>
          <w:tcPr>
            <w:tcBorders>
              <w:top w:val="single" w:color="000000" w:sz="4" w:space="0"/>
              <w:left w:val="single" w:color="000000" w:sz="4" w:space="0"/>
              <w:bottom w:val="single" w:color="000000" w:sz="4" w:space="0"/>
              <w:right w:val="single" w:color="000000" w:sz="4" w:space="0"/>
            </w:tcBorders>
            <w:tcW w:w="300"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四</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6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lang w:bidi="ar"/>
              </w:rPr>
              <w:t xml:space="preserve">工程总投资</w:t>
            </w:r>
            <w:r>
              <w:rPr>
                <w:rFonts w:eastAsia="仿宋_GB2312"/>
                <w:sz w:val="18"/>
                <w:szCs w:val="18"/>
              </w:rPr>
            </w:r>
            <w:r>
              <w:rPr>
                <w:rFonts w:eastAsia="仿宋_GB2312"/>
                <w:sz w:val="18"/>
                <w:szCs w:val="18"/>
              </w:rPr>
            </w:r>
          </w:p>
        </w:tc>
        <w:tc>
          <w:tcPr>
            <w:gridSpan w:val="3"/>
            <w:tcBorders>
              <w:top w:val="single" w:color="000000" w:sz="4" w:space="0"/>
              <w:left w:val="single" w:color="000000" w:sz="4" w:space="0"/>
              <w:bottom w:val="single" w:color="000000" w:sz="4" w:space="0"/>
              <w:right w:val="single" w:color="000000" w:sz="4" w:space="0"/>
            </w:tcBorders>
            <w:tcW w:w="2782"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（一+二+三）</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78" w:type="dxa"/>
            <w:vAlign w:val="center"/>
            <w:textDirection w:val="lrTb"/>
            <w:noWrap w:val="false"/>
          </w:tcPr>
          <w:p>
            <w:pPr>
              <w:pStyle w:val="684"/>
              <w:pBdr/>
              <w:spacing w:line="240" w:lineRule="exact"/>
              <w:ind/>
              <w:jc w:val="center"/>
              <w:rPr>
                <w:rFonts w:eastAsia="仿宋_GB2312"/>
                <w:sz w:val="18"/>
                <w:szCs w:val="18"/>
              </w:rPr>
            </w:pPr>
            <w:r>
              <w:rPr>
                <w:rFonts w:eastAsia="仿宋_GB2312"/>
                <w:sz w:val="18"/>
                <w:szCs w:val="18"/>
                <w:lang w:bidi="ar"/>
              </w:rPr>
              <w:t xml:space="preserve">16892.70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3"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85"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gridSpan w:val="2"/>
            <w:tcBorders>
              <w:top w:val="single" w:color="000000" w:sz="4" w:space="0"/>
              <w:left w:val="single" w:color="000000" w:sz="4" w:space="0"/>
              <w:bottom w:val="single" w:color="000000" w:sz="4" w:space="0"/>
              <w:right w:val="single" w:color="000000" w:sz="4" w:space="0"/>
            </w:tcBorders>
            <w:tcW w:w="802" w:type="dxa"/>
            <w:vAlign w:val="center"/>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55" w:type="dxa"/>
            <w:vAlign w:val="center"/>
            <w:textDirection w:val="lrTb"/>
            <w:noWrap w:val="false"/>
          </w:tcPr>
          <w:p>
            <w:pPr>
              <w:pStyle w:val="684"/>
              <w:pBdr/>
              <w:spacing w:line="240" w:lineRule="exact"/>
              <w:ind w:hanging="183" w:left="0"/>
              <w:jc w:val="center"/>
              <w:rPr>
                <w:rFonts w:eastAsia="仿宋_GB2312"/>
                <w:sz w:val="18"/>
                <w:szCs w:val="18"/>
              </w:rPr>
            </w:pPr>
            <w:r>
              <w:rPr>
                <w:rFonts w:eastAsia="仿宋_GB2312"/>
                <w:sz w:val="18"/>
                <w:szCs w:val="18"/>
                <w:lang w:bidi="ar"/>
              </w:rPr>
              <w:t xml:space="preserve">100.00%</w:t>
            </w:r>
            <w:r>
              <w:rPr>
                <w:rFonts w:eastAsia="仿宋_GB2312"/>
                <w:sz w:val="18"/>
                <w:szCs w:val="18"/>
              </w:rPr>
            </w:r>
            <w:r>
              <w:rPr>
                <w:rFonts w:eastAsia="仿宋_GB2312"/>
                <w:sz w:val="18"/>
                <w:szCs w:val="18"/>
              </w:rPr>
            </w:r>
          </w:p>
        </w:tc>
      </w:tr>
    </w:tbl>
    <w:p>
      <w:pPr>
        <w:pStyle w:val="684"/>
        <w:pBdr/>
        <w:spacing w:before="207"/>
        <w:ind w:right="17" w:firstLine="480" w:left="37"/>
        <w:jc w:val="center"/>
        <w:rPr>
          <w:rFonts w:hint="eastAsia" w:ascii="黑体" w:hAnsi="黑体" w:eastAsia="黑体" w:cs="宋体"/>
          <w:spacing w:val="-9"/>
          <w:sz w:val="28"/>
          <w:szCs w:val="28"/>
        </w:rPr>
      </w:pPr>
      <w:r>
        <w:rPr>
          <w:rFonts w:hint="eastAsia" w:ascii="黑体" w:hAnsi="黑体" w:eastAsia="黑体" w:cs="宋体"/>
          <w:spacing w:val="-9"/>
          <w:sz w:val="28"/>
          <w:szCs w:val="28"/>
        </w:rPr>
      </w:r>
      <w:r>
        <w:rPr>
          <w:rFonts w:hint="eastAsia" w:ascii="黑体" w:hAnsi="黑体" w:eastAsia="黑体" w:cs="宋体"/>
          <w:spacing w:val="-9"/>
          <w:sz w:val="28"/>
          <w:szCs w:val="28"/>
        </w:rPr>
      </w:r>
    </w:p>
    <w:p>
      <w:pPr>
        <w:pStyle w:val="684"/>
        <w:pBdr/>
        <w:spacing w:before="207"/>
        <w:ind w:right="17" w:firstLine="480" w:left="37"/>
        <w:jc w:val="center"/>
        <w:rPr>
          <w:rFonts w:hint="eastAsia" w:ascii="黑体" w:hAnsi="黑体" w:eastAsia="黑体" w:cs="宋体"/>
          <w:spacing w:val="-9"/>
          <w:sz w:val="28"/>
          <w:szCs w:val="28"/>
        </w:rPr>
      </w:pPr>
      <w:r>
        <w:rPr>
          <w:rFonts w:hint="eastAsia" w:ascii="黑体" w:hAnsi="黑体" w:eastAsia="黑体" w:cs="宋体"/>
          <w:spacing w:val="-9"/>
          <w:sz w:val="28"/>
          <w:szCs w:val="28"/>
        </w:rPr>
        <w:t xml:space="preserve">二期建设投资估算明细表</w:t>
      </w:r>
      <w:r>
        <w:rPr>
          <w:rFonts w:hint="eastAsia" w:ascii="黑体" w:hAnsi="黑体" w:eastAsia="黑体" w:cs="宋体"/>
          <w:spacing w:val="-9"/>
          <w:sz w:val="28"/>
          <w:szCs w:val="28"/>
        </w:rPr>
      </w:r>
      <w:r>
        <w:rPr>
          <w:rFonts w:hint="eastAsia" w:ascii="黑体" w:hAnsi="黑体" w:eastAsia="黑体" w:cs="宋体"/>
          <w:spacing w:val="-9"/>
          <w:sz w:val="28"/>
          <w:szCs w:val="28"/>
        </w:rPr>
      </w:r>
    </w:p>
    <w:tbl>
      <w:tblPr>
        <w:tblW w:w="5085" w:type="pct"/>
        <w:tblInd w:w="-180" w:type="dxa"/>
        <w:tblBorders/>
        <w:tblLayout w:type="autofit"/>
        <w:tblCellMar>
          <w:left w:w="28" w:type="dxa"/>
          <w:top w:w="0" w:type="dxa"/>
          <w:right w:w="28" w:type="dxa"/>
          <w:bottom w:w="0" w:type="dxa"/>
        </w:tblCellMar>
        <w:tblLook w:val="04A0" w:firstRow="1" w:lastRow="0" w:firstColumn="1" w:lastColumn="0" w:noHBand="0" w:noVBand="1"/>
      </w:tblPr>
      <w:tblGrid>
        <w:gridCol w:w="481"/>
        <w:gridCol w:w="1438"/>
        <w:gridCol w:w="414"/>
        <w:gridCol w:w="1127"/>
        <w:gridCol w:w="876"/>
        <w:gridCol w:w="1127"/>
        <w:gridCol w:w="535"/>
        <w:gridCol w:w="721"/>
        <w:gridCol w:w="771"/>
        <w:gridCol w:w="424"/>
        <w:gridCol w:w="1137"/>
      </w:tblGrid>
      <w:tr>
        <w:trPr>
          <w:trHeight w:val="360"/>
          <w:tblHeader/>
        </w:trPr>
        <w:tc>
          <w:tcPr>
            <w:tcBorders>
              <w:top w:val="single" w:color="000000" w:sz="4" w:space="0"/>
              <w:left w:val="single" w:color="000000" w:sz="4" w:space="0"/>
              <w:bottom w:val="single" w:color="000000" w:sz="4" w:space="0"/>
              <w:right w:val="single" w:color="000000" w:sz="4" w:space="0"/>
            </w:tcBorders>
            <w:tcW w:w="271" w:type="dxa"/>
            <w:vAlign w:val="center"/>
            <w:vMerge w:val="restart"/>
            <w:textDirection w:val="lrTb"/>
            <w:noWrap w:val="false"/>
          </w:tcPr>
          <w:p>
            <w:pPr>
              <w:pStyle w:val="684"/>
              <w:pBdr/>
              <w:spacing/>
              <w:ind/>
              <w:jc w:val="center"/>
              <w:rPr>
                <w:rFonts w:eastAsia="仿宋_GB2312"/>
                <w:b/>
                <w:sz w:val="18"/>
                <w:szCs w:val="18"/>
              </w:rPr>
            </w:pPr>
            <w:r>
              <w:rPr>
                <w:rFonts w:eastAsia="仿宋_GB2312"/>
                <w:b/>
                <w:sz w:val="18"/>
                <w:szCs w:val="18"/>
                <w:lang w:bidi="ar"/>
              </w:rPr>
              <w:t xml:space="preserve">序号</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vMerge w:val="restart"/>
            <w:textDirection w:val="lrTb"/>
            <w:noWrap w:val="false"/>
          </w:tcPr>
          <w:p>
            <w:pPr>
              <w:pStyle w:val="684"/>
              <w:pBdr/>
              <w:spacing/>
              <w:ind/>
              <w:jc w:val="center"/>
              <w:rPr>
                <w:rFonts w:eastAsia="仿宋_GB2312"/>
                <w:b/>
                <w:sz w:val="18"/>
                <w:szCs w:val="18"/>
              </w:rPr>
            </w:pPr>
            <w:r>
              <w:rPr>
                <w:rFonts w:eastAsia="仿宋_GB2312"/>
                <w:b/>
                <w:sz w:val="18"/>
                <w:szCs w:val="18"/>
                <w:lang w:bidi="ar"/>
              </w:rPr>
              <w:t xml:space="preserve">工程或费用名称</w:t>
            </w:r>
            <w:r>
              <w:rPr>
                <w:rFonts w:eastAsia="仿宋_GB2312"/>
                <w:b/>
                <w:sz w:val="18"/>
                <w:szCs w:val="18"/>
              </w:rPr>
            </w:r>
            <w:r>
              <w:rPr>
                <w:rFonts w:eastAsia="仿宋_GB2312"/>
                <w:b/>
                <w:sz w:val="18"/>
                <w:szCs w:val="18"/>
              </w:rPr>
            </w:r>
          </w:p>
        </w:tc>
        <w:tc>
          <w:tcPr>
            <w:gridSpan w:val="4"/>
            <w:tcBorders>
              <w:top w:val="single" w:color="000000" w:sz="4" w:space="0"/>
              <w:left w:val="single" w:color="000000" w:sz="4" w:space="0"/>
              <w:bottom w:val="single" w:color="000000" w:sz="4" w:space="0"/>
              <w:right w:val="single" w:color="000000" w:sz="4" w:space="0"/>
            </w:tcBorders>
            <w:tcW w:w="3544"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估算投资（万元）</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单位</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数量</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单位造价</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备注</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vMerge w:val="restart"/>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占总投资比例</w:t>
            </w:r>
            <w:r>
              <w:rPr>
                <w:rFonts w:eastAsia="仿宋_GB2312"/>
                <w:b/>
                <w:sz w:val="18"/>
                <w:szCs w:val="18"/>
              </w:rPr>
            </w:r>
            <w:r>
              <w:rPr>
                <w:rFonts w:eastAsia="仿宋_GB2312"/>
                <w:b/>
                <w:sz w:val="18"/>
                <w:szCs w:val="18"/>
              </w:rPr>
            </w:r>
          </w:p>
        </w:tc>
      </w:tr>
      <w:tr>
        <w:trPr>
          <w:trHeight w:val="520"/>
          <w:tblHeader/>
        </w:trPr>
        <w:tc>
          <w:tcPr>
            <w:tcBorders>
              <w:top w:val="single" w:color="000000" w:sz="4" w:space="0"/>
              <w:left w:val="single" w:color="000000" w:sz="4" w:space="0"/>
              <w:bottom w:val="single" w:color="000000" w:sz="4" w:space="0"/>
              <w:right w:val="single" w:color="000000" w:sz="4" w:space="0"/>
            </w:tcBorders>
            <w:tcW w:w="271" w:type="dxa"/>
            <w:vAlign w:val="center"/>
            <w:vMerge w:val="continue"/>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vMerge w:val="continue"/>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建筑工程费</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设备购置及安装费</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line="240" w:lineRule="exact"/>
              <w:ind/>
              <w:jc w:val="center"/>
              <w:rPr>
                <w:rFonts w:hint="eastAsia" w:eastAsia="仿宋_GB2312"/>
                <w:b/>
                <w:sz w:val="18"/>
                <w:szCs w:val="18"/>
                <w:lang w:bidi="ar"/>
              </w:rPr>
            </w:pPr>
            <w:r>
              <w:rPr>
                <w:rFonts w:eastAsia="仿宋_GB2312"/>
                <w:b/>
                <w:sz w:val="18"/>
                <w:szCs w:val="18"/>
                <w:lang w:bidi="ar"/>
              </w:rPr>
              <w:t xml:space="preserve">其他</w:t>
            </w:r>
            <w:r>
              <w:rPr>
                <w:rFonts w:hint="eastAsia" w:eastAsia="仿宋_GB2312"/>
                <w:b/>
                <w:sz w:val="18"/>
                <w:szCs w:val="18"/>
                <w:lang w:bidi="ar"/>
              </w:rPr>
            </w:r>
            <w:r>
              <w:rPr>
                <w:rFonts w:hint="eastAsia" w:eastAsia="仿宋_GB2312"/>
                <w:b/>
                <w:sz w:val="18"/>
                <w:szCs w:val="18"/>
                <w:lang w:bidi="ar"/>
              </w:rPr>
            </w:r>
          </w:p>
          <w:p>
            <w:pPr>
              <w:pStyle w:val="684"/>
              <w:pBdr/>
              <w:spacing w:line="240" w:lineRule="exact"/>
              <w:ind/>
              <w:jc w:val="center"/>
              <w:rPr>
                <w:rFonts w:eastAsia="仿宋_GB2312"/>
                <w:b/>
                <w:sz w:val="18"/>
                <w:szCs w:val="18"/>
              </w:rPr>
            </w:pPr>
            <w:r>
              <w:rPr>
                <w:rFonts w:eastAsia="仿宋_GB2312"/>
                <w:b/>
                <w:sz w:val="18"/>
                <w:szCs w:val="18"/>
                <w:lang w:bidi="ar"/>
              </w:rPr>
              <w:t xml:space="preserve">工程费</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合计</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535"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721"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line="240" w:lineRule="exact"/>
              <w:ind/>
              <w:jc w:val="center"/>
              <w:rPr>
                <w:rFonts w:eastAsia="仿宋_GB2312"/>
                <w:b/>
                <w:sz w:val="18"/>
                <w:szCs w:val="18"/>
              </w:rPr>
            </w:pPr>
            <w:r>
              <w:rPr>
                <w:rFonts w:eastAsia="仿宋_GB2312"/>
                <w:b/>
                <w:sz w:val="18"/>
                <w:szCs w:val="18"/>
                <w:lang w:bidi="ar"/>
              </w:rPr>
              <w:t xml:space="preserve">（万元/台套）</w:t>
            </w:r>
            <w:r>
              <w:rPr>
                <w:rFonts w:eastAsia="仿宋_GB2312"/>
                <w:b/>
                <w:sz w:val="18"/>
                <w:szCs w:val="18"/>
              </w:rPr>
            </w:r>
            <w:r>
              <w:rPr>
                <w:rFonts w:eastAsia="仿宋_GB2312"/>
                <w:b/>
                <w:sz w:val="18"/>
                <w:szCs w:val="18"/>
              </w:rPr>
            </w:r>
          </w:p>
        </w:tc>
        <w:tc>
          <w:tcPr>
            <w:tcBorders>
              <w:top w:val="single" w:color="000000" w:sz="4" w:space="0"/>
              <w:left w:val="single" w:color="000000" w:sz="4" w:space="0"/>
              <w:bottom w:val="single" w:color="000000" w:sz="4" w:space="0"/>
              <w:right w:val="single" w:color="000000" w:sz="4" w:space="0"/>
            </w:tcBorders>
            <w:tcW w:w="424"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vMerge w:val="continue"/>
            <w:textDirection w:val="lrTb"/>
            <w:noWrap w:val="false"/>
          </w:tcPr>
          <w:p>
            <w:pPr>
              <w:pStyle w:val="684"/>
              <w:pBdr/>
              <w:spacing w:line="240" w:lineRule="exact"/>
              <w:ind/>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一</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设施、设备</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126764.49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126764.49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90.59%</w:t>
            </w:r>
            <w:r>
              <w:rPr>
                <w:rFonts w:eastAsia="仿宋_GB2312"/>
                <w:b/>
                <w:bCs/>
                <w:sz w:val="18"/>
                <w:szCs w:val="18"/>
              </w:rPr>
            </w:r>
            <w:r>
              <w:rPr>
                <w:rFonts w:eastAsia="仿宋_GB2312"/>
                <w:b/>
                <w:bCs/>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电动汽车充电桩</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86999.74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86999.74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充电桩（7KW）</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10162.09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10162.09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17986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0.57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充电桩（120KW）</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24273.28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24273.28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3104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7.82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充电桩（480KW）</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36921.94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36921.94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953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38.74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充电桩（600KW）</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15642.43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15642.43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323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48.43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2</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变压器</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16240.00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16240.00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变压器 315KVA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1920.00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1920.00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150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12.80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变压器 400KVA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2160.00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2160.00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150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14.40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变压器 500KVA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1600.00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1600.00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100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16.00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变压器 630KVA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2080.00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2080.00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100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20.80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变压器 800KVA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2400.00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2400.00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100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24.00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变压器 1000KVA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2880.00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2880.00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100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28.80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变压器 1250KVA</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3200.00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3200.00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台</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100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32.00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3</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换电站（315KW）</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7080.30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7080.30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个</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18</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393.35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4</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b/>
                <w:bCs/>
                <w:spacing w:val="-8"/>
                <w:sz w:val="18"/>
                <w:szCs w:val="18"/>
              </w:rPr>
            </w:pPr>
            <w:r>
              <w:rPr>
                <w:rFonts w:eastAsia="仿宋_GB2312"/>
                <w:b/>
                <w:bCs/>
                <w:spacing w:val="-8"/>
                <w:sz w:val="18"/>
                <w:szCs w:val="18"/>
                <w:lang w:bidi="ar"/>
              </w:rPr>
              <w:t xml:space="preserve">电动自行车充电桩</w:t>
            </w:r>
            <w:r>
              <w:rPr>
                <w:rFonts w:eastAsia="仿宋_GB2312"/>
                <w:b/>
                <w:bCs/>
                <w:spacing w:val="-8"/>
                <w:sz w:val="18"/>
                <w:szCs w:val="18"/>
              </w:rPr>
            </w:r>
            <w:r>
              <w:rPr>
                <w:rFonts w:eastAsia="仿宋_GB2312"/>
                <w:b/>
                <w:bCs/>
                <w:spacing w:val="-8"/>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16444.44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16444.44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套</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29600</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0.56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二</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工程建设其他费</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5522.62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5522.62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3.95%</w:t>
            </w:r>
            <w:r>
              <w:rPr>
                <w:rFonts w:eastAsia="仿宋_GB2312"/>
                <w:b/>
                <w:bCs/>
                <w:sz w:val="18"/>
                <w:szCs w:val="18"/>
              </w:rPr>
            </w:r>
            <w:r>
              <w:rPr>
                <w:rFonts w:eastAsia="仿宋_GB2312"/>
                <w:b/>
                <w:bCs/>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建设单位管理费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727.54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727.54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根据财建[2016]504 号文计取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可行性研究报告编制费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74.70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74.70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参考发改价格〔2015〕299 号文、 计价格[1999] 1283 号文计取、  （川价字费（2000）35 号）</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工程勘察费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467.64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467.64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参考临近地段同等规模建筑</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工程设计费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581.18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581.18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参考发改价格〔2015〕299号文</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施工图审查费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288.93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288.93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pacing w:val="-8"/>
                <w:sz w:val="18"/>
                <w:szCs w:val="18"/>
              </w:rPr>
            </w:pPr>
            <w:r>
              <w:rPr>
                <w:rFonts w:eastAsia="仿宋_GB2312"/>
                <w:spacing w:val="-8"/>
                <w:sz w:val="18"/>
                <w:szCs w:val="18"/>
                <w:lang w:bidi="ar"/>
              </w:rPr>
              <w:t xml:space="preserve">计价格[2002]10号文计取依据川发改价格〔2011〕323号文计取</w:t>
            </w:r>
            <w:r>
              <w:rPr>
                <w:rFonts w:eastAsia="仿宋_GB2312"/>
                <w:spacing w:val="-8"/>
                <w:sz w:val="18"/>
                <w:szCs w:val="18"/>
              </w:rPr>
            </w:r>
            <w:r>
              <w:rPr>
                <w:rFonts w:eastAsia="仿宋_GB2312"/>
                <w:spacing w:val="-8"/>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6</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工程建设监理费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671.59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671.59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参考、发改价格〔2015〕299号文发改价【2007】670号文计取，下浮 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招标代理费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69.12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69.12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含建安费和设备购置费，参考发改价格[2011]534号文、计价格[2002]1980号文计取，下浮20%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8</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编制工程量清单及招标控制价</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459.17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459.17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pacing w:val="-8"/>
                <w:sz w:val="18"/>
                <w:szCs w:val="18"/>
                <w:lang w:bidi="ar"/>
              </w:rPr>
            </w:pPr>
            <w:r>
              <w:rPr>
                <w:rFonts w:eastAsia="仿宋_GB2312"/>
                <w:spacing w:val="-8"/>
                <w:sz w:val="18"/>
                <w:szCs w:val="18"/>
                <w:lang w:bidi="ar"/>
              </w:rPr>
              <w:t xml:space="preserve">根据川价发【2008】141号文计 取</w:t>
            </w:r>
            <w:r>
              <w:rPr>
                <w:rFonts w:eastAsia="仿宋_GB2312"/>
                <w:spacing w:val="-8"/>
                <w:sz w:val="18"/>
                <w:szCs w:val="18"/>
                <w:lang w:bidi="ar"/>
              </w:rPr>
            </w:r>
            <w:r>
              <w:rPr>
                <w:rFonts w:eastAsia="仿宋_GB2312"/>
                <w:spacing w:val="-8"/>
                <w:sz w:val="18"/>
                <w:szCs w:val="18"/>
                <w:lang w:bidi="ar"/>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9</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审核竣工结算</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318.82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318.82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pacing w:val="-8"/>
                <w:sz w:val="18"/>
                <w:szCs w:val="18"/>
                <w:lang w:bidi="ar"/>
              </w:rPr>
            </w:pPr>
            <w:r>
              <w:rPr>
                <w:rFonts w:eastAsia="仿宋_GB2312"/>
                <w:spacing w:val="-8"/>
                <w:sz w:val="18"/>
                <w:szCs w:val="18"/>
                <w:lang w:bidi="ar"/>
              </w:rPr>
              <w:t xml:space="preserve">根据川价发【2008】141号文计 取</w:t>
            </w:r>
            <w:r>
              <w:rPr>
                <w:rFonts w:eastAsia="仿宋_GB2312"/>
                <w:spacing w:val="-8"/>
                <w:sz w:val="18"/>
                <w:szCs w:val="18"/>
                <w:lang w:bidi="ar"/>
              </w:rPr>
            </w:r>
            <w:r>
              <w:rPr>
                <w:rFonts w:eastAsia="仿宋_GB2312"/>
                <w:spacing w:val="-8"/>
                <w:sz w:val="18"/>
                <w:szCs w:val="18"/>
                <w:lang w:bidi="ar"/>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环境影响评价咨询费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87.90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87.90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参考发改价格〔2015〕299号文、计价格[2002]125号文计取，下浮20%</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11</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社会风险稳定评估费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75.13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75.13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参考市场价格计取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12</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工程检测费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257.20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257.20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根据政府采购技术服务收费标准（国家发展改革委令第［2009]216 号）计取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13</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财务决算费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269.30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269.30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参考工程决算财务审计收费标 准计取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14</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场地准备及临时设施费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796.50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796.50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根据国家及地方工程措施取费 标准计取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15</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工程保险费</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377.90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377.90 </w:t>
            </w:r>
            <w:r>
              <w:rPr>
                <w:rFonts w:eastAsia="仿宋_GB2312"/>
                <w:sz w:val="18"/>
                <w:szCs w:val="18"/>
              </w:rPr>
            </w:r>
            <w:r>
              <w:rPr>
                <w:rFonts w:eastAsia="仿宋_GB2312"/>
                <w:sz w:val="18"/>
                <w:szCs w:val="18"/>
              </w:rPr>
            </w:r>
          </w:p>
        </w:tc>
        <w:tc>
          <w:tcPr>
            <w:gridSpan w:val="4"/>
            <w:tcBorders>
              <w:top w:val="single" w:color="000000" w:sz="4" w:space="0"/>
              <w:left w:val="single" w:color="000000" w:sz="4" w:space="0"/>
              <w:bottom w:val="single" w:color="000000" w:sz="4" w:space="0"/>
              <w:right w:val="single" w:color="000000" w:sz="4" w:space="0"/>
            </w:tcBorders>
            <w:tcW w:w="2451"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根据国家及地方工程保险费取 费标准计取</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r>
      <w:tr>
        <w:trPr>
          <w:trHeight w:val="465"/>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三</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预备费</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7639.89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7639.89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5.46%</w:t>
            </w:r>
            <w:r>
              <w:rPr>
                <w:rFonts w:eastAsia="仿宋_GB2312"/>
                <w:b/>
                <w:bCs/>
                <w:sz w:val="18"/>
                <w:szCs w:val="18"/>
              </w:rPr>
            </w:r>
            <w:r>
              <w:rPr>
                <w:rFonts w:eastAsia="仿宋_GB2312"/>
                <w:b/>
                <w:bCs/>
                <w:sz w:val="18"/>
                <w:szCs w:val="18"/>
              </w:rPr>
            </w:r>
          </w:p>
        </w:tc>
      </w:tr>
      <w:tr>
        <w:trPr>
          <w:trHeight w:val="465"/>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建设期利息</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4722.44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4722.44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r>
      <w:tr>
        <w:trPr>
          <w:trHeight w:val="465"/>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流动资金</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4"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59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89"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2917.45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sz w:val="18"/>
                <w:szCs w:val="18"/>
              </w:rPr>
            </w:pPr>
            <w:r>
              <w:rPr>
                <w:rFonts w:eastAsia="仿宋_GB2312"/>
                <w:sz w:val="18"/>
                <w:szCs w:val="18"/>
                <w:lang w:bidi="ar"/>
              </w:rPr>
              <w:t xml:space="preserve">2917.45 </w:t>
            </w: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sz w:val="18"/>
                <w:szCs w:val="18"/>
              </w:rPr>
            </w:pPr>
            <w:r>
              <w:rPr>
                <w:rFonts w:eastAsia="仿宋_GB2312"/>
                <w:sz w:val="18"/>
                <w:szCs w:val="18"/>
              </w:rPr>
            </w:r>
            <w:r>
              <w:rPr>
                <w:rFonts w:eastAsia="仿宋_GB2312"/>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rPr>
            </w:r>
            <w:r>
              <w:rPr>
                <w:rFonts w:eastAsia="仿宋_GB2312"/>
                <w:b/>
                <w:bCs/>
                <w:sz w:val="18"/>
                <w:szCs w:val="18"/>
              </w:rPr>
            </w:r>
          </w:p>
        </w:tc>
      </w:tr>
      <w:tr>
        <w:trPr>
          <w:trHeight w:val="465"/>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四</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8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工程总投资</w:t>
            </w:r>
            <w:r>
              <w:rPr>
                <w:rFonts w:eastAsia="仿宋_GB2312"/>
                <w:b/>
                <w:bCs/>
                <w:sz w:val="18"/>
                <w:szCs w:val="18"/>
              </w:rPr>
            </w:r>
            <w:r>
              <w:rPr>
                <w:rFonts w:eastAsia="仿宋_GB2312"/>
                <w:b/>
                <w:bCs/>
                <w:sz w:val="18"/>
                <w:szCs w:val="18"/>
              </w:rPr>
            </w:r>
          </w:p>
        </w:tc>
        <w:tc>
          <w:tcPr>
            <w:gridSpan w:val="3"/>
            <w:tcBorders>
              <w:top w:val="single" w:color="000000" w:sz="4" w:space="0"/>
              <w:left w:val="single" w:color="000000" w:sz="4" w:space="0"/>
              <w:bottom w:val="single" w:color="000000" w:sz="4" w:space="0"/>
              <w:right w:val="single" w:color="000000" w:sz="4" w:space="0"/>
            </w:tcBorders>
            <w:tcW w:w="2417"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（一+二+三）</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00"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139927.00 </w:t>
            </w: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301"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03"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431"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239" w:type="dxa"/>
            <w:vAlign w:val="center"/>
            <w:textDirection w:val="lrTb"/>
            <w:noWrap w:val="false"/>
          </w:tcPr>
          <w:p>
            <w:pPr>
              <w:pStyle w:val="684"/>
              <w:pBdr/>
              <w:spacing/>
              <w:ind/>
              <w:rPr>
                <w:rFonts w:eastAsia="仿宋_GB2312"/>
                <w:b/>
                <w:bCs/>
                <w:sz w:val="18"/>
                <w:szCs w:val="18"/>
              </w:rPr>
            </w:pPr>
            <w:r>
              <w:rPr>
                <w:rFonts w:eastAsia="仿宋_GB2312"/>
                <w:b/>
                <w:bCs/>
                <w:sz w:val="18"/>
                <w:szCs w:val="18"/>
              </w:rPr>
            </w:r>
            <w:r>
              <w:rPr>
                <w:rFonts w:eastAsia="仿宋_GB2312"/>
                <w:b/>
                <w:bCs/>
                <w:sz w:val="18"/>
                <w:szCs w:val="18"/>
              </w:rPr>
            </w:r>
          </w:p>
        </w:tc>
        <w:tc>
          <w:tcPr>
            <w:tcBorders>
              <w:top w:val="single" w:color="000000" w:sz="4" w:space="0"/>
              <w:left w:val="single" w:color="000000" w:sz="4" w:space="0"/>
              <w:bottom w:val="single" w:color="000000" w:sz="4" w:space="0"/>
              <w:right w:val="single" w:color="000000" w:sz="4" w:space="0"/>
            </w:tcBorders>
            <w:tcW w:w="633" w:type="dxa"/>
            <w:vAlign w:val="center"/>
            <w:textDirection w:val="lrTb"/>
            <w:noWrap w:val="false"/>
          </w:tcPr>
          <w:p>
            <w:pPr>
              <w:pStyle w:val="684"/>
              <w:pBdr/>
              <w:spacing/>
              <w:ind/>
              <w:jc w:val="center"/>
              <w:rPr>
                <w:rFonts w:eastAsia="仿宋_GB2312"/>
                <w:b/>
                <w:bCs/>
                <w:sz w:val="18"/>
                <w:szCs w:val="18"/>
              </w:rPr>
            </w:pPr>
            <w:r>
              <w:rPr>
                <w:rFonts w:eastAsia="仿宋_GB2312"/>
                <w:b/>
                <w:bCs/>
                <w:sz w:val="18"/>
                <w:szCs w:val="18"/>
                <w:lang w:bidi="ar"/>
              </w:rPr>
              <w:t xml:space="preserve">100.00%</w:t>
            </w:r>
            <w:r>
              <w:rPr>
                <w:rFonts w:eastAsia="仿宋_GB2312"/>
                <w:b/>
                <w:bCs/>
                <w:sz w:val="18"/>
                <w:szCs w:val="18"/>
              </w:rPr>
            </w:r>
            <w:r>
              <w:rPr>
                <w:rFonts w:eastAsia="仿宋_GB2312"/>
                <w:b/>
                <w:bCs/>
                <w:sz w:val="18"/>
                <w:szCs w:val="18"/>
              </w:rPr>
            </w:r>
          </w:p>
        </w:tc>
      </w:tr>
    </w:tbl>
    <w:p>
      <w:pPr>
        <w:pStyle w:val="684"/>
        <w:pBdr/>
        <w:spacing w:before="207"/>
        <w:ind w:right="17" w:firstLine="480" w:left="37"/>
        <w:jc w:val="center"/>
        <w:rPr>
          <w:rFonts w:hint="eastAsia" w:ascii="黑体" w:hAnsi="黑体" w:eastAsia="黑体" w:cs="宋体"/>
          <w:spacing w:val="-9"/>
          <w:sz w:val="28"/>
          <w:szCs w:val="28"/>
        </w:rPr>
      </w:pPr>
      <w:r>
        <w:rPr>
          <w:rFonts w:hint="eastAsia" w:ascii="黑体" w:hAnsi="黑体" w:eastAsia="黑体" w:cs="宋体"/>
          <w:spacing w:val="-9"/>
          <w:sz w:val="28"/>
          <w:szCs w:val="28"/>
        </w:rPr>
        <w:t xml:space="preserve">三期建设投资估算明细表</w:t>
      </w:r>
      <w:r>
        <w:rPr>
          <w:rFonts w:hint="eastAsia" w:ascii="黑体" w:hAnsi="黑体" w:eastAsia="黑体" w:cs="宋体"/>
          <w:spacing w:val="-9"/>
          <w:sz w:val="28"/>
          <w:szCs w:val="28"/>
        </w:rPr>
      </w:r>
      <w:r>
        <w:rPr>
          <w:rFonts w:hint="eastAsia" w:ascii="黑体" w:hAnsi="黑体" w:eastAsia="黑体" w:cs="宋体"/>
          <w:spacing w:val="-9"/>
          <w:sz w:val="28"/>
          <w:szCs w:val="28"/>
        </w:rPr>
      </w:r>
    </w:p>
    <w:tbl>
      <w:tblPr>
        <w:tblW w:w="4997" w:type="pct"/>
        <w:tblInd w:w="-28" w:type="dxa"/>
        <w:tblBorders/>
        <w:tblLayout w:type="autofit"/>
        <w:tblCellMar>
          <w:left w:w="28" w:type="dxa"/>
          <w:top w:w="0" w:type="dxa"/>
          <w:right w:w="28" w:type="dxa"/>
          <w:bottom w:w="0" w:type="dxa"/>
        </w:tblCellMar>
        <w:tblLook w:val="04A0" w:firstRow="1" w:lastRow="0" w:firstColumn="1" w:lastColumn="0" w:noHBand="0" w:noVBand="1"/>
      </w:tblPr>
      <w:tblGrid>
        <w:gridCol w:w="415"/>
        <w:gridCol w:w="1206"/>
        <w:gridCol w:w="520"/>
        <w:gridCol w:w="1013"/>
        <w:gridCol w:w="867"/>
        <w:gridCol w:w="1013"/>
        <w:gridCol w:w="784"/>
        <w:gridCol w:w="591"/>
        <w:gridCol w:w="925"/>
        <w:gridCol w:w="483"/>
        <w:gridCol w:w="1078"/>
      </w:tblGrid>
      <w:tr>
        <w:trPr>
          <w:trHeight w:val="360"/>
          <w:tblHeader/>
        </w:trPr>
        <w:tc>
          <w:tcPr>
            <w:tcBorders>
              <w:top w:val="single" w:color="000000" w:sz="4" w:space="0"/>
              <w:left w:val="single" w:color="000000" w:sz="4" w:space="0"/>
              <w:bottom w:val="single" w:color="000000" w:sz="4" w:space="0"/>
              <w:right w:val="single" w:color="000000" w:sz="4" w:space="0"/>
            </w:tcBorders>
            <w:tcW w:w="271" w:type="dxa"/>
            <w:vAlign w:val="center"/>
            <w:vMerge w:val="restart"/>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序号</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715" w:type="dxa"/>
            <w:vAlign w:val="center"/>
            <w:vMerge w:val="restart"/>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工程或费用名称</w:t>
            </w:r>
            <w:r>
              <w:rPr>
                <w:rFonts w:eastAsia="仿宋_GB2312"/>
                <w:b/>
                <w:szCs w:val="21"/>
              </w:rPr>
            </w:r>
            <w:r>
              <w:rPr>
                <w:rFonts w:eastAsia="仿宋_GB2312"/>
                <w:b/>
                <w:szCs w:val="21"/>
              </w:rPr>
            </w:r>
          </w:p>
        </w:tc>
        <w:tc>
          <w:tcPr>
            <w:gridSpan w:val="4"/>
            <w:tcBorders>
              <w:top w:val="single" w:color="000000" w:sz="4" w:space="0"/>
              <w:left w:val="single" w:color="000000" w:sz="4" w:space="0"/>
              <w:bottom w:val="single" w:color="000000" w:sz="4" w:space="0"/>
              <w:right w:val="single" w:color="000000" w:sz="4" w:space="0"/>
            </w:tcBorders>
            <w:tcW w:w="3413" w:type="dxa"/>
            <w:vAlign w:val="center"/>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估算投资（万元）</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478" w:type="dxa"/>
            <w:vAlign w:val="center"/>
            <w:vMerge w:val="restart"/>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单位</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358" w:type="dxa"/>
            <w:vAlign w:val="center"/>
            <w:vMerge w:val="restart"/>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数量</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单位造价</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320" w:type="dxa"/>
            <w:vAlign w:val="center"/>
            <w:vMerge w:val="restart"/>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备注</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563" w:type="dxa"/>
            <w:vAlign w:val="center"/>
            <w:vMerge w:val="restart"/>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占总投资比例</w:t>
            </w:r>
            <w:r>
              <w:rPr>
                <w:rFonts w:eastAsia="仿宋_GB2312"/>
                <w:b/>
                <w:szCs w:val="21"/>
              </w:rPr>
            </w:r>
            <w:r>
              <w:rPr>
                <w:rFonts w:eastAsia="仿宋_GB2312"/>
                <w:b/>
                <w:szCs w:val="21"/>
              </w:rPr>
            </w:r>
          </w:p>
        </w:tc>
      </w:tr>
      <w:tr>
        <w:trPr>
          <w:trHeight w:val="520"/>
          <w:tblHeader/>
        </w:trPr>
        <w:tc>
          <w:tcPr>
            <w:tcBorders>
              <w:top w:val="single" w:color="000000" w:sz="4" w:space="0"/>
              <w:left w:val="single" w:color="000000" w:sz="4" w:space="0"/>
              <w:bottom w:val="single" w:color="000000" w:sz="4" w:space="0"/>
              <w:right w:val="single" w:color="000000" w:sz="4" w:space="0"/>
            </w:tcBorders>
            <w:tcW w:w="415"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206"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建筑工程费</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设备购置及安装费</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其他工程费</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b/>
                <w:szCs w:val="21"/>
              </w:rPr>
            </w:pPr>
            <w:r>
              <w:rPr>
                <w:rFonts w:eastAsia="仿宋_GB2312"/>
                <w:b/>
                <w:szCs w:val="21"/>
                <w:lang w:bidi="ar"/>
              </w:rPr>
              <w:t xml:space="preserve">合计</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784"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91"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（元/kw）</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83"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8" w:type="dxa"/>
            <w:vAlign w:val="center"/>
            <w:vMerge w:val="continue"/>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r>
      <w:tr>
        <w:trPr>
          <w:trHeight w:val="48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一</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b/>
                <w:bCs/>
                <w:szCs w:val="21"/>
              </w:rPr>
            </w:pPr>
            <w:r>
              <w:rPr>
                <w:rFonts w:eastAsia="仿宋_GB2312"/>
                <w:b/>
                <w:bCs/>
                <w:szCs w:val="21"/>
                <w:lang w:bidi="ar"/>
              </w:rPr>
              <w:t xml:space="preserve">设施、设备</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4180.80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4180.80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83.62%</w:t>
            </w:r>
            <w:r>
              <w:rPr>
                <w:rFonts w:eastAsia="仿宋_GB2312"/>
                <w:b/>
                <w:bCs/>
                <w:szCs w:val="21"/>
              </w:rPr>
            </w:r>
            <w:r>
              <w:rPr>
                <w:rFonts w:eastAsia="仿宋_GB2312"/>
                <w:b/>
                <w:bCs/>
                <w:szCs w:val="21"/>
              </w:rPr>
            </w:r>
          </w:p>
        </w:tc>
      </w:tr>
      <w:tr>
        <w:trPr>
          <w:trHeight w:val="48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b/>
                <w:bCs/>
                <w:szCs w:val="21"/>
              </w:rPr>
            </w:pPr>
            <w:r>
              <w:rPr>
                <w:rFonts w:eastAsia="仿宋_GB2312"/>
                <w:b/>
                <w:bCs/>
                <w:szCs w:val="21"/>
                <w:lang w:bidi="ar"/>
              </w:rPr>
              <w:t xml:space="preserve">太阳能光伏发电</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4180.80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4180.80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r>
      <w:tr>
        <w:trPr>
          <w:trHeight w:val="48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电池板</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2572.80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2572.80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kw</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6432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4000.00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8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安装材料</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385.92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385.92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kw</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6432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600.00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8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逆变器</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321.60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321.60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kw</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6432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500.00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8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配套仪器</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385.92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385.92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kw</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6432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600.00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8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人工费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514.56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514.56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kw</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6432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800.00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8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二</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b/>
                <w:bCs/>
                <w:szCs w:val="21"/>
              </w:rPr>
            </w:pPr>
            <w:r>
              <w:rPr>
                <w:rFonts w:eastAsia="仿宋_GB2312"/>
                <w:b/>
                <w:bCs/>
                <w:szCs w:val="21"/>
                <w:lang w:bidi="ar"/>
              </w:rPr>
              <w:t xml:space="preserve">工程建设其他费</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422.25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422.25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8.45%</w:t>
            </w:r>
            <w:r>
              <w:rPr>
                <w:rFonts w:eastAsia="仿宋_GB2312"/>
                <w:b/>
                <w:bCs/>
                <w:szCs w:val="21"/>
              </w:rPr>
            </w:r>
            <w:r>
              <w:rPr>
                <w:rFonts w:eastAsia="仿宋_GB2312"/>
                <w:b/>
                <w:bCs/>
                <w:szCs w:val="21"/>
              </w:rPr>
            </w:r>
          </w:p>
        </w:tc>
      </w:tr>
      <w:tr>
        <w:trPr>
          <w:trHeight w:val="498"/>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建设单位管理费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65.00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65.00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根据财建[2016]504号文计取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726"/>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可行性研究报告编制费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5.00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5.00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参考发改价格〔2015〕299号文、 计价格[1999]1283号文计取、  （川价字费（2000）35号）</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94"/>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工程勘察费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31.50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31.50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参考临近地段同等规模建筑</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95"/>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工程设计费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45.50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45.50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参考发改价格〔2015〕299 号文、</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施工图审查费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25.50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25.50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计价格[2002] 10 号文计取依据川发改价格〔2011〕323号文计取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6</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工程建设监理费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36.65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36.65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参考、发改价格〔2015〕299号文发改价【2007】670号文计取，下浮 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招标代理费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10.50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10.50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含建安费和设备购置费，参考发改价格[2011]534 号文、计价格[2002] 1980 号文计取，下浮20%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8</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编制工程量清单及招标 控制价</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28.85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28.85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根据川价发【2008】141号文计 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9</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审核竣工结算</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18.82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18.82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根据川价发【2008】141号文计 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环境影响评价咨询费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8.90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8.90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参考发改价格〔2015〕299号文、计价格[2002]125号文计取，下浮20%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社会风险稳定评估费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5.13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5.13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参考市场价格计取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工程检测费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7.20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7.20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根据政府采购技术服务收费标准（国家发展改革委令第［2009]216 号）计取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360"/>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财务决算费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19.30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19.30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参考工程决算财务审计收费标 准计取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75"/>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场地准备及临时设施费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106.50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106.50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根据国家及地方工程措施取费 标准计取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76"/>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工程保险费</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7.90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7.90 </w:t>
            </w:r>
            <w:r>
              <w:rPr>
                <w:rFonts w:eastAsia="仿宋_GB2312"/>
                <w:szCs w:val="21"/>
              </w:rPr>
            </w:r>
            <w:r>
              <w:rPr>
                <w:rFonts w:eastAsia="仿宋_GB2312"/>
                <w:szCs w:val="21"/>
              </w:rPr>
            </w:r>
          </w:p>
        </w:tc>
        <w:tc>
          <w:tcPr>
            <w:gridSpan w:val="4"/>
            <w:tcBorders>
              <w:top w:val="single" w:color="000000" w:sz="4" w:space="0"/>
              <w:left w:val="single" w:color="000000" w:sz="4" w:space="0"/>
              <w:bottom w:val="single" w:color="000000" w:sz="4" w:space="0"/>
              <w:right w:val="single" w:color="000000" w:sz="4" w:space="0"/>
            </w:tcBorders>
            <w:tcW w:w="2783"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根据国家及地方工程保险费取 费标准计取</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r>
      <w:tr>
        <w:trPr>
          <w:trHeight w:val="476"/>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三</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b/>
                <w:bCs/>
                <w:szCs w:val="21"/>
              </w:rPr>
            </w:pPr>
            <w:r>
              <w:rPr>
                <w:rFonts w:eastAsia="仿宋_GB2312"/>
                <w:b/>
                <w:bCs/>
                <w:szCs w:val="21"/>
                <w:lang w:bidi="ar"/>
              </w:rPr>
              <w:t xml:space="preserve">预备费</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396.95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396.95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7.94%</w:t>
            </w:r>
            <w:r>
              <w:rPr>
                <w:rFonts w:eastAsia="仿宋_GB2312"/>
                <w:b/>
                <w:bCs/>
                <w:szCs w:val="21"/>
              </w:rPr>
            </w:r>
            <w:r>
              <w:rPr>
                <w:rFonts w:eastAsia="仿宋_GB2312"/>
                <w:b/>
                <w:bCs/>
                <w:szCs w:val="21"/>
              </w:rPr>
            </w:r>
          </w:p>
        </w:tc>
      </w:tr>
      <w:tr>
        <w:trPr>
          <w:trHeight w:val="476"/>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建设期利息</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175.00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175.00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r>
      <w:tr>
        <w:trPr>
          <w:trHeight w:val="476"/>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szCs w:val="21"/>
              </w:rPr>
            </w:pPr>
            <w:r>
              <w:rPr>
                <w:rFonts w:eastAsia="仿宋_GB2312"/>
                <w:szCs w:val="21"/>
                <w:lang w:bidi="ar"/>
              </w:rPr>
              <w:t xml:space="preserve">流动资金</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3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4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221.95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szCs w:val="21"/>
              </w:rPr>
            </w:pPr>
            <w:r>
              <w:rPr>
                <w:rFonts w:eastAsia="仿宋_GB2312"/>
                <w:szCs w:val="21"/>
                <w:lang w:bidi="ar"/>
              </w:rPr>
              <w:t xml:space="preserve">221.95 </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rPr>
            </w:r>
            <w:r>
              <w:rPr>
                <w:rFonts w:eastAsia="仿宋_GB2312"/>
                <w:b/>
                <w:bCs/>
                <w:szCs w:val="21"/>
              </w:rPr>
            </w:r>
          </w:p>
        </w:tc>
      </w:tr>
      <w:tr>
        <w:trPr>
          <w:trHeight w:val="476"/>
        </w:trPr>
        <w:tc>
          <w:tcPr>
            <w:tcBorders>
              <w:top w:val="single" w:color="000000" w:sz="4" w:space="0"/>
              <w:left w:val="single" w:color="000000" w:sz="4" w:space="0"/>
              <w:bottom w:val="single" w:color="000000" w:sz="4" w:space="0"/>
              <w:right w:val="single" w:color="000000" w:sz="4" w:space="0"/>
            </w:tcBorders>
            <w:tcW w:w="271"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四</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715" w:type="dxa"/>
            <w:vAlign w:val="center"/>
            <w:textDirection w:val="lrTb"/>
            <w:noWrap w:val="false"/>
          </w:tcPr>
          <w:p>
            <w:pPr>
              <w:pStyle w:val="684"/>
              <w:pBdr/>
              <w:spacing w:line="240" w:lineRule="exact"/>
              <w:ind/>
              <w:rPr>
                <w:rFonts w:eastAsia="仿宋_GB2312"/>
                <w:b/>
                <w:bCs/>
                <w:szCs w:val="21"/>
              </w:rPr>
            </w:pPr>
            <w:r>
              <w:rPr>
                <w:rFonts w:eastAsia="仿宋_GB2312"/>
                <w:b/>
                <w:bCs/>
                <w:szCs w:val="21"/>
                <w:lang w:bidi="ar"/>
              </w:rPr>
              <w:t xml:space="preserve">工程总投资</w:t>
            </w:r>
            <w:r>
              <w:rPr>
                <w:rFonts w:eastAsia="仿宋_GB2312"/>
                <w:b/>
                <w:bCs/>
                <w:szCs w:val="21"/>
              </w:rPr>
            </w:r>
            <w:r>
              <w:rPr>
                <w:rFonts w:eastAsia="仿宋_GB2312"/>
                <w:b/>
                <w:bCs/>
                <w:szCs w:val="21"/>
              </w:rPr>
            </w:r>
          </w:p>
        </w:tc>
        <w:tc>
          <w:tcPr>
            <w:gridSpan w:val="3"/>
            <w:tcBorders>
              <w:top w:val="single" w:color="000000" w:sz="4" w:space="0"/>
              <w:left w:val="single" w:color="000000" w:sz="4" w:space="0"/>
              <w:bottom w:val="single" w:color="000000" w:sz="4" w:space="0"/>
              <w:right w:val="single" w:color="000000" w:sz="4" w:space="0"/>
            </w:tcBorders>
            <w:tcW w:w="2400"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（一+二+三）</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6"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5000.00 </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478"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58"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04"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320" w:type="dxa"/>
            <w:vAlign w:val="center"/>
            <w:textDirection w:val="lrTb"/>
            <w:noWrap w:val="false"/>
          </w:tcPr>
          <w:p>
            <w:pPr>
              <w:pStyle w:val="684"/>
              <w:pBdr/>
              <w:spacing w:line="240" w:lineRule="exact"/>
              <w:ind/>
              <w:rPr>
                <w:rFonts w:eastAsia="仿宋_GB2312"/>
                <w:b/>
                <w:bCs/>
                <w:szCs w:val="21"/>
              </w:rPr>
            </w:pP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563" w:type="dxa"/>
            <w:vAlign w:val="center"/>
            <w:textDirection w:val="lrTb"/>
            <w:noWrap w:val="false"/>
          </w:tcPr>
          <w:p>
            <w:pPr>
              <w:pStyle w:val="684"/>
              <w:pBdr/>
              <w:spacing w:line="240" w:lineRule="exact"/>
              <w:ind/>
              <w:jc w:val="center"/>
              <w:rPr>
                <w:rFonts w:eastAsia="仿宋_GB2312"/>
                <w:b/>
                <w:bCs/>
                <w:szCs w:val="21"/>
              </w:rPr>
            </w:pPr>
            <w:r>
              <w:rPr>
                <w:rFonts w:eastAsia="仿宋_GB2312"/>
                <w:b/>
                <w:bCs/>
                <w:szCs w:val="21"/>
                <w:lang w:bidi="ar"/>
              </w:rPr>
              <w:t xml:space="preserve">100.00%</w:t>
            </w:r>
            <w:r>
              <w:rPr>
                <w:rFonts w:eastAsia="仿宋_GB2312"/>
                <w:b/>
                <w:bCs/>
                <w:szCs w:val="21"/>
              </w:rPr>
            </w:r>
            <w:r>
              <w:rPr>
                <w:rFonts w:eastAsia="仿宋_GB2312"/>
                <w:b/>
                <w:bCs/>
                <w:szCs w:val="21"/>
              </w:rPr>
            </w:r>
          </w:p>
        </w:tc>
      </w:tr>
    </w:tbl>
    <w:p>
      <w:pPr>
        <w:pStyle w:val="684"/>
        <w:widowControl w:val="true"/>
        <w:pBdr/>
        <w:spacing w:line="600" w:lineRule="exact"/>
        <w:ind w:right="17" w:firstLine="628"/>
        <w:jc w:val="left"/>
        <w:rPr>
          <w:rFonts w:eastAsia="仿宋_GB2312"/>
          <w:spacing w:val="-3"/>
          <w:sz w:val="32"/>
          <w:szCs w:val="32"/>
        </w:rPr>
      </w:pPr>
      <w:r>
        <w:rPr>
          <w:rFonts w:eastAsia="仿宋_GB2312"/>
          <w:spacing w:val="-3"/>
          <w:sz w:val="32"/>
          <w:szCs w:val="32"/>
        </w:rPr>
        <w:t xml:space="preserve">2．资金使用</w:t>
      </w:r>
      <w:r>
        <w:rPr>
          <w:rFonts w:eastAsia="仿宋_GB2312"/>
          <w:spacing w:val="-3"/>
          <w:sz w:val="32"/>
          <w:szCs w:val="32"/>
        </w:rPr>
      </w:r>
      <w:r>
        <w:rPr>
          <w:rFonts w:eastAsia="仿宋_GB2312"/>
          <w:spacing w:val="-3"/>
          <w:sz w:val="32"/>
          <w:szCs w:val="32"/>
        </w:rPr>
      </w:r>
    </w:p>
    <w:p>
      <w:pPr>
        <w:pStyle w:val="684"/>
        <w:pBdr/>
        <w:spacing w:before="78"/>
        <w:ind w:right="26"/>
        <w:jc w:val="center"/>
        <w:rPr>
          <w:rFonts w:hint="eastAsia" w:ascii="黑体" w:hAnsi="黑体" w:eastAsia="黑体" w:cs="宋体"/>
          <w:spacing w:val="-3"/>
          <w:sz w:val="28"/>
          <w:szCs w:val="28"/>
        </w:rPr>
      </w:pPr>
      <w:r>
        <w:rPr>
          <w:rFonts w:hint="eastAsia" w:ascii="黑体" w:hAnsi="黑体" w:eastAsia="黑体" w:cs="宋体"/>
          <w:spacing w:val="-3"/>
          <w:sz w:val="28"/>
          <w:szCs w:val="28"/>
        </w:rPr>
        <w:t xml:space="preserve">一期资金筹措及资金分年使用计划说明表</w:t>
      </w:r>
      <w:r>
        <w:rPr>
          <w:rFonts w:hint="eastAsia" w:ascii="黑体" w:hAnsi="黑体" w:eastAsia="黑体" w:cs="宋体"/>
          <w:spacing w:val="-3"/>
          <w:sz w:val="28"/>
          <w:szCs w:val="28"/>
        </w:rPr>
      </w:r>
      <w:r>
        <w:rPr>
          <w:rFonts w:hint="eastAsia" w:ascii="黑体" w:hAnsi="黑体" w:eastAsia="黑体" w:cs="宋体"/>
          <w:spacing w:val="-3"/>
          <w:sz w:val="28"/>
          <w:szCs w:val="28"/>
        </w:rPr>
      </w:r>
    </w:p>
    <w:p>
      <w:pPr>
        <w:pStyle w:val="684"/>
        <w:pBdr/>
        <w:spacing w:before="78"/>
        <w:ind w:right="26"/>
        <w:jc w:val="right"/>
        <w:rPr>
          <w:rFonts w:hint="eastAsia" w:ascii="仿宋_GB2312" w:hAnsi="黑体" w:eastAsia="仿宋_GB2312" w:cs="黑体"/>
          <w:spacing w:val="-1"/>
          <w:sz w:val="28"/>
          <w:szCs w:val="28"/>
        </w:rPr>
      </w:pPr>
      <w:r>
        <w:rPr>
          <w:rFonts w:hint="eastAsia" w:ascii="仿宋_GB2312" w:hAnsi="宋体" w:eastAsia="仿宋_GB2312" w:cs="宋体"/>
          <w:spacing w:val="-3"/>
        </w:rPr>
        <w:t xml:space="preserve">单位：万元</w:t>
      </w:r>
      <w:r>
        <w:rPr>
          <w:rFonts w:hint="eastAsia" w:ascii="仿宋_GB2312" w:hAnsi="黑体" w:eastAsia="仿宋_GB2312" w:cs="黑体"/>
          <w:spacing w:val="-1"/>
          <w:sz w:val="28"/>
          <w:szCs w:val="28"/>
        </w:rPr>
      </w:r>
      <w:r>
        <w:rPr>
          <w:rFonts w:hint="eastAsia" w:ascii="仿宋_GB2312" w:hAnsi="黑体" w:eastAsia="仿宋_GB2312" w:cs="黑体"/>
          <w:spacing w:val="-1"/>
          <w:sz w:val="28"/>
          <w:szCs w:val="28"/>
        </w:rPr>
      </w:r>
    </w:p>
    <w:tbl>
      <w:tblPr>
        <w:tblW w:w="8856" w:type="dxa"/>
        <w:tblInd w:w="-15" w:type="dxa"/>
        <w:tblBorders/>
        <w:tblLayout w:type="autofit"/>
        <w:tblCellMar>
          <w:left w:w="108" w:type="dxa"/>
          <w:top w:w="0" w:type="dxa"/>
          <w:right w:w="108" w:type="dxa"/>
          <w:bottom w:w="0" w:type="dxa"/>
        </w:tblCellMar>
        <w:tblLook w:val="04A0" w:firstRow="1" w:lastRow="0" w:firstColumn="1" w:lastColumn="0" w:noHBand="0" w:noVBand="1"/>
      </w:tblPr>
      <w:tblGrid>
        <w:gridCol w:w="2900"/>
        <w:gridCol w:w="2054"/>
        <w:gridCol w:w="2054"/>
        <w:gridCol w:w="1848"/>
      </w:tblGrid>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项目</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tcPr>
          <w:p>
            <w:pPr>
              <w:pStyle w:val="684"/>
              <w:pBdr/>
              <w:spacing/>
              <w:ind/>
              <w:jc w:val="center"/>
              <w:rPr>
                <w:rFonts w:eastAsia="仿宋_GB2312"/>
                <w:b/>
                <w:bCs/>
                <w:szCs w:val="21"/>
              </w:rPr>
            </w:pPr>
            <w:r>
              <w:rPr>
                <w:rFonts w:eastAsia="仿宋_GB2312"/>
                <w:b/>
                <w:bCs/>
                <w:szCs w:val="21"/>
                <w:lang w:bidi="ar"/>
              </w:rPr>
              <w:t xml:space="preserve">第一期</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2054"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合计</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1848"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备    注</w:t>
            </w:r>
            <w:r>
              <w:rPr>
                <w:rFonts w:eastAsia="仿宋_GB2312"/>
                <w:b/>
                <w:szCs w:val="21"/>
              </w:rPr>
            </w:r>
            <w:r>
              <w:rPr>
                <w:rFonts w:eastAsia="仿宋_GB2312"/>
                <w:b/>
                <w:szCs w:val="21"/>
              </w:rPr>
            </w:r>
          </w:p>
        </w:tc>
      </w:tr>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b/>
                <w:szCs w:val="21"/>
              </w:rPr>
            </w:pPr>
            <w:r>
              <w:rPr>
                <w:rFonts w:eastAsia="仿宋_GB2312"/>
                <w:b/>
                <w:szCs w:val="21"/>
                <w:lang w:bidi="ar"/>
              </w:rPr>
              <w:t xml:space="preserve">第一年</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2054"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48"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r>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一、总投资</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16892.70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16892.70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4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1、固定资产投资</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15073.00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15073.00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4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2、流动资金</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1319.20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1319.20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4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3、债券利息</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500.50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500.50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4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二、资金筹措</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16892.70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16892.70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4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1、资本金</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48" w:type="dxa"/>
            <w:vAlign w:val="center"/>
            <w:textDirection w:val="lrTb"/>
            <w:noWrap/>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45"/>
        </w:trPr>
        <w:tc>
          <w:tcPr>
            <w:tcBorders>
              <w:top w:val="single" w:color="000000" w:sz="4" w:space="0"/>
              <w:left w:val="single" w:color="000000" w:sz="4" w:space="0"/>
              <w:bottom w:val="single" w:color="000000" w:sz="4" w:space="0"/>
              <w:right w:val="single" w:color="000000" w:sz="4" w:space="0"/>
            </w:tcBorders>
            <w:tcW w:w="2900"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2、融资金额</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16892.70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20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16892.70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48" w:type="dxa"/>
            <w:vAlign w:val="center"/>
            <w:textDirection w:val="lrTb"/>
            <w:noWrap/>
          </w:tcPr>
          <w:p>
            <w:pPr>
              <w:pStyle w:val="684"/>
              <w:pBdr/>
              <w:spacing/>
              <w:ind/>
              <w:jc w:val="center"/>
              <w:rPr>
                <w:rFonts w:eastAsia="仿宋_GB2312"/>
                <w:szCs w:val="21"/>
              </w:rPr>
            </w:pPr>
            <w:r>
              <w:rPr>
                <w:rFonts w:eastAsia="仿宋_GB2312"/>
                <w:szCs w:val="21"/>
              </w:rPr>
            </w:r>
            <w:r>
              <w:rPr>
                <w:rFonts w:eastAsia="仿宋_GB2312"/>
                <w:szCs w:val="21"/>
              </w:rPr>
            </w:r>
          </w:p>
        </w:tc>
      </w:tr>
    </w:tbl>
    <w:p>
      <w:pPr>
        <w:pStyle w:val="684"/>
        <w:pBdr/>
        <w:spacing w:before="78"/>
        <w:ind w:right="26"/>
        <w:jc w:val="center"/>
        <w:rPr>
          <w:rFonts w:hint="eastAsia" w:ascii="宋体" w:hAnsi="宋体" w:cs="宋体"/>
          <w:spacing w:val="-3"/>
        </w:rPr>
      </w:pPr>
      <w:r>
        <w:rPr>
          <w:rFonts w:hint="eastAsia" w:ascii="黑体" w:hAnsi="黑体" w:eastAsia="黑体" w:cs="宋体"/>
          <w:spacing w:val="-3"/>
          <w:sz w:val="28"/>
          <w:szCs w:val="28"/>
        </w:rPr>
        <w:t xml:space="preserve">二期资金筹措及资金分年使用计划说明表</w:t>
      </w:r>
      <w:r>
        <w:rPr>
          <w:rFonts w:hint="eastAsia" w:ascii="宋体" w:hAnsi="宋体" w:cs="宋体"/>
          <w:spacing w:val="-3"/>
        </w:rPr>
        <w:t xml:space="preserve"> </w:t>
      </w:r>
      <w:r>
        <w:rPr>
          <w:rFonts w:hint="eastAsia" w:ascii="宋体" w:hAnsi="宋体" w:cs="宋体"/>
          <w:spacing w:val="-3"/>
        </w:rPr>
      </w:r>
      <w:r>
        <w:rPr>
          <w:rFonts w:hint="eastAsia" w:ascii="宋体" w:hAnsi="宋体" w:cs="宋体"/>
          <w:spacing w:val="-3"/>
        </w:rPr>
      </w:r>
    </w:p>
    <w:p>
      <w:pPr>
        <w:pStyle w:val="684"/>
        <w:pBdr/>
        <w:spacing w:before="78"/>
        <w:ind w:right="26"/>
        <w:jc w:val="right"/>
        <w:rPr>
          <w:rFonts w:hint="eastAsia" w:ascii="仿宋_GB2312" w:hAnsi="宋体" w:eastAsia="仿宋_GB2312" w:cs="宋体"/>
          <w:spacing w:val="-3"/>
        </w:rPr>
      </w:pPr>
      <w:r>
        <w:rPr>
          <w:rFonts w:hint="eastAsia" w:ascii="仿宋_GB2312" w:hAnsi="宋体" w:eastAsia="仿宋_GB2312" w:cs="宋体"/>
          <w:spacing w:val="-3"/>
        </w:rPr>
        <w:t xml:space="preserve">单位：万元</w:t>
      </w:r>
      <w:r>
        <w:rPr>
          <w:rFonts w:hint="eastAsia" w:ascii="仿宋_GB2312" w:hAnsi="宋体" w:eastAsia="仿宋_GB2312" w:cs="宋体"/>
          <w:spacing w:val="-3"/>
        </w:rPr>
      </w:r>
      <w:r>
        <w:rPr>
          <w:rFonts w:hint="eastAsia" w:ascii="仿宋_GB2312" w:hAnsi="宋体" w:eastAsia="仿宋_GB2312" w:cs="宋体"/>
          <w:spacing w:val="-3"/>
        </w:rPr>
      </w:r>
    </w:p>
    <w:tbl>
      <w:tblPr>
        <w:tblW w:w="4917" w:type="pct"/>
        <w:tblInd w:w="0" w:type="dxa"/>
        <w:tblBorders/>
        <w:tblLayout w:type="autofit"/>
        <w:tblCellMar>
          <w:left w:w="108" w:type="dxa"/>
          <w:top w:w="0" w:type="dxa"/>
          <w:right w:w="108" w:type="dxa"/>
          <w:bottom w:w="0" w:type="dxa"/>
        </w:tblCellMar>
        <w:tblLook w:val="04A0" w:firstRow="1" w:lastRow="0" w:firstColumn="1" w:lastColumn="0" w:noHBand="0" w:noVBand="1"/>
      </w:tblPr>
      <w:tblGrid>
        <w:gridCol w:w="2267"/>
        <w:gridCol w:w="1912"/>
        <w:gridCol w:w="1682"/>
        <w:gridCol w:w="1680"/>
        <w:gridCol w:w="1369"/>
      </w:tblGrid>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项目</w:t>
            </w:r>
            <w:r>
              <w:rPr>
                <w:rFonts w:eastAsia="仿宋_GB2312"/>
                <w:szCs w:val="21"/>
              </w:rPr>
            </w:r>
            <w:r>
              <w:rPr>
                <w:rFonts w:eastAsia="仿宋_GB2312"/>
                <w:szCs w:val="21"/>
              </w:rPr>
            </w:r>
          </w:p>
        </w:tc>
        <w:tc>
          <w:tcPr>
            <w:gridSpan w:val="2"/>
            <w:tcBorders>
              <w:top w:val="single" w:color="000000" w:sz="4" w:space="0"/>
              <w:left w:val="single" w:color="000000" w:sz="4" w:space="0"/>
              <w:bottom w:val="single" w:color="000000" w:sz="4" w:space="0"/>
              <w:right w:val="single" w:color="000000" w:sz="4" w:space="0"/>
            </w:tcBorders>
            <w:tcW w:w="3594" w:type="dxa"/>
            <w:vAlign w:val="center"/>
            <w:textDirection w:val="lrTb"/>
            <w:noWrap/>
          </w:tcPr>
          <w:p>
            <w:pPr>
              <w:pStyle w:val="684"/>
              <w:pBdr/>
              <w:spacing/>
              <w:ind/>
              <w:jc w:val="center"/>
              <w:rPr>
                <w:rFonts w:eastAsia="仿宋_GB2312"/>
                <w:b/>
                <w:bCs/>
                <w:szCs w:val="21"/>
              </w:rPr>
            </w:pPr>
            <w:r>
              <w:rPr>
                <w:rFonts w:eastAsia="仿宋_GB2312"/>
                <w:b/>
                <w:bCs/>
                <w:szCs w:val="21"/>
                <w:lang w:bidi="ar"/>
              </w:rPr>
              <w:t xml:space="preserve">第二期</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943"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合计</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vMerge w:val="restart"/>
            <w:textDirection w:val="lrTb"/>
            <w:noWrap w:val="false"/>
          </w:tcPr>
          <w:p>
            <w:pPr>
              <w:pStyle w:val="684"/>
              <w:pBdr/>
              <w:spacing/>
              <w:ind/>
              <w:jc w:val="center"/>
              <w:rPr>
                <w:rFonts w:eastAsia="仿宋_GB2312"/>
                <w:szCs w:val="21"/>
              </w:rPr>
            </w:pPr>
            <w:r>
              <w:rPr>
                <w:rFonts w:eastAsia="仿宋_GB2312"/>
                <w:szCs w:val="21"/>
                <w:lang w:bidi="ar"/>
              </w:rPr>
              <w:t xml:space="preserve">备    注</w:t>
            </w:r>
            <w:r>
              <w:rPr>
                <w:rFonts w:eastAsia="仿宋_GB2312"/>
                <w:szCs w:val="21"/>
              </w:rPr>
            </w:r>
            <w:r>
              <w:rPr>
                <w:rFonts w:eastAsia="仿宋_GB2312"/>
                <w:szCs w:val="21"/>
              </w:rPr>
            </w:r>
          </w:p>
        </w:tc>
      </w:tr>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3" w:type="dxa"/>
            <w:vAlign w:val="center"/>
            <w:textDirection w:val="lrTb"/>
            <w:noWrap w:val="false"/>
          </w:tcPr>
          <w:p>
            <w:pPr>
              <w:pStyle w:val="684"/>
              <w:pBdr/>
              <w:spacing/>
              <w:ind/>
              <w:jc w:val="center"/>
              <w:rPr>
                <w:rFonts w:eastAsia="仿宋_GB2312"/>
                <w:b/>
                <w:szCs w:val="21"/>
              </w:rPr>
            </w:pPr>
            <w:r>
              <w:rPr>
                <w:rFonts w:eastAsia="仿宋_GB2312"/>
                <w:b/>
                <w:szCs w:val="21"/>
                <w:lang w:bidi="ar"/>
              </w:rPr>
              <w:t xml:space="preserve">第1年</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944" w:type="dxa"/>
            <w:vAlign w:val="center"/>
            <w:textDirection w:val="lrTb"/>
            <w:noWrap w:val="false"/>
          </w:tcPr>
          <w:p>
            <w:pPr>
              <w:pStyle w:val="684"/>
              <w:pBdr/>
              <w:spacing/>
              <w:ind/>
              <w:jc w:val="center"/>
              <w:rPr>
                <w:rFonts w:eastAsia="仿宋_GB2312"/>
                <w:b/>
                <w:szCs w:val="21"/>
              </w:rPr>
            </w:pPr>
            <w:r>
              <w:rPr>
                <w:rFonts w:eastAsia="仿宋_GB2312"/>
                <w:b/>
                <w:szCs w:val="21"/>
                <w:lang w:bidi="ar"/>
              </w:rPr>
              <w:t xml:space="preserve">第2年</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1680"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r>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一、总投资</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92600.97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47326.02</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139927.00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1、固定资产投资</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92600.97</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39686.13</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132287.11</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2、流动资金</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2917.45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2917.45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3、债券利息</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4722.44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4722.44</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二、资金筹措</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100000.00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39927.00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139927.00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1、资本金</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3"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4"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textDirection w:val="lrTb"/>
            <w:noWrap/>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275"/>
        </w:trPr>
        <w:tc>
          <w:tcPr>
            <w:tcBorders>
              <w:top w:val="single" w:color="000000" w:sz="4" w:space="0"/>
              <w:left w:val="single" w:color="000000" w:sz="4" w:space="0"/>
              <w:bottom w:val="single" w:color="000000" w:sz="4" w:space="0"/>
              <w:right w:val="single" w:color="000000" w:sz="4" w:space="0"/>
            </w:tcBorders>
            <w:tcW w:w="1272"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2、融资金额</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73" w:type="dxa"/>
            <w:vAlign w:val="center"/>
            <w:textDirection w:val="lrTb"/>
            <w:noWrap/>
          </w:tcPr>
          <w:p>
            <w:pPr>
              <w:pStyle w:val="684"/>
              <w:pBdr/>
              <w:spacing/>
              <w:ind/>
              <w:jc w:val="center"/>
              <w:rPr>
                <w:rFonts w:eastAsia="仿宋_GB2312"/>
                <w:szCs w:val="21"/>
              </w:rPr>
            </w:pPr>
            <w:r>
              <w:rPr>
                <w:rFonts w:eastAsia="仿宋_GB2312"/>
                <w:szCs w:val="21"/>
                <w:lang w:bidi="ar"/>
              </w:rPr>
              <w:t xml:space="preserve">100000.00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4" w:type="dxa"/>
            <w:vAlign w:val="center"/>
            <w:textDirection w:val="lrTb"/>
            <w:noWrap/>
          </w:tcPr>
          <w:p>
            <w:pPr>
              <w:pStyle w:val="684"/>
              <w:pBdr/>
              <w:spacing/>
              <w:ind/>
              <w:jc w:val="center"/>
              <w:rPr>
                <w:rFonts w:eastAsia="仿宋_GB2312"/>
                <w:szCs w:val="21"/>
              </w:rPr>
            </w:pPr>
            <w:r>
              <w:rPr>
                <w:rFonts w:eastAsia="仿宋_GB2312"/>
                <w:szCs w:val="21"/>
                <w:lang w:bidi="ar"/>
              </w:rPr>
              <w:t xml:space="preserve">39927.00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943"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139927.00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768" w:type="dxa"/>
            <w:vAlign w:val="center"/>
            <w:textDirection w:val="lrTb"/>
            <w:noWrap/>
          </w:tcPr>
          <w:p>
            <w:pPr>
              <w:pStyle w:val="684"/>
              <w:pBdr/>
              <w:spacing/>
              <w:ind/>
              <w:jc w:val="center"/>
              <w:rPr>
                <w:rFonts w:eastAsia="仿宋_GB2312"/>
                <w:szCs w:val="21"/>
              </w:rPr>
            </w:pPr>
            <w:r>
              <w:rPr>
                <w:rFonts w:eastAsia="仿宋_GB2312"/>
                <w:szCs w:val="21"/>
              </w:rPr>
            </w:r>
            <w:r>
              <w:rPr>
                <w:rFonts w:eastAsia="仿宋_GB2312"/>
                <w:szCs w:val="21"/>
              </w:rPr>
            </w:r>
          </w:p>
        </w:tc>
      </w:tr>
    </w:tbl>
    <w:p>
      <w:pPr>
        <w:pStyle w:val="684"/>
        <w:pBdr/>
        <w:spacing w:before="78"/>
        <w:ind w:right="26"/>
        <w:jc w:val="center"/>
        <w:rPr>
          <w:rFonts w:hint="eastAsia" w:ascii="宋体" w:hAnsi="宋体" w:cs="宋体"/>
          <w:spacing w:val="-3"/>
        </w:rPr>
      </w:pPr>
      <w:r>
        <w:rPr>
          <w:rFonts w:hint="eastAsia" w:ascii="黑体" w:hAnsi="黑体" w:eastAsia="黑体" w:cs="宋体"/>
          <w:spacing w:val="-3"/>
          <w:sz w:val="28"/>
          <w:szCs w:val="28"/>
        </w:rPr>
        <w:t xml:space="preserve">三期资金筹措及资金分年使用计划说明表 </w:t>
      </w:r>
      <w:r>
        <w:rPr>
          <w:rFonts w:hint="eastAsia" w:ascii="宋体" w:hAnsi="宋体" w:cs="宋体"/>
          <w:spacing w:val="-3"/>
          <w:sz w:val="24"/>
        </w:rPr>
        <w:t xml:space="preserve">  </w:t>
      </w:r>
      <w:r>
        <w:rPr>
          <w:rFonts w:hint="eastAsia" w:ascii="宋体" w:hAnsi="宋体" w:cs="宋体"/>
          <w:spacing w:val="-3"/>
        </w:rPr>
        <w:t xml:space="preserve"> </w:t>
      </w:r>
      <w:r>
        <w:rPr>
          <w:rFonts w:hint="eastAsia" w:ascii="宋体" w:hAnsi="宋体" w:cs="宋体"/>
          <w:spacing w:val="-3"/>
        </w:rPr>
      </w:r>
      <w:r>
        <w:rPr>
          <w:rFonts w:hint="eastAsia" w:ascii="宋体" w:hAnsi="宋体" w:cs="宋体"/>
          <w:spacing w:val="-3"/>
        </w:rPr>
      </w:r>
    </w:p>
    <w:p>
      <w:pPr>
        <w:pStyle w:val="684"/>
        <w:pBdr/>
        <w:spacing w:before="78"/>
        <w:ind w:right="26"/>
        <w:jc w:val="right"/>
        <w:rPr>
          <w:rFonts w:hint="eastAsia" w:ascii="仿宋_GB2312" w:hAnsi="宋体" w:eastAsia="仿宋_GB2312" w:cs="宋体"/>
          <w:spacing w:val="-3"/>
        </w:rPr>
      </w:pPr>
      <w:r>
        <w:rPr>
          <w:rFonts w:hint="eastAsia" w:ascii="仿宋_GB2312" w:hAnsi="宋体" w:eastAsia="仿宋_GB2312" w:cs="宋体"/>
          <w:spacing w:val="-3"/>
        </w:rPr>
        <w:t xml:space="preserve">单位：万元</w:t>
      </w:r>
      <w:r>
        <w:rPr>
          <w:rFonts w:hint="eastAsia" w:ascii="仿宋_GB2312" w:hAnsi="宋体" w:eastAsia="仿宋_GB2312" w:cs="宋体"/>
          <w:spacing w:val="-3"/>
        </w:rPr>
      </w:r>
      <w:r>
        <w:rPr>
          <w:rFonts w:hint="eastAsia" w:ascii="仿宋_GB2312" w:hAnsi="宋体" w:eastAsia="仿宋_GB2312" w:cs="宋体"/>
          <w:spacing w:val="-3"/>
        </w:rPr>
      </w:r>
    </w:p>
    <w:tbl>
      <w:tblPr>
        <w:tblW w:w="4900" w:type="pct"/>
        <w:jc w:val="center"/>
        <w:tblInd w:w="114" w:type="dxa"/>
        <w:tblBorders/>
        <w:tblLayout w:type="autofit"/>
        <w:tblCellMar>
          <w:left w:w="108" w:type="dxa"/>
          <w:top w:w="0" w:type="dxa"/>
          <w:right w:w="108" w:type="dxa"/>
          <w:bottom w:w="0" w:type="dxa"/>
        </w:tblCellMar>
        <w:tblLook w:val="04A0" w:firstRow="1" w:lastRow="0" w:firstColumn="1" w:lastColumn="0" w:noHBand="0" w:noVBand="1"/>
      </w:tblPr>
      <w:tblGrid>
        <w:gridCol w:w="2760"/>
        <w:gridCol w:w="2111"/>
        <w:gridCol w:w="2110"/>
        <w:gridCol w:w="1898"/>
      </w:tblGrid>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项目</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tcPr>
          <w:p>
            <w:pPr>
              <w:pStyle w:val="684"/>
              <w:pBdr/>
              <w:spacing/>
              <w:ind/>
              <w:jc w:val="center"/>
              <w:rPr>
                <w:rFonts w:eastAsia="仿宋_GB2312"/>
                <w:b/>
                <w:bCs/>
                <w:szCs w:val="21"/>
              </w:rPr>
            </w:pPr>
            <w:r>
              <w:rPr>
                <w:rFonts w:eastAsia="仿宋_GB2312"/>
                <w:b/>
                <w:bCs/>
                <w:szCs w:val="21"/>
                <w:lang w:bidi="ar"/>
              </w:rPr>
              <w:t xml:space="preserve">第三期</w:t>
            </w:r>
            <w:r>
              <w:rPr>
                <w:rFonts w:eastAsia="仿宋_GB2312"/>
                <w:b/>
                <w:bCs/>
                <w:szCs w:val="21"/>
              </w:rPr>
            </w:r>
            <w:r>
              <w:rPr>
                <w:rFonts w:eastAsia="仿宋_GB2312"/>
                <w:b/>
                <w:bCs/>
                <w:szCs w:val="21"/>
              </w:rPr>
            </w:r>
          </w:p>
        </w:tc>
        <w:tc>
          <w:tcPr>
            <w:tcBorders>
              <w:top w:val="single" w:color="000000" w:sz="4" w:space="0"/>
              <w:left w:val="single" w:color="000000" w:sz="4" w:space="0"/>
              <w:bottom w:val="single" w:color="000000" w:sz="4" w:space="0"/>
              <w:right w:val="single" w:color="000000" w:sz="4" w:space="0"/>
            </w:tcBorders>
            <w:tcW w:w="1188"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合计</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1069" w:type="dxa"/>
            <w:vAlign w:val="center"/>
            <w:vMerge w:val="restart"/>
            <w:textDirection w:val="lrTb"/>
            <w:noWrap w:val="false"/>
          </w:tcPr>
          <w:p>
            <w:pPr>
              <w:pStyle w:val="684"/>
              <w:pBdr/>
              <w:spacing/>
              <w:ind/>
              <w:jc w:val="center"/>
              <w:rPr>
                <w:rFonts w:eastAsia="仿宋_GB2312"/>
                <w:b/>
                <w:szCs w:val="21"/>
              </w:rPr>
            </w:pPr>
            <w:r>
              <w:rPr>
                <w:rFonts w:eastAsia="仿宋_GB2312"/>
                <w:b/>
                <w:szCs w:val="21"/>
                <w:lang w:bidi="ar"/>
              </w:rPr>
              <w:t xml:space="preserve">备    注</w:t>
            </w:r>
            <w:r>
              <w:rPr>
                <w:rFonts w:eastAsia="仿宋_GB2312"/>
                <w:b/>
                <w:szCs w:val="21"/>
              </w:rPr>
            </w:r>
            <w:r>
              <w:rPr>
                <w:rFonts w:eastAsia="仿宋_GB2312"/>
                <w:b/>
                <w:szCs w:val="21"/>
              </w:rPr>
            </w:r>
          </w:p>
        </w:tc>
      </w:tr>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val="false"/>
          </w:tcPr>
          <w:p>
            <w:pPr>
              <w:pStyle w:val="684"/>
              <w:pBdr/>
              <w:spacing/>
              <w:ind/>
              <w:jc w:val="center"/>
              <w:rPr>
                <w:rFonts w:eastAsia="仿宋_GB2312"/>
                <w:b/>
                <w:szCs w:val="21"/>
              </w:rPr>
            </w:pPr>
            <w:r>
              <w:rPr>
                <w:rFonts w:eastAsia="仿宋_GB2312"/>
                <w:b/>
                <w:szCs w:val="21"/>
                <w:lang w:bidi="ar"/>
              </w:rPr>
              <w:t xml:space="preserve">第一年</w:t>
            </w:r>
            <w:r>
              <w:rPr>
                <w:rFonts w:eastAsia="仿宋_GB2312"/>
                <w:b/>
                <w:szCs w:val="21"/>
              </w:rPr>
            </w:r>
            <w:r>
              <w:rPr>
                <w:rFonts w:eastAsia="仿宋_GB2312"/>
                <w:b/>
                <w:szCs w:val="21"/>
              </w:rPr>
            </w:r>
          </w:p>
        </w:tc>
        <w:tc>
          <w:tcPr>
            <w:tcBorders>
              <w:top w:val="single" w:color="000000" w:sz="4" w:space="0"/>
              <w:left w:val="single" w:color="000000" w:sz="4" w:space="0"/>
              <w:bottom w:val="single" w:color="000000" w:sz="4" w:space="0"/>
              <w:right w:val="single" w:color="000000" w:sz="4" w:space="0"/>
            </w:tcBorders>
            <w:tcW w:w="2110"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898" w:type="dxa"/>
            <w:vAlign w:val="center"/>
            <w:vMerge w:val="continue"/>
            <w:textDirection w:val="lrTb"/>
            <w:noWrap w:val="false"/>
          </w:tcPr>
          <w:p>
            <w:pPr>
              <w:pStyle w:val="684"/>
              <w:pBdr/>
              <w:spacing/>
              <w:ind/>
              <w:rPr>
                <w:rFonts w:eastAsia="仿宋_GB2312"/>
                <w:szCs w:val="21"/>
              </w:rPr>
            </w:pPr>
            <w:r>
              <w:rPr>
                <w:rFonts w:eastAsia="仿宋_GB2312"/>
                <w:szCs w:val="21"/>
              </w:rPr>
            </w:r>
            <w:r>
              <w:rPr>
                <w:rFonts w:eastAsia="仿宋_GB2312"/>
                <w:szCs w:val="21"/>
              </w:rPr>
            </w:r>
          </w:p>
        </w:tc>
      </w:tr>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一、总投资</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5000.00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8"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5000.00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9"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1、固定资产投资</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4603.05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8"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4603.05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9"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2、流动资金</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221.95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8"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221.95</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9"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3、债券利息</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175.00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8"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175.00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9"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二、资金筹措</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5000.00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8"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5000.00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9"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1、资本金</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val="false"/>
          </w:tcPr>
          <w:p>
            <w:pPr>
              <w:pStyle w:val="684"/>
              <w:pBdr/>
              <w:spacing/>
              <w:ind/>
              <w:jc w:val="center"/>
              <w:rPr>
                <w:rFonts w:eastAsia="仿宋_GB2312"/>
                <w:szCs w:val="21"/>
              </w:rPr>
            </w:pP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8"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9" w:type="dxa"/>
            <w:vAlign w:val="center"/>
            <w:textDirection w:val="lrTb"/>
            <w:noWrap/>
          </w:tcPr>
          <w:p>
            <w:pPr>
              <w:pStyle w:val="684"/>
              <w:pBdr/>
              <w:spacing/>
              <w:ind/>
              <w:jc w:val="center"/>
              <w:rPr>
                <w:rFonts w:eastAsia="仿宋_GB2312"/>
                <w:szCs w:val="21"/>
              </w:rPr>
            </w:pPr>
            <w:r>
              <w:rPr>
                <w:rFonts w:eastAsia="仿宋_GB2312"/>
                <w:szCs w:val="21"/>
              </w:rPr>
            </w:r>
            <w:r>
              <w:rPr>
                <w:rFonts w:eastAsia="仿宋_GB2312"/>
                <w:szCs w:val="21"/>
              </w:rPr>
            </w:r>
          </w:p>
        </w:tc>
      </w:tr>
      <w:tr>
        <w:trPr>
          <w:trHeight w:val="330"/>
        </w:trPr>
        <w:tc>
          <w:tcPr>
            <w:tcBorders>
              <w:top w:val="single" w:color="000000" w:sz="4" w:space="0"/>
              <w:left w:val="single" w:color="000000" w:sz="4" w:space="0"/>
              <w:bottom w:val="single" w:color="000000" w:sz="4" w:space="0"/>
              <w:right w:val="single" w:color="000000" w:sz="4" w:space="0"/>
            </w:tcBorders>
            <w:tcW w:w="1554"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2、融资金额</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9"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5000.00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188" w:type="dxa"/>
            <w:vAlign w:val="center"/>
            <w:textDirection w:val="lrTb"/>
            <w:noWrap w:val="false"/>
          </w:tcPr>
          <w:p>
            <w:pPr>
              <w:pStyle w:val="684"/>
              <w:pBdr/>
              <w:spacing/>
              <w:ind/>
              <w:jc w:val="center"/>
              <w:rPr>
                <w:rFonts w:eastAsia="仿宋_GB2312"/>
                <w:szCs w:val="21"/>
              </w:rPr>
            </w:pPr>
            <w:r>
              <w:rPr>
                <w:rFonts w:eastAsia="仿宋_GB2312"/>
                <w:szCs w:val="21"/>
                <w:lang w:bidi="ar"/>
              </w:rPr>
              <w:t xml:space="preserve">5000.00</w:t>
            </w:r>
            <w:r>
              <w:rPr>
                <w:rFonts w:eastAsia="仿宋_GB2312"/>
                <w:szCs w:val="21"/>
              </w:rPr>
            </w:r>
            <w:r>
              <w:rPr>
                <w:rFonts w:eastAsia="仿宋_GB2312"/>
                <w:szCs w:val="21"/>
              </w:rPr>
            </w:r>
          </w:p>
        </w:tc>
        <w:tc>
          <w:tcPr>
            <w:tcBorders>
              <w:top w:val="single" w:color="000000" w:sz="4" w:space="0"/>
              <w:left w:val="single" w:color="000000" w:sz="4" w:space="0"/>
              <w:bottom w:val="single" w:color="000000" w:sz="4" w:space="0"/>
              <w:right w:val="single" w:color="000000" w:sz="4" w:space="0"/>
            </w:tcBorders>
            <w:tcW w:w="1069" w:type="dxa"/>
            <w:vAlign w:val="center"/>
            <w:textDirection w:val="lrTb"/>
            <w:noWrap/>
          </w:tcPr>
          <w:p>
            <w:pPr>
              <w:pStyle w:val="684"/>
              <w:pBdr/>
              <w:spacing/>
              <w:ind/>
              <w:jc w:val="center"/>
              <w:rPr>
                <w:rFonts w:eastAsia="仿宋_GB2312"/>
                <w:szCs w:val="21"/>
              </w:rPr>
            </w:pPr>
            <w:r>
              <w:rPr>
                <w:rFonts w:eastAsia="仿宋_GB2312"/>
                <w:szCs w:val="21"/>
              </w:rPr>
            </w:r>
            <w:r>
              <w:rPr>
                <w:rFonts w:eastAsia="仿宋_GB2312"/>
                <w:szCs w:val="21"/>
              </w:rPr>
            </w:r>
          </w:p>
        </w:tc>
      </w:tr>
    </w:tbl>
    <w:p>
      <w:pPr>
        <w:pStyle w:val="684"/>
        <w:pBdr/>
        <w:spacing w:line="580" w:lineRule="exact"/>
        <w:ind w:firstLine="640"/>
        <w:rPr>
          <w:rFonts w:hint="eastAsia" w:ascii="楷体_GB2312" w:eastAsia="楷体_GB2312"/>
          <w:sz w:val="32"/>
          <w:szCs w:val="32"/>
        </w:rPr>
      </w:pPr>
      <w:r>
        <w:rPr>
          <w:rFonts w:hint="eastAsia" w:ascii="楷体_GB2312" w:eastAsia="楷体_GB2312"/>
          <w:sz w:val="32"/>
          <w:szCs w:val="32"/>
        </w:rPr>
        <w:t xml:space="preserve">第三条  盈利能力分析</w:t>
      </w:r>
      <w:r>
        <w:rPr>
          <w:rFonts w:hint="eastAsia" w:ascii="楷体_GB2312" w:eastAsia="楷体_GB2312"/>
          <w:sz w:val="32"/>
          <w:szCs w:val="32"/>
        </w:rPr>
      </w:r>
      <w:r>
        <w:rPr>
          <w:rFonts w:hint="eastAsia" w:ascii="楷体_GB2312" w:eastAsia="楷体_GB2312"/>
          <w:sz w:val="32"/>
          <w:szCs w:val="32"/>
        </w:rPr>
      </w:r>
    </w:p>
    <w:p>
      <w:pPr>
        <w:pStyle w:val="684"/>
        <w:pBdr/>
        <w:spacing w:line="580" w:lineRule="exact"/>
        <w:ind/>
        <w:rPr>
          <w:rFonts w:eastAsia="仿宋_GB2312"/>
          <w:sz w:val="32"/>
          <w:szCs w:val="32"/>
        </w:rPr>
      </w:pPr>
      <w:r>
        <w:rPr>
          <w:rFonts w:eastAsia="仿宋_GB2312"/>
          <w:sz w:val="32"/>
          <w:szCs w:val="32"/>
        </w:rPr>
        <w:t xml:space="preserve">　　根据国家计委出版的《投资项目可行性研究指南（试用版）》、国家发展改革委、建设部印发的《建设项目经济评价方法与参数》（第三版），及国家有关文件规定的精神，对本可行性研究报告的推荐方案进行财务评价和国民经济评价，从而论证本项目的经济合理性，为项目决策提供可靠依据。</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1</w:t>
      </w:r>
      <w:r>
        <w:rPr>
          <w:rFonts w:hint="eastAsia" w:eastAsia="仿宋_GB2312"/>
          <w:sz w:val="32"/>
          <w:szCs w:val="32"/>
        </w:rPr>
        <w:t xml:space="preserve">．</w:t>
      </w:r>
      <w:r>
        <w:rPr>
          <w:rFonts w:eastAsia="仿宋_GB2312"/>
          <w:sz w:val="32"/>
          <w:szCs w:val="32"/>
        </w:rPr>
        <w:t xml:space="preserve">财务基础数据确定</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1.1</w:t>
      </w:r>
      <w:r>
        <w:rPr>
          <w:rFonts w:hint="eastAsia" w:eastAsia="仿宋_GB2312"/>
          <w:sz w:val="32"/>
          <w:szCs w:val="32"/>
        </w:rPr>
        <w:t xml:space="preserve">．</w:t>
      </w:r>
      <w:r>
        <w:rPr>
          <w:rFonts w:eastAsia="仿宋_GB2312"/>
          <w:sz w:val="32"/>
          <w:szCs w:val="32"/>
        </w:rPr>
        <w:t xml:space="preserve">项目计算期：26年，其中一期21年、二期23年、三期23年，二期在一期开始的第二年实施、三期在一期开始的第三年实施。</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1.2</w:t>
      </w:r>
      <w:r>
        <w:rPr>
          <w:rFonts w:hint="eastAsia" w:eastAsia="仿宋_GB2312"/>
          <w:sz w:val="32"/>
          <w:szCs w:val="32"/>
        </w:rPr>
        <w:t xml:space="preserve">．</w:t>
      </w:r>
      <w:r>
        <w:rPr>
          <w:rFonts w:eastAsia="仿宋_GB2312"/>
          <w:sz w:val="32"/>
          <w:szCs w:val="32"/>
        </w:rPr>
        <w:t xml:space="preserve">收入估算：投入经营期按100%估算。</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1.3</w:t>
      </w:r>
      <w:r>
        <w:rPr>
          <w:rFonts w:hint="eastAsia" w:eastAsia="仿宋_GB2312"/>
          <w:sz w:val="32"/>
          <w:szCs w:val="32"/>
        </w:rPr>
        <w:t xml:space="preserve">．</w:t>
      </w:r>
      <w:r>
        <w:rPr>
          <w:rFonts w:eastAsia="仿宋_GB2312"/>
          <w:sz w:val="32"/>
          <w:szCs w:val="32"/>
        </w:rPr>
        <w:t xml:space="preserve">应交税金及附加：增值税税率按13%计算，城市建设维护税教育费附加分别按增值税的7%、5%计算，企业所得税按利润总额的15%计算。</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1.4</w:t>
      </w:r>
      <w:r>
        <w:rPr>
          <w:rFonts w:hint="eastAsia" w:eastAsia="仿宋_GB2312"/>
          <w:sz w:val="32"/>
          <w:szCs w:val="32"/>
        </w:rPr>
        <w:t xml:space="preserve">．</w:t>
      </w:r>
      <w:r>
        <w:rPr>
          <w:rFonts w:eastAsia="仿宋_GB2312"/>
          <w:sz w:val="32"/>
          <w:szCs w:val="32"/>
        </w:rPr>
        <w:t xml:space="preserve">项</w:t>
      </w:r>
      <w:r>
        <w:rPr>
          <w:rFonts w:eastAsia="仿宋_GB2312"/>
          <w:spacing w:val="-14"/>
          <w:sz w:val="32"/>
          <w:szCs w:val="32"/>
        </w:rPr>
        <w:t xml:space="preserve">目基准收益率</w:t>
      </w:r>
      <w:r>
        <w:rPr>
          <w:rFonts w:hint="eastAsia" w:eastAsia="仿宋_GB2312"/>
          <w:spacing w:val="-14"/>
          <w:sz w:val="32"/>
          <w:szCs w:val="32"/>
        </w:rPr>
        <w:t xml:space="preserve">：</w:t>
      </w:r>
      <w:r>
        <w:rPr>
          <w:rFonts w:eastAsia="仿宋_GB2312"/>
          <w:spacing w:val="-14"/>
          <w:sz w:val="32"/>
          <w:szCs w:val="32"/>
        </w:rPr>
        <w:t xml:space="preserve">参照本项目行业特点，基准收益率取i=8%。</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2</w:t>
      </w:r>
      <w:r>
        <w:rPr>
          <w:rFonts w:hint="eastAsia" w:eastAsia="仿宋_GB2312"/>
          <w:sz w:val="32"/>
          <w:szCs w:val="32"/>
        </w:rPr>
        <w:t xml:space="preserve">．</w:t>
      </w:r>
      <w:r>
        <w:rPr>
          <w:rFonts w:eastAsia="仿宋_GB2312"/>
          <w:sz w:val="32"/>
          <w:szCs w:val="32"/>
        </w:rPr>
        <w:t xml:space="preserve">一期收益测算</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2.1</w:t>
      </w:r>
      <w:r>
        <w:rPr>
          <w:rFonts w:hint="eastAsia" w:eastAsia="仿宋_GB2312"/>
          <w:sz w:val="32"/>
          <w:szCs w:val="32"/>
        </w:rPr>
        <w:t xml:space="preserve">．</w:t>
      </w:r>
      <w:r>
        <w:rPr>
          <w:rFonts w:eastAsia="仿宋_GB2312"/>
          <w:sz w:val="32"/>
          <w:szCs w:val="32"/>
        </w:rPr>
        <w:t xml:space="preserve">收费管理系统</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本项目充电桩共配置7kw，120KW几种功率，按现行市场收费均价为每度电1.2元（其中电费0.40元和服务费0.80元）。</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换电站按换电度数收费：每度电收费1.4元（其中电费0.4元和服务费1.00元）。</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2.2</w:t>
      </w:r>
      <w:r>
        <w:rPr>
          <w:rFonts w:hint="eastAsia" w:eastAsia="仿宋_GB2312"/>
          <w:sz w:val="32"/>
          <w:szCs w:val="32"/>
        </w:rPr>
        <w:t xml:space="preserve">．</w:t>
      </w:r>
      <w:r>
        <w:rPr>
          <w:rFonts w:eastAsia="仿宋_GB2312"/>
          <w:sz w:val="32"/>
          <w:szCs w:val="32"/>
        </w:rPr>
        <w:t xml:space="preserve">收益测算</w:t>
      </w:r>
      <w:r>
        <w:rPr>
          <w:rFonts w:eastAsia="仿宋_GB2312"/>
          <w:sz w:val="32"/>
          <w:szCs w:val="32"/>
        </w:rPr>
      </w:r>
      <w:r>
        <w:rPr>
          <w:rFonts w:eastAsia="仿宋_GB2312"/>
          <w:sz w:val="32"/>
          <w:szCs w:val="32"/>
        </w:rPr>
      </w:r>
    </w:p>
    <w:p>
      <w:pPr>
        <w:pStyle w:val="684"/>
        <w:pBdr/>
        <w:spacing w:line="580" w:lineRule="exact"/>
        <w:ind/>
        <w:rPr>
          <w:rFonts w:eastAsia="仿宋_GB2312"/>
          <w:sz w:val="32"/>
          <w:szCs w:val="32"/>
        </w:rPr>
      </w:pPr>
      <w:r>
        <w:rPr>
          <w:rFonts w:eastAsia="仿宋_GB2312"/>
          <w:sz w:val="32"/>
          <w:szCs w:val="32"/>
        </w:rPr>
        <w:t xml:space="preserve">　　详《经营收入、税金及附加估算表》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sectPr>
          <w:footerReference w:type="default" r:id="rId10"/>
          <w:footerReference w:type="even" r:id="rId11"/>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hint="eastAsia" w:ascii="黑体" w:hAnsi="黑体" w:eastAsia="黑体"/>
          <w:sz w:val="28"/>
          <w:szCs w:val="28"/>
        </w:rPr>
      </w:pP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55" behindDoc="0" locked="0" layoutInCell="1" allowOverlap="1">
                <wp:simplePos x="0" y="0"/>
                <wp:positionH relativeFrom="column">
                  <wp:posOffset>6708140</wp:posOffset>
                </wp:positionH>
                <wp:positionV relativeFrom="paragraph">
                  <wp:posOffset>5250180</wp:posOffset>
                </wp:positionV>
                <wp:extent cx="1750060" cy="748030"/>
                <wp:effectExtent l="0" t="0" r="0" b="0"/>
                <wp:wrapNone/>
                <wp:docPr id="1" name="_x0000_s1046"/>
                <wp:cNvGraphicFramePr/>
                <a:graphic xmlns:a="http://schemas.openxmlformats.org/drawingml/2006/main">
                  <a:graphicData uri="http://schemas.microsoft.com/office/word/2010/wordprocessingShape">
                    <wps:wsp>
                      <wps:cNvPr id="0" name=""/>
                      <wps:cNvSpPr txBox="1"/>
                      <wps:spPr bwMode="auto">
                        <a:xfrm>
                          <a:off x="0" y="0"/>
                          <a:ext cx="1750060" cy="748030"/>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0" o:spid="_x0000_s0" o:spt="202" type="#_x0000_t202" style="position:absolute;z-index:251658255;o:allowoverlap:true;o:allowincell:true;mso-position-horizontal-relative:text;margin-left:528.20pt;mso-position-horizontal:absolute;mso-position-vertical-relative:text;margin-top:413.40pt;mso-position-vertical:absolute;width:137.80pt;height:58.90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54" behindDoc="0" locked="0" layoutInCell="1" allowOverlap="1">
                <wp:simplePos x="0" y="0"/>
                <wp:positionH relativeFrom="column">
                  <wp:posOffset>-571499</wp:posOffset>
                </wp:positionH>
                <wp:positionV relativeFrom="paragraph">
                  <wp:posOffset>4953000</wp:posOffset>
                </wp:positionV>
                <wp:extent cx="685800" cy="891540"/>
                <wp:effectExtent l="0" t="0" r="0" b="0"/>
                <wp:wrapNone/>
                <wp:docPr id="2" name="_x0000_s1045"/>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w:t>
                            </w:r>
                            <w:r>
                              <w:rPr>
                                <w:sz w:val="28"/>
                                <w:szCs w:val="28"/>
                              </w:rPr>
                              <w:t xml:space="preserve">47</w:t>
                            </w:r>
                            <w:r>
                              <w:rPr>
                                <w:rFonts w:hint="eastAsia"/>
                                <w:sz w:val="28"/>
                                <w:szCs w:val="28"/>
                              </w:rPr>
                              <w:t xml:space="preserve">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1" o:spid="_x0000_s1" o:spt="202" type="#_x0000_t202" style="position:absolute;z-index:251658254;o:allowoverlap:true;o:allowincell:true;mso-position-horizontal-relative:text;margin-left:-45.00pt;mso-position-horizontal:absolute;mso-position-vertical-relative:text;margin-top:390.00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w:t>
                      </w:r>
                      <w:r>
                        <w:rPr>
                          <w:sz w:val="28"/>
                          <w:szCs w:val="28"/>
                        </w:rPr>
                        <w:t xml:space="preserve">47</w:t>
                      </w:r>
                      <w:r>
                        <w:rPr>
                          <w:rFonts w:hint="eastAsia"/>
                          <w:sz w:val="28"/>
                          <w:szCs w:val="28"/>
                        </w:rPr>
                        <w:t xml:space="preserve">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524288" behindDoc="0" locked="0" layoutInCell="1" allowOverlap="1">
                <wp:simplePos x="0" y="0"/>
                <wp:positionH relativeFrom="column">
                  <wp:posOffset>0</wp:posOffset>
                </wp:positionH>
                <wp:positionV relativeFrom="paragraph">
                  <wp:posOffset>594360</wp:posOffset>
                </wp:positionV>
                <wp:extent cx="8496300" cy="3989705"/>
                <wp:effectExtent l="0" t="0" r="0" b="0"/>
                <wp:wrapNone/>
                <wp:docPr id="3" name="_x0000_s102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2"/>
                        <a:srcRect l="5890" t="13144" r="5938" b="59453"/>
                        <a:stretch/>
                      </pic:blipFill>
                      <pic:spPr bwMode="auto">
                        <a:xfrm rot="0">
                          <a:off x="0" y="0"/>
                          <a:ext cx="8496300" cy="3989705"/>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524288;o:allowoverlap:true;o:allowincell:true;mso-position-horizontal-relative:text;margin-left:0.00pt;mso-position-horizontal:absolute;mso-position-vertical-relative:text;margin-top:46.80pt;mso-position-vertical:absolute;width:669.00pt;height:314.15pt;mso-wrap-distance-left:9.00pt;mso-wrap-distance-top:0.00pt;mso-wrap-distance-right:9.00pt;mso-wrap-distance-bottom:0.00pt;rotation:0;z-index:1;" stroked="f">
                <v:imagedata r:id="rId12" o:title=""/>
                <o:lock v:ext="edit" rotation="t"/>
              </v:shape>
            </w:pict>
          </mc:Fallback>
        </mc:AlternateContent>
      </w:r>
      <w:r>
        <w:rPr>
          <w:rFonts w:ascii="黑体" w:hAnsi="黑体" w:eastAsia="黑体"/>
          <w:sz w:val="28"/>
          <w:szCs w:val="28"/>
        </w:rPr>
        <w:t xml:space="preserve">经营收入、税金及附加估算表</w:t>
      </w:r>
      <w:r>
        <w:rPr>
          <w:rFonts w:hint="eastAsia" w:ascii="黑体" w:hAnsi="黑体" w:eastAsia="黑体"/>
          <w:sz w:val="28"/>
          <w:szCs w:val="28"/>
        </w:rPr>
      </w:r>
      <w:r>
        <w:rPr>
          <w:rFonts w:hint="eastAsia" w:ascii="黑体" w:hAnsi="黑体" w:eastAsia="黑体"/>
          <w:sz w:val="28"/>
          <w:szCs w:val="28"/>
        </w:rPr>
      </w:r>
    </w:p>
    <w:p>
      <w:pPr>
        <w:pStyle w:val="684"/>
        <w:pBdr/>
        <w:spacing w:line="600" w:lineRule="exact"/>
        <w:ind/>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2.3</w:t>
      </w:r>
      <w:r>
        <w:rPr>
          <w:rFonts w:hint="eastAsia" w:eastAsia="仿宋_GB2312"/>
          <w:sz w:val="32"/>
          <w:szCs w:val="32"/>
        </w:rPr>
        <w:t xml:space="preserve">．</w:t>
      </w:r>
      <w:r>
        <w:rPr>
          <w:rFonts w:eastAsia="仿宋_GB2312"/>
          <w:sz w:val="32"/>
          <w:szCs w:val="32"/>
        </w:rPr>
        <w:t xml:space="preserve">运营成本费用估算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2.3.1</w:t>
      </w:r>
      <w:r>
        <w:rPr>
          <w:rFonts w:hint="eastAsia" w:eastAsia="仿宋_GB2312"/>
          <w:sz w:val="32"/>
          <w:szCs w:val="32"/>
        </w:rPr>
        <w:t xml:space="preserve">．</w:t>
      </w:r>
      <w:r>
        <w:rPr>
          <w:rFonts w:eastAsia="仿宋_GB2312"/>
          <w:sz w:val="32"/>
          <w:szCs w:val="32"/>
        </w:rPr>
        <w:t xml:space="preserve">固定资产折旧费用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本项目一期总投资15073.00万元，第一年折旧额按一期工程费的95%的50%计算，摊销费按工程其它费用的50%计算；第二年按第一期的全额工程费用的95%的100%和摊销费用按工程其它费用的100%计算；第三年及以后年度一期按工程费用的95%的100%和摊销费的100%计算；第21年折旧按50%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2.3.2</w:t>
      </w:r>
      <w:r>
        <w:rPr>
          <w:rFonts w:hint="eastAsia" w:eastAsia="仿宋_GB2312"/>
          <w:sz w:val="32"/>
          <w:szCs w:val="32"/>
        </w:rPr>
        <w:t xml:space="preserve">．</w:t>
      </w:r>
      <w:r>
        <w:rPr>
          <w:rFonts w:eastAsia="仿宋_GB2312"/>
          <w:sz w:val="32"/>
          <w:szCs w:val="32"/>
        </w:rPr>
        <w:t xml:space="preserve">运维费用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（1）维修费按固定资产原值的5%测算。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（2）职工薪酬按人员配置测算。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运维费用测算详见《运维成本测算表》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pP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57" behindDoc="0" locked="0" layoutInCell="1" allowOverlap="1">
                <wp:simplePos x="0" y="0"/>
                <wp:positionH relativeFrom="column">
                  <wp:posOffset>7186930</wp:posOffset>
                </wp:positionH>
                <wp:positionV relativeFrom="paragraph">
                  <wp:posOffset>5349240</wp:posOffset>
                </wp:positionV>
                <wp:extent cx="1385570" cy="762000"/>
                <wp:effectExtent l="0" t="0" r="0" b="0"/>
                <wp:wrapNone/>
                <wp:docPr id="4" name="_x0000_s1048"/>
                <wp:cNvGraphicFramePr/>
                <a:graphic xmlns:a="http://schemas.openxmlformats.org/drawingml/2006/main">
                  <a:graphicData uri="http://schemas.microsoft.com/office/word/2010/wordprocessingShape">
                    <wps:wsp>
                      <wps:cNvPr id="0" name=""/>
                      <wps:cNvSpPr txBox="1"/>
                      <wps:spPr bwMode="auto">
                        <a:xfrm>
                          <a:off x="0" y="0"/>
                          <a:ext cx="1385570" cy="762000"/>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3" o:spid="_x0000_s3" o:spt="202" type="#_x0000_t202" style="position:absolute;z-index:251658257;o:allowoverlap:true;o:allowincell:true;mso-position-horizontal-relative:text;margin-left:565.90pt;mso-position-horizontal:absolute;mso-position-vertical-relative:text;margin-top:421.20pt;mso-position-vertical:absolute;width:109.10pt;height:60.00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56" behindDoc="0" locked="0" layoutInCell="1" allowOverlap="1">
                <wp:simplePos x="0" y="0"/>
                <wp:positionH relativeFrom="column">
                  <wp:posOffset>-457199</wp:posOffset>
                </wp:positionH>
                <wp:positionV relativeFrom="paragraph">
                  <wp:posOffset>4853940</wp:posOffset>
                </wp:positionV>
                <wp:extent cx="685800" cy="891540"/>
                <wp:effectExtent l="0" t="0" r="0" b="0"/>
                <wp:wrapNone/>
                <wp:docPr id="5" name="_x0000_s1047"/>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w:t>
                            </w:r>
                            <w:r>
                              <w:rPr>
                                <w:sz w:val="28"/>
                                <w:szCs w:val="28"/>
                              </w:rPr>
                              <w:t xml:space="preserve">4</w:t>
                            </w:r>
                            <w:r>
                              <w:rPr>
                                <w:rFonts w:hint="eastAsia"/>
                                <w:sz w:val="28"/>
                                <w:szCs w:val="28"/>
                              </w:rPr>
                              <w:t xml:space="preserve">9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4" o:spid="_x0000_s4" o:spt="202" type="#_x0000_t202" style="position:absolute;z-index:251658256;o:allowoverlap:true;o:allowincell:true;mso-position-horizontal-relative:text;margin-left:-36.00pt;mso-position-horizontal:absolute;mso-position-vertical-relative:text;margin-top:382.20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w:t>
                      </w:r>
                      <w:r>
                        <w:rPr>
                          <w:sz w:val="28"/>
                          <w:szCs w:val="28"/>
                        </w:rPr>
                        <w:t xml:space="preserve">4</w:t>
                      </w:r>
                      <w:r>
                        <w:rPr>
                          <w:rFonts w:hint="eastAsia"/>
                          <w:sz w:val="28"/>
                          <w:szCs w:val="28"/>
                        </w:rPr>
                        <w:t xml:space="preserve">9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41" behindDoc="0" locked="0" layoutInCell="1" allowOverlap="1">
                <wp:simplePos x="0" y="0"/>
                <wp:positionH relativeFrom="column">
                  <wp:posOffset>0</wp:posOffset>
                </wp:positionH>
                <wp:positionV relativeFrom="paragraph">
                  <wp:posOffset>594360</wp:posOffset>
                </wp:positionV>
                <wp:extent cx="8500745" cy="4591050"/>
                <wp:effectExtent l="0" t="0" r="0" b="0"/>
                <wp:wrapNone/>
                <wp:docPr id="6" name="_x0000_s102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3"/>
                        <a:srcRect l="5771" t="14046" r="6846" b="44788"/>
                        <a:stretch/>
                      </pic:blipFill>
                      <pic:spPr bwMode="auto">
                        <a:xfrm rot="0">
                          <a:off x="0" y="0"/>
                          <a:ext cx="8500745" cy="4591050"/>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position:absolute;z-index:251658241;o:allowoverlap:true;o:allowincell:true;mso-position-horizontal-relative:text;margin-left:0.00pt;mso-position-horizontal:absolute;mso-position-vertical-relative:text;margin-top:46.80pt;mso-position-vertical:absolute;width:669.35pt;height:361.50pt;mso-wrap-distance-left:9.00pt;mso-wrap-distance-top:0.00pt;mso-wrap-distance-right:9.00pt;mso-wrap-distance-bottom:0.00pt;rotation:0;z-index:1;" stroked="f">
                <v:imagedata r:id="rId13" o:title=""/>
                <o:lock v:ext="edit" rotation="t"/>
              </v:shape>
            </w:pict>
          </mc:Fallback>
        </mc:AlternateContent>
      </w:r>
      <w:r>
        <w:rPr>
          <w:rFonts w:ascii="黑体" w:hAnsi="黑体" w:eastAsia="黑体"/>
          <w:sz w:val="28"/>
          <w:szCs w:val="28"/>
        </w:rPr>
        <w:t xml:space="preserve">运维成本测算表</w:t>
      </w:r>
      <w:r>
        <w:rPr>
          <w:rFonts w:ascii="黑体" w:hAnsi="黑体" w:eastAsia="黑体"/>
          <w:sz w:val="28"/>
          <w:szCs w:val="28"/>
        </w:rPr>
      </w:r>
      <w:r>
        <w:rPr>
          <w:rFonts w:ascii="黑体" w:hAnsi="黑体" w:eastAsia="黑体"/>
          <w:sz w:val="28"/>
          <w:szCs w:val="28"/>
        </w:rPr>
      </w:r>
    </w:p>
    <w:p>
      <w:pPr>
        <w:pStyle w:val="684"/>
        <w:pBdr/>
        <w:spacing w:line="600" w:lineRule="exact"/>
        <w:ind/>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2.3.3</w:t>
      </w:r>
      <w:r>
        <w:rPr>
          <w:rFonts w:hint="eastAsia" w:eastAsia="仿宋_GB2312"/>
          <w:sz w:val="32"/>
          <w:szCs w:val="32"/>
        </w:rPr>
        <w:t xml:space="preserve">．</w:t>
      </w:r>
      <w:r>
        <w:rPr>
          <w:rFonts w:eastAsia="仿宋_GB2312"/>
          <w:sz w:val="32"/>
          <w:szCs w:val="32"/>
        </w:rPr>
        <w:t xml:space="preserve">购电费用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购电费按均价0.4元/kw·h计算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2.4</w:t>
      </w:r>
      <w:r>
        <w:rPr>
          <w:rFonts w:hint="eastAsia" w:eastAsia="仿宋_GB2312"/>
          <w:sz w:val="32"/>
          <w:szCs w:val="32"/>
        </w:rPr>
        <w:t xml:space="preserve">．</w:t>
      </w:r>
      <w:r>
        <w:rPr>
          <w:rFonts w:eastAsia="仿宋_GB2312"/>
          <w:sz w:val="32"/>
          <w:szCs w:val="32"/>
        </w:rPr>
        <w:t xml:space="preserve">增值税费及企业所得税的估算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本项目增值税税率按15%计算，城市建设维护税教育费附加分别按增值税的7% 、5%计算，企业所得税按利润总额的15%计算。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2.5</w:t>
      </w:r>
      <w:r>
        <w:rPr>
          <w:rFonts w:hint="eastAsia" w:eastAsia="仿宋_GB2312"/>
          <w:sz w:val="32"/>
          <w:szCs w:val="32"/>
        </w:rPr>
        <w:t xml:space="preserve">．</w:t>
      </w:r>
      <w:r>
        <w:rPr>
          <w:rFonts w:eastAsia="仿宋_GB2312"/>
          <w:sz w:val="32"/>
          <w:szCs w:val="32"/>
        </w:rPr>
        <w:t xml:space="preserve">盈利能力分析</w:t>
      </w:r>
      <w:r>
        <w:rPr>
          <w:rFonts w:eastAsia="仿宋_GB2312"/>
          <w:sz w:val="32"/>
          <w:szCs w:val="32"/>
        </w:rPr>
      </w:r>
      <w:r>
        <w:rPr>
          <w:rFonts w:eastAsia="仿宋_GB2312"/>
          <w:sz w:val="32"/>
          <w:szCs w:val="32"/>
        </w:rPr>
      </w:r>
    </w:p>
    <w:p>
      <w:pPr>
        <w:pStyle w:val="684"/>
        <w:pBdr/>
        <w:spacing w:line="600" w:lineRule="exact"/>
        <w:ind/>
        <w:rPr>
          <w:rFonts w:hint="eastAsia" w:eastAsia="仿宋_GB2312"/>
          <w:sz w:val="32"/>
          <w:szCs w:val="32"/>
        </w:rPr>
      </w:pPr>
      <w:r>
        <w:rPr>
          <w:rFonts w:eastAsia="仿宋_GB2312"/>
          <w:sz w:val="32"/>
          <w:szCs w:val="32"/>
        </w:rPr>
        <w:t xml:space="preserve">　　1</w:t>
      </w:r>
      <w:r>
        <w:rPr>
          <w:rFonts w:hint="eastAsia" w:eastAsia="仿宋_GB2312"/>
          <w:sz w:val="32"/>
          <w:szCs w:val="32"/>
        </w:rPr>
        <w:t xml:space="preserve">．</w:t>
      </w:r>
      <w:r>
        <w:rPr>
          <w:rFonts w:eastAsia="仿宋_GB2312"/>
          <w:sz w:val="32"/>
          <w:szCs w:val="32"/>
        </w:rPr>
        <w:t xml:space="preserve">利润测算：本项目财务盈利的能力可以由以下各项分析的经济指标来体现：项目财务内部收益率（所得税前），项目财务净现值（所得税前）</w:t>
      </w:r>
      <w:r>
        <w:rPr>
          <w:rFonts w:hint="eastAsia" w:eastAsia="仿宋_GB2312"/>
          <w:sz w:val="32"/>
          <w:szCs w:val="32"/>
        </w:rPr>
        <w:t xml:space="preserve">；</w:t>
      </w:r>
      <w:r>
        <w:rPr>
          <w:rFonts w:eastAsia="仿宋_GB2312"/>
          <w:sz w:val="32"/>
          <w:szCs w:val="32"/>
        </w:rPr>
        <w:t xml:space="preserve">项目投资回收期（所得税前）</w:t>
      </w:r>
      <w:r>
        <w:rPr>
          <w:rFonts w:hint="eastAsia" w:eastAsia="仿宋_GB2312"/>
          <w:sz w:val="32"/>
          <w:szCs w:val="32"/>
        </w:rPr>
        <w:t xml:space="preserve">；</w:t>
      </w:r>
      <w:r>
        <w:rPr>
          <w:rFonts w:hint="eastAsia" w:eastAsia="仿宋_GB2312"/>
          <w:sz w:val="32"/>
          <w:szCs w:val="32"/>
        </w:rPr>
      </w:r>
      <w:r>
        <w:rPr>
          <w:rFonts w:hint="eastAsia"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w:t>
      </w:r>
      <w:r>
        <w:rPr>
          <w:rFonts w:hint="eastAsia" w:eastAsia="仿宋_GB2312"/>
          <w:sz w:val="32"/>
          <w:szCs w:val="32"/>
        </w:rPr>
        <w:t xml:space="preserve">．</w:t>
      </w:r>
      <w:r>
        <w:rPr>
          <w:rFonts w:eastAsia="仿宋_GB2312"/>
          <w:sz w:val="32"/>
          <w:szCs w:val="32"/>
        </w:rPr>
        <w:t xml:space="preserve">财务净现值：本项目累计财务净现值4420.34万元。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各项指标详见《项目财务现金流量表》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sectPr>
          <w:footnotePr/>
          <w:endnotePr/>
          <w:type w:val="nextPage"/>
          <w:pgSz w:h="11906" w:orient="portrait" w:w="16838"/>
          <w:pgMar w:top="1588" w:right="1701" w:bottom="1474" w:left="1701" w:header="851" w:footer="1134" w:gutter="0"/>
          <w:cols w:num="1" w:sep="0" w:space="1701" w:equalWidth="1"/>
        </w:sectPr>
      </w:pP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59" behindDoc="0" locked="0" layoutInCell="1" allowOverlap="1">
                <wp:simplePos x="0" y="0"/>
                <wp:positionH relativeFrom="column">
                  <wp:posOffset>7427595</wp:posOffset>
                </wp:positionH>
                <wp:positionV relativeFrom="paragraph">
                  <wp:posOffset>5448300</wp:posOffset>
                </wp:positionV>
                <wp:extent cx="1120140" cy="578485"/>
                <wp:effectExtent l="0" t="0" r="0" b="0"/>
                <wp:wrapNone/>
                <wp:docPr id="7" name="_x0000_s1050"/>
                <wp:cNvGraphicFramePr/>
                <a:graphic xmlns:a="http://schemas.openxmlformats.org/drawingml/2006/main">
                  <a:graphicData uri="http://schemas.microsoft.com/office/word/2010/wordprocessingShape">
                    <wps:wsp>
                      <wps:cNvPr id="0" name=""/>
                      <wps:cNvSpPr txBox="1"/>
                      <wps:spPr bwMode="auto">
                        <a:xfrm>
                          <a:off x="0" y="0"/>
                          <a:ext cx="1120140" cy="57848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6" o:spid="_x0000_s6" o:spt="202" type="#_x0000_t202" style="position:absolute;z-index:251658259;o:allowoverlap:true;o:allowincell:true;mso-position-horizontal-relative:text;margin-left:584.85pt;mso-position-horizontal:absolute;mso-position-vertical-relative:text;margin-top:429.00pt;mso-position-vertical:absolute;width:88.20pt;height:45.5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58" behindDoc="0" locked="0" layoutInCell="1" allowOverlap="1">
                <wp:simplePos x="0" y="0"/>
                <wp:positionH relativeFrom="column">
                  <wp:posOffset>-457199</wp:posOffset>
                </wp:positionH>
                <wp:positionV relativeFrom="paragraph">
                  <wp:posOffset>4853940</wp:posOffset>
                </wp:positionV>
                <wp:extent cx="685800" cy="891540"/>
                <wp:effectExtent l="0" t="0" r="0" b="0"/>
                <wp:wrapNone/>
                <wp:docPr id="8" name="_x0000_s1049"/>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51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7" o:spid="_x0000_s7" o:spt="202" type="#_x0000_t202" style="position:absolute;z-index:251658258;o:allowoverlap:true;o:allowincell:true;mso-position-horizontal-relative:text;margin-left:-36.00pt;mso-position-horizontal:absolute;mso-position-vertical-relative:text;margin-top:382.20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51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42" behindDoc="0" locked="0" layoutInCell="1" allowOverlap="1">
                <wp:simplePos x="0" y="0"/>
                <wp:positionH relativeFrom="column">
                  <wp:posOffset>0</wp:posOffset>
                </wp:positionH>
                <wp:positionV relativeFrom="paragraph">
                  <wp:posOffset>495300</wp:posOffset>
                </wp:positionV>
                <wp:extent cx="8515985" cy="3733165"/>
                <wp:effectExtent l="0" t="0" r="0" b="0"/>
                <wp:wrapNone/>
                <wp:docPr id="9" name="_x0000_s103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4"/>
                        <a:srcRect l="5473" t="14285" r="6238" b="53151"/>
                        <a:stretch/>
                      </pic:blipFill>
                      <pic:spPr bwMode="auto">
                        <a:xfrm rot="0">
                          <a:off x="0" y="0"/>
                          <a:ext cx="8515985" cy="3733165"/>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position:absolute;z-index:251658242;o:allowoverlap:true;o:allowincell:true;mso-position-horizontal-relative:text;margin-left:0.00pt;mso-position-horizontal:absolute;mso-position-vertical-relative:text;margin-top:39.00pt;mso-position-vertical:absolute;width:670.55pt;height:293.95pt;mso-wrap-distance-left:9.00pt;mso-wrap-distance-top:0.00pt;mso-wrap-distance-right:9.00pt;mso-wrap-distance-bottom:0.00pt;rotation:0;z-index:1;" stroked="f">
                <v:imagedata r:id="rId14" o:title=""/>
                <o:lock v:ext="edit" rotation="t"/>
              </v:shape>
            </w:pict>
          </mc:Fallback>
        </mc:AlternateContent>
      </w:r>
      <w:r>
        <w:rPr>
          <w:rFonts w:ascii="黑体" w:hAnsi="黑体" w:eastAsia="黑体"/>
          <w:sz w:val="28"/>
          <w:szCs w:val="28"/>
        </w:rPr>
        <w:t xml:space="preserve">项目财务现金流量表</w:t>
      </w:r>
      <w:r>
        <w:rPr>
          <w:rFonts w:ascii="黑体" w:hAnsi="黑体" w:eastAsia="黑体"/>
          <w:sz w:val="28"/>
          <w:szCs w:val="28"/>
        </w:rPr>
        <w:br w:type="page" w:clear="all"/>
      </w:r>
      <w:r>
        <w:rPr>
          <w:rFonts w:ascii="黑体" w:hAnsi="黑体" w:eastAsia="黑体"/>
          <w:sz w:val="28"/>
          <w:szCs w:val="28"/>
        </w:rPr>
      </w:r>
    </w:p>
    <w:p>
      <w:pPr>
        <w:pStyle w:val="684"/>
        <w:pBdr/>
        <w:spacing w:line="600" w:lineRule="exact"/>
        <w:ind w:firstLine="640"/>
        <w:rPr>
          <w:rFonts w:eastAsia="仿宋_GB2312"/>
          <w:sz w:val="32"/>
          <w:szCs w:val="32"/>
        </w:rPr>
      </w:pPr>
      <w:r>
        <w:rPr>
          <w:rFonts w:eastAsia="仿宋_GB2312"/>
          <w:sz w:val="32"/>
          <w:szCs w:val="32"/>
        </w:rPr>
        <w:t xml:space="preserve">2.5</w:t>
      </w:r>
      <w:r>
        <w:rPr>
          <w:rFonts w:hint="eastAsia" w:eastAsia="仿宋_GB2312"/>
          <w:sz w:val="32"/>
          <w:szCs w:val="32"/>
        </w:rPr>
        <w:t xml:space="preserve">．</w:t>
      </w:r>
      <w:r>
        <w:rPr>
          <w:rFonts w:eastAsia="仿宋_GB2312"/>
          <w:sz w:val="32"/>
          <w:szCs w:val="32"/>
        </w:rPr>
        <w:t xml:space="preserve">融资方案</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一期总投资16892.70万元，建设期利息527.56万元，流动资金842.71万元。</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2.6</w:t>
      </w:r>
      <w:r>
        <w:rPr>
          <w:rFonts w:hint="eastAsia" w:eastAsia="仿宋_GB2312"/>
          <w:sz w:val="32"/>
          <w:szCs w:val="32"/>
        </w:rPr>
        <w:t xml:space="preserve">．</w:t>
      </w:r>
      <w:r>
        <w:rPr>
          <w:rFonts w:eastAsia="仿宋_GB2312"/>
          <w:sz w:val="32"/>
          <w:szCs w:val="32"/>
        </w:rPr>
        <w:t xml:space="preserve">债务清偿能力分析</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经测算，该项目在前20年的利息需用资本金支付，从第21个计算期开始，由于收入的增加，当年经营性现金净流量已能支付利息。到期能全额支付本金。还本付息情况预测详见《借款还本付息计算表》如下：</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hint="eastAsia" w:ascii="黑体" w:hAnsi="黑体" w:eastAsia="黑体"/>
          <w:sz w:val="28"/>
          <w:szCs w:val="28"/>
        </w:rPr>
      </w:pPr>
      <w:r>
        <w:rPr>
          <w:rFonts w:hint="eastAsia" w:ascii="黑体" w:hAnsi="黑体" w:eastAsia="黑体" w:cs="宋体"/>
          <w:spacing w:val="-3"/>
          <w:sz w:val="28"/>
          <w:szCs w:val="28"/>
        </w:rPr>
        <w:t xml:space="preserve">借款还本付息计算表</w:t>
      </w:r>
      <w:r>
        <w:rPr>
          <w:rFonts w:hint="eastAsia" w:ascii="黑体" w:hAnsi="黑体" w:eastAsia="黑体"/>
          <w:sz w:val="28"/>
          <w:szCs w:val="28"/>
        </w:rPr>
      </w:r>
      <w:r>
        <w:rPr>
          <w:rFonts w:hint="eastAsia" w:ascii="黑体" w:hAnsi="黑体" w:eastAsia="黑体"/>
          <w:sz w:val="28"/>
          <w:szCs w:val="28"/>
        </w:rPr>
      </w:r>
    </w:p>
    <w:p>
      <w:pPr>
        <w:pStyle w:val="684"/>
        <w:pBdr/>
        <w:spacing w:line="600" w:lineRule="exact"/>
        <w:ind w:firstLine="548"/>
        <w:rPr>
          <w:rFonts w:hint="eastAsia" w:eastAsia="仿宋_GB2312"/>
          <w:sz w:val="32"/>
          <w:szCs w:val="32"/>
        </w:rPr>
      </w:pPr>
      <w:r>
        <w:rPr>
          <w:rFonts w:hint="eastAsia" w:ascii="黑体" w:hAnsi="黑体" w:eastAsia="黑体" w:cs="宋体"/>
          <w:spacing w:val="-3"/>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61" behindDoc="0" locked="0" layoutInCell="1" allowOverlap="1">
                <wp:simplePos x="0" y="0"/>
                <wp:positionH relativeFrom="column">
                  <wp:posOffset>7533005</wp:posOffset>
                </wp:positionH>
                <wp:positionV relativeFrom="paragraph">
                  <wp:posOffset>5067300</wp:posOffset>
                </wp:positionV>
                <wp:extent cx="1268095" cy="567055"/>
                <wp:effectExtent l="0" t="0" r="0" b="0"/>
                <wp:wrapNone/>
                <wp:docPr id="10" name="_x0000_s1052"/>
                <wp:cNvGraphicFramePr/>
                <a:graphic xmlns:a="http://schemas.openxmlformats.org/drawingml/2006/main">
                  <a:graphicData uri="http://schemas.microsoft.com/office/word/2010/wordprocessingShape">
                    <wps:wsp>
                      <wps:cNvPr id="0" name=""/>
                      <wps:cNvSpPr txBox="1"/>
                      <wps:spPr bwMode="auto">
                        <a:xfrm>
                          <a:off x="0" y="0"/>
                          <a:ext cx="1268095" cy="56705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9" o:spid="_x0000_s9" o:spt="202" type="#_x0000_t202" style="position:absolute;z-index:251658261;o:allowoverlap:true;o:allowincell:true;mso-position-horizontal-relative:text;margin-left:593.15pt;mso-position-horizontal:absolute;mso-position-vertical-relative:text;margin-top:399.00pt;mso-position-vertical:absolute;width:99.85pt;height:44.6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w:rPr>
          <w:rFonts w:hint="eastAsia" w:ascii="黑体" w:hAnsi="黑体" w:eastAsia="黑体" w:cs="宋体"/>
          <w:spacing w:val="-3"/>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60" behindDoc="0" locked="0" layoutInCell="1" allowOverlap="1">
                <wp:simplePos x="0" y="0"/>
                <wp:positionH relativeFrom="column">
                  <wp:posOffset>-419099</wp:posOffset>
                </wp:positionH>
                <wp:positionV relativeFrom="paragraph">
                  <wp:posOffset>4445635</wp:posOffset>
                </wp:positionV>
                <wp:extent cx="685800" cy="891540"/>
                <wp:effectExtent l="0" t="0" r="0" b="0"/>
                <wp:wrapNone/>
                <wp:docPr id="11" name="_x0000_s1051"/>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53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10" o:spid="_x0000_s10" o:spt="202" type="#_x0000_t202" style="position:absolute;z-index:251658260;o:allowoverlap:true;o:allowincell:true;mso-position-horizontal-relative:text;margin-left:-33.00pt;mso-position-horizontal:absolute;mso-position-vertical-relative:text;margin-top:350.05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53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43" behindDoc="0" locked="0" layoutInCell="1" allowOverlap="1">
                <wp:simplePos x="0" y="0"/>
                <wp:positionH relativeFrom="column">
                  <wp:posOffset>0</wp:posOffset>
                </wp:positionH>
                <wp:positionV relativeFrom="paragraph">
                  <wp:posOffset>213360</wp:posOffset>
                </wp:positionV>
                <wp:extent cx="8592185" cy="4288155"/>
                <wp:effectExtent l="0" t="0" r="0" b="0"/>
                <wp:wrapNone/>
                <wp:docPr id="12" name="_x0000_s103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5"/>
                        <a:srcRect l="5472" t="13826" r="6870" b="60922"/>
                        <a:stretch/>
                      </pic:blipFill>
                      <pic:spPr bwMode="auto">
                        <a:xfrm rot="0">
                          <a:off x="0" y="0"/>
                          <a:ext cx="8592185" cy="4288155"/>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position:absolute;z-index:251658243;o:allowoverlap:true;o:allowincell:true;mso-position-horizontal-relative:text;margin-left:0.00pt;mso-position-horizontal:absolute;mso-position-vertical-relative:text;margin-top:16.80pt;mso-position-vertical:absolute;width:676.55pt;height:337.65pt;mso-wrap-distance-left:9.00pt;mso-wrap-distance-top:0.00pt;mso-wrap-distance-right:9.00pt;mso-wrap-distance-bottom:0.00pt;rotation:0;z-index:1;" stroked="f">
                <v:imagedata r:id="rId15" o:title=""/>
                <o:lock v:ext="edit" rotation="t"/>
              </v:shape>
            </w:pict>
          </mc:Fallback>
        </mc:AlternateContent>
      </w:r>
      <w:r>
        <w:rPr>
          <w:rFonts w:hint="eastAsia" w:eastAsia="仿宋_GB2312"/>
          <w:sz w:val="32"/>
          <w:szCs w:val="32"/>
        </w:rPr>
      </w:r>
      <w:r>
        <w:rPr>
          <w:rFonts w:hint="eastAsia" w:eastAsia="仿宋_GB2312"/>
          <w:sz w:val="32"/>
          <w:szCs w:val="32"/>
        </w:rPr>
      </w:r>
    </w:p>
    <w:p>
      <w:pPr>
        <w:pStyle w:val="684"/>
        <w:pBdr/>
        <w:spacing w:line="600" w:lineRule="exact"/>
        <w:ind w:firstLine="640"/>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2.7</w:t>
      </w:r>
      <w:r>
        <w:rPr>
          <w:rFonts w:hint="eastAsia" w:eastAsia="仿宋_GB2312"/>
          <w:sz w:val="32"/>
          <w:szCs w:val="32"/>
        </w:rPr>
        <w:t xml:space="preserve">．</w:t>
      </w:r>
      <w:r>
        <w:rPr>
          <w:rFonts w:eastAsia="仿宋_GB2312"/>
          <w:sz w:val="32"/>
          <w:szCs w:val="32"/>
        </w:rPr>
        <w:t xml:space="preserve">财务可持续能力分析</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根据项目《财务计划现金流量表》，项目最终实现累计净现金流量19568.84万元，说明项目具有较强的资金平衡能力和财务生存能力，有足够的净现金流量维持正常运营，能实现财务可持续性。</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3</w:t>
      </w:r>
      <w:r>
        <w:rPr>
          <w:rFonts w:hint="eastAsia" w:eastAsia="仿宋_GB2312"/>
          <w:sz w:val="32"/>
          <w:szCs w:val="32"/>
        </w:rPr>
        <w:t xml:space="preserve">．</w:t>
      </w:r>
      <w:r>
        <w:rPr>
          <w:rFonts w:eastAsia="仿宋_GB2312"/>
          <w:sz w:val="32"/>
          <w:szCs w:val="32"/>
        </w:rPr>
        <w:t xml:space="preserve">二期收益测算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3.1</w:t>
      </w:r>
      <w:r>
        <w:rPr>
          <w:rFonts w:hint="eastAsia" w:eastAsia="仿宋_GB2312"/>
          <w:sz w:val="32"/>
          <w:szCs w:val="32"/>
        </w:rPr>
        <w:t xml:space="preserve">．</w:t>
      </w:r>
      <w:r>
        <w:rPr>
          <w:rFonts w:eastAsia="仿宋_GB2312"/>
          <w:sz w:val="32"/>
          <w:szCs w:val="32"/>
        </w:rPr>
        <w:t xml:space="preserve">收费管理系统</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本项目充电桩共配置7kw，480KW，600KW两种功率，按现行市场收费均价为每度电1.2元（其中电费0.40元和服务费0.80元）。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换电站按换电度数收费：每度电收费1.4元（其中电费0.4元和服务费1.00元）。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3.2</w:t>
      </w:r>
      <w:r>
        <w:rPr>
          <w:rFonts w:hint="eastAsia" w:eastAsia="仿宋_GB2312"/>
          <w:sz w:val="32"/>
          <w:szCs w:val="32"/>
        </w:rPr>
        <w:t xml:space="preserve">．</w:t>
      </w:r>
      <w:r>
        <w:rPr>
          <w:rFonts w:eastAsia="仿宋_GB2312"/>
          <w:sz w:val="32"/>
          <w:szCs w:val="32"/>
        </w:rPr>
        <w:t xml:space="preserve">收益测算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详《经营收入、税金及附加估算表》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hint="eastAsia" w:ascii="黑体" w:hAnsi="黑体" w:eastAsia="黑体"/>
          <w:sz w:val="28"/>
          <w:szCs w:val="28"/>
        </w:rPr>
      </w:pPr>
      <w:r>
        <w:rPr>
          <w:rFonts w:ascii="黑体" w:hAnsi="黑体" w:eastAsia="黑体"/>
          <w:sz w:val="28"/>
          <w:szCs w:val="28"/>
        </w:rPr>
        <w:t xml:space="preserve">经营收入、税金及附加估算表</w:t>
      </w:r>
      <w:r>
        <w:rPr>
          <w:rFonts w:hint="eastAsia" w:ascii="黑体" w:hAnsi="黑体" w:eastAsia="黑体"/>
          <w:sz w:val="28"/>
          <w:szCs w:val="28"/>
        </w:rPr>
      </w:r>
      <w:r>
        <w:rPr>
          <w:rFonts w:hint="eastAsia" w:ascii="黑体" w:hAnsi="黑体" w:eastAsia="黑体"/>
          <w:sz w:val="28"/>
          <w:szCs w:val="28"/>
        </w:rPr>
      </w:r>
    </w:p>
    <w:p>
      <w:pPr>
        <w:pStyle w:val="684"/>
        <w:pBdr/>
        <w:spacing w:line="600" w:lineRule="exact"/>
        <w:ind/>
        <w:jc w:val="center"/>
        <w:rPr>
          <w:rFonts w:hint="eastAsia" w:ascii="黑体" w:hAnsi="黑体" w:eastAsia="黑体"/>
          <w:sz w:val="28"/>
          <w:szCs w:val="28"/>
        </w:rPr>
      </w:pP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63" behindDoc="0" locked="0" layoutInCell="1" allowOverlap="1">
                <wp:simplePos x="0" y="0"/>
                <wp:positionH relativeFrom="column">
                  <wp:posOffset>7357745</wp:posOffset>
                </wp:positionH>
                <wp:positionV relativeFrom="paragraph">
                  <wp:posOffset>5139055</wp:posOffset>
                </wp:positionV>
                <wp:extent cx="1532255" cy="603885"/>
                <wp:effectExtent l="0" t="0" r="0" b="0"/>
                <wp:wrapNone/>
                <wp:docPr id="13" name="_x0000_s1054"/>
                <wp:cNvGraphicFramePr/>
                <a:graphic xmlns:a="http://schemas.openxmlformats.org/drawingml/2006/main">
                  <a:graphicData uri="http://schemas.microsoft.com/office/word/2010/wordprocessingShape">
                    <wps:wsp>
                      <wps:cNvPr id="0" name=""/>
                      <wps:cNvSpPr txBox="1"/>
                      <wps:spPr bwMode="auto">
                        <a:xfrm>
                          <a:off x="0" y="0"/>
                          <a:ext cx="1532255" cy="60388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12" o:spid="_x0000_s12" o:spt="202" type="#_x0000_t202" style="position:absolute;z-index:251658263;o:allowoverlap:true;o:allowincell:true;mso-position-horizontal-relative:text;margin-left:579.35pt;mso-position-horizontal:absolute;mso-position-vertical-relative:text;margin-top:404.65pt;mso-position-vertical:absolute;width:120.65pt;height:47.5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62" behindDoc="0" locked="0" layoutInCell="1" allowOverlap="1">
                <wp:simplePos x="0" y="0"/>
                <wp:positionH relativeFrom="column">
                  <wp:posOffset>-528954</wp:posOffset>
                </wp:positionH>
                <wp:positionV relativeFrom="paragraph">
                  <wp:posOffset>4445635</wp:posOffset>
                </wp:positionV>
                <wp:extent cx="685800" cy="891540"/>
                <wp:effectExtent l="0" t="0" r="0" b="0"/>
                <wp:wrapNone/>
                <wp:docPr id="14" name="_x0000_s1053"/>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55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13" o:spid="_x0000_s13" o:spt="202" type="#_x0000_t202" style="position:absolute;z-index:251658262;o:allowoverlap:true;o:allowincell:true;mso-position-horizontal-relative:text;margin-left:-41.65pt;mso-position-horizontal:absolute;mso-position-vertical-relative:text;margin-top:350.05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55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44" behindDoc="0" locked="0" layoutInCell="1" allowOverlap="1">
                <wp:simplePos x="0" y="0"/>
                <wp:positionH relativeFrom="column">
                  <wp:posOffset>0</wp:posOffset>
                </wp:positionH>
                <wp:positionV relativeFrom="paragraph">
                  <wp:posOffset>334645</wp:posOffset>
                </wp:positionV>
                <wp:extent cx="8618220" cy="4254500"/>
                <wp:effectExtent l="0" t="0" r="0" b="0"/>
                <wp:wrapNone/>
                <wp:docPr id="15" name="_x0000_s103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6"/>
                        <a:srcRect l="5856" t="13068" r="7230" b="43942"/>
                        <a:stretch/>
                      </pic:blipFill>
                      <pic:spPr bwMode="auto">
                        <a:xfrm rot="0">
                          <a:off x="0" y="0"/>
                          <a:ext cx="8618220" cy="4254500"/>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position:absolute;z-index:251658244;o:allowoverlap:true;o:allowincell:true;mso-position-horizontal-relative:text;margin-left:0.00pt;mso-position-horizontal:absolute;mso-position-vertical-relative:text;margin-top:26.35pt;mso-position-vertical:absolute;width:678.60pt;height:335.00pt;mso-wrap-distance-left:9.00pt;mso-wrap-distance-top:0.00pt;mso-wrap-distance-right:9.00pt;mso-wrap-distance-bottom:0.00pt;rotation:0;z-index:1;" stroked="f">
                <v:imagedata r:id="rId16" o:title=""/>
                <o:lock v:ext="edit" rotation="t"/>
              </v:shape>
            </w:pict>
          </mc:Fallback>
        </mc:AlternateContent>
      </w:r>
      <w:r>
        <w:rPr>
          <w:rFonts w:hint="eastAsia" w:ascii="黑体" w:hAnsi="黑体" w:eastAsia="黑体"/>
          <w:sz w:val="28"/>
          <w:szCs w:val="28"/>
        </w:rPr>
      </w:r>
      <w:r>
        <w:rPr>
          <w:rFonts w:hint="eastAsia" w:ascii="黑体" w:hAnsi="黑体" w:eastAsia="黑体"/>
          <w:sz w:val="28"/>
          <w:szCs w:val="28"/>
        </w:rPr>
      </w:r>
    </w:p>
    <w:p>
      <w:pPr>
        <w:pStyle w:val="684"/>
        <w:pBdr/>
        <w:spacing w:line="600" w:lineRule="exact"/>
        <w:ind w:firstLine="640"/>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3.3</w:t>
      </w:r>
      <w:r>
        <w:rPr>
          <w:rFonts w:hint="eastAsia" w:eastAsia="仿宋_GB2312"/>
          <w:sz w:val="32"/>
          <w:szCs w:val="32"/>
        </w:rPr>
        <w:t xml:space="preserve">．</w:t>
      </w:r>
      <w:r>
        <w:rPr>
          <w:rFonts w:eastAsia="仿宋_GB2312"/>
          <w:sz w:val="32"/>
          <w:szCs w:val="32"/>
        </w:rPr>
        <w:t xml:space="preserve">运营成本费用估算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3.3.1</w:t>
      </w:r>
      <w:r>
        <w:rPr>
          <w:rFonts w:hint="eastAsia" w:eastAsia="仿宋_GB2312"/>
          <w:sz w:val="32"/>
          <w:szCs w:val="32"/>
        </w:rPr>
        <w:t xml:space="preserve">．</w:t>
      </w:r>
      <w:r>
        <w:rPr>
          <w:rFonts w:eastAsia="仿宋_GB2312"/>
          <w:sz w:val="32"/>
          <w:szCs w:val="32"/>
        </w:rPr>
        <w:t xml:space="preserve">固定资产折旧费用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本项目二期总投资139927.00万元，第一年营业收入按第一期的50%；第二年按一期100%，二期50%计算；第三年，一期按100%、二期按80%计算；第四年及以后年度全按100%计算。；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3.3.2</w:t>
      </w:r>
      <w:r>
        <w:rPr>
          <w:rFonts w:hint="eastAsia" w:eastAsia="仿宋_GB2312"/>
          <w:sz w:val="32"/>
          <w:szCs w:val="32"/>
        </w:rPr>
        <w:t xml:space="preserve">．</w:t>
      </w:r>
      <w:r>
        <w:rPr>
          <w:rFonts w:eastAsia="仿宋_GB2312"/>
          <w:sz w:val="32"/>
          <w:szCs w:val="32"/>
        </w:rPr>
        <w:t xml:space="preserve">运维费用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（1）维修费按固定资产原值的5%测算。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（2）职工薪酬按人员配置测算。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运维费用测算详见《运维成本测算表》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pPr>
      <w:r>
        <w:rPr>
          <w:rFonts w:ascii="黑体" w:hAnsi="黑体" w:eastAsia="黑体"/>
          <w:sz w:val="28"/>
          <w:szCs w:val="28"/>
        </w:rPr>
        <w:t xml:space="preserve">运维成本测算表</w:t>
      </w:r>
      <w:r>
        <w:rPr>
          <w:rFonts w:ascii="黑体" w:hAnsi="黑体" w:eastAsia="黑体"/>
          <w:sz w:val="28"/>
          <w:szCs w:val="28"/>
        </w:rPr>
      </w:r>
      <w:r>
        <w:rPr>
          <w:rFonts w:ascii="黑体" w:hAnsi="黑体" w:eastAsia="黑体"/>
          <w:sz w:val="28"/>
          <w:szCs w:val="28"/>
        </w:rPr>
      </w:r>
    </w:p>
    <w:p>
      <w:pPr>
        <w:pStyle w:val="684"/>
        <w:pBdr/>
        <w:spacing w:line="600" w:lineRule="exact"/>
        <w:ind w:firstLine="560"/>
        <w:rPr>
          <w:rFonts w:eastAsia="仿宋_GB2312"/>
          <w:sz w:val="32"/>
          <w:szCs w:val="32"/>
        </w:rPr>
      </w:pP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65" behindDoc="0" locked="0" layoutInCell="1" allowOverlap="1">
                <wp:simplePos x="0" y="0"/>
                <wp:positionH relativeFrom="column">
                  <wp:posOffset>7243445</wp:posOffset>
                </wp:positionH>
                <wp:positionV relativeFrom="paragraph">
                  <wp:posOffset>5039995</wp:posOffset>
                </wp:positionV>
                <wp:extent cx="1414145" cy="621665"/>
                <wp:effectExtent l="0" t="0" r="0" b="0"/>
                <wp:wrapNone/>
                <wp:docPr id="16" name="_x0000_s1056"/>
                <wp:cNvGraphicFramePr/>
                <a:graphic xmlns:a="http://schemas.openxmlformats.org/drawingml/2006/main">
                  <a:graphicData uri="http://schemas.microsoft.com/office/word/2010/wordprocessingShape">
                    <wps:wsp>
                      <wps:cNvPr id="0" name=""/>
                      <wps:cNvSpPr txBox="1"/>
                      <wps:spPr bwMode="auto">
                        <a:xfrm>
                          <a:off x="0" y="0"/>
                          <a:ext cx="1414145" cy="62166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15" o:spid="_x0000_s15" o:spt="202" type="#_x0000_t202" style="position:absolute;z-index:251658265;o:allowoverlap:true;o:allowincell:true;mso-position-horizontal-relative:text;margin-left:570.35pt;mso-position-horizontal:absolute;mso-position-vertical-relative:text;margin-top:396.85pt;mso-position-vertical:absolute;width:111.35pt;height:48.9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w:rPr>
          <w:rFonts w:ascii="黑体" w:hAnsi="黑体" w:eastAsia="黑体"/>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64" behindDoc="0" locked="0" layoutInCell="1" allowOverlap="1">
                <wp:simplePos x="0" y="0"/>
                <wp:positionH relativeFrom="column">
                  <wp:posOffset>-419099</wp:posOffset>
                </wp:positionH>
                <wp:positionV relativeFrom="paragraph">
                  <wp:posOffset>4445635</wp:posOffset>
                </wp:positionV>
                <wp:extent cx="685800" cy="891540"/>
                <wp:effectExtent l="0" t="0" r="0" b="0"/>
                <wp:wrapNone/>
                <wp:docPr id="17" name="_x0000_s1055"/>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5</w:t>
                            </w:r>
                            <w:r>
                              <w:rPr>
                                <w:sz w:val="28"/>
                                <w:szCs w:val="28"/>
                              </w:rPr>
                              <w:t xml:space="preserve">7</w:t>
                            </w:r>
                            <w:r>
                              <w:rPr>
                                <w:rFonts w:hint="eastAsia"/>
                                <w:sz w:val="28"/>
                                <w:szCs w:val="28"/>
                              </w:rPr>
                              <w:t xml:space="preserve">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16" o:spid="_x0000_s16" o:spt="202" type="#_x0000_t202" style="position:absolute;z-index:251658264;o:allowoverlap:true;o:allowincell:true;mso-position-horizontal-relative:text;margin-left:-33.00pt;mso-position-horizontal:absolute;mso-position-vertical-relative:text;margin-top:350.05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5</w:t>
                      </w:r>
                      <w:r>
                        <w:rPr>
                          <w:sz w:val="28"/>
                          <w:szCs w:val="28"/>
                        </w:rPr>
                        <w:t xml:space="preserve">7</w:t>
                      </w:r>
                      <w:r>
                        <w:rPr>
                          <w:rFonts w:hint="eastAsia"/>
                          <w:sz w:val="28"/>
                          <w:szCs w:val="28"/>
                        </w:rPr>
                        <w:t xml:space="preserve">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45" behindDoc="0" locked="0" layoutInCell="1" allowOverlap="1">
                <wp:simplePos x="0" y="0"/>
                <wp:positionH relativeFrom="column">
                  <wp:posOffset>0</wp:posOffset>
                </wp:positionH>
                <wp:positionV relativeFrom="paragraph">
                  <wp:posOffset>213360</wp:posOffset>
                </wp:positionV>
                <wp:extent cx="8572500" cy="3513455"/>
                <wp:effectExtent l="0" t="0" r="0" b="0"/>
                <wp:wrapNone/>
                <wp:docPr id="18" name="_x0000_s103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7"/>
                        <a:srcRect l="5341" t="13837" r="6093" b="48775"/>
                        <a:stretch/>
                      </pic:blipFill>
                      <pic:spPr bwMode="auto">
                        <a:xfrm rot="0">
                          <a:off x="0" y="0"/>
                          <a:ext cx="8572500" cy="3513454"/>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position:absolute;z-index:251658245;o:allowoverlap:true;o:allowincell:true;mso-position-horizontal-relative:text;margin-left:0.00pt;mso-position-horizontal:absolute;mso-position-vertical-relative:text;margin-top:16.80pt;mso-position-vertical:absolute;width:675.00pt;height:276.65pt;mso-wrap-distance-left:9.00pt;mso-wrap-distance-top:0.00pt;mso-wrap-distance-right:9.00pt;mso-wrap-distance-bottom:0.00pt;rotation:0;z-index:1;" stroked="f">
                <v:imagedata r:id="rId17" o:title=""/>
                <o:lock v:ext="edit" rotation="t"/>
              </v:shape>
            </w:pict>
          </mc:Fallback>
        </mc:AlternateConten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3.3.3</w:t>
      </w:r>
      <w:r>
        <w:rPr>
          <w:rFonts w:hint="eastAsia" w:eastAsia="仿宋_GB2312"/>
          <w:sz w:val="32"/>
          <w:szCs w:val="32"/>
        </w:rPr>
        <w:t xml:space="preserve">．</w:t>
      </w:r>
      <w:r>
        <w:rPr>
          <w:rFonts w:eastAsia="仿宋_GB2312"/>
          <w:sz w:val="32"/>
          <w:szCs w:val="32"/>
        </w:rPr>
        <w:t xml:space="preserve">购电费用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购电费按均价0.4元/kw·h计算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3.4</w:t>
      </w:r>
      <w:r>
        <w:rPr>
          <w:rFonts w:hint="eastAsia" w:eastAsia="仿宋_GB2312"/>
          <w:sz w:val="32"/>
          <w:szCs w:val="32"/>
        </w:rPr>
        <w:t xml:space="preserve">．</w:t>
      </w:r>
      <w:r>
        <w:rPr>
          <w:rFonts w:eastAsia="仿宋_GB2312"/>
          <w:sz w:val="32"/>
          <w:szCs w:val="32"/>
        </w:rPr>
        <w:t xml:space="preserve">增值税费及企业所得税的估算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本项目增值税税率按15%计算，城市建设维护税教育费附加分别按增值税的7% 、5%计算，企业所得税按利润总额的15%计算。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3.5</w:t>
      </w:r>
      <w:r>
        <w:rPr>
          <w:rFonts w:hint="eastAsia" w:eastAsia="仿宋_GB2312"/>
          <w:sz w:val="32"/>
          <w:szCs w:val="32"/>
        </w:rPr>
        <w:t xml:space="preserve">．</w:t>
      </w:r>
      <w:r>
        <w:rPr>
          <w:rFonts w:eastAsia="仿宋_GB2312"/>
          <w:sz w:val="32"/>
          <w:szCs w:val="32"/>
        </w:rPr>
        <w:t xml:space="preserve">盈利能力分析</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1</w:t>
      </w:r>
      <w:r>
        <w:rPr>
          <w:rFonts w:hint="eastAsia" w:eastAsia="仿宋_GB2312"/>
          <w:sz w:val="32"/>
          <w:szCs w:val="32"/>
        </w:rPr>
        <w:t xml:space="preserve">．</w:t>
      </w:r>
      <w:r>
        <w:rPr>
          <w:rFonts w:eastAsia="仿宋_GB2312"/>
          <w:sz w:val="32"/>
          <w:szCs w:val="32"/>
        </w:rPr>
        <w:t xml:space="preserve">利润测算：本项目财务盈利的能力可以由以下各项分析的经 济指标来体现：项目财务内部收益率（所得税前），项目财务净现值（所得税前）;项目投资回收期（所得税前）;</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w:t>
      </w:r>
      <w:r>
        <w:rPr>
          <w:rFonts w:hint="eastAsia" w:eastAsia="仿宋_GB2312"/>
          <w:sz w:val="32"/>
          <w:szCs w:val="32"/>
        </w:rPr>
        <w:t xml:space="preserve">．</w:t>
      </w:r>
      <w:r>
        <w:rPr>
          <w:rFonts w:eastAsia="仿宋_GB2312"/>
          <w:sz w:val="32"/>
          <w:szCs w:val="32"/>
        </w:rPr>
        <w:t xml:space="preserve">财务净现值：本项目累计财务净现值26870.12万元。</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各项指标详见《项目财务现金流量表》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hint="eastAsia" w:ascii="黑体" w:hAnsi="黑体" w:eastAsia="黑体"/>
          <w:sz w:val="28"/>
          <w:szCs w:val="28"/>
        </w:rPr>
      </w:pPr>
      <w:r>
        <w:rPr>
          <w:rFonts w:ascii="黑体" w:hAnsi="黑体" w:eastAsia="黑体"/>
          <w:sz w:val="28"/>
          <w:szCs w:val="28"/>
        </w:rPr>
        <w:t xml:space="preserve">项目财务现金流量表</w:t>
      </w:r>
      <w:r>
        <w:rPr>
          <w:rFonts w:hint="eastAsia" w:ascii="黑体" w:hAnsi="黑体" w:eastAsia="黑体"/>
          <w:sz w:val="28"/>
          <w:szCs w:val="28"/>
        </w:rPr>
      </w:r>
      <w:r>
        <w:rPr>
          <w:rFonts w:hint="eastAsia" w:ascii="黑体" w:hAnsi="黑体" w:eastAsia="黑体"/>
          <w:sz w:val="28"/>
          <w:szCs w:val="28"/>
        </w:rPr>
      </w:r>
    </w:p>
    <w:p>
      <w:pPr>
        <w:pStyle w:val="684"/>
        <w:pBdr/>
        <w:spacing w:line="600" w:lineRule="exact"/>
        <w:ind w:firstLine="640"/>
        <w:rPr>
          <w:rFonts w:hint="eastAsia" w:eastAsia="仿宋_GB2312"/>
          <w:sz w:val="32"/>
          <w:szCs w:val="32"/>
        </w:rPr>
      </w:pPr>
      <w:r>
        <w:rPr>
          <w:rFonts w:eastAsia="仿宋_GB2312"/>
          <w:sz w:val="32"/>
          <w:szCs w:val="32"/>
        </w:rPr>
        <mc:AlternateContent>
          <mc:Choice Requires="wpg">
            <w:drawing>
              <wp:anchor xmlns:wp="http://schemas.openxmlformats.org/drawingml/2006/wordprocessingDrawing" xmlns:wp14="http://schemas.microsoft.com/office/word/2010/wordprocessingDrawing" distT="0" distB="0" distL="114300" distR="114300" simplePos="0" relativeHeight="251658267" behindDoc="0" locked="0" layoutInCell="1" allowOverlap="1">
                <wp:simplePos x="0" y="0"/>
                <wp:positionH relativeFrom="column">
                  <wp:posOffset>7357745</wp:posOffset>
                </wp:positionH>
                <wp:positionV relativeFrom="paragraph">
                  <wp:posOffset>4841875</wp:posOffset>
                </wp:positionV>
                <wp:extent cx="1600200" cy="792480"/>
                <wp:effectExtent l="0" t="0" r="0" b="0"/>
                <wp:wrapNone/>
                <wp:docPr id="19" name="_x0000_s1058"/>
                <wp:cNvGraphicFramePr/>
                <a:graphic xmlns:a="http://schemas.openxmlformats.org/drawingml/2006/main">
                  <a:graphicData uri="http://schemas.microsoft.com/office/word/2010/wordprocessingShape">
                    <wps:wsp>
                      <wps:cNvPr id="0" name=""/>
                      <wps:cNvSpPr txBox="1"/>
                      <wps:spPr bwMode="auto">
                        <a:xfrm>
                          <a:off x="0" y="0"/>
                          <a:ext cx="1600200" cy="792480"/>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18" o:spid="_x0000_s18" o:spt="202" type="#_x0000_t202" style="position:absolute;z-index:251658267;o:allowoverlap:true;o:allowincell:true;mso-position-horizontal-relative:text;margin-left:579.35pt;mso-position-horizontal:absolute;mso-position-vertical-relative:text;margin-top:381.25pt;mso-position-vertical:absolute;width:126.00pt;height:62.40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w:rPr>
          <w:rFonts w:eastAsia="仿宋_GB2312"/>
          <w:sz w:val="32"/>
          <w:szCs w:val="32"/>
        </w:rPr>
        <mc:AlternateContent>
          <mc:Choice Requires="wpg">
            <w:drawing>
              <wp:anchor xmlns:wp="http://schemas.openxmlformats.org/drawingml/2006/wordprocessingDrawing" xmlns:wp14="http://schemas.microsoft.com/office/word/2010/wordprocessingDrawing" distT="0" distB="0" distL="114300" distR="114300" simplePos="0" relativeHeight="251658266" behindDoc="0" locked="0" layoutInCell="1" allowOverlap="1">
                <wp:simplePos x="0" y="0"/>
                <wp:positionH relativeFrom="column">
                  <wp:posOffset>-528954</wp:posOffset>
                </wp:positionH>
                <wp:positionV relativeFrom="paragraph">
                  <wp:posOffset>4445635</wp:posOffset>
                </wp:positionV>
                <wp:extent cx="685800" cy="891540"/>
                <wp:effectExtent l="0" t="0" r="0" b="0"/>
                <wp:wrapNone/>
                <wp:docPr id="20" name="_x0000_s1057"/>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59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19" o:spid="_x0000_s19" o:spt="202" type="#_x0000_t202" style="position:absolute;z-index:251658266;o:allowoverlap:true;o:allowincell:true;mso-position-horizontal-relative:text;margin-left:-41.65pt;mso-position-horizontal:absolute;mso-position-vertical-relative:text;margin-top:350.05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59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46" behindDoc="0" locked="0" layoutInCell="1" allowOverlap="1">
                <wp:simplePos x="0" y="0"/>
                <wp:positionH relativeFrom="column">
                  <wp:posOffset>-71754</wp:posOffset>
                </wp:positionH>
                <wp:positionV relativeFrom="paragraph">
                  <wp:posOffset>213360</wp:posOffset>
                </wp:positionV>
                <wp:extent cx="8758555" cy="3799205"/>
                <wp:effectExtent l="0" t="0" r="0" b="0"/>
                <wp:wrapNone/>
                <wp:docPr id="21" name="_x0000_s103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8"/>
                        <a:srcRect l="5699" t="14188" r="5771" b="57594"/>
                        <a:stretch/>
                      </pic:blipFill>
                      <pic:spPr bwMode="auto">
                        <a:xfrm rot="0">
                          <a:off x="0" y="0"/>
                          <a:ext cx="8758555" cy="3799204"/>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position:absolute;z-index:251658246;o:allowoverlap:true;o:allowincell:true;mso-position-horizontal-relative:text;margin-left:-5.65pt;mso-position-horizontal:absolute;mso-position-vertical-relative:text;margin-top:16.80pt;mso-position-vertical:absolute;width:689.65pt;height:299.15pt;mso-wrap-distance-left:9.00pt;mso-wrap-distance-top:0.00pt;mso-wrap-distance-right:9.00pt;mso-wrap-distance-bottom:0.00pt;rotation:0;z-index:1;" stroked="f">
                <v:imagedata r:id="rId18" o:title=""/>
                <o:lock v:ext="edit" rotation="t"/>
              </v:shape>
            </w:pict>
          </mc:Fallback>
        </mc:AlternateContent>
      </w:r>
      <w:r>
        <w:rPr>
          <w:rFonts w:hint="eastAsia" w:eastAsia="仿宋_GB2312"/>
          <w:sz w:val="32"/>
          <w:szCs w:val="32"/>
        </w:rPr>
      </w:r>
      <w:r>
        <w:rPr>
          <w:rFonts w:hint="eastAsia" w:eastAsia="仿宋_GB2312"/>
          <w:sz w:val="32"/>
          <w:szCs w:val="32"/>
        </w:rPr>
      </w:r>
    </w:p>
    <w:p>
      <w:pPr>
        <w:pStyle w:val="684"/>
        <w:pBdr/>
        <w:spacing w:line="600" w:lineRule="exact"/>
        <w:ind w:firstLine="640"/>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3.5</w:t>
      </w:r>
      <w:r>
        <w:rPr>
          <w:rFonts w:hint="eastAsia" w:eastAsia="仿宋_GB2312"/>
          <w:sz w:val="32"/>
          <w:szCs w:val="32"/>
        </w:rPr>
        <w:t xml:space="preserve">．</w:t>
      </w:r>
      <w:r>
        <w:rPr>
          <w:rFonts w:eastAsia="仿宋_GB2312"/>
          <w:sz w:val="32"/>
          <w:szCs w:val="32"/>
        </w:rPr>
        <w:t xml:space="preserve">融资方案</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二期总投资139927.00万元，建设期利息4722.44万元，流动资金2917.45万元。</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3.6</w:t>
      </w:r>
      <w:r>
        <w:rPr>
          <w:rFonts w:hint="eastAsia" w:eastAsia="仿宋_GB2312"/>
          <w:sz w:val="32"/>
          <w:szCs w:val="32"/>
        </w:rPr>
        <w:t xml:space="preserve">．</w:t>
      </w:r>
      <w:r>
        <w:rPr>
          <w:rFonts w:eastAsia="仿宋_GB2312"/>
          <w:sz w:val="32"/>
          <w:szCs w:val="32"/>
        </w:rPr>
        <w:t xml:space="preserve">债务清偿能力分析</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经测算，该项目在从前23个计算期开始，由于收入的增加，当年经营性现金净流量已能支付利息。到期能全额支付本金。还本付息情况预测详见《借款还本付息计算表》如下：</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69" behindDoc="0" locked="0" layoutInCell="1" allowOverlap="1">
                <wp:simplePos x="0" y="0"/>
                <wp:positionH relativeFrom="column">
                  <wp:posOffset>7586345</wp:posOffset>
                </wp:positionH>
                <wp:positionV relativeFrom="paragraph">
                  <wp:posOffset>5349240</wp:posOffset>
                </wp:positionV>
                <wp:extent cx="1100455" cy="727075"/>
                <wp:effectExtent l="0" t="0" r="0" b="0"/>
                <wp:wrapNone/>
                <wp:docPr id="22" name="_x0000_s1060"/>
                <wp:cNvGraphicFramePr/>
                <a:graphic xmlns:a="http://schemas.openxmlformats.org/drawingml/2006/main">
                  <a:graphicData uri="http://schemas.microsoft.com/office/word/2010/wordprocessingShape">
                    <wps:wsp>
                      <wps:cNvPr id="0" name=""/>
                      <wps:cNvSpPr txBox="1"/>
                      <wps:spPr bwMode="auto">
                        <a:xfrm>
                          <a:off x="0" y="0"/>
                          <a:ext cx="1100455" cy="72707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21" o:spid="_x0000_s21" o:spt="202" type="#_x0000_t202" style="position:absolute;z-index:251658269;o:allowoverlap:true;o:allowincell:true;mso-position-horizontal-relative:text;margin-left:597.35pt;mso-position-horizontal:absolute;mso-position-vertical-relative:text;margin-top:421.20pt;mso-position-vertical:absolute;width:86.65pt;height:57.2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68" behindDoc="0" locked="0" layoutInCell="1" allowOverlap="1">
                <wp:simplePos x="0" y="0"/>
                <wp:positionH relativeFrom="column">
                  <wp:posOffset>-419099</wp:posOffset>
                </wp:positionH>
                <wp:positionV relativeFrom="paragraph">
                  <wp:posOffset>4826635</wp:posOffset>
                </wp:positionV>
                <wp:extent cx="685800" cy="891540"/>
                <wp:effectExtent l="0" t="0" r="0" b="0"/>
                <wp:wrapNone/>
                <wp:docPr id="23" name="_x0000_s1059"/>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61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22" o:spid="_x0000_s22" o:spt="202" type="#_x0000_t202" style="position:absolute;z-index:251658268;o:allowoverlap:true;o:allowincell:true;mso-position-horizontal-relative:text;margin-left:-33.00pt;mso-position-horizontal:absolute;mso-position-vertical-relative:text;margin-top:380.05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61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47" behindDoc="0" locked="0" layoutInCell="1" allowOverlap="1">
                <wp:simplePos x="0" y="0"/>
                <wp:positionH relativeFrom="column">
                  <wp:posOffset>0</wp:posOffset>
                </wp:positionH>
                <wp:positionV relativeFrom="paragraph">
                  <wp:posOffset>495300</wp:posOffset>
                </wp:positionV>
                <wp:extent cx="8510270" cy="3188970"/>
                <wp:effectExtent l="0" t="0" r="0" b="0"/>
                <wp:wrapNone/>
                <wp:docPr id="24" name="_x0000_s103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19"/>
                        <a:srcRect l="5641" t="13693" r="6727" b="65619"/>
                        <a:stretch/>
                      </pic:blipFill>
                      <pic:spPr bwMode="auto">
                        <a:xfrm rot="0">
                          <a:off x="0" y="0"/>
                          <a:ext cx="8510270" cy="3188970"/>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position:absolute;z-index:251658247;o:allowoverlap:true;o:allowincell:true;mso-position-horizontal-relative:text;margin-left:0.00pt;mso-position-horizontal:absolute;mso-position-vertical-relative:text;margin-top:39.00pt;mso-position-vertical:absolute;width:670.10pt;height:251.10pt;mso-wrap-distance-left:9.00pt;mso-wrap-distance-top:0.00pt;mso-wrap-distance-right:9.00pt;mso-wrap-distance-bottom:0.00pt;rotation:0;z-index:1;" stroked="f">
                <v:imagedata r:id="rId19" o:title=""/>
                <o:lock v:ext="edit" rotation="t"/>
              </v:shape>
            </w:pict>
          </mc:Fallback>
        </mc:AlternateContent>
      </w:r>
      <w:r>
        <w:rPr>
          <w:rFonts w:ascii="黑体" w:hAnsi="黑体" w:eastAsia="黑体"/>
          <w:sz w:val="28"/>
          <w:szCs w:val="28"/>
        </w:rPr>
        <w:t xml:space="preserve">借款还本付息计算表</w:t>
      </w:r>
      <w:r>
        <w:rPr>
          <w:rFonts w:ascii="黑体" w:hAnsi="黑体" w:eastAsia="黑体"/>
          <w:sz w:val="28"/>
          <w:szCs w:val="28"/>
        </w:rPr>
      </w:r>
      <w:r>
        <w:rPr>
          <w:rFonts w:ascii="黑体" w:hAnsi="黑体" w:eastAsia="黑体"/>
          <w:sz w:val="28"/>
          <w:szCs w:val="28"/>
        </w:rPr>
      </w:r>
    </w:p>
    <w:p>
      <w:pPr>
        <w:pStyle w:val="684"/>
        <w:pBdr/>
        <w:spacing w:line="600" w:lineRule="exact"/>
        <w:ind w:firstLine="640"/>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3.7</w:t>
      </w:r>
      <w:r>
        <w:rPr>
          <w:rFonts w:hint="eastAsia" w:eastAsia="仿宋_GB2312"/>
          <w:sz w:val="32"/>
          <w:szCs w:val="32"/>
        </w:rPr>
        <w:t xml:space="preserve">．</w:t>
      </w:r>
      <w:r>
        <w:rPr>
          <w:rFonts w:eastAsia="仿宋_GB2312"/>
          <w:sz w:val="32"/>
          <w:szCs w:val="32"/>
        </w:rPr>
        <w:t xml:space="preserve">财务可持续能力分析</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根据项目《财务计划现金流量表》，项目最终实现累计净现金流量835702.42万元，说明项目具有较强的资金平衡能力和财务生存能力，有足够的净现金流量维持正常运营，能实现财务可持续性。</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4</w:t>
      </w:r>
      <w:r>
        <w:rPr>
          <w:rFonts w:hint="eastAsia" w:eastAsia="仿宋_GB2312"/>
          <w:sz w:val="32"/>
          <w:szCs w:val="32"/>
        </w:rPr>
        <w:t xml:space="preserve">．</w:t>
      </w:r>
      <w:r>
        <w:rPr>
          <w:rFonts w:eastAsia="仿宋_GB2312"/>
          <w:sz w:val="32"/>
          <w:szCs w:val="32"/>
        </w:rPr>
        <w:t xml:space="preserve">三期收益测算</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4.1</w:t>
      </w:r>
      <w:r>
        <w:rPr>
          <w:rFonts w:hint="eastAsia" w:eastAsia="仿宋_GB2312"/>
          <w:sz w:val="32"/>
          <w:szCs w:val="32"/>
        </w:rPr>
        <w:t xml:space="preserve">．</w:t>
      </w:r>
      <w:r>
        <w:rPr>
          <w:rFonts w:eastAsia="仿宋_GB2312"/>
          <w:sz w:val="32"/>
          <w:szCs w:val="32"/>
        </w:rPr>
        <w:t xml:space="preserve">收费管理系统</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本项目充电桩共配置太阳能光伏发电板6432块，按现行市场单价6500元每块（含光伏板、安装费及配套设施费用）。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4.2</w:t>
      </w:r>
      <w:r>
        <w:rPr>
          <w:rFonts w:hint="eastAsia" w:eastAsia="仿宋_GB2312"/>
          <w:sz w:val="32"/>
          <w:szCs w:val="32"/>
        </w:rPr>
        <w:t xml:space="preserve">．</w:t>
      </w:r>
      <w:r>
        <w:rPr>
          <w:rFonts w:eastAsia="仿宋_GB2312"/>
          <w:sz w:val="32"/>
          <w:szCs w:val="32"/>
        </w:rPr>
        <w:t xml:space="preserve">收益测算</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详《经营收入、税金及附加估算表》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　　</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71" behindDoc="0" locked="0" layoutInCell="1" allowOverlap="1">
                <wp:simplePos x="0" y="0"/>
                <wp:positionH relativeFrom="column">
                  <wp:posOffset>7427595</wp:posOffset>
                </wp:positionH>
                <wp:positionV relativeFrom="paragraph">
                  <wp:posOffset>5448300</wp:posOffset>
                </wp:positionV>
                <wp:extent cx="1380490" cy="578485"/>
                <wp:effectExtent l="0" t="0" r="0" b="0"/>
                <wp:wrapNone/>
                <wp:docPr id="25" name="_x0000_s1062"/>
                <wp:cNvGraphicFramePr/>
                <a:graphic xmlns:a="http://schemas.openxmlformats.org/drawingml/2006/main">
                  <a:graphicData uri="http://schemas.microsoft.com/office/word/2010/wordprocessingShape">
                    <wps:wsp>
                      <wps:cNvPr id="0" name=""/>
                      <wps:cNvSpPr txBox="1"/>
                      <wps:spPr bwMode="auto">
                        <a:xfrm>
                          <a:off x="0" y="0"/>
                          <a:ext cx="1380490" cy="57848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24" o:spid="_x0000_s24" o:spt="202" type="#_x0000_t202" style="position:absolute;z-index:251658271;o:allowoverlap:true;o:allowincell:true;mso-position-horizontal-relative:text;margin-left:584.85pt;mso-position-horizontal:absolute;mso-position-vertical-relative:text;margin-top:429.00pt;mso-position-vertical:absolute;width:108.70pt;height:45.5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70" behindDoc="0" locked="0" layoutInCell="1" allowOverlap="1">
                <wp:simplePos x="0" y="0"/>
                <wp:positionH relativeFrom="column">
                  <wp:posOffset>-457199</wp:posOffset>
                </wp:positionH>
                <wp:positionV relativeFrom="paragraph">
                  <wp:posOffset>4853940</wp:posOffset>
                </wp:positionV>
                <wp:extent cx="685800" cy="891540"/>
                <wp:effectExtent l="0" t="0" r="0" b="0"/>
                <wp:wrapNone/>
                <wp:docPr id="26" name="_x0000_s1061"/>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63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25" o:spid="_x0000_s25" o:spt="202" type="#_x0000_t202" style="position:absolute;z-index:251658270;o:allowoverlap:true;o:allowincell:true;mso-position-horizontal-relative:text;margin-left:-36.00pt;mso-position-horizontal:absolute;mso-position-vertical-relative:text;margin-top:382.20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63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48" behindDoc="0" locked="0" layoutInCell="1" allowOverlap="1">
                <wp:simplePos x="0" y="0"/>
                <wp:positionH relativeFrom="column">
                  <wp:posOffset>0</wp:posOffset>
                </wp:positionH>
                <wp:positionV relativeFrom="paragraph">
                  <wp:posOffset>693420</wp:posOffset>
                </wp:positionV>
                <wp:extent cx="8568690" cy="3809365"/>
                <wp:effectExtent l="0" t="0" r="0" b="0"/>
                <wp:wrapNone/>
                <wp:docPr id="27" name="_x0000_s103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0"/>
                        <a:srcRect l="6250" t="13251" r="6429" b="67310"/>
                        <a:stretch/>
                      </pic:blipFill>
                      <pic:spPr bwMode="auto">
                        <a:xfrm rot="21600000">
                          <a:off x="0" y="0"/>
                          <a:ext cx="8568690" cy="3809365"/>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position:absolute;z-index:251658248;o:allowoverlap:true;o:allowincell:true;mso-position-horizontal-relative:text;margin-left:0.00pt;mso-position-horizontal:absolute;mso-position-vertical-relative:text;margin-top:54.60pt;mso-position-vertical:absolute;width:674.70pt;height:299.95pt;mso-wrap-distance-left:9.00pt;mso-wrap-distance-top:0.00pt;mso-wrap-distance-right:9.00pt;mso-wrap-distance-bottom:0.00pt;rotation:360;z-index:1;" stroked="f">
                <v:imagedata r:id="rId20" o:title=""/>
                <o:lock v:ext="edit" rotation="t"/>
              </v:shape>
            </w:pict>
          </mc:Fallback>
        </mc:AlternateContent>
      </w:r>
      <w:r>
        <w:rPr>
          <w:rFonts w:ascii="黑体" w:hAnsi="黑体" w:eastAsia="黑体"/>
          <w:sz w:val="28"/>
          <w:szCs w:val="28"/>
        </w:rPr>
        <w:t xml:space="preserve">经营收入、税金及附加估算表</w:t>
      </w:r>
      <w:r>
        <w:rPr>
          <w:rFonts w:ascii="黑体" w:hAnsi="黑体" w:eastAsia="黑体"/>
          <w:sz w:val="28"/>
          <w:szCs w:val="28"/>
        </w:rPr>
      </w:r>
      <w:r>
        <w:rPr>
          <w:rFonts w:ascii="黑体" w:hAnsi="黑体" w:eastAsia="黑体"/>
          <w:sz w:val="28"/>
          <w:szCs w:val="28"/>
        </w:rPr>
      </w:r>
    </w:p>
    <w:p>
      <w:pPr>
        <w:pStyle w:val="684"/>
        <w:pBdr/>
        <w:spacing w:line="600" w:lineRule="exact"/>
        <w:ind w:firstLine="420"/>
        <w:rPr>
          <w:rFonts w:ascii="宋体" w:hAnsi="宋体" w:cs="宋体"/>
        </w:rPr>
        <w:sectPr>
          <w:footnotePr/>
          <w:endnotePr/>
          <w:type w:val="nextPage"/>
          <w:pgSz w:h="11906" w:orient="portrait" w:w="16838"/>
          <w:pgMar w:top="1588" w:right="1701" w:bottom="1474" w:left="1701" w:header="851" w:footer="1134" w:gutter="0"/>
          <w:cols w:num="1" w:sep="0" w:space="1701" w:equalWidth="1"/>
        </w:sectPr>
      </w:pPr>
      <w:r>
        <w:rPr>
          <w:rFonts w:ascii="宋体" w:hAnsi="宋体" w:cs="宋体"/>
        </w:rPr>
      </w:r>
      <w:r>
        <w:rPr>
          <w:rFonts w:ascii="宋体" w:hAnsi="宋体" w:cs="宋体"/>
        </w:rPr>
      </w:r>
    </w:p>
    <w:p>
      <w:pPr>
        <w:pStyle w:val="684"/>
        <w:pBdr/>
        <w:spacing w:line="600" w:lineRule="exact"/>
        <w:ind w:firstLine="640"/>
        <w:rPr>
          <w:rFonts w:eastAsia="仿宋_GB2312"/>
          <w:sz w:val="32"/>
          <w:szCs w:val="32"/>
        </w:rPr>
      </w:pPr>
      <w:r>
        <w:rPr>
          <w:rFonts w:eastAsia="仿宋_GB2312"/>
          <w:sz w:val="32"/>
          <w:szCs w:val="32"/>
        </w:rPr>
        <w:t xml:space="preserve">4.3</w:t>
      </w:r>
      <w:r>
        <w:rPr>
          <w:rFonts w:hint="eastAsia" w:eastAsia="仿宋_GB2312"/>
          <w:sz w:val="32"/>
          <w:szCs w:val="32"/>
        </w:rPr>
        <w:t xml:space="preserve">．</w:t>
      </w:r>
      <w:r>
        <w:rPr>
          <w:rFonts w:eastAsia="仿宋_GB2312"/>
          <w:sz w:val="32"/>
          <w:szCs w:val="32"/>
        </w:rPr>
        <w:t xml:space="preserve">运营成本费用估算</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4.3.1</w:t>
      </w:r>
      <w:r>
        <w:rPr>
          <w:rFonts w:hint="eastAsia" w:eastAsia="仿宋_GB2312"/>
          <w:sz w:val="32"/>
          <w:szCs w:val="32"/>
        </w:rPr>
        <w:t xml:space="preserve">．</w:t>
      </w:r>
      <w:r>
        <w:rPr>
          <w:rFonts w:eastAsia="仿宋_GB2312"/>
          <w:sz w:val="32"/>
          <w:szCs w:val="32"/>
        </w:rPr>
        <w:t xml:space="preserve">固定资产折旧费用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本项目第三期总投资5000.00万元，注：第一年折旧额工程费的95%的50%计算，摊销费按工程其它费用的50%计算；第二年及以后年度全额工程费用的95%的100%和摊销费用按工程其它费用的100%计算；第21年按工程费用的95%的50%和摊销费的50%计算，不计算折旧剩残值5%（209.04万元）。</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4.3.2</w:t>
      </w:r>
      <w:r>
        <w:rPr>
          <w:rFonts w:hint="eastAsia" w:eastAsia="仿宋_GB2312"/>
          <w:sz w:val="32"/>
          <w:szCs w:val="32"/>
        </w:rPr>
        <w:t xml:space="preserve">．</w:t>
      </w:r>
      <w:r>
        <w:rPr>
          <w:rFonts w:eastAsia="仿宋_GB2312"/>
          <w:sz w:val="32"/>
          <w:szCs w:val="32"/>
        </w:rPr>
        <w:t xml:space="preserve">运维费用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（1）维修费按固定资产原值的5%测算。</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（2）职工薪酬按人员配置测算。</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运维费用测算详见《运维成本测算表》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73" behindDoc="0" locked="0" layoutInCell="1" allowOverlap="1">
                <wp:simplePos x="0" y="0"/>
                <wp:positionH relativeFrom="column">
                  <wp:posOffset>7472045</wp:posOffset>
                </wp:positionH>
                <wp:positionV relativeFrom="paragraph">
                  <wp:posOffset>5420995</wp:posOffset>
                </wp:positionV>
                <wp:extent cx="1380490" cy="578485"/>
                <wp:effectExtent l="0" t="0" r="0" b="0"/>
                <wp:wrapNone/>
                <wp:docPr id="28" name="_x0000_s1064"/>
                <wp:cNvGraphicFramePr/>
                <a:graphic xmlns:a="http://schemas.openxmlformats.org/drawingml/2006/main">
                  <a:graphicData uri="http://schemas.microsoft.com/office/word/2010/wordprocessingShape">
                    <wps:wsp>
                      <wps:cNvPr id="0" name=""/>
                      <wps:cNvSpPr txBox="1"/>
                      <wps:spPr bwMode="auto">
                        <a:xfrm>
                          <a:off x="0" y="0"/>
                          <a:ext cx="1380490" cy="57848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27" o:spid="_x0000_s27" o:spt="202" type="#_x0000_t202" style="position:absolute;z-index:251658273;o:allowoverlap:true;o:allowincell:true;mso-position-horizontal-relative:text;margin-left:588.35pt;mso-position-horizontal:absolute;mso-position-vertical-relative:text;margin-top:426.85pt;mso-position-vertical:absolute;width:108.70pt;height:45.5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72" behindDoc="0" locked="0" layoutInCell="1" allowOverlap="1">
                <wp:simplePos x="0" y="0"/>
                <wp:positionH relativeFrom="column">
                  <wp:posOffset>-457199</wp:posOffset>
                </wp:positionH>
                <wp:positionV relativeFrom="paragraph">
                  <wp:posOffset>4953000</wp:posOffset>
                </wp:positionV>
                <wp:extent cx="685800" cy="891540"/>
                <wp:effectExtent l="0" t="0" r="0" b="0"/>
                <wp:wrapNone/>
                <wp:docPr id="29" name="_x0000_s1063"/>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65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28" o:spid="_x0000_s28" o:spt="202" type="#_x0000_t202" style="position:absolute;z-index:251658272;o:allowoverlap:true;o:allowincell:true;mso-position-horizontal-relative:text;margin-left:-36.00pt;mso-position-horizontal:absolute;mso-position-vertical-relative:text;margin-top:390.00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65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49" behindDoc="0" locked="0" layoutInCell="1" allowOverlap="1">
                <wp:simplePos x="0" y="0"/>
                <wp:positionH relativeFrom="column">
                  <wp:posOffset>-114299</wp:posOffset>
                </wp:positionH>
                <wp:positionV relativeFrom="paragraph">
                  <wp:posOffset>495300</wp:posOffset>
                </wp:positionV>
                <wp:extent cx="8686800" cy="4206240"/>
                <wp:effectExtent l="0" t="0" r="0" b="0"/>
                <wp:wrapNone/>
                <wp:docPr id="30" name="_x0000_s103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1"/>
                        <a:srcRect l="5139" t="13829" r="5472" b="47862"/>
                        <a:stretch/>
                      </pic:blipFill>
                      <pic:spPr bwMode="auto">
                        <a:xfrm rot="21600000">
                          <a:off x="0" y="0"/>
                          <a:ext cx="8686800" cy="4206240"/>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position:absolute;z-index:251658249;o:allowoverlap:true;o:allowincell:true;mso-position-horizontal-relative:text;margin-left:-9.00pt;mso-position-horizontal:absolute;mso-position-vertical-relative:text;margin-top:39.00pt;mso-position-vertical:absolute;width:684.00pt;height:331.20pt;mso-wrap-distance-left:9.00pt;mso-wrap-distance-top:0.00pt;mso-wrap-distance-right:9.00pt;mso-wrap-distance-bottom:0.00pt;rotation:360;z-index:1;" stroked="f">
                <v:imagedata r:id="rId21" o:title=""/>
                <o:lock v:ext="edit" rotation="t"/>
              </v:shape>
            </w:pict>
          </mc:Fallback>
        </mc:AlternateContent>
      </w:r>
      <w:r>
        <w:rPr>
          <w:rFonts w:ascii="黑体" w:hAnsi="黑体" w:eastAsia="黑体"/>
          <w:sz w:val="28"/>
          <w:szCs w:val="28"/>
        </w:rPr>
        <w:t xml:space="preserve">运维成本测算表</w:t>
      </w:r>
      <w:r>
        <w:rPr>
          <w:rFonts w:ascii="黑体" w:hAnsi="黑体" w:eastAsia="黑体"/>
          <w:sz w:val="28"/>
          <w:szCs w:val="28"/>
        </w:rPr>
      </w:r>
      <w:r>
        <w:rPr>
          <w:rFonts w:ascii="黑体" w:hAnsi="黑体" w:eastAsia="黑体"/>
          <w:sz w:val="28"/>
          <w:szCs w:val="28"/>
        </w:rPr>
      </w:r>
    </w:p>
    <w:p>
      <w:pPr>
        <w:pStyle w:val="684"/>
        <w:pBdr/>
        <w:spacing w:line="600" w:lineRule="exact"/>
        <w:ind w:firstLine="640"/>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4.3.3</w:t>
      </w:r>
      <w:r>
        <w:rPr>
          <w:rFonts w:hint="eastAsia" w:eastAsia="仿宋_GB2312"/>
          <w:sz w:val="32"/>
          <w:szCs w:val="32"/>
        </w:rPr>
        <w:t xml:space="preserve">．</w:t>
      </w:r>
      <w:r>
        <w:rPr>
          <w:rFonts w:eastAsia="仿宋_GB2312"/>
          <w:sz w:val="32"/>
          <w:szCs w:val="32"/>
        </w:rPr>
        <w:t xml:space="preserve">购电费用</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购电费按均价0.4元/kw·h计算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4.4</w:t>
      </w:r>
      <w:r>
        <w:rPr>
          <w:rFonts w:hint="eastAsia" w:eastAsia="仿宋_GB2312"/>
          <w:sz w:val="32"/>
          <w:szCs w:val="32"/>
        </w:rPr>
        <w:t xml:space="preserve">．</w:t>
      </w:r>
      <w:r>
        <w:rPr>
          <w:rFonts w:eastAsia="仿宋_GB2312"/>
          <w:sz w:val="32"/>
          <w:szCs w:val="32"/>
        </w:rPr>
        <w:t xml:space="preserve">增值税费及企业所得税的估算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本项目增值税税率按15%计算，城市建设维护税教育费附加分别按增值税的7%、5%计算，企业所得税按利润总额的15%计算。</w:t>
      </w:r>
      <w:r>
        <w:rPr>
          <w:rFonts w:eastAsia="仿宋_GB2312"/>
          <w:sz w:val="32"/>
          <w:szCs w:val="32"/>
        </w:rPr>
      </w:r>
      <w:r>
        <w:rPr>
          <w:rFonts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4.5</w:t>
      </w:r>
      <w:r>
        <w:rPr>
          <w:rFonts w:hint="eastAsia" w:eastAsia="仿宋_GB2312"/>
          <w:sz w:val="32"/>
          <w:szCs w:val="32"/>
        </w:rPr>
        <w:t xml:space="preserve">．</w:t>
      </w:r>
      <w:r>
        <w:rPr>
          <w:rFonts w:eastAsia="仿宋_GB2312"/>
          <w:sz w:val="32"/>
          <w:szCs w:val="32"/>
        </w:rPr>
        <w:t xml:space="preserve">盈利能力分析</w:t>
      </w:r>
      <w:r>
        <w:rPr>
          <w:rFonts w:eastAsia="仿宋_GB2312"/>
          <w:sz w:val="32"/>
          <w:szCs w:val="32"/>
        </w:rPr>
      </w:r>
      <w:r>
        <w:rPr>
          <w:rFonts w:eastAsia="仿宋_GB2312"/>
          <w:sz w:val="32"/>
          <w:szCs w:val="32"/>
        </w:rPr>
      </w:r>
    </w:p>
    <w:p>
      <w:pPr>
        <w:pStyle w:val="684"/>
        <w:pBdr/>
        <w:spacing w:line="600" w:lineRule="exact"/>
        <w:ind/>
        <w:rPr>
          <w:rFonts w:hint="eastAsia" w:eastAsia="仿宋_GB2312"/>
          <w:sz w:val="32"/>
          <w:szCs w:val="32"/>
        </w:rPr>
      </w:pPr>
      <w:r>
        <w:rPr>
          <w:rFonts w:eastAsia="仿宋_GB2312"/>
          <w:sz w:val="32"/>
          <w:szCs w:val="32"/>
        </w:rPr>
        <w:t xml:space="preserve">　　（1）利润测算：本项目财务盈利的能力可以由以下各项分析的经济指标来体现：项目财务内部收益率（所得税前），项目财务净现值（所得税前）</w:t>
      </w:r>
      <w:r>
        <w:rPr>
          <w:rFonts w:hint="eastAsia" w:eastAsia="仿宋_GB2312"/>
          <w:sz w:val="32"/>
          <w:szCs w:val="32"/>
        </w:rPr>
        <w:t xml:space="preserve">；</w:t>
      </w:r>
      <w:r>
        <w:rPr>
          <w:rFonts w:eastAsia="仿宋_GB2312"/>
          <w:sz w:val="32"/>
          <w:szCs w:val="32"/>
        </w:rPr>
        <w:t xml:space="preserve">项目投资回收期（所得税前）</w:t>
      </w:r>
      <w:r>
        <w:rPr>
          <w:rFonts w:hint="eastAsia" w:eastAsia="仿宋_GB2312"/>
          <w:sz w:val="32"/>
          <w:szCs w:val="32"/>
        </w:rPr>
        <w:t xml:space="preserve">；</w:t>
      </w:r>
      <w:r>
        <w:rPr>
          <w:rFonts w:hint="eastAsia" w:eastAsia="仿宋_GB2312"/>
          <w:sz w:val="32"/>
          <w:szCs w:val="32"/>
        </w:rPr>
      </w:r>
      <w:r>
        <w:rPr>
          <w:rFonts w:hint="eastAsia" w:eastAsia="仿宋_GB2312"/>
          <w:sz w:val="32"/>
          <w:szCs w:val="32"/>
        </w:rPr>
      </w:r>
    </w:p>
    <w:p>
      <w:pPr>
        <w:pStyle w:val="684"/>
        <w:pBdr/>
        <w:spacing w:line="600" w:lineRule="exact"/>
        <w:ind/>
        <w:rPr>
          <w:rFonts w:eastAsia="仿宋_GB2312"/>
          <w:sz w:val="32"/>
          <w:szCs w:val="32"/>
        </w:rPr>
      </w:pPr>
      <w:r>
        <w:rPr>
          <w:rFonts w:eastAsia="仿宋_GB2312"/>
          <w:sz w:val="32"/>
          <w:szCs w:val="32"/>
        </w:rPr>
        <w:t xml:space="preserve">　　（2）财务净现值：本项目累计财务净现值17473.75万元。</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各项指标详见《项目财务现金流量表》</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jc w:val="center"/>
        <w:rPr>
          <w:rFonts w:hint="eastAsia" w:ascii="黑体" w:hAnsi="黑体" w:eastAsia="黑体"/>
          <w:sz w:val="28"/>
          <w:szCs w:val="28"/>
        </w:rPr>
      </w:pPr>
      <w:r>
        <w:rPr>
          <w:rFonts w:ascii="黑体" w:hAnsi="黑体" w:eastAsia="黑体"/>
          <w:sz w:val="28"/>
          <w:szCs w:val="28"/>
        </w:rPr>
        <w:t xml:space="preserve">项目财务现金流量表</w:t>
      </w:r>
      <w:r>
        <w:rPr>
          <w:rFonts w:hint="eastAsia" w:ascii="黑体" w:hAnsi="黑体" w:eastAsia="黑体"/>
          <w:sz w:val="28"/>
          <w:szCs w:val="28"/>
        </w:rPr>
      </w:r>
      <w:r>
        <w:rPr>
          <w:rFonts w:hint="eastAsia" w:ascii="黑体" w:hAnsi="黑体" w:eastAsia="黑体"/>
          <w:sz w:val="28"/>
          <w:szCs w:val="28"/>
        </w:rPr>
      </w:r>
    </w:p>
    <w:p>
      <w:pPr>
        <w:pStyle w:val="684"/>
        <w:pBdr/>
        <w:spacing w:line="600" w:lineRule="exact"/>
        <w:ind w:firstLine="420"/>
        <w:rPr>
          <w:rFonts w:hint="eastAsia"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mc:AlternateContent>
          <mc:Choice Requires="wpg">
            <w:drawing>
              <wp:anchor xmlns:wp="http://schemas.openxmlformats.org/drawingml/2006/wordprocessingDrawing" xmlns:wp14="http://schemas.microsoft.com/office/word/2010/wordprocessingDrawing" distT="0" distB="0" distL="114300" distR="114300" simplePos="0" relativeHeight="251658275" behindDoc="0" locked="0" layoutInCell="1" allowOverlap="1">
                <wp:simplePos x="0" y="0"/>
                <wp:positionH relativeFrom="column">
                  <wp:posOffset>7357745</wp:posOffset>
                </wp:positionH>
                <wp:positionV relativeFrom="paragraph">
                  <wp:posOffset>4940935</wp:posOffset>
                </wp:positionV>
                <wp:extent cx="1380490" cy="578485"/>
                <wp:effectExtent l="0" t="0" r="0" b="0"/>
                <wp:wrapNone/>
                <wp:docPr id="31" name="_x0000_s1066"/>
                <wp:cNvGraphicFramePr/>
                <a:graphic xmlns:a="http://schemas.openxmlformats.org/drawingml/2006/main">
                  <a:graphicData uri="http://schemas.microsoft.com/office/word/2010/wordprocessingShape">
                    <wps:wsp>
                      <wps:cNvPr id="0" name=""/>
                      <wps:cNvSpPr txBox="1"/>
                      <wps:spPr bwMode="auto">
                        <a:xfrm>
                          <a:off x="0" y="0"/>
                          <a:ext cx="1380490" cy="57848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30" o:spid="_x0000_s30" o:spt="202" type="#_x0000_t202" style="position:absolute;z-index:251658275;o:allowoverlap:true;o:allowincell:true;mso-position-horizontal-relative:text;margin-left:579.35pt;mso-position-horizontal:absolute;mso-position-vertical-relative:text;margin-top:389.05pt;mso-position-vertical:absolute;width:108.70pt;height:45.5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74" behindDoc="0" locked="0" layoutInCell="1" allowOverlap="1">
                <wp:simplePos x="0" y="0"/>
                <wp:positionH relativeFrom="column">
                  <wp:posOffset>-414654</wp:posOffset>
                </wp:positionH>
                <wp:positionV relativeFrom="paragraph">
                  <wp:posOffset>4445635</wp:posOffset>
                </wp:positionV>
                <wp:extent cx="685800" cy="891540"/>
                <wp:effectExtent l="0" t="0" r="0" b="0"/>
                <wp:wrapNone/>
                <wp:docPr id="32" name="_x0000_s1065"/>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67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31" o:spid="_x0000_s31" o:spt="202" type="#_x0000_t202" style="position:absolute;z-index:251658274;o:allowoverlap:true;o:allowincell:true;mso-position-horizontal-relative:text;margin-left:-32.65pt;mso-position-horizontal:absolute;mso-position-vertical-relative:text;margin-top:350.05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67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51" behindDoc="0" locked="0" layoutInCell="1" allowOverlap="1">
                <wp:simplePos x="0" y="0"/>
                <wp:positionH relativeFrom="column">
                  <wp:posOffset>0</wp:posOffset>
                </wp:positionH>
                <wp:positionV relativeFrom="paragraph">
                  <wp:posOffset>312420</wp:posOffset>
                </wp:positionV>
                <wp:extent cx="8665845" cy="4121150"/>
                <wp:effectExtent l="0" t="0" r="0" b="0"/>
                <wp:wrapNone/>
                <wp:docPr id="33" name="_x0000_s104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2"/>
                        <a:srcRect l="5498" t="14392" r="5950" b="55905"/>
                        <a:stretch/>
                      </pic:blipFill>
                      <pic:spPr bwMode="auto">
                        <a:xfrm rot="0">
                          <a:off x="0" y="0"/>
                          <a:ext cx="8665845" cy="4121150"/>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position:absolute;z-index:251658251;o:allowoverlap:true;o:allowincell:true;mso-position-horizontal-relative:text;margin-left:0.00pt;mso-position-horizontal:absolute;mso-position-vertical-relative:text;margin-top:24.60pt;mso-position-vertical:absolute;width:682.35pt;height:324.50pt;mso-wrap-distance-left:9.00pt;mso-wrap-distance-top:0.00pt;mso-wrap-distance-right:9.00pt;mso-wrap-distance-bottom:0.00pt;rotation:0;z-index:1;" stroked="f">
                <v:imagedata r:id="rId22" o:title=""/>
                <o:lock v:ext="edit" rotation="t"/>
              </v:shape>
            </w:pict>
          </mc:Fallback>
        </mc:AlternateContent>
      </w:r>
      <w:r>
        <w:rPr>
          <w:rFonts w:hint="eastAsia" w:eastAsia="仿宋_GB2312"/>
          <w:sz w:val="32"/>
          <w:szCs w:val="32"/>
        </w:rPr>
        <w:br w:type="page" w:clear="all"/>
      </w:r>
      <w:r>
        <w:rPr>
          <w:rFonts w:hint="eastAsia"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4.5</w:t>
      </w:r>
      <w:r>
        <w:rPr>
          <w:rFonts w:hint="eastAsia" w:eastAsia="仿宋_GB2312"/>
          <w:sz w:val="32"/>
          <w:szCs w:val="32"/>
        </w:rPr>
        <w:t xml:space="preserve">．</w:t>
      </w:r>
      <w:r>
        <w:rPr>
          <w:rFonts w:eastAsia="仿宋_GB2312"/>
          <w:sz w:val="32"/>
          <w:szCs w:val="32"/>
        </w:rPr>
        <w:t xml:space="preserve">融资方案</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三期总投资5000.00万元，建设期利息175.00万元，流动资金221.95万元。</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4.6</w:t>
      </w:r>
      <w:r>
        <w:rPr>
          <w:rFonts w:hint="eastAsia" w:eastAsia="仿宋_GB2312"/>
          <w:sz w:val="32"/>
          <w:szCs w:val="32"/>
        </w:rPr>
        <w:t xml:space="preserve">．</w:t>
      </w:r>
      <w:r>
        <w:rPr>
          <w:rFonts w:eastAsia="仿宋_GB2312"/>
          <w:sz w:val="32"/>
          <w:szCs w:val="32"/>
        </w:rPr>
        <w:t xml:space="preserve">债务清偿能力分析</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sectPr>
          <w:footnotePr/>
          <w:endnotePr/>
          <w:type w:val="nextPage"/>
          <w:pgSz w:h="16838" w:orient="landscape" w:w="11906"/>
          <w:pgMar w:top="1701" w:right="1474" w:bottom="1701" w:left="1588" w:header="851" w:footer="1134" w:gutter="0"/>
          <w:cols w:num="1" w:sep="0" w:space="1701" w:equalWidth="1"/>
        </w:sectPr>
      </w:pPr>
      <w:r>
        <w:rPr>
          <w:rFonts w:eastAsia="仿宋_GB2312"/>
          <w:sz w:val="32"/>
          <w:szCs w:val="32"/>
        </w:rPr>
        <w:t xml:space="preserve">经测算，该项目在从前20个计算期开始，由于收入的增加，当年经营性现金净流量已能支付利息。到期能全额支付本金。还本付息情况预测详见《借款还本付息计算表》如下：</w:t>
      </w:r>
      <w:r>
        <w:rPr>
          <w:rFonts w:eastAsia="仿宋_GB2312"/>
          <w:sz w:val="32"/>
          <w:szCs w:val="32"/>
        </w:rPr>
      </w:r>
      <w:r>
        <w:rPr>
          <w:rFonts w:eastAsia="仿宋_GB2312"/>
          <w:sz w:val="32"/>
          <w:szCs w:val="32"/>
        </w:rPr>
      </w:r>
    </w:p>
    <w:p>
      <w:pPr>
        <w:pStyle w:val="684"/>
        <w:pBdr/>
        <w:spacing w:line="600" w:lineRule="exact"/>
        <w:ind/>
        <w:jc w:val="center"/>
        <w:rPr>
          <w:rFonts w:ascii="黑体" w:hAnsi="黑体" w:eastAsia="黑体"/>
          <w:sz w:val="28"/>
          <w:szCs w:val="28"/>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77" behindDoc="0" locked="0" layoutInCell="1" allowOverlap="1">
                <wp:simplePos x="0" y="0"/>
                <wp:positionH relativeFrom="column">
                  <wp:posOffset>7315200</wp:posOffset>
                </wp:positionH>
                <wp:positionV relativeFrom="paragraph">
                  <wp:posOffset>5448300</wp:posOffset>
                </wp:positionV>
                <wp:extent cx="1380490" cy="578485"/>
                <wp:effectExtent l="0" t="0" r="0" b="0"/>
                <wp:wrapNone/>
                <wp:docPr id="34" name="_x0000_s1068"/>
                <wp:cNvGraphicFramePr/>
                <a:graphic xmlns:a="http://schemas.openxmlformats.org/drawingml/2006/main">
                  <a:graphicData uri="http://schemas.microsoft.com/office/word/2010/wordprocessingShape">
                    <wps:wsp>
                      <wps:cNvPr id="0" name=""/>
                      <wps:cNvSpPr txBox="1"/>
                      <wps:spPr bwMode="auto">
                        <a:xfrm>
                          <a:off x="0" y="0"/>
                          <a:ext cx="1380490" cy="578485"/>
                        </a:xfrm>
                        <a:prstGeom prst="rect">
                          <a:avLst/>
                        </a:prstGeom>
                        <a:solidFill>
                          <a:srgbClr val="FFFFFF"/>
                        </a:solidFill>
                        <a:ln>
                          <a:noFill/>
                        </a:ln>
                      </wps:spPr>
                      <wps:txbx>
                        <w:txbxContent>
                          <w:p>
                            <w:pPr>
                              <w:pStyle w:val="684"/>
                              <w:pBdr/>
                              <w:spacing/>
                              <w:ind/>
                              <w:rPr/>
                            </w:pPr>
                            <w:r/>
                            <w:r/>
                          </w:p>
                          <w:p>
                            <w:pPr>
                              <w:pStyle w:val="684"/>
                              <w:pBdr/>
                              <w:spacing/>
                              <w:ind/>
                              <w:rPr/>
                            </w:pPr>
                            <w:r/>
                            <w:r/>
                          </w:p>
                        </w:txbxContent>
                      </wps:txbx>
                      <wps:bodyPr vert="vert" wrap="square" upright="1"/>
                    </wps:wsp>
                  </a:graphicData>
                </a:graphic>
              </wp:anchor>
            </w:drawing>
          </mc:Choice>
          <mc:Fallback>
            <w:pict>
              <v:shape id="shape 33" o:spid="_x0000_s33" o:spt="202" type="#_x0000_t202" style="position:absolute;z-index:251658277;o:allowoverlap:true;o:allowincell:true;mso-position-horizontal-relative:text;margin-left:576.00pt;mso-position-horizontal:absolute;mso-position-vertical-relative:text;margin-top:429.00pt;mso-position-vertical:absolute;width:108.70pt;height:45.55pt;mso-wrap-distance-left:9.00pt;mso-wrap-distance-top:0.00pt;mso-wrap-distance-right:9.00pt;mso-wrap-distance-bottom:0.00pt;visibility:visible;" fillcolor="#FFFFFF" stroked="f">
                <v:textbox inset="0,0,0,0">
                  <w:txbxContent>
                    <w:p>
                      <w:pPr>
                        <w:pStyle w:val="684"/>
                        <w:pBdr/>
                        <w:spacing/>
                        <w:ind/>
                        <w:rPr/>
                      </w:pPr>
                      <w: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76" behindDoc="0" locked="0" layoutInCell="1" allowOverlap="1">
                <wp:simplePos x="0" y="0"/>
                <wp:positionH relativeFrom="column">
                  <wp:posOffset>-414654</wp:posOffset>
                </wp:positionH>
                <wp:positionV relativeFrom="paragraph">
                  <wp:posOffset>4925695</wp:posOffset>
                </wp:positionV>
                <wp:extent cx="685800" cy="891540"/>
                <wp:effectExtent l="0" t="0" r="0" b="0"/>
                <wp:wrapNone/>
                <wp:docPr id="35" name="_x0000_s1067"/>
                <wp:cNvGraphicFramePr/>
                <a:graphic xmlns:a="http://schemas.openxmlformats.org/drawingml/2006/main">
                  <a:graphicData uri="http://schemas.microsoft.com/office/word/2010/wordprocessingShape">
                    <wps:wsp>
                      <wps:cNvPr id="0" name=""/>
                      <wps:cNvSpPr txBox="1"/>
                      <wps:spPr bwMode="auto">
                        <a:xfrm>
                          <a:off x="0" y="0"/>
                          <a:ext cx="685800" cy="891540"/>
                        </a:xfrm>
                        <a:prstGeom prst="rect">
                          <a:avLst/>
                        </a:prstGeom>
                        <a:noFill/>
                        <a:ln>
                          <a:noFill/>
                        </a:ln>
                      </wps:spPr>
                      <wps:txbx>
                        <w:txbxContent>
                          <w:p>
                            <w:pPr>
                              <w:pStyle w:val="684"/>
                              <w:pBdr/>
                              <w:spacing/>
                              <w:ind/>
                              <w:rPr>
                                <w:sz w:val="28"/>
                                <w:szCs w:val="28"/>
                              </w:rPr>
                            </w:pPr>
                            <w:r>
                              <w:rPr>
                                <w:sz w:val="28"/>
                                <w:szCs w:val="28"/>
                              </w:rPr>
                              <w:t xml:space="preserve">—</w:t>
                            </w:r>
                            <w:r>
                              <w:rPr>
                                <w:rFonts w:hint="eastAsia"/>
                                <w:sz w:val="28"/>
                                <w:szCs w:val="28"/>
                              </w:rPr>
                              <w:t xml:space="preserve"> 69 </w:t>
                            </w:r>
                            <w:r>
                              <w:rPr>
                                <w:sz w:val="28"/>
                                <w:szCs w:val="28"/>
                              </w:rPr>
                              <w:t xml:space="preserve">—</w:t>
                            </w:r>
                            <w:r>
                              <w:rPr>
                                <w:sz w:val="28"/>
                                <w:szCs w:val="28"/>
                              </w:rPr>
                            </w:r>
                            <w:r>
                              <w:rPr>
                                <w:sz w:val="28"/>
                                <w:szCs w:val="28"/>
                              </w:rPr>
                            </w:r>
                          </w:p>
                          <w:p>
                            <w:pPr>
                              <w:pStyle w:val="684"/>
                              <w:pBdr/>
                              <w:spacing/>
                              <w:ind/>
                              <w:rPr/>
                            </w:pPr>
                            <w:r/>
                            <w:r/>
                          </w:p>
                        </w:txbxContent>
                      </wps:txbx>
                      <wps:bodyPr vert="vert" wrap="square" upright="1"/>
                    </wps:wsp>
                  </a:graphicData>
                </a:graphic>
              </wp:anchor>
            </w:drawing>
          </mc:Choice>
          <mc:Fallback>
            <w:pict>
              <v:shape id="shape 34" o:spid="_x0000_s34" o:spt="202" type="#_x0000_t202" style="position:absolute;z-index:251658276;o:allowoverlap:true;o:allowincell:true;mso-position-horizontal-relative:text;margin-left:-32.65pt;mso-position-horizontal:absolute;mso-position-vertical-relative:text;margin-top:387.85pt;mso-position-vertical:absolute;width:54.00pt;height:70.20pt;mso-wrap-distance-left:9.00pt;mso-wrap-distance-top:0.00pt;mso-wrap-distance-right:9.00pt;mso-wrap-distance-bottom:0.00pt;visibility:visible;" filled="f" stroked="f">
                <v:textbox inset="0,0,0,0">
                  <w:txbxContent>
                    <w:p>
                      <w:pPr>
                        <w:pStyle w:val="684"/>
                        <w:pBdr/>
                        <w:spacing/>
                        <w:ind/>
                        <w:rPr>
                          <w:sz w:val="28"/>
                          <w:szCs w:val="28"/>
                        </w:rPr>
                      </w:pPr>
                      <w:r>
                        <w:rPr>
                          <w:sz w:val="28"/>
                          <w:szCs w:val="28"/>
                        </w:rPr>
                        <w:t xml:space="preserve">—</w:t>
                      </w:r>
                      <w:r>
                        <w:rPr>
                          <w:rFonts w:hint="eastAsia"/>
                          <w:sz w:val="28"/>
                          <w:szCs w:val="28"/>
                        </w:rPr>
                        <w:t xml:space="preserve"> 69 </w:t>
                      </w:r>
                      <w:r>
                        <w:rPr>
                          <w:sz w:val="28"/>
                          <w:szCs w:val="28"/>
                        </w:rPr>
                        <w:t xml:space="preserve">—</w:t>
                      </w:r>
                      <w:r>
                        <w:rPr>
                          <w:sz w:val="28"/>
                          <w:szCs w:val="28"/>
                        </w:rPr>
                      </w:r>
                      <w:r>
                        <w:rPr>
                          <w:sz w:val="28"/>
                          <w:szCs w:val="28"/>
                        </w:rPr>
                      </w:r>
                    </w:p>
                    <w:p>
                      <w:pPr>
                        <w:pStyle w:val="684"/>
                        <w:pBdr/>
                        <w:spacing/>
                        <w:ind/>
                        <w:rPr/>
                      </w:pPr>
                      <w:r/>
                      <w:r/>
                    </w:p>
                  </w:txbxContent>
                </v:textbox>
              </v:shape>
            </w:pict>
          </mc:Fallback>
        </mc:AlternateContent>
      </w:r>
      <w:r>
        <mc:AlternateContent>
          <mc:Choice Requires="wpg">
            <w:drawing>
              <wp:anchor xmlns:wp="http://schemas.openxmlformats.org/drawingml/2006/wordprocessingDrawing" xmlns:wp14="http://schemas.microsoft.com/office/word/2010/wordprocessingDrawing" distT="0" distB="0" distL="114300" distR="114300" simplePos="0" relativeHeight="251658250" behindDoc="0" locked="0" layoutInCell="1" allowOverlap="1">
                <wp:simplePos x="0" y="0"/>
                <wp:positionH relativeFrom="column">
                  <wp:posOffset>0</wp:posOffset>
                </wp:positionH>
                <wp:positionV relativeFrom="paragraph">
                  <wp:posOffset>495300</wp:posOffset>
                </wp:positionV>
                <wp:extent cx="8658225" cy="3890010"/>
                <wp:effectExtent l="0" t="0" r="0" b="0"/>
                <wp:wrapNone/>
                <wp:docPr id="36" name="_x0000_s103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3"/>
                        <a:srcRect l="6035" t="13768" r="6262" b="64503"/>
                        <a:stretch/>
                      </pic:blipFill>
                      <pic:spPr bwMode="auto">
                        <a:xfrm rot="21600000">
                          <a:off x="0" y="0"/>
                          <a:ext cx="8658225" cy="3890010"/>
                        </a:xfrm>
                        <a:prstGeom prst="rect">
                          <a:avLst/>
                        </a:prstGeom>
                        <a:noFill/>
                        <a:ln>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51658250;o:allowoverlap:true;o:allowincell:true;mso-position-horizontal-relative:text;margin-left:0.00pt;mso-position-horizontal:absolute;mso-position-vertical-relative:text;margin-top:39.00pt;mso-position-vertical:absolute;width:681.75pt;height:306.30pt;mso-wrap-distance-left:9.00pt;mso-wrap-distance-top:0.00pt;mso-wrap-distance-right:9.00pt;mso-wrap-distance-bottom:0.00pt;rotation:360;z-index:1;" stroked="f">
                <v:imagedata r:id="rId23" o:title=""/>
                <o:lock v:ext="edit" rotation="t"/>
              </v:shape>
            </w:pict>
          </mc:Fallback>
        </mc:AlternateContent>
      </w:r>
      <w:r>
        <w:rPr>
          <w:rFonts w:ascii="黑体" w:hAnsi="黑体" w:eastAsia="黑体"/>
          <w:sz w:val="28"/>
          <w:szCs w:val="28"/>
        </w:rPr>
        <w:t xml:space="preserve">借款还本付息计算表</w:t>
      </w:r>
      <w:r>
        <w:rPr>
          <w:rFonts w:ascii="黑体" w:hAnsi="黑体" w:eastAsia="黑体"/>
          <w:sz w:val="28"/>
          <w:szCs w:val="28"/>
        </w:rPr>
      </w:r>
      <w:r>
        <w:rPr>
          <w:rFonts w:ascii="黑体" w:hAnsi="黑体" w:eastAsia="黑体"/>
          <w:sz w:val="28"/>
          <w:szCs w:val="28"/>
        </w:rPr>
      </w:r>
    </w:p>
    <w:p>
      <w:pPr>
        <w:pStyle w:val="684"/>
        <w:pBdr/>
        <w:spacing w:line="600" w:lineRule="exact"/>
        <w:ind w:firstLine="640"/>
        <w:rPr>
          <w:rFonts w:eastAsia="仿宋_GB2312"/>
          <w:sz w:val="32"/>
          <w:szCs w:val="32"/>
        </w:rPr>
        <w:sectPr>
          <w:footnotePr/>
          <w:endnotePr/>
          <w:type w:val="nextPage"/>
          <w:pgSz w:h="11906" w:orient="portrait" w:w="16838"/>
          <w:pgMar w:top="1588" w:right="1701" w:bottom="1474" w:left="1701" w:header="851" w:footer="1134" w:gutter="0"/>
          <w:cols w:num="1" w:sep="0" w:space="1701" w:equalWidth="1"/>
        </w:sect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4.7</w:t>
      </w:r>
      <w:r>
        <w:rPr>
          <w:rFonts w:hint="eastAsia" w:eastAsia="仿宋_GB2312"/>
          <w:sz w:val="32"/>
          <w:szCs w:val="32"/>
        </w:rPr>
        <w:t xml:space="preserve">．</w:t>
      </w:r>
      <w:r>
        <w:rPr>
          <w:rFonts w:eastAsia="仿宋_GB2312"/>
          <w:sz w:val="32"/>
          <w:szCs w:val="32"/>
        </w:rPr>
        <w:t xml:space="preserve">财务可持续能力分析</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t xml:space="preserve">根据项目《财务计划现金流量表》，项目最终实现累计净现金流量471187.32万元，说明项目具有较强的资金平衡能力和财务生存能力，有足够的净现金流量维持正常运营，能实现财务可持续性。</w: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widowControl w:val="true"/>
        <w:pBdr/>
        <w:spacing w:before="412" w:line="192" w:lineRule="auto"/>
        <w:ind w:left="1066"/>
        <w:jc w:val="left"/>
        <w:outlineLvl w:val="0"/>
        <w:rPr>
          <w:rFonts w:hint="eastAsia" w:ascii="黑体" w:hAnsi="黑体" w:eastAsia="黑体" w:cs="微软雅黑"/>
          <w:bCs/>
          <w:spacing w:val="-6"/>
          <w:sz w:val="96"/>
          <w:szCs w:val="96"/>
        </w:rPr>
      </w:pPr>
      <w:r>
        <w:rPr>
          <w:rFonts w:hint="eastAsia" w:ascii="黑体" w:hAnsi="黑体" w:eastAsia="黑体" w:cs="微软雅黑"/>
          <w:bCs/>
          <w:spacing w:val="-6"/>
          <w:sz w:val="96"/>
          <w:szCs w:val="96"/>
        </w:rPr>
      </w:r>
      <w:r>
        <w:rPr>
          <w:rFonts w:hint="eastAsia" w:ascii="黑体" w:hAnsi="黑体" w:eastAsia="黑体" w:cs="微软雅黑"/>
          <w:bCs/>
          <w:spacing w:val="-6"/>
          <w:sz w:val="96"/>
          <w:szCs w:val="96"/>
        </w:rPr>
      </w:r>
    </w:p>
    <w:p>
      <w:pPr>
        <w:pStyle w:val="684"/>
        <w:widowControl w:val="true"/>
        <w:pBdr/>
        <w:spacing w:before="412" w:line="192" w:lineRule="auto"/>
        <w:ind w:left="1066"/>
        <w:jc w:val="left"/>
        <w:outlineLvl w:val="0"/>
        <w:rPr>
          <w:rFonts w:hint="eastAsia" w:ascii="黑体" w:hAnsi="黑体" w:eastAsia="黑体" w:cs="微软雅黑"/>
          <w:bCs/>
          <w:spacing w:val="-6"/>
          <w:sz w:val="96"/>
          <w:szCs w:val="96"/>
        </w:rPr>
      </w:pPr>
      <w:r>
        <w:rPr>
          <w:rFonts w:ascii="黑体" w:hAnsi="黑体" w:eastAsia="黑体" w:cs="微软雅黑"/>
          <w:bCs/>
          <w:spacing w:val="-6"/>
          <w:sz w:val="96"/>
          <w:szCs w:val="96"/>
        </w:rPr>
        <w:br w:type="column"/>
      </w:r>
      <w:r>
        <w:rPr>
          <w:rFonts w:hint="eastAsia" w:ascii="黑体" w:hAnsi="黑体" w:eastAsia="黑体" w:cs="微软雅黑"/>
          <w:bCs/>
          <w:spacing w:val="-6"/>
          <w:sz w:val="96"/>
          <w:szCs w:val="96"/>
        </w:rPr>
      </w:r>
      <w:r>
        <w:rPr>
          <w:rFonts w:hint="eastAsia" w:ascii="黑体" w:hAnsi="黑体" w:eastAsia="黑体" w:cs="微软雅黑"/>
          <w:bCs/>
          <w:spacing w:val="-6"/>
          <w:sz w:val="96"/>
          <w:szCs w:val="96"/>
        </w:rPr>
      </w:r>
    </w:p>
    <w:p>
      <w:pPr>
        <w:pStyle w:val="684"/>
        <w:widowControl w:val="true"/>
        <w:pBdr/>
        <w:spacing w:before="412" w:line="192" w:lineRule="auto"/>
        <w:ind w:left="1066"/>
        <w:jc w:val="left"/>
        <w:outlineLvl w:val="0"/>
        <w:rPr>
          <w:rFonts w:hint="eastAsia" w:ascii="黑体" w:hAnsi="黑体" w:eastAsia="黑体" w:cs="微软雅黑"/>
          <w:bCs/>
          <w:spacing w:val="-6"/>
          <w:sz w:val="96"/>
          <w:szCs w:val="96"/>
        </w:rPr>
      </w:pPr>
      <w:r>
        <w:rPr>
          <w:rFonts w:hint="eastAsia" w:ascii="黑体" w:hAnsi="黑体" w:eastAsia="黑体" w:cs="微软雅黑"/>
          <w:bCs/>
          <w:spacing w:val="-6"/>
          <w:sz w:val="96"/>
          <w:szCs w:val="96"/>
        </w:rPr>
      </w:r>
      <w:r>
        <w:rPr>
          <w:rFonts w:hint="eastAsia" w:ascii="黑体" w:hAnsi="黑体" w:eastAsia="黑体" w:cs="微软雅黑"/>
          <w:bCs/>
          <w:spacing w:val="-6"/>
          <w:sz w:val="96"/>
          <w:szCs w:val="96"/>
        </w:rPr>
      </w:r>
    </w:p>
    <w:p>
      <w:pPr>
        <w:pStyle w:val="684"/>
        <w:widowControl w:val="true"/>
        <w:pBdr/>
        <w:spacing w:before="412" w:line="192" w:lineRule="auto"/>
        <w:ind w:left="1066"/>
        <w:jc w:val="left"/>
        <w:outlineLvl w:val="0"/>
        <w:rPr>
          <w:rFonts w:hint="eastAsia" w:ascii="黑体" w:hAnsi="黑体" w:eastAsia="黑体" w:cs="微软雅黑"/>
          <w:bCs/>
          <w:spacing w:val="-6"/>
          <w:sz w:val="96"/>
          <w:szCs w:val="96"/>
        </w:rPr>
      </w:pPr>
      <w:r>
        <w:rPr>
          <w:rFonts w:hint="eastAsia" w:ascii="黑体" w:hAnsi="黑体" w:eastAsia="黑体" w:cs="微软雅黑"/>
          <w:bCs/>
          <w:spacing w:val="-6"/>
          <w:sz w:val="96"/>
          <w:szCs w:val="96"/>
        </w:rPr>
      </w:r>
      <w:r>
        <w:rPr>
          <w:rFonts w:hint="eastAsia" w:ascii="黑体" w:hAnsi="黑体" w:eastAsia="黑体" w:cs="微软雅黑"/>
          <w:bCs/>
          <w:spacing w:val="-6"/>
          <w:sz w:val="96"/>
          <w:szCs w:val="96"/>
        </w:rPr>
      </w:r>
    </w:p>
    <w:p>
      <w:pPr>
        <w:pStyle w:val="684"/>
        <w:widowControl w:val="true"/>
        <w:pBdr/>
        <w:spacing w:before="412" w:line="192" w:lineRule="auto"/>
        <w:ind w:left="1066"/>
        <w:jc w:val="left"/>
        <w:outlineLvl w:val="0"/>
        <w:rPr>
          <w:rFonts w:ascii="黑体" w:hAnsi="黑体" w:eastAsia="黑体" w:cs="微软雅黑"/>
          <w:bCs/>
          <w:spacing w:val="-6"/>
          <w:sz w:val="96"/>
          <w:szCs w:val="96"/>
        </w:rPr>
      </w:pPr>
      <w:r>
        <w:rPr>
          <w:rFonts w:ascii="黑体" w:hAnsi="黑体" w:eastAsia="黑体" w:cs="微软雅黑"/>
          <w:bCs/>
          <w:spacing w:val="-6"/>
          <w:sz w:val="96"/>
          <w:szCs w:val="96"/>
        </w:rPr>
        <w:t xml:space="preserve">第二部分 </w:t>
      </w:r>
      <w:r>
        <w:rPr>
          <w:rFonts w:hint="eastAsia" w:ascii="黑体" w:hAnsi="黑体" w:eastAsia="黑体" w:cs="微软雅黑"/>
          <w:bCs/>
          <w:spacing w:val="-6"/>
          <w:sz w:val="96"/>
          <w:szCs w:val="96"/>
        </w:rPr>
        <w:t xml:space="preserve"> </w:t>
      </w:r>
      <w:r>
        <w:rPr>
          <w:rFonts w:ascii="黑体" w:hAnsi="黑体" w:eastAsia="黑体" w:cs="微软雅黑"/>
          <w:bCs/>
          <w:spacing w:val="-6"/>
          <w:sz w:val="96"/>
          <w:szCs w:val="96"/>
        </w:rPr>
        <w:t xml:space="preserve">图集</w:t>
      </w:r>
      <w:r>
        <w:rPr>
          <w:rFonts w:ascii="黑体" w:hAnsi="黑体" w:eastAsia="黑体" w:cs="微软雅黑"/>
          <w:bCs/>
          <w:spacing w:val="-6"/>
          <w:sz w:val="96"/>
          <w:szCs w:val="96"/>
        </w:rPr>
      </w:r>
      <w:r>
        <w:rPr>
          <w:rFonts w:ascii="黑体" w:hAnsi="黑体" w:eastAsia="黑体" w:cs="微软雅黑"/>
          <w:bCs/>
          <w:spacing w:val="-6"/>
          <w:sz w:val="96"/>
          <w:szCs w:val="96"/>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jc w:val="center"/>
        <w:rPr>
          <w:rFonts w:hint="eastAsia" w:ascii="方正小标宋简体" w:eastAsia="方正小标宋简体"/>
          <w:sz w:val="44"/>
          <w:szCs w:val="44"/>
        </w:rPr>
      </w:pPr>
      <w:r>
        <w:rPr>
          <w:rFonts w:eastAsia="仿宋_GB2312"/>
          <w:sz w:val="32"/>
          <w:szCs w:val="32"/>
        </w:rPr>
        <w:br w:type="column"/>
      </w:r>
      <w:r>
        <w:rPr>
          <w:rFonts w:hint="eastAsia" w:ascii="方正小标宋简体" w:eastAsia="方正小标宋简体"/>
          <w:sz w:val="44"/>
          <w:szCs w:val="44"/>
        </w:rPr>
        <w:t xml:space="preserve">图集目录</w:t>
      </w:r>
      <w:r>
        <w:rPr>
          <w:rFonts w:hint="eastAsia" w:ascii="方正小标宋简体" w:eastAsia="方正小标宋简体"/>
          <w:sz w:val="44"/>
          <w:szCs w:val="44"/>
        </w:rPr>
      </w:r>
      <w:r>
        <w:rPr>
          <w:rFonts w:hint="eastAsia" w:ascii="方正小标宋简体" w:eastAsia="方正小标宋简体"/>
          <w:sz w:val="44"/>
          <w:szCs w:val="44"/>
        </w:rPr>
      </w:r>
    </w:p>
    <w:p>
      <w:pPr>
        <w:pStyle w:val="684"/>
        <w:pBdr/>
        <w:spacing w:line="600" w:lineRule="exact"/>
        <w:ind w:left="38"/>
        <w:rPr>
          <w:rFonts w:hint="eastAsia" w:ascii="仿宋_GB2312" w:hAnsi="宋体" w:eastAsia="仿宋_GB2312"/>
          <w:spacing w:val="-1"/>
          <w:sz w:val="32"/>
          <w:szCs w:val="32"/>
        </w:rPr>
      </w:pPr>
      <w:r>
        <w:rPr>
          <w:rFonts w:hint="eastAsia" w:ascii="仿宋_GB2312" w:hAnsi="宋体" w:eastAsia="仿宋_GB2312"/>
          <w:spacing w:val="-1"/>
          <w:sz w:val="32"/>
          <w:szCs w:val="32"/>
        </w:rPr>
      </w:r>
      <w:r>
        <w:rPr>
          <w:rFonts w:hint="eastAsia" w:ascii="仿宋_GB2312" w:hAnsi="宋体" w:eastAsia="仿宋_GB2312"/>
          <w:spacing w:val="-1"/>
          <w:sz w:val="32"/>
          <w:szCs w:val="32"/>
        </w:rPr>
      </w:r>
    </w:p>
    <w:p>
      <w:pPr>
        <w:pStyle w:val="684"/>
        <w:pBdr/>
        <w:spacing w:line="600" w:lineRule="exact"/>
        <w:ind w:hanging="636" w:left="674"/>
        <w:rPr>
          <w:rFonts w:eastAsia="仿宋_GB2312"/>
          <w:spacing w:val="-1"/>
          <w:sz w:val="32"/>
          <w:szCs w:val="32"/>
        </w:rPr>
      </w:pPr>
      <w:r>
        <w:rPr>
          <w:rFonts w:hint="eastAsia" w:eastAsia="仿宋_GB2312"/>
          <w:spacing w:val="-1"/>
          <w:sz w:val="32"/>
          <w:szCs w:val="32"/>
        </w:rPr>
        <w:t xml:space="preserve">0</w:t>
      </w:r>
      <w:r>
        <w:rPr>
          <w:rFonts w:eastAsia="仿宋_GB2312"/>
          <w:spacing w:val="-1"/>
          <w:sz w:val="32"/>
          <w:szCs w:val="32"/>
        </w:rPr>
        <w:t xml:space="preserve">1 </w:t>
      </w:r>
      <w:r>
        <w:rPr>
          <w:rFonts w:hint="eastAsia" w:eastAsia="仿宋_GB2312"/>
          <w:spacing w:val="-1"/>
          <w:sz w:val="32"/>
          <w:szCs w:val="32"/>
        </w:rPr>
        <w:t xml:space="preserve"> </w:t>
      </w:r>
      <w:r>
        <w:rPr>
          <w:rFonts w:eastAsia="仿宋_GB2312"/>
          <w:spacing w:val="-1"/>
          <w:sz w:val="32"/>
          <w:szCs w:val="32"/>
        </w:rPr>
        <w:t xml:space="preserve">遂宁市船山区充电基础设施发展规划（2024</w:t>
      </w:r>
      <w:r>
        <w:rPr>
          <w:rFonts w:hint="eastAsia" w:eastAsia="仿宋_GB2312"/>
          <w:spacing w:val="-1"/>
          <w:sz w:val="32"/>
          <w:szCs w:val="32"/>
        </w:rPr>
        <w:t xml:space="preserve">—</w:t>
      </w:r>
      <w:r>
        <w:rPr>
          <w:rFonts w:eastAsia="仿宋_GB2312"/>
          <w:spacing w:val="-1"/>
          <w:sz w:val="32"/>
          <w:szCs w:val="32"/>
        </w:rPr>
        <w:t xml:space="preserve">2040年）近期目标（一期）充换电设施布局规划图</w:t>
      </w:r>
      <w:r>
        <w:rPr>
          <w:rFonts w:eastAsia="仿宋_GB2312"/>
          <w:spacing w:val="-1"/>
          <w:sz w:val="32"/>
          <w:szCs w:val="32"/>
        </w:rPr>
      </w:r>
      <w:r>
        <w:rPr>
          <w:rFonts w:eastAsia="仿宋_GB2312"/>
          <w:spacing w:val="-1"/>
          <w:sz w:val="32"/>
          <w:szCs w:val="32"/>
        </w:rPr>
      </w:r>
    </w:p>
    <w:p>
      <w:pPr>
        <w:pStyle w:val="684"/>
        <w:pBdr/>
        <w:spacing w:line="600" w:lineRule="exact"/>
        <w:ind w:hanging="636" w:left="636"/>
        <w:rPr>
          <w:rFonts w:eastAsia="仿宋_GB2312"/>
          <w:spacing w:val="-1"/>
          <w:sz w:val="32"/>
          <w:szCs w:val="32"/>
        </w:rPr>
      </w:pPr>
      <w:r>
        <w:rPr>
          <w:rFonts w:hint="eastAsia" w:eastAsia="仿宋_GB2312"/>
          <w:spacing w:val="-1"/>
          <w:sz w:val="32"/>
          <w:szCs w:val="32"/>
        </w:rPr>
        <w:t xml:space="preserve">0</w:t>
      </w:r>
      <w:r>
        <w:rPr>
          <w:rFonts w:eastAsia="仿宋_GB2312"/>
          <w:spacing w:val="-1"/>
          <w:sz w:val="32"/>
          <w:szCs w:val="32"/>
        </w:rPr>
        <w:t xml:space="preserve">2 </w:t>
      </w:r>
      <w:r>
        <w:rPr>
          <w:rFonts w:hint="eastAsia" w:eastAsia="仿宋_GB2312"/>
          <w:spacing w:val="-1"/>
          <w:sz w:val="32"/>
          <w:szCs w:val="32"/>
        </w:rPr>
        <w:t xml:space="preserve"> </w:t>
      </w:r>
      <w:r>
        <w:rPr>
          <w:rFonts w:eastAsia="仿宋_GB2312"/>
          <w:spacing w:val="-1"/>
          <w:sz w:val="32"/>
          <w:szCs w:val="32"/>
        </w:rPr>
        <w:t xml:space="preserve">遂宁市船山区充电基础设施发展规划（2024</w:t>
      </w:r>
      <w:r>
        <w:rPr>
          <w:rFonts w:hint="eastAsia" w:eastAsia="仿宋_GB2312"/>
          <w:spacing w:val="-1"/>
          <w:sz w:val="32"/>
          <w:szCs w:val="32"/>
        </w:rPr>
        <w:t xml:space="preserve">—</w:t>
      </w:r>
      <w:r>
        <w:rPr>
          <w:rFonts w:eastAsia="仿宋_GB2312"/>
          <w:spacing w:val="-1"/>
          <w:sz w:val="32"/>
          <w:szCs w:val="32"/>
        </w:rPr>
        <w:t xml:space="preserve">2040年）远期目标（二期）充换电设施布局规划图</w:t>
      </w:r>
      <w:r>
        <w:rPr>
          <w:rFonts w:eastAsia="仿宋_GB2312"/>
          <w:spacing w:val="-1"/>
          <w:sz w:val="32"/>
          <w:szCs w:val="32"/>
        </w:rPr>
      </w:r>
      <w:r>
        <w:rPr>
          <w:rFonts w:eastAsia="仿宋_GB2312"/>
          <w:spacing w:val="-1"/>
          <w:sz w:val="32"/>
          <w:szCs w:val="32"/>
        </w:rPr>
      </w:r>
    </w:p>
    <w:p>
      <w:pPr>
        <w:pStyle w:val="684"/>
        <w:pBdr/>
        <w:spacing w:line="600" w:lineRule="exact"/>
        <w:ind w:hanging="636" w:left="636"/>
        <w:rPr>
          <w:rFonts w:eastAsia="仿宋_GB2312"/>
          <w:spacing w:val="-1"/>
          <w:sz w:val="32"/>
          <w:szCs w:val="32"/>
        </w:rPr>
      </w:pPr>
      <w:r>
        <w:rPr>
          <w:rFonts w:eastAsia="仿宋_GB2312"/>
          <w:spacing w:val="-1"/>
          <w:sz w:val="32"/>
          <w:szCs w:val="32"/>
        </w:rPr>
        <w:t xml:space="preserve">03</w:t>
      </w:r>
      <w:r>
        <w:rPr>
          <w:rFonts w:hint="eastAsia" w:eastAsia="仿宋_GB2312"/>
          <w:spacing w:val="-1"/>
          <w:sz w:val="32"/>
          <w:szCs w:val="32"/>
        </w:rPr>
        <w:t xml:space="preserve"> </w:t>
      </w:r>
      <w:r>
        <w:rPr>
          <w:rFonts w:eastAsia="仿宋_GB2312"/>
          <w:spacing w:val="-1"/>
          <w:sz w:val="32"/>
          <w:szCs w:val="32"/>
        </w:rPr>
        <w:t xml:space="preserve"> 遂宁市船山区充电基础设施发展规划（2024</w:t>
      </w:r>
      <w:r>
        <w:rPr>
          <w:rFonts w:hint="eastAsia" w:eastAsia="仿宋_GB2312"/>
          <w:spacing w:val="-1"/>
          <w:sz w:val="32"/>
          <w:szCs w:val="32"/>
        </w:rPr>
        <w:t xml:space="preserve">—</w:t>
      </w:r>
      <w:r>
        <w:rPr>
          <w:rFonts w:eastAsia="仿宋_GB2312"/>
          <w:spacing w:val="-1"/>
          <w:sz w:val="32"/>
          <w:szCs w:val="32"/>
        </w:rPr>
        <w:t xml:space="preserve">2040年）远景目标（三期）充换电设施布局规划图</w:t>
      </w:r>
      <w:r>
        <w:rPr>
          <w:rFonts w:eastAsia="仿宋_GB2312"/>
          <w:spacing w:val="-1"/>
          <w:sz w:val="32"/>
          <w:szCs w:val="32"/>
        </w:rPr>
      </w:r>
      <w:r>
        <w:rPr>
          <w:rFonts w:eastAsia="仿宋_GB2312"/>
          <w:spacing w:val="-1"/>
          <w:sz w:val="32"/>
          <w:szCs w:val="32"/>
        </w:rPr>
      </w:r>
    </w:p>
    <w:p>
      <w:pPr>
        <w:pStyle w:val="684"/>
        <w:pBdr/>
        <w:spacing w:line="600" w:lineRule="exact"/>
        <w:ind w:firstLine="640"/>
        <w:rPr>
          <w:rFonts w:eastAsia="仿宋_GB2312"/>
          <w:sz w:val="32"/>
          <w:szCs w:val="32"/>
        </w:rPr>
      </w:pP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br w:type="column"/>
      </w:r>
      <w:r>
        <w:rPr>
          <w:rFonts w:eastAsia="仿宋_GB2312"/>
          <w:sz w:val="32"/>
          <w:szCs w:val="32"/>
        </w:rPr>
        <w:t xml:space="preserve">01遂宁市船山区充电基础设施发展规划（2024</w:t>
      </w:r>
      <w:r>
        <w:rPr>
          <w:rFonts w:hint="eastAsia" w:eastAsia="仿宋_GB2312"/>
          <w:sz w:val="32"/>
          <w:szCs w:val="32"/>
        </w:rPr>
        <w:t xml:space="preserve">—</w:t>
      </w:r>
      <w:r>
        <w:rPr>
          <w:rFonts w:eastAsia="仿宋_GB2312"/>
          <w:sz w:val="32"/>
          <w:szCs w:val="32"/>
        </w:rPr>
        <w:t xml:space="preserve">2040年）近期目标（一期）充换电设施布局规划图</w:t>
      </w:r>
      <w:r>
        <w:rPr>
          <w:rFonts w:eastAsia="仿宋_GB2312"/>
          <w:sz w:val="32"/>
          <w:szCs w:val="32"/>
        </w:rPr>
      </w:r>
      <w:r>
        <w:rPr>
          <w:rFonts w:eastAsia="仿宋_GB2312"/>
          <w:sz w:val="32"/>
          <w:szCs w:val="32"/>
        </w:rPr>
      </w:r>
    </w:p>
    <w:p>
      <w:pPr>
        <w:pStyle w:val="684"/>
        <w:pBdr/>
        <w:spacing/>
        <w:ind/>
        <w:jc w:val="center"/>
        <w:rPr>
          <w:rFonts w:eastAsia="仿宋_GB2312"/>
          <w:sz w:val="32"/>
          <w:szCs w:val="32"/>
        </w:rPr>
      </w:pPr>
      <w:r>
        <w:rPr>
          <w:rFonts w:eastAsia="仿宋_GB2312"/>
          <w:sz w:val="32"/>
          <w:szCs w:val="32"/>
        </w:rPr>
        <mc:AlternateContent>
          <mc:Choice Requires="wpg">
            <w:drawing>
              <wp:inline xmlns:wp="http://schemas.openxmlformats.org/drawingml/2006/wordprocessingDrawing" distT="0" distB="0" distL="0" distR="0">
                <wp:extent cx="5605666" cy="3408743"/>
                <wp:effectExtent l="0" t="0" r="0" b="0"/>
                <wp:docPr id="37" name="_x0000_i106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4"/>
                        <a:stretch/>
                      </pic:blipFill>
                      <pic:spPr bwMode="auto">
                        <a:xfrm>
                          <a:off x="0" y="0"/>
                          <a:ext cx="5605666" cy="3408743"/>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41.39pt;height:268.40pt;mso-wrap-distance-left:0.00pt;mso-wrap-distance-top:0.00pt;mso-wrap-distance-right:0.00pt;mso-wrap-distance-bottom:0.00pt;z-index:1;" stroked="f">
                <v:imagedata r:id="rId24"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605666" cy="3477324"/>
                <wp:effectExtent l="0" t="0" r="0" b="0"/>
                <wp:docPr id="38" name="_x0000_i107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5"/>
                        <a:stretch/>
                      </pic:blipFill>
                      <pic:spPr bwMode="auto">
                        <a:xfrm>
                          <a:off x="0" y="0"/>
                          <a:ext cx="5605666" cy="347732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441.39pt;height:273.81pt;mso-wrap-distance-left:0.00pt;mso-wrap-distance-top:0.00pt;mso-wrap-distance-right:0.00pt;mso-wrap-distance-bottom:0.00pt;z-index:1;" stroked="f">
                <v:imagedata r:id="rId25"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68277" cy="4026014"/>
                <wp:effectExtent l="0" t="0" r="0" b="0"/>
                <wp:docPr id="39" name="_x0000_i107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6"/>
                        <a:stretch/>
                      </pic:blipFill>
                      <pic:spPr bwMode="auto">
                        <a:xfrm>
                          <a:off x="0" y="0"/>
                          <a:ext cx="5368277" cy="402601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22.70pt;height:317.01pt;mso-wrap-distance-left:0.00pt;mso-wrap-distance-top:0.00pt;mso-wrap-distance-right:0.00pt;mso-wrap-distance-bottom:0.00pt;z-index:1;" stroked="f">
                <v:imagedata r:id="rId26"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487162" cy="4114800"/>
                <wp:effectExtent l="0" t="0" r="0" b="0"/>
                <wp:docPr id="40" name="_x0000_i107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7"/>
                        <a:stretch/>
                      </pic:blipFill>
                      <pic:spPr bwMode="auto">
                        <a:xfrm>
                          <a:off x="0" y="0"/>
                          <a:ext cx="5487162" cy="41148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32.06pt;height:324.00pt;mso-wrap-distance-left:0.00pt;mso-wrap-distance-top:0.00pt;mso-wrap-distance-right:0.00pt;mso-wrap-distance-bottom:0.00pt;z-index:1;" stroked="f">
                <v:imagedata r:id="rId27"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487162" cy="4114800"/>
                <wp:effectExtent l="0" t="0" r="0" b="0"/>
                <wp:docPr id="41" name="_x0000_i107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8"/>
                        <a:stretch/>
                      </pic:blipFill>
                      <pic:spPr bwMode="auto">
                        <a:xfrm>
                          <a:off x="0" y="0"/>
                          <a:ext cx="5487162" cy="41148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432.06pt;height:324.00pt;mso-wrap-distance-left:0.00pt;mso-wrap-distance-top:0.00pt;mso-wrap-distance-right:0.00pt;mso-wrap-distance-bottom:0.00pt;z-index:1;" stroked="f">
                <v:imagedata r:id="rId28"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487162" cy="4114800"/>
                <wp:effectExtent l="0" t="0" r="0" b="0"/>
                <wp:docPr id="42" name="_x0000_i107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29"/>
                        <a:stretch/>
                      </pic:blipFill>
                      <pic:spPr bwMode="auto">
                        <a:xfrm>
                          <a:off x="0" y="0"/>
                          <a:ext cx="5487162" cy="41148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32.06pt;height:324.00pt;mso-wrap-distance-left:0.00pt;mso-wrap-distance-top:0.00pt;mso-wrap-distance-right:0.00pt;mso-wrap-distance-bottom:0.00pt;z-index:1;" stroked="f">
                <v:imagedata r:id="rId29"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487162" cy="4114800"/>
                <wp:effectExtent l="0" t="0" r="0" b="0"/>
                <wp:docPr id="43" name="_x0000_i107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0"/>
                        <a:stretch/>
                      </pic:blipFill>
                      <pic:spPr bwMode="auto">
                        <a:xfrm>
                          <a:off x="0" y="0"/>
                          <a:ext cx="5487162" cy="41148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32.06pt;height:324.00pt;mso-wrap-distance-left:0.00pt;mso-wrap-distance-top:0.00pt;mso-wrap-distance-right:0.00pt;mso-wrap-distance-bottom:0.00pt;z-index:1;" stroked="f">
                <v:imagedata r:id="rId30"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487162" cy="4114800"/>
                <wp:effectExtent l="0" t="0" r="0" b="0"/>
                <wp:docPr id="44" name="_x0000_i107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1"/>
                        <a:stretch/>
                      </pic:blipFill>
                      <pic:spPr bwMode="auto">
                        <a:xfrm>
                          <a:off x="0" y="0"/>
                          <a:ext cx="5487162" cy="41148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432.06pt;height:324.00pt;mso-wrap-distance-left:0.00pt;mso-wrap-distance-top:0.00pt;mso-wrap-distance-right:0.00pt;mso-wrap-distance-bottom:0.00pt;z-index:1;" stroked="f">
                <v:imagedata r:id="rId31"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486400" cy="4115943"/>
                <wp:effectExtent l="0" t="0" r="0" b="0"/>
                <wp:docPr id="45" name="_x0000_i107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2"/>
                        <a:stretch/>
                      </pic:blipFill>
                      <pic:spPr bwMode="auto">
                        <a:xfrm>
                          <a:off x="0" y="0"/>
                          <a:ext cx="5486400" cy="4115943"/>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432.00pt;height:324.09pt;mso-wrap-distance-left:0.00pt;mso-wrap-distance-top:0.00pt;mso-wrap-distance-right:0.00pt;mso-wrap-distance-bottom:0.00pt;z-index:1;" stroked="f">
                <v:imagedata r:id="rId32"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422392" cy="4066413"/>
                <wp:effectExtent l="0" t="0" r="0" b="0"/>
                <wp:docPr id="46" name="_x0000_i107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3"/>
                        <a:stretch/>
                      </pic:blipFill>
                      <pic:spPr bwMode="auto">
                        <a:xfrm>
                          <a:off x="0" y="0"/>
                          <a:ext cx="5422392" cy="4066413"/>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426.96pt;height:320.19pt;mso-wrap-distance-left:0.00pt;mso-wrap-distance-top:0.00pt;mso-wrap-distance-right:0.00pt;mso-wrap-distance-bottom:0.00pt;z-index:1;" stroked="f">
                <v:imagedata r:id="rId33"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486400" cy="4114800"/>
                <wp:effectExtent l="0" t="0" r="0" b="0"/>
                <wp:docPr id="47" name="_x0000_i107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4"/>
                        <a:stretch/>
                      </pic:blipFill>
                      <pic:spPr bwMode="auto">
                        <a:xfrm>
                          <a:off x="0" y="0"/>
                          <a:ext cx="5486400" cy="411480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432.00pt;height:324.00pt;mso-wrap-distance-left:0.00pt;mso-wrap-distance-top:0.00pt;mso-wrap-distance-right:0.00pt;mso-wrap-distance-bottom:0.00pt;z-index:1;" stroked="f">
                <v:imagedata r:id="rId34"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67528" cy="4028250"/>
                <wp:effectExtent l="0" t="0" r="0" b="0"/>
                <wp:docPr id="48" name="_x0000_i108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5"/>
                        <a:stretch/>
                      </pic:blipFill>
                      <pic:spPr bwMode="auto">
                        <a:xfrm>
                          <a:off x="0" y="0"/>
                          <a:ext cx="5367528" cy="402825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422.64pt;height:317.19pt;mso-wrap-distance-left:0.00pt;mso-wrap-distance-top:0.00pt;mso-wrap-distance-right:0.00pt;mso-wrap-distance-bottom:0.00pt;z-index:1;" stroked="f">
                <v:imagedata r:id="rId35"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67528" cy="4026395"/>
                <wp:effectExtent l="0" t="0" r="0" b="0"/>
                <wp:docPr id="49" name="_x0000_i108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6"/>
                        <a:stretch/>
                      </pic:blipFill>
                      <pic:spPr bwMode="auto">
                        <a:xfrm>
                          <a:off x="0" y="0"/>
                          <a:ext cx="5367528" cy="4026395"/>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422.64pt;height:317.04pt;mso-wrap-distance-left:0.00pt;mso-wrap-distance-top:0.00pt;mso-wrap-distance-right:0.00pt;mso-wrap-distance-bottom:0.00pt;z-index:1;" stroked="f">
                <v:imagedata r:id="rId36"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03520" cy="3977640"/>
                <wp:effectExtent l="0" t="0" r="0" b="0"/>
                <wp:docPr id="50" name="_x0000_i108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7"/>
                        <a:stretch/>
                      </pic:blipFill>
                      <pic:spPr bwMode="auto">
                        <a:xfrm>
                          <a:off x="0" y="0"/>
                          <a:ext cx="5303520" cy="397764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417.60pt;height:313.20pt;mso-wrap-distance-left:0.00pt;mso-wrap-distance-top:0.00pt;mso-wrap-distance-right:0.00pt;mso-wrap-distance-bottom:0.00pt;z-index:1;" stroked="f">
                <v:imagedata r:id="rId37" o:title=""/>
                <o:lock v:ext="edit" rotation="t"/>
              </v:shape>
            </w:pict>
          </mc:Fallback>
        </mc:AlternateContent>
      </w:r>
      <w:r>
        <w:rPr>
          <w:rFonts w:eastAsia="仿宋_GB2312"/>
          <w:sz w:val="32"/>
          <w:szCs w:val="32"/>
        </w:rPr>
      </w:r>
      <w:r>
        <w:rPr>
          <w:rFonts w:eastAsia="仿宋_GB2312"/>
          <w:sz w:val="32"/>
          <w:szCs w:val="32"/>
        </w:rPr>
      </w:r>
    </w:p>
    <w:p>
      <w:pPr>
        <w:pStyle w:val="684"/>
        <w:pBdr/>
        <w:spacing w:line="600" w:lineRule="exact"/>
        <w:ind w:firstLine="640"/>
        <w:rPr>
          <w:rFonts w:eastAsia="仿宋_GB2312"/>
          <w:sz w:val="32"/>
          <w:szCs w:val="32"/>
        </w:rPr>
      </w:pPr>
      <w:r>
        <w:rPr>
          <w:rFonts w:eastAsia="仿宋_GB2312"/>
          <w:sz w:val="32"/>
          <w:szCs w:val="32"/>
        </w:rPr>
        <w:br w:type="page" w:clear="all"/>
      </w:r>
      <w:r>
        <w:rPr>
          <w:rFonts w:eastAsia="仿宋_GB2312"/>
          <w:sz w:val="32"/>
          <w:szCs w:val="32"/>
        </w:rPr>
        <w:t xml:space="preserve">02遂宁市船山区充电基础设施发展规划（2024-2040年）远期目标（二期）充换电设施布局规划图</w:t>
      </w:r>
      <w:r>
        <w:rPr>
          <w:rFonts w:eastAsia="仿宋_GB2312"/>
          <w:sz w:val="32"/>
          <w:szCs w:val="32"/>
        </w:rPr>
      </w:r>
      <w:r>
        <w:rPr>
          <w:rFonts w:eastAsia="仿宋_GB2312"/>
          <w:sz w:val="32"/>
          <w:szCs w:val="32"/>
        </w:rPr>
      </w:r>
    </w:p>
    <w:p>
      <w:pPr>
        <w:pStyle w:val="684"/>
        <w:pBdr/>
        <w:spacing/>
        <w:ind/>
        <w:jc w:val="center"/>
        <w:rPr>
          <w:rFonts w:eastAsia="仿宋_GB2312"/>
          <w:sz w:val="32"/>
          <w:szCs w:val="32"/>
        </w:rPr>
      </w:pPr>
      <w:r>
        <w:rPr>
          <w:rFonts w:eastAsia="仿宋_GB2312"/>
          <w:sz w:val="32"/>
          <w:szCs w:val="32"/>
        </w:rPr>
        <mc:AlternateContent>
          <mc:Choice Requires="wpg">
            <w:drawing>
              <wp:inline xmlns:wp="http://schemas.openxmlformats.org/drawingml/2006/wordprocessingDrawing" distT="0" distB="0" distL="0" distR="0">
                <wp:extent cx="5294744" cy="3491370"/>
                <wp:effectExtent l="0" t="0" r="0" b="0"/>
                <wp:docPr id="51" name="_x0000_i108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8"/>
                        <a:stretch/>
                      </pic:blipFill>
                      <pic:spPr bwMode="auto">
                        <a:xfrm>
                          <a:off x="0" y="0"/>
                          <a:ext cx="5294744" cy="349137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16.91pt;height:274.91pt;mso-wrap-distance-left:0.00pt;mso-wrap-distance-top:0.00pt;mso-wrap-distance-right:0.00pt;mso-wrap-distance-bottom:0.00pt;z-index:1;" stroked="f">
                <v:imagedata r:id="rId38"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67528" cy="3799332"/>
                <wp:effectExtent l="0" t="0" r="0" b="0"/>
                <wp:docPr id="52" name="_x0000_i108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39"/>
                        <a:stretch/>
                      </pic:blipFill>
                      <pic:spPr bwMode="auto">
                        <a:xfrm>
                          <a:off x="0" y="0"/>
                          <a:ext cx="5367528" cy="3799332"/>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422.64pt;height:299.16pt;mso-wrap-distance-left:0.00pt;mso-wrap-distance-top:0.00pt;mso-wrap-distance-right:0.00pt;mso-wrap-distance-bottom:0.00pt;z-index:1;" stroked="f">
                <v:imagedata r:id="rId39"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67528" cy="4026014"/>
                <wp:effectExtent l="0" t="0" r="0" b="0"/>
                <wp:docPr id="53" name="_x0000_i108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0"/>
                        <a:stretch/>
                      </pic:blipFill>
                      <pic:spPr bwMode="auto">
                        <a:xfrm>
                          <a:off x="0" y="0"/>
                          <a:ext cx="5367528" cy="4026014"/>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422.64pt;height:317.01pt;mso-wrap-distance-left:0.00pt;mso-wrap-distance-top:0.00pt;mso-wrap-distance-right:0.00pt;mso-wrap-distance-bottom:0.00pt;z-index:1;" stroked="f">
                <v:imagedata r:id="rId40"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257800" cy="3945179"/>
                <wp:effectExtent l="0" t="0" r="0" b="0"/>
                <wp:docPr id="54" name="_x0000_i108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1"/>
                        <a:stretch/>
                      </pic:blipFill>
                      <pic:spPr bwMode="auto">
                        <a:xfrm>
                          <a:off x="0" y="0"/>
                          <a:ext cx="5257800" cy="394517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414.00pt;height:310.64pt;mso-wrap-distance-left:0.00pt;mso-wrap-distance-top:0.00pt;mso-wrap-distance-right:0.00pt;mso-wrap-distance-bottom:0.00pt;z-index:1;" stroked="f">
                <v:imagedata r:id="rId41"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03520" cy="3977640"/>
                <wp:effectExtent l="0" t="0" r="0" b="0"/>
                <wp:docPr id="55" name="_x0000_i108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2"/>
                        <a:stretch/>
                      </pic:blipFill>
                      <pic:spPr bwMode="auto">
                        <a:xfrm>
                          <a:off x="0" y="0"/>
                          <a:ext cx="5303520" cy="397764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417.60pt;height:313.20pt;mso-wrap-distance-left:0.00pt;mso-wrap-distance-top:0.00pt;mso-wrap-distance-right:0.00pt;mso-wrap-distance-bottom:0.00pt;z-index:1;" stroked="f">
                <v:imagedata r:id="rId42"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266576" cy="3950208"/>
                <wp:effectExtent l="0" t="0" r="0" b="0"/>
                <wp:docPr id="56" name="_x0000_i1088"/>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3"/>
                        <a:stretch/>
                      </pic:blipFill>
                      <pic:spPr bwMode="auto">
                        <a:xfrm>
                          <a:off x="0" y="0"/>
                          <a:ext cx="5266576" cy="3950208"/>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14.69pt;height:311.04pt;mso-wrap-distance-left:0.00pt;mso-wrap-distance-top:0.00pt;mso-wrap-distance-right:0.00pt;mso-wrap-distance-bottom:0.00pt;z-index:1;" stroked="f">
                <v:imagedata r:id="rId43"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30952" cy="3993579"/>
                <wp:effectExtent l="0" t="0" r="0" b="0"/>
                <wp:docPr id="57" name="_x0000_i1089"/>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4"/>
                        <a:stretch/>
                      </pic:blipFill>
                      <pic:spPr bwMode="auto">
                        <a:xfrm>
                          <a:off x="0" y="0"/>
                          <a:ext cx="5330952" cy="399357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19.76pt;height:314.46pt;mso-wrap-distance-left:0.00pt;mso-wrap-distance-top:0.00pt;mso-wrap-distance-right:0.00pt;mso-wrap-distance-bottom:0.00pt;z-index:1;" stroked="f">
                <v:imagedata r:id="rId44"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266576" cy="3950208"/>
                <wp:effectExtent l="0" t="0" r="0" b="0"/>
                <wp:docPr id="58" name="_x0000_i1090"/>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5"/>
                        <a:stretch/>
                      </pic:blipFill>
                      <pic:spPr bwMode="auto">
                        <a:xfrm>
                          <a:off x="0" y="0"/>
                          <a:ext cx="5266576" cy="3950208"/>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14.69pt;height:311.04pt;mso-wrap-distance-left:0.00pt;mso-wrap-distance-top:0.00pt;mso-wrap-distance-right:0.00pt;mso-wrap-distance-bottom:0.00pt;z-index:1;" stroked="f">
                <v:imagedata r:id="rId45"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86184" cy="4039362"/>
                <wp:effectExtent l="0" t="0" r="0" b="0"/>
                <wp:docPr id="59" name="_x0000_i1091"/>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6"/>
                        <a:stretch/>
                      </pic:blipFill>
                      <pic:spPr bwMode="auto">
                        <a:xfrm>
                          <a:off x="0" y="0"/>
                          <a:ext cx="5386184" cy="4039362"/>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8" o:spid="_x0000_s58" type="#_x0000_t75" style="width:424.11pt;height:318.06pt;mso-wrap-distance-left:0.00pt;mso-wrap-distance-top:0.00pt;mso-wrap-distance-right:0.00pt;mso-wrap-distance-bottom:0.00pt;z-index:1;" stroked="f">
                <v:imagedata r:id="rId46"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21808" cy="3997846"/>
                <wp:effectExtent l="0" t="0" r="0" b="0"/>
                <wp:docPr id="60" name="_x0000_i1092"/>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7"/>
                        <a:stretch/>
                      </pic:blipFill>
                      <pic:spPr bwMode="auto">
                        <a:xfrm>
                          <a:off x="0" y="0"/>
                          <a:ext cx="5321808" cy="3997846"/>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9" o:spid="_x0000_s59" type="#_x0000_t75" style="width:419.04pt;height:314.79pt;mso-wrap-distance-left:0.00pt;mso-wrap-distance-top:0.00pt;mso-wrap-distance-right:0.00pt;mso-wrap-distance-bottom:0.00pt;z-index:1;" stroked="f">
                <v:imagedata r:id="rId47"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86184" cy="4039362"/>
                <wp:effectExtent l="0" t="0" r="0" b="0"/>
                <wp:docPr id="61" name="_x0000_i1093"/>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8"/>
                        <a:stretch/>
                      </pic:blipFill>
                      <pic:spPr bwMode="auto">
                        <a:xfrm>
                          <a:off x="0" y="0"/>
                          <a:ext cx="5386184" cy="4039362"/>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0" o:spid="_x0000_s60" type="#_x0000_t75" style="width:424.11pt;height:318.06pt;mso-wrap-distance-left:0.00pt;mso-wrap-distance-top:0.00pt;mso-wrap-distance-right:0.00pt;mso-wrap-distance-bottom:0.00pt;z-index:1;" stroked="f">
                <v:imagedata r:id="rId48"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30952" cy="3997846"/>
                <wp:effectExtent l="0" t="0" r="0" b="0"/>
                <wp:docPr id="62" name="_x0000_i1094"/>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49"/>
                        <a:stretch/>
                      </pic:blipFill>
                      <pic:spPr bwMode="auto">
                        <a:xfrm>
                          <a:off x="0" y="0"/>
                          <a:ext cx="5330952" cy="3997846"/>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1" o:spid="_x0000_s61" type="#_x0000_t75" style="width:419.76pt;height:314.79pt;mso-wrap-distance-left:0.00pt;mso-wrap-distance-top:0.00pt;mso-wrap-distance-right:0.00pt;mso-wrap-distance-bottom:0.00pt;z-index:1;" stroked="f">
                <v:imagedata r:id="rId49"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5386184" cy="4039362"/>
                <wp:effectExtent l="0" t="0" r="0" b="0"/>
                <wp:docPr id="63" name="_x0000_i1095"/>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0"/>
                        <a:stretch/>
                      </pic:blipFill>
                      <pic:spPr bwMode="auto">
                        <a:xfrm>
                          <a:off x="0" y="0"/>
                          <a:ext cx="5386184" cy="4039362"/>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2" o:spid="_x0000_s62" type="#_x0000_t75" style="width:424.11pt;height:318.06pt;mso-wrap-distance-left:0.00pt;mso-wrap-distance-top:0.00pt;mso-wrap-distance-right:0.00pt;mso-wrap-distance-bottom:0.00pt;z-index:1;" stroked="f">
                <v:imagedata r:id="rId50" o:title=""/>
                <o:lock v:ext="edit" rotation="t"/>
              </v:shape>
            </w:pict>
          </mc:Fallback>
        </mc:AlternateContent>
      </w:r>
      <w:r>
        <w:rPr>
          <w:rFonts w:eastAsia="仿宋_GB2312"/>
          <w:sz w:val="32"/>
          <w:szCs w:val="32"/>
        </w:rPr>
      </w:r>
      <w:r>
        <w:rPr>
          <w:rFonts w:eastAsia="仿宋_GB2312"/>
          <w:sz w:val="32"/>
          <w:szCs w:val="32"/>
        </w:rPr>
      </w:r>
    </w:p>
    <w:p>
      <w:pPr>
        <w:pStyle w:val="684"/>
        <w:pBdr/>
        <w:spacing w:line="600" w:lineRule="exact"/>
        <w:ind w:firstLine="640"/>
        <w:rPr>
          <w:rFonts w:hint="eastAsia" w:eastAsia="仿宋_GB2312"/>
          <w:sz w:val="32"/>
          <w:szCs w:val="32"/>
        </w:rPr>
      </w:pPr>
      <w:r>
        <w:rPr>
          <w:rFonts w:eastAsia="仿宋_GB2312"/>
          <w:sz w:val="32"/>
          <w:szCs w:val="32"/>
        </w:rPr>
        <w:br w:type="page" w:clear="all"/>
      </w:r>
      <w:r>
        <w:rPr>
          <w:rFonts w:eastAsia="仿宋_GB2312"/>
          <w:sz w:val="32"/>
          <w:szCs w:val="32"/>
        </w:rPr>
        <w:t xml:space="preserve">03遂宁市船山区充电基础设施发展规划（2024-2040年）远景目标（三期）充换电设施布局规划图</w:t>
      </w:r>
      <w:r>
        <w:rPr>
          <w:rFonts w:hint="eastAsia" w:eastAsia="仿宋_GB2312"/>
          <w:sz w:val="32"/>
          <w:szCs w:val="32"/>
        </w:rPr>
      </w:r>
      <w:r>
        <w:rPr>
          <w:rFonts w:hint="eastAsia" w:eastAsia="仿宋_GB2312"/>
          <w:sz w:val="32"/>
          <w:szCs w:val="32"/>
        </w:rPr>
      </w:r>
    </w:p>
    <w:p>
      <w:pPr>
        <w:pStyle w:val="684"/>
        <w:pBdr/>
        <w:spacing/>
        <w:ind/>
        <w:jc w:val="center"/>
        <w:rPr>
          <w:rFonts w:hint="eastAsia" w:eastAsia="仿宋_GB2312"/>
          <w:sz w:val="32"/>
          <w:szCs w:val="32"/>
        </w:rPr>
      </w:pPr>
      <w:r>
        <w:rPr>
          <w:rFonts w:eastAsia="仿宋_GB2312"/>
          <w:sz w:val="32"/>
          <w:szCs w:val="32"/>
        </w:rPr>
        <mc:AlternateContent>
          <mc:Choice Requires="wpg">
            <w:drawing>
              <wp:inline xmlns:wp="http://schemas.openxmlformats.org/drawingml/2006/wordprocessingDrawing" distT="0" distB="0" distL="0" distR="0">
                <wp:extent cx="4992281" cy="3737610"/>
                <wp:effectExtent l="0" t="0" r="0" b="0"/>
                <wp:docPr id="64" name="_x0000_i1096"/>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1"/>
                        <a:stretch/>
                      </pic:blipFill>
                      <pic:spPr bwMode="auto">
                        <a:xfrm>
                          <a:off x="0" y="0"/>
                          <a:ext cx="4992281" cy="373761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3" o:spid="_x0000_s63" type="#_x0000_t75" style="width:393.09pt;height:294.30pt;mso-wrap-distance-left:0.00pt;mso-wrap-distance-top:0.00pt;mso-wrap-distance-right:0.00pt;mso-wrap-distance-bottom:0.00pt;z-index:1;" stroked="f">
                <v:imagedata r:id="rId51" o:title=""/>
                <o:lock v:ext="edit" rotation="t"/>
              </v:shape>
            </w:pict>
          </mc:Fallback>
        </mc:AlternateContent>
      </w:r>
      <w:r>
        <w:rPr>
          <w:rFonts w:eastAsia="仿宋_GB2312"/>
          <w:sz w:val="32"/>
          <w:szCs w:val="32"/>
        </w:rPr>
        <mc:AlternateContent>
          <mc:Choice Requires="wpg">
            <w:drawing>
              <wp:inline xmlns:wp="http://schemas.openxmlformats.org/drawingml/2006/wordprocessingDrawing" distT="0" distB="0" distL="0" distR="0">
                <wp:extent cx="4992281" cy="3744468"/>
                <wp:effectExtent l="0" t="0" r="0" b="0"/>
                <wp:docPr id="65" name="_x0000_i1097"/>
                <wp:cNvGraphicFramePr/>
                <a:graphic xmlns:a="http://schemas.openxmlformats.org/drawingml/2006/main">
                  <a:graphicData uri="http://schemas.openxmlformats.org/drawingml/2006/picture">
                    <pic:pic xmlns:pic="http://schemas.openxmlformats.org/drawingml/2006/picture">
                      <pic:nvPicPr>
                        <pic:cNvPr id="0" name=""/>
                        <pic:cNvPicPr/>
                        <pic:nvPr/>
                      </pic:nvPicPr>
                      <pic:blipFill>
                        <a:blip r:embed="rId52"/>
                        <a:stretch/>
                      </pic:blipFill>
                      <pic:spPr bwMode="auto">
                        <a:xfrm>
                          <a:off x="0" y="0"/>
                          <a:ext cx="4992281" cy="3744468"/>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4" o:spid="_x0000_s64" type="#_x0000_t75" style="width:393.09pt;height:294.84pt;mso-wrap-distance-left:0.00pt;mso-wrap-distance-top:0.00pt;mso-wrap-distance-right:0.00pt;mso-wrap-distance-bottom:0.00pt;z-index:1;" stroked="f">
                <v:imagedata r:id="rId52" o:title=""/>
                <o:lock v:ext="edit" rotation="t"/>
              </v:shape>
            </w:pict>
          </mc:Fallback>
        </mc:AlternateContent>
      </w:r>
      <w:r>
        <w:rPr>
          <w:rFonts w:eastAsia="仿宋_GB2312"/>
          <w:sz w:val="32"/>
          <w:szCs w:val="32"/>
        </w:rPr>
        <w:br w:type="page" w:clear="all"/>
      </w: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line="240" w:lineRule="exact"/>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hint="eastAsia" w:eastAsia="仿宋_GB2312"/>
          <w:sz w:val="32"/>
          <w:szCs w:val="32"/>
        </w:rPr>
      </w:pPr>
      <w:r>
        <w:rPr>
          <w:rFonts w:hint="eastAsia" w:eastAsia="仿宋_GB2312"/>
          <w:sz w:val="32"/>
          <w:szCs w:val="32"/>
        </w:rPr>
      </w:r>
      <w:r>
        <w:rPr>
          <w:rFonts w:hint="eastAsia" w:eastAsia="仿宋_GB2312"/>
          <w:sz w:val="32"/>
          <w:szCs w:val="32"/>
        </w:rPr>
      </w:r>
    </w:p>
    <w:p>
      <w:pPr>
        <w:pStyle w:val="684"/>
        <w:pBdr/>
        <w:spacing/>
        <w:ind/>
        <w:rPr>
          <w:rFonts w:eastAsia="方正小标宋简体"/>
        </w:rPr>
      </w:pPr>
      <w:r>
        <w:rPr>
          <w:rFonts w:eastAsia="黑体"/>
          <w:sz w:val="30"/>
          <w:szCs w:val="30"/>
        </w:rPr>
        <w:t xml:space="preserve">信息公开选项：</w:t>
      </w:r>
      <w:r>
        <w:rPr>
          <w:rFonts w:eastAsia="方正小标宋简体"/>
          <w:sz w:val="30"/>
          <w:szCs w:val="30"/>
        </w:rPr>
        <w:t xml:space="preserve">主动公开</w:t>
      </w:r>
      <w:r>
        <w:rPr>
          <w:rFonts w:eastAsia="方正小标宋简体"/>
        </w:rPr>
      </w:r>
      <w:r>
        <w:rPr>
          <w:rFonts w:eastAsia="方正小标宋简体"/>
        </w:rPr>
      </w:r>
    </w:p>
    <w:p>
      <w:pPr>
        <w:pStyle w:val="684"/>
        <w:pBdr/>
        <w:spacing/>
        <w:ind w:firstLine="280"/>
        <w:rPr>
          <w:rFonts w:eastAsia="仿宋_GB2312"/>
          <w:sz w:val="28"/>
          <w:szCs w:val="28"/>
        </w:rPr>
      </w:pPr>
      <w:r>
        <w:rPr>
          <w:rFonts w:eastAsia="仿宋_GB2312"/>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53" behindDoc="0" locked="0" layoutInCell="1" allowOverlap="1">
                <wp:simplePos x="0" y="0"/>
                <wp:positionH relativeFrom="column">
                  <wp:posOffset>1270</wp:posOffset>
                </wp:positionH>
                <wp:positionV relativeFrom="paragraph">
                  <wp:posOffset>11430</wp:posOffset>
                </wp:positionV>
                <wp:extent cx="5601335" cy="0"/>
                <wp:effectExtent l="0" t="0" r="0" b="0"/>
                <wp:wrapNone/>
                <wp:docPr id="66" name="_x0000_s1042"/>
                <wp:cNvGraphicFramePr/>
                <a:graphic xmlns:a="http://schemas.openxmlformats.org/drawingml/2006/main">
                  <a:graphicData uri="http://schemas.microsoft.com/office/word/2010/wordprocessingShape">
                    <wps:wsp>
                      <wps:cNvPr id="0" name=""/>
                      <wps:cNvSpPr/>
                      <wps:spPr bwMode="auto">
                        <a:xfrm>
                          <a:off x="0" y="0"/>
                          <a:ext cx="5601335" cy="0"/>
                        </a:xfrm>
                        <a:prstGeom prst="line">
                          <a:avLst/>
                        </a:prstGeom>
                        <a:noFill/>
                        <a:ln>
                          <a:solidFill>
                            <a:srgbClr val="000000"/>
                          </a:solidFill>
                        </a:ln>
                      </wps:spPr>
                      <wps:bodyPr rot="0">
                        <a:prstTxWarp prst="textNoShape">
                          <a:avLst/>
                        </a:prstTxWarp>
                        <a:noAutofit/>
                      </wps:bodyPr>
                    </wps:wsp>
                  </a:graphicData>
                </a:graphic>
              </wp:anchor>
            </w:drawing>
          </mc:Choice>
          <mc:Fallback>
            <w:pict>
              <v:line id="shape 65" o:spid="_x0000_s65" style="position:absolute;left:0;text-align:left;z-index:251658253;mso-wrap-distance-left:9.00pt;mso-wrap-distance-top:0.00pt;mso-wrap-distance-right:9.00pt;mso-wrap-distance-bottom:0.00pt;visibility:visible;" from="0.1pt,0.9pt" to="441.1pt,0.9pt" filled="f" strokecolor="#000000"/>
            </w:pict>
          </mc:Fallback>
        </mc:AlternateContent>
      </w:r>
      <w:r>
        <w:rPr>
          <w:rFonts w:eastAsia="仿宋_GB2312"/>
          <w:sz w:val="28"/>
          <w:szCs w:val="28"/>
        </w:rPr>
        <mc:AlternateContent>
          <mc:Choice Requires="wpg">
            <w:drawing>
              <wp:anchor xmlns:wp="http://schemas.openxmlformats.org/drawingml/2006/wordprocessingDrawing" xmlns:wp14="http://schemas.microsoft.com/office/word/2010/wordprocessingDrawing" distT="0" distB="0" distL="114300" distR="114300" simplePos="0" relativeHeight="251658252" behindDoc="0" locked="0" layoutInCell="1" allowOverlap="1">
                <wp:simplePos x="0" y="0"/>
                <wp:positionH relativeFrom="column">
                  <wp:posOffset>3810</wp:posOffset>
                </wp:positionH>
                <wp:positionV relativeFrom="paragraph">
                  <wp:posOffset>398145</wp:posOffset>
                </wp:positionV>
                <wp:extent cx="5601335" cy="0"/>
                <wp:effectExtent l="0" t="0" r="0" b="0"/>
                <wp:wrapNone/>
                <wp:docPr id="67" name="_x0000_s1041"/>
                <wp:cNvGraphicFramePr/>
                <a:graphic xmlns:a="http://schemas.openxmlformats.org/drawingml/2006/main">
                  <a:graphicData uri="http://schemas.microsoft.com/office/word/2010/wordprocessingShape">
                    <wps:wsp>
                      <wps:cNvPr id="0" name=""/>
                      <wps:cNvSpPr/>
                      <wps:spPr bwMode="auto">
                        <a:xfrm>
                          <a:off x="0" y="0"/>
                          <a:ext cx="5601335" cy="0"/>
                        </a:xfrm>
                        <a:prstGeom prst="line">
                          <a:avLst/>
                        </a:prstGeom>
                        <a:noFill/>
                        <a:ln>
                          <a:solidFill>
                            <a:srgbClr val="000000"/>
                          </a:solidFill>
                        </a:ln>
                      </wps:spPr>
                      <wps:bodyPr rot="0">
                        <a:prstTxWarp prst="textNoShape">
                          <a:avLst/>
                        </a:prstTxWarp>
                        <a:noAutofit/>
                      </wps:bodyPr>
                    </wps:wsp>
                  </a:graphicData>
                </a:graphic>
              </wp:anchor>
            </w:drawing>
          </mc:Choice>
          <mc:Fallback>
            <w:pict>
              <v:line id="shape 66" o:spid="_x0000_s66" style="position:absolute;left:0;text-align:left;z-index:251658252;mso-wrap-distance-left:9.00pt;mso-wrap-distance-top:0.00pt;mso-wrap-distance-right:9.00pt;mso-wrap-distance-bottom:0.00pt;visibility:visible;" from="0.3pt,31.3pt" to="441.3pt,31.3pt" filled="f" strokecolor="#000000"/>
            </w:pict>
          </mc:Fallback>
        </mc:AlternateContent>
      </w:r>
      <w:r>
        <w:rPr>
          <w:rFonts w:eastAsia="仿宋_GB2312"/>
          <w:sz w:val="28"/>
          <w:szCs w:val="28"/>
        </w:rPr>
        <w:t xml:space="preserve">遂宁市船山区人民政府办公室　           2024年10月1</w:t>
      </w:r>
      <w:r>
        <w:rPr>
          <w:rFonts w:hint="eastAsia" w:eastAsia="仿宋_GB2312"/>
          <w:sz w:val="28"/>
          <w:szCs w:val="28"/>
        </w:rPr>
        <w:t xml:space="preserve">8</w:t>
      </w:r>
      <w:r>
        <w:rPr>
          <w:rFonts w:eastAsia="仿宋_GB2312"/>
          <w:sz w:val="28"/>
          <w:szCs w:val="28"/>
        </w:rPr>
        <w:t xml:space="preserve">日印发  </w:t>
      </w:r>
      <w:r>
        <w:rPr>
          <w:rFonts w:eastAsia="仿宋_GB2312"/>
          <w:sz w:val="28"/>
          <w:szCs w:val="28"/>
        </w:rPr>
      </w:r>
    </w:p>
    <w:sectPr>
      <w:footnotePr/>
      <w:endnotePr/>
      <w:type w:val="nextPage"/>
      <w:pgSz w:h="16838" w:orient="landscape" w:w="11906"/>
      <w:pgMar w:top="1701" w:right="1474" w:bottom="1701" w:left="1588" w:header="851" w:footer="1134" w:gutter="0"/>
      <w:cols w:num="1" w:sep="0" w:space="1701"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after="0" w:line="240" w:lineRule="auto"/>
        <w:ind/>
        <w:rPr/>
      </w:pPr>
      <w:r/>
      <w:r>
        <w:separator/>
      </w:r>
      <w:r/>
    </w:p>
  </w:endnote>
  <w:endnote w:type="continuationSeparator" w:id="0">
    <w:p>
      <w:pPr>
        <w:pBdr/>
        <w:spacing w:after="0" w:line="240" w:lineRule="auto"/>
        <w:ind/>
        <w:rPr/>
      </w:pPr>
      <w: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楷体_GB2312">
    <w:panose1 w:val="02010609030101010101"/>
  </w:font>
  <w:font w:name="方正小标宋简体">
    <w:panose1 w:val="03000509000000000000"/>
  </w:font>
  <w:font w:name="仿宋_GB2312">
    <w:panose1 w:val="02010609030101010101"/>
  </w:font>
  <w:font w:name="黑体">
    <w:panose1 w:val="02010609060101010101"/>
  </w:font>
  <w:font w:name="微软雅黑">
    <w:panose1 w:val="020B0503020204020204"/>
  </w:font>
  <w:font w:name="Arial">
    <w:panose1 w:val="020B0604020202020204"/>
  </w:font>
  <w:font w:name="等线">
    <w:panose1 w:val="02010600030101010101"/>
  </w:font>
  <w:font w:name="宋体">
    <w:panose1 w:val="02010600030101010101"/>
  </w:font>
  <w:font w:name="Times New Roman">
    <w:panose1 w:val="020206030504050203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690"/>
      <w:pBdr/>
      <w:tabs>
        <w:tab w:val="center" w:leader="none" w:pos="4153"/>
        <w:tab w:val="right" w:leader="none" w:pos="8306"/>
      </w:tabs>
      <w:spacing/>
      <w:ind w:right="360" w:firstLine="360"/>
      <w:jc w:val="right"/>
      <w:rPr>
        <w:sz w:val="28"/>
        <w:szCs w:val="28"/>
      </w:rPr>
    </w:pPr>
    <w:r>
      <w:rPr>
        <w:sz w:val="28"/>
        <w:szCs w:val="28"/>
      </w:rPr>
      <w:t xml:space="preserve">— </w:t>
    </w:r>
    <w:r>
      <w:rPr>
        <w:sz w:val="28"/>
        <w:szCs w:val="28"/>
      </w:rPr>
      <w:fldChar w:fldCharType="begin"/>
    </w:r>
    <w:r>
      <w:rPr>
        <w:sz w:val="28"/>
        <w:szCs w:val="28"/>
      </w:rPr>
      <w:instrText xml:space="preserve"> PAGE </w:instrText>
    </w:r>
    <w:r>
      <w:rPr>
        <w:sz w:val="28"/>
        <w:szCs w:val="28"/>
      </w:rPr>
      <w:fldChar w:fldCharType="separate"/>
    </w:r>
    <w:r>
      <w:rPr>
        <w:sz w:val="28"/>
        <w:szCs w:val="28"/>
      </w:rPr>
      <w:t xml:space="preserve">3</w:t>
    </w:r>
    <w:r>
      <w:rPr>
        <w:sz w:val="28"/>
        <w:szCs w:val="28"/>
      </w:rPr>
      <w:fldChar w:fldCharType="end"/>
    </w:r>
    <w:r>
      <w:rPr>
        <w:sz w:val="28"/>
        <w:szCs w:val="28"/>
      </w:rPr>
      <w:t xml:space="preserve"> —</w:t>
    </w:r>
    <w:r>
      <w:rPr>
        <w:sz w:val="28"/>
        <w:szCs w:val="28"/>
      </w:rPr>
    </w:r>
    <w:r>
      <w:rPr>
        <w:sz w:val="28"/>
        <w:szCs w:val="28"/>
      </w:rP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690"/>
      <w:pBdr/>
      <w:tabs>
        <w:tab w:val="center" w:leader="none" w:pos="4153"/>
        <w:tab w:val="right" w:leader="none" w:pos="8306"/>
      </w:tabs>
      <w:spacing/>
      <w:ind w:right="360" w:firstLine="360"/>
      <w:rPr>
        <w:sz w:val="28"/>
        <w:szCs w:val="28"/>
      </w:rPr>
    </w:pPr>
    <w:r>
      <w:rPr>
        <w:sz w:val="28"/>
        <w:szCs w:val="28"/>
      </w:rPr>
      <w:t xml:space="preserve">— </w:t>
    </w:r>
    <w:r>
      <w:rPr>
        <w:sz w:val="28"/>
        <w:szCs w:val="28"/>
      </w:rPr>
      <w:fldChar w:fldCharType="begin"/>
    </w:r>
    <w:r>
      <w:rPr>
        <w:sz w:val="28"/>
        <w:szCs w:val="28"/>
      </w:rPr>
      <w:instrText xml:space="preserve"> PAGE </w:instrText>
    </w:r>
    <w:r>
      <w:rPr>
        <w:sz w:val="28"/>
        <w:szCs w:val="28"/>
      </w:rPr>
      <w:fldChar w:fldCharType="separate"/>
    </w:r>
    <w:r>
      <w:rPr>
        <w:sz w:val="28"/>
        <w:szCs w:val="28"/>
      </w:rPr>
      <w:t xml:space="preserve">2</w:t>
    </w:r>
    <w:r>
      <w:rPr>
        <w:sz w:val="28"/>
        <w:szCs w:val="28"/>
      </w:rPr>
      <w:fldChar w:fldCharType="end"/>
    </w:r>
    <w:r>
      <w:rPr>
        <w:sz w:val="28"/>
        <w:szCs w:val="28"/>
      </w:rPr>
      <w:t xml:space="preserve"> —</w:t>
    </w:r>
    <w:r>
      <w:rPr>
        <w:sz w:val="28"/>
        <w:szCs w:val="28"/>
      </w:rPr>
    </w:r>
    <w:r>
      <w:rPr>
        <w:sz w:val="28"/>
        <w:szCs w:val="28"/>
      </w:rP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690"/>
      <w:pBdr/>
      <w:tabs>
        <w:tab w:val="center" w:leader="none" w:pos="4153"/>
        <w:tab w:val="right" w:leader="none" w:pos="8306"/>
      </w:tabs>
      <w:spacing/>
      <w:ind w:right="360" w:firstLine="360"/>
      <w:jc w:val="right"/>
      <w:rPr>
        <w:sz w:val="28"/>
        <w:szCs w:val="28"/>
      </w:rPr>
    </w:pPr>
    <w:r>
      <w:rPr>
        <w:sz w:val="28"/>
        <w:szCs w:val="28"/>
      </w:rPr>
      <w:t xml:space="preserve">— </w:t>
    </w:r>
    <w:r>
      <w:rPr>
        <w:sz w:val="28"/>
        <w:szCs w:val="28"/>
      </w:rPr>
      <w:fldChar w:fldCharType="begin"/>
    </w:r>
    <w:r>
      <w:rPr>
        <w:sz w:val="28"/>
        <w:szCs w:val="28"/>
      </w:rPr>
      <w:instrText xml:space="preserve"> PAGE </w:instrText>
    </w:r>
    <w:r>
      <w:rPr>
        <w:sz w:val="28"/>
        <w:szCs w:val="28"/>
      </w:rPr>
      <w:fldChar w:fldCharType="separate"/>
    </w:r>
    <w:r>
      <w:rPr>
        <w:sz w:val="28"/>
        <w:szCs w:val="28"/>
      </w:rPr>
      <w:t xml:space="preserve">5</w:t>
    </w:r>
    <w:r>
      <w:rPr>
        <w:sz w:val="28"/>
        <w:szCs w:val="28"/>
      </w:rPr>
      <w:fldChar w:fldCharType="end"/>
    </w:r>
    <w:r>
      <w:rPr>
        <w:sz w:val="28"/>
        <w:szCs w:val="28"/>
      </w:rPr>
      <w:t xml:space="preserve"> —</w:t>
    </w:r>
    <w:r>
      <w:rPr>
        <w:sz w:val="28"/>
        <w:szCs w:val="28"/>
      </w:rPr>
    </w:r>
    <w:r>
      <w:rPr>
        <w:sz w:val="28"/>
        <w:szCs w:val="28"/>
      </w:rPr>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690"/>
      <w:pBdr/>
      <w:tabs>
        <w:tab w:val="center" w:leader="none" w:pos="4153"/>
        <w:tab w:val="right" w:leader="none" w:pos="8306"/>
      </w:tabs>
      <w:spacing/>
      <w:ind w:right="360" w:firstLine="360"/>
      <w:rPr>
        <w:sz w:val="28"/>
        <w:szCs w:val="28"/>
      </w:rPr>
    </w:pPr>
    <w:r>
      <w:rPr>
        <w:sz w:val="28"/>
        <w:szCs w:val="28"/>
      </w:rPr>
      <w:t xml:space="preserve">— </w:t>
    </w:r>
    <w:r>
      <w:rPr>
        <w:sz w:val="28"/>
        <w:szCs w:val="28"/>
      </w:rPr>
      <w:fldChar w:fldCharType="begin"/>
    </w:r>
    <w:r>
      <w:rPr>
        <w:sz w:val="28"/>
        <w:szCs w:val="28"/>
      </w:rPr>
      <w:instrText xml:space="preserve"> PAGE </w:instrText>
    </w:r>
    <w:r>
      <w:rPr>
        <w:sz w:val="28"/>
        <w:szCs w:val="28"/>
      </w:rPr>
      <w:fldChar w:fldCharType="separate"/>
    </w:r>
    <w:r>
      <w:rPr>
        <w:sz w:val="28"/>
        <w:szCs w:val="28"/>
      </w:rPr>
      <w:t xml:space="preserve">88</w:t>
    </w:r>
    <w:r>
      <w:rPr>
        <w:sz w:val="28"/>
        <w:szCs w:val="28"/>
      </w:rPr>
      <w:fldChar w:fldCharType="end"/>
    </w:r>
    <w:r>
      <w:rPr>
        <w:sz w:val="28"/>
        <w:szCs w:val="28"/>
      </w:rPr>
      <w:t xml:space="preserve"> —</w:t>
    </w:r>
    <w:r>
      <w:rPr>
        <w:sz w:val="28"/>
        <w:szCs w:val="28"/>
      </w:rPr>
    </w:r>
    <w:r>
      <w:rPr>
        <w:sz w:val="28"/>
        <w:szCs w:val="28"/>
      </w:rP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after="0" w:line="240" w:lineRule="auto"/>
        <w:ind/>
        <w:rPr/>
      </w:pPr>
      <w:r/>
      <w:r>
        <w:separator/>
      </w:r>
      <w:r/>
    </w:p>
  </w:footnote>
  <w:footnote w:type="continuationSeparator" w:id="0">
    <w:p>
      <w:pPr>
        <w:pBdr/>
        <w:spacing w:after="0" w:line="240" w:lineRule="auto"/>
        <w:ind/>
        <w:rPr/>
      </w:pPr>
      <w:r/>
      <w:r>
        <w:continuationSeparator/>
      </w: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420"/>
  <w:evenAndOddHeaders w:val="true"/>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balanceSingleByteDoubleByteWidth w:val="true"/>
    <w:ulTrailSpace w:val="tru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imes New Roman" w:hAnsi="Times New Roman" w:eastAsia="宋体" w:cs="Times New Roman"/>
      </w:rPr>
    </w:rPrDefault>
    <w:pPrDefault>
      <w:pPr>
        <w:pBdr/>
        <w:spacing/>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styleId="13">
    <w:name w:val="Heading 1"/>
    <w:basedOn w:val="684"/>
    <w:next w:val="684"/>
    <w:link w:val="14"/>
    <w:uiPriority w:val="9"/>
    <w:qFormat/>
    <w:pPr>
      <w:keepNext w:val="true"/>
      <w:keepLines w:val="true"/>
      <w:pBdr/>
      <w:spacing w:after="200" w:before="480"/>
      <w:ind/>
      <w:outlineLvl w:val="0"/>
    </w:pPr>
    <w:rPr>
      <w:rFonts w:ascii="等线" w:hAnsi="等线" w:eastAsia="等线" w:cs="等线"/>
      <w:sz w:val="40"/>
      <w:szCs w:val="40"/>
    </w:rPr>
  </w:style>
  <w:style w:type="character" w:styleId="14">
    <w:name w:val="Heading 1 Char"/>
    <w:basedOn w:val="11"/>
    <w:link w:val="13"/>
    <w:uiPriority w:val="9"/>
    <w:pPr>
      <w:pBdr/>
      <w:spacing/>
      <w:ind/>
    </w:pPr>
    <w:rPr>
      <w:rFonts w:ascii="等线" w:hAnsi="等线" w:eastAsia="等线" w:cs="等线"/>
      <w:sz w:val="40"/>
      <w:szCs w:val="40"/>
    </w:rPr>
  </w:style>
  <w:style w:type="paragraph" w:styleId="15">
    <w:name w:val="Heading 2"/>
    <w:basedOn w:val="684"/>
    <w:next w:val="684"/>
    <w:link w:val="16"/>
    <w:uiPriority w:val="9"/>
    <w:unhideWhenUsed/>
    <w:qFormat/>
    <w:pPr>
      <w:keepNext w:val="true"/>
      <w:keepLines w:val="true"/>
      <w:pBdr/>
      <w:spacing w:after="200" w:before="360"/>
      <w:ind/>
      <w:outlineLvl w:val="1"/>
    </w:pPr>
    <w:rPr>
      <w:rFonts w:ascii="等线" w:hAnsi="等线" w:eastAsia="等线" w:cs="等线"/>
      <w:sz w:val="34"/>
    </w:rPr>
  </w:style>
  <w:style w:type="character" w:styleId="16">
    <w:name w:val="Heading 2 Char"/>
    <w:basedOn w:val="11"/>
    <w:link w:val="15"/>
    <w:uiPriority w:val="9"/>
    <w:pPr>
      <w:pBdr/>
      <w:spacing/>
      <w:ind/>
    </w:pPr>
    <w:rPr>
      <w:rFonts w:ascii="等线" w:hAnsi="等线" w:eastAsia="等线" w:cs="等线"/>
      <w:sz w:val="34"/>
    </w:rPr>
  </w:style>
  <w:style w:type="paragraph" w:styleId="17">
    <w:name w:val="Heading 3"/>
    <w:basedOn w:val="684"/>
    <w:next w:val="684"/>
    <w:link w:val="18"/>
    <w:uiPriority w:val="9"/>
    <w:unhideWhenUsed/>
    <w:qFormat/>
    <w:pPr>
      <w:keepNext w:val="true"/>
      <w:keepLines w:val="true"/>
      <w:pBdr/>
      <w:spacing w:after="200" w:before="320"/>
      <w:ind/>
      <w:outlineLvl w:val="2"/>
    </w:pPr>
    <w:rPr>
      <w:rFonts w:ascii="等线" w:hAnsi="等线" w:eastAsia="等线" w:cs="等线"/>
      <w:sz w:val="30"/>
      <w:szCs w:val="30"/>
    </w:rPr>
  </w:style>
  <w:style w:type="character" w:styleId="18">
    <w:name w:val="Heading 3 Char"/>
    <w:basedOn w:val="11"/>
    <w:link w:val="17"/>
    <w:uiPriority w:val="9"/>
    <w:pPr>
      <w:pBdr/>
      <w:spacing/>
      <w:ind/>
    </w:pPr>
    <w:rPr>
      <w:rFonts w:ascii="等线" w:hAnsi="等线" w:eastAsia="等线" w:cs="等线"/>
      <w:sz w:val="30"/>
      <w:szCs w:val="30"/>
    </w:rPr>
  </w:style>
  <w:style w:type="paragraph" w:styleId="19">
    <w:name w:val="Heading 4"/>
    <w:basedOn w:val="684"/>
    <w:next w:val="684"/>
    <w:link w:val="20"/>
    <w:uiPriority w:val="9"/>
    <w:unhideWhenUsed/>
    <w:qFormat/>
    <w:pPr>
      <w:keepNext w:val="true"/>
      <w:keepLines w:val="true"/>
      <w:pBdr/>
      <w:spacing w:after="200" w:before="320"/>
      <w:ind/>
      <w:outlineLvl w:val="3"/>
    </w:pPr>
    <w:rPr>
      <w:rFonts w:ascii="等线" w:hAnsi="等线" w:eastAsia="等线" w:cs="等线"/>
      <w:b/>
      <w:bCs/>
      <w:sz w:val="26"/>
      <w:szCs w:val="26"/>
    </w:rPr>
  </w:style>
  <w:style w:type="character" w:styleId="20">
    <w:name w:val="Heading 4 Char"/>
    <w:basedOn w:val="11"/>
    <w:link w:val="19"/>
    <w:uiPriority w:val="9"/>
    <w:pPr>
      <w:pBdr/>
      <w:spacing/>
      <w:ind/>
    </w:pPr>
    <w:rPr>
      <w:rFonts w:ascii="等线" w:hAnsi="等线" w:eastAsia="等线" w:cs="等线"/>
      <w:b/>
      <w:bCs/>
      <w:sz w:val="26"/>
      <w:szCs w:val="26"/>
    </w:rPr>
  </w:style>
  <w:style w:type="paragraph" w:styleId="21">
    <w:name w:val="Heading 5"/>
    <w:basedOn w:val="684"/>
    <w:next w:val="684"/>
    <w:link w:val="22"/>
    <w:uiPriority w:val="9"/>
    <w:unhideWhenUsed/>
    <w:qFormat/>
    <w:pPr>
      <w:keepNext w:val="true"/>
      <w:keepLines w:val="true"/>
      <w:pBdr/>
      <w:spacing w:after="200" w:before="320"/>
      <w:ind/>
      <w:outlineLvl w:val="4"/>
    </w:pPr>
    <w:rPr>
      <w:rFonts w:ascii="等线" w:hAnsi="等线" w:eastAsia="等线" w:cs="等线"/>
      <w:b/>
      <w:bCs/>
      <w:sz w:val="24"/>
      <w:szCs w:val="24"/>
    </w:rPr>
  </w:style>
  <w:style w:type="character" w:styleId="22">
    <w:name w:val="Heading 5 Char"/>
    <w:basedOn w:val="11"/>
    <w:link w:val="21"/>
    <w:uiPriority w:val="9"/>
    <w:pPr>
      <w:pBdr/>
      <w:spacing/>
      <w:ind/>
    </w:pPr>
    <w:rPr>
      <w:rFonts w:ascii="等线" w:hAnsi="等线" w:eastAsia="等线" w:cs="等线"/>
      <w:b/>
      <w:bCs/>
      <w:sz w:val="24"/>
      <w:szCs w:val="24"/>
    </w:rPr>
  </w:style>
  <w:style w:type="paragraph" w:styleId="23">
    <w:name w:val="Heading 6"/>
    <w:basedOn w:val="684"/>
    <w:next w:val="684"/>
    <w:link w:val="24"/>
    <w:uiPriority w:val="9"/>
    <w:unhideWhenUsed/>
    <w:qFormat/>
    <w:pPr>
      <w:keepNext w:val="true"/>
      <w:keepLines w:val="true"/>
      <w:pBdr/>
      <w:spacing w:after="200" w:before="320"/>
      <w:ind/>
      <w:outlineLvl w:val="5"/>
    </w:pPr>
    <w:rPr>
      <w:rFonts w:ascii="等线" w:hAnsi="等线" w:eastAsia="等线" w:cs="等线"/>
      <w:b/>
      <w:bCs/>
      <w:sz w:val="22"/>
      <w:szCs w:val="22"/>
    </w:rPr>
  </w:style>
  <w:style w:type="character" w:styleId="24">
    <w:name w:val="Heading 6 Char"/>
    <w:basedOn w:val="11"/>
    <w:link w:val="23"/>
    <w:uiPriority w:val="9"/>
    <w:pPr>
      <w:pBdr/>
      <w:spacing/>
      <w:ind/>
    </w:pPr>
    <w:rPr>
      <w:rFonts w:ascii="等线" w:hAnsi="等线" w:eastAsia="等线" w:cs="等线"/>
      <w:b/>
      <w:bCs/>
      <w:sz w:val="22"/>
      <w:szCs w:val="22"/>
    </w:rPr>
  </w:style>
  <w:style w:type="paragraph" w:styleId="25">
    <w:name w:val="Heading 7"/>
    <w:basedOn w:val="684"/>
    <w:next w:val="684"/>
    <w:link w:val="26"/>
    <w:uiPriority w:val="9"/>
    <w:unhideWhenUsed/>
    <w:qFormat/>
    <w:pPr>
      <w:keepNext w:val="true"/>
      <w:keepLines w:val="true"/>
      <w:pBdr/>
      <w:spacing w:after="200" w:before="320"/>
      <w:ind/>
      <w:outlineLvl w:val="6"/>
    </w:pPr>
    <w:rPr>
      <w:rFonts w:ascii="等线" w:hAnsi="等线" w:eastAsia="等线" w:cs="等线"/>
      <w:b/>
      <w:bCs/>
      <w:i/>
      <w:iCs/>
      <w:sz w:val="22"/>
      <w:szCs w:val="22"/>
    </w:rPr>
  </w:style>
  <w:style w:type="character" w:styleId="26">
    <w:name w:val="Heading 7 Char"/>
    <w:basedOn w:val="11"/>
    <w:link w:val="25"/>
    <w:uiPriority w:val="9"/>
    <w:pPr>
      <w:pBdr/>
      <w:spacing/>
      <w:ind/>
    </w:pPr>
    <w:rPr>
      <w:rFonts w:ascii="等线" w:hAnsi="等线" w:eastAsia="等线" w:cs="等线"/>
      <w:b/>
      <w:bCs/>
      <w:i/>
      <w:iCs/>
      <w:sz w:val="22"/>
      <w:szCs w:val="22"/>
    </w:rPr>
  </w:style>
  <w:style w:type="paragraph" w:styleId="27">
    <w:name w:val="Heading 8"/>
    <w:basedOn w:val="684"/>
    <w:next w:val="684"/>
    <w:link w:val="28"/>
    <w:uiPriority w:val="9"/>
    <w:unhideWhenUsed/>
    <w:qFormat/>
    <w:pPr>
      <w:keepNext w:val="true"/>
      <w:keepLines w:val="true"/>
      <w:pBdr/>
      <w:spacing w:after="200" w:before="320"/>
      <w:ind/>
      <w:outlineLvl w:val="7"/>
    </w:pPr>
    <w:rPr>
      <w:rFonts w:ascii="等线" w:hAnsi="等线" w:eastAsia="等线" w:cs="等线"/>
      <w:i/>
      <w:iCs/>
      <w:sz w:val="22"/>
      <w:szCs w:val="22"/>
    </w:rPr>
  </w:style>
  <w:style w:type="character" w:styleId="28">
    <w:name w:val="Heading 8 Char"/>
    <w:basedOn w:val="11"/>
    <w:link w:val="27"/>
    <w:uiPriority w:val="9"/>
    <w:pPr>
      <w:pBdr/>
      <w:spacing/>
      <w:ind/>
    </w:pPr>
    <w:rPr>
      <w:rFonts w:ascii="等线" w:hAnsi="等线" w:eastAsia="等线" w:cs="等线"/>
      <w:i/>
      <w:iCs/>
      <w:sz w:val="22"/>
      <w:szCs w:val="22"/>
    </w:rPr>
  </w:style>
  <w:style w:type="paragraph" w:styleId="29">
    <w:name w:val="Heading 9"/>
    <w:basedOn w:val="684"/>
    <w:next w:val="684"/>
    <w:link w:val="30"/>
    <w:uiPriority w:val="9"/>
    <w:unhideWhenUsed/>
    <w:qFormat/>
    <w:pPr>
      <w:keepNext w:val="true"/>
      <w:keepLines w:val="true"/>
      <w:pBdr/>
      <w:spacing w:after="200" w:before="320"/>
      <w:ind/>
      <w:outlineLvl w:val="8"/>
    </w:pPr>
    <w:rPr>
      <w:rFonts w:ascii="等线" w:hAnsi="等线" w:eastAsia="等线" w:cs="等线"/>
      <w:i/>
      <w:iCs/>
      <w:sz w:val="21"/>
      <w:szCs w:val="21"/>
    </w:rPr>
  </w:style>
  <w:style w:type="character" w:styleId="30">
    <w:name w:val="Heading 9 Char"/>
    <w:basedOn w:val="11"/>
    <w:link w:val="29"/>
    <w:uiPriority w:val="9"/>
    <w:pPr>
      <w:pBdr/>
      <w:spacing/>
      <w:ind/>
    </w:pPr>
    <w:rPr>
      <w:rFonts w:ascii="等线" w:hAnsi="等线" w:eastAsia="等线" w:cs="等线"/>
      <w:i/>
      <w:iCs/>
      <w:sz w:val="21"/>
      <w:szCs w:val="21"/>
    </w:rPr>
  </w:style>
  <w:style w:type="paragraph" w:styleId="31">
    <w:name w:val="List Paragraph"/>
    <w:basedOn w:val="684"/>
    <w:uiPriority w:val="34"/>
    <w:qFormat/>
    <w:pPr>
      <w:pBdr/>
      <w:spacing/>
      <w:ind w:left="720"/>
      <w:contextualSpacing w:val="true"/>
    </w:pPr>
  </w:style>
  <w:style w:type="paragraph" w:styleId="33">
    <w:name w:val="No Spacing"/>
    <w:uiPriority w:val="1"/>
    <w:qFormat/>
    <w:pPr>
      <w:pBdr/>
      <w:spacing w:after="0" w:before="0" w:line="240" w:lineRule="auto"/>
      <w:ind/>
    </w:pPr>
  </w:style>
  <w:style w:type="paragraph" w:styleId="34">
    <w:name w:val="Title"/>
    <w:basedOn w:val="684"/>
    <w:next w:val="684"/>
    <w:link w:val="35"/>
    <w:uiPriority w:val="10"/>
    <w:qFormat/>
    <w:pPr>
      <w:pBdr/>
      <w:spacing w:after="200" w:before="300"/>
      <w:ind/>
      <w:contextualSpacing w:val="true"/>
    </w:pPr>
    <w:rPr>
      <w:sz w:val="48"/>
      <w:szCs w:val="48"/>
    </w:rPr>
  </w:style>
  <w:style w:type="character" w:styleId="35">
    <w:name w:val="Title Char"/>
    <w:basedOn w:val="11"/>
    <w:link w:val="34"/>
    <w:uiPriority w:val="10"/>
    <w:pPr>
      <w:pBdr/>
      <w:spacing/>
      <w:ind/>
    </w:pPr>
    <w:rPr>
      <w:sz w:val="48"/>
      <w:szCs w:val="48"/>
    </w:rPr>
  </w:style>
  <w:style w:type="paragraph" w:styleId="36">
    <w:name w:val="Subtitle"/>
    <w:basedOn w:val="684"/>
    <w:next w:val="684"/>
    <w:link w:val="37"/>
    <w:uiPriority w:val="11"/>
    <w:qFormat/>
    <w:pPr>
      <w:pBdr/>
      <w:spacing w:after="200" w:before="200"/>
      <w:ind/>
    </w:pPr>
    <w:rPr>
      <w:sz w:val="24"/>
      <w:szCs w:val="24"/>
    </w:rPr>
  </w:style>
  <w:style w:type="character" w:styleId="37">
    <w:name w:val="Subtitle Char"/>
    <w:basedOn w:val="11"/>
    <w:link w:val="36"/>
    <w:uiPriority w:val="11"/>
    <w:pPr>
      <w:pBdr/>
      <w:spacing/>
      <w:ind/>
    </w:pPr>
    <w:rPr>
      <w:sz w:val="24"/>
      <w:szCs w:val="24"/>
    </w:rPr>
  </w:style>
  <w:style w:type="paragraph" w:styleId="38">
    <w:name w:val="Quote"/>
    <w:basedOn w:val="684"/>
    <w:next w:val="684"/>
    <w:link w:val="39"/>
    <w:uiPriority w:val="29"/>
    <w:qFormat/>
    <w:pPr>
      <w:pBdr/>
      <w:spacing/>
      <w:ind w:right="720" w:left="720"/>
    </w:pPr>
    <w:rPr>
      <w:i/>
    </w:rPr>
  </w:style>
  <w:style w:type="character" w:styleId="39">
    <w:name w:val="Quote Char"/>
    <w:link w:val="38"/>
    <w:uiPriority w:val="29"/>
    <w:pPr>
      <w:pBdr/>
      <w:spacing/>
      <w:ind/>
    </w:pPr>
    <w:rPr>
      <w:i/>
    </w:rPr>
  </w:style>
  <w:style w:type="paragraph" w:styleId="40">
    <w:name w:val="Intense Quote"/>
    <w:basedOn w:val="684"/>
    <w:next w:val="684"/>
    <w:link w:val="41"/>
    <w:uiPriority w:val="30"/>
    <w:qFormat/>
    <w:pPr>
      <w:pBdr>
        <w:top w:val="single" w:color="ffffff" w:sz="4" w:space="5"/>
        <w:left w:val="single" w:color="ffffff" w:sz="4" w:space="10"/>
        <w:bottom w:val="single" w:color="ffffff" w:sz="4" w:space="5"/>
        <w:right w:val="single" w:color="ffffff" w:sz="4" w:space="10"/>
      </w:pBdr>
      <w:shd w:val="clear" w:color="auto" w:fill="f2f2f2"/>
      <w:spacing/>
      <w:ind w:right="720" w:left="720"/>
      <w:contextualSpacing w:val="false"/>
    </w:pPr>
    <w:rPr>
      <w:i/>
    </w:rPr>
  </w:style>
  <w:style w:type="character" w:styleId="41">
    <w:name w:val="Intense Quote Char"/>
    <w:link w:val="40"/>
    <w:uiPriority w:val="30"/>
    <w:pPr>
      <w:pBdr/>
      <w:spacing/>
      <w:ind/>
    </w:pPr>
    <w:rPr>
      <w:i/>
    </w:rPr>
  </w:style>
  <w:style w:type="paragraph" w:styleId="42">
    <w:name w:val="Header"/>
    <w:basedOn w:val="684"/>
    <w:link w:val="43"/>
    <w:uiPriority w:val="99"/>
    <w:unhideWhenUsed/>
    <w:pPr>
      <w:pBdr/>
      <w:tabs>
        <w:tab w:val="center" w:leader="none" w:pos="7143"/>
        <w:tab w:val="right" w:leader="none" w:pos="14287"/>
      </w:tabs>
      <w:spacing w:after="0" w:line="240" w:lineRule="auto"/>
      <w:ind/>
    </w:pPr>
  </w:style>
  <w:style w:type="character" w:styleId="43">
    <w:name w:val="Header Char"/>
    <w:basedOn w:val="11"/>
    <w:link w:val="42"/>
    <w:uiPriority w:val="99"/>
    <w:pPr>
      <w:pBdr/>
      <w:spacing/>
      <w:ind/>
    </w:pPr>
  </w:style>
  <w:style w:type="paragraph" w:styleId="44">
    <w:name w:val="Footer"/>
    <w:basedOn w:val="684"/>
    <w:link w:val="47"/>
    <w:uiPriority w:val="99"/>
    <w:unhideWhenUsed/>
    <w:pPr>
      <w:pBdr/>
      <w:tabs>
        <w:tab w:val="center" w:leader="none" w:pos="7143"/>
        <w:tab w:val="right" w:leader="none" w:pos="14287"/>
      </w:tabs>
      <w:spacing w:after="0" w:line="240" w:lineRule="auto"/>
      <w:ind/>
    </w:pPr>
  </w:style>
  <w:style w:type="character" w:styleId="45">
    <w:name w:val="Footer Char"/>
    <w:basedOn w:val="11"/>
    <w:link w:val="44"/>
    <w:uiPriority w:val="99"/>
    <w:pPr>
      <w:pBdr/>
      <w:spacing/>
      <w:ind/>
    </w:pPr>
  </w:style>
  <w:style w:type="paragraph" w:styleId="46">
    <w:name w:val="Caption"/>
    <w:basedOn w:val="684"/>
    <w:next w:val="684"/>
    <w:uiPriority w:val="35"/>
    <w:semiHidden/>
    <w:unhideWhenUsed/>
    <w:qFormat/>
    <w:pPr>
      <w:pBdr/>
      <w:spacing w:line="276" w:lineRule="auto"/>
      <w:ind/>
    </w:pPr>
    <w:rPr>
      <w:b/>
      <w:bCs/>
      <w:color w:val="4f81bd" w:themeColor="accent1"/>
      <w:sz w:val="18"/>
      <w:szCs w:val="18"/>
    </w:rPr>
  </w:style>
  <w:style w:type="character" w:styleId="47">
    <w:name w:val="Caption Char"/>
    <w:basedOn w:val="46"/>
    <w:link w:val="44"/>
    <w:uiPriority w:val="99"/>
    <w:pPr>
      <w:pBdr/>
      <w:spacing/>
      <w:ind/>
    </w:pPr>
  </w:style>
  <w:style w:type="table" w:styleId="48">
    <w:name w:val="Table Grid"/>
    <w:basedOn w:val="32"/>
    <w:uiPriority w:val="59"/>
    <w:pPr>
      <w:pBdr/>
      <w:spacing w:after="0" w:line="240" w:lineRule="auto"/>
      <w:ind/>
    </w:pPr>
    <w:tblP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Table Grid Light"/>
    <w:basedOn w:val="32"/>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Plain Table 1"/>
    <w:basedOn w:val="32"/>
    <w:uiPriority w:val="59"/>
    <w:pPr>
      <w:pBdr/>
      <w:spacing w:after="0" w:line="240" w:lineRule="auto"/>
      <w:ind/>
    </w:pPr>
    <w:tblPr>
      <w:tblInd w:w="0" w:type="dxa"/>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CellMar>
        <w:left w:w="108" w:type="dxa"/>
        <w:top w:w="0" w:type="dxa"/>
        <w:right w:w="108" w:type="dxa"/>
        <w:bottom w:w="0" w:type="dxa"/>
      </w:tblCellMar>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Plain Table 2"/>
    <w:basedOn w:val="32"/>
    <w:uiPriority w:val="59"/>
    <w:pPr>
      <w:pBdr/>
      <w:spacing w:after="0" w:line="240" w:lineRule="auto"/>
      <w:ind/>
    </w:pPr>
    <w:tblPr>
      <w:tblInd w:w="0" w:type="dxa"/>
      <w:tblBorders>
        <w:top w:val="single" w:color="000000" w:themeColor="text1" w:sz="4" w:space="0"/>
        <w:left w:val="none" w:color="000000" w:themeColor="text1" w:sz="4" w:space="0"/>
        <w:bottom w:val="single" w:color="000000" w:themeColor="text1" w:sz="4" w:space="0"/>
        <w:right w:val="none" w:color="000000" w:themeColor="text1" w:sz="4" w:space="0"/>
      </w:tblBorders>
      <w:tblCellMar>
        <w:left w:w="108" w:type="dxa"/>
        <w:top w:w="0" w:type="dxa"/>
        <w:right w:w="108" w:type="dxa"/>
        <w:bottom w:w="0" w:type="dxa"/>
      </w:tblCellMar>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Plain Table 3"/>
    <w:basedOn w:val="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Plain Table 4"/>
    <w:basedOn w:val="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Plain Table 5"/>
    <w:basedOn w:val="3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5">
    <w:name w:val="Grid Table 1 Light"/>
    <w:basedOn w:val="3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6">
    <w:name w:val="Grid Table 1 Light - Accent 1"/>
    <w:basedOn w:val="3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7">
    <w:name w:val="Grid Table 1 Light - Accent 2"/>
    <w:basedOn w:val="3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8">
    <w:name w:val="Grid Table 1 Light - Accent 3"/>
    <w:basedOn w:val="3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9">
    <w:name w:val="Grid Table 1 Light - Accent 4"/>
    <w:basedOn w:val="3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0">
    <w:name w:val="Grid Table 1 Light - Accent 5"/>
    <w:basedOn w:val="3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1">
    <w:name w:val="Grid Table 1 Light - Accent 6"/>
    <w:basedOn w:val="3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2"/>
    <w:basedOn w:val="3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2 - Accent 1"/>
    <w:basedOn w:val="3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2 - Accent 2"/>
    <w:basedOn w:val="3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2 - Accent 3"/>
    <w:basedOn w:val="3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2 - Accent 4"/>
    <w:basedOn w:val="3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2 - Accent 5"/>
    <w:basedOn w:val="3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Grid Table 2 - Accent 6"/>
    <w:basedOn w:val="3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Grid Table 3"/>
    <w:basedOn w:val="3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Grid Table 3 - Accent 1"/>
    <w:basedOn w:val="3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ae5f1"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Grid Table 3 - Accent 2"/>
    <w:basedOn w:val="3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Grid Table 3 - Accent 3"/>
    <w:basedOn w:val="3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Grid Table 3 - Accent 4"/>
    <w:basedOn w:val="3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Grid Table 3 - Accent 5"/>
    <w:basedOn w:val="3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Grid Table 3 - Accent 6"/>
    <w:basedOn w:val="3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Grid Table 4"/>
    <w:basedOn w:val="3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Grid Table 4 - Accent 1"/>
    <w:basedOn w:val="3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1"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d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Grid Table 4 - Accent 2"/>
    <w:basedOn w:val="3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Grid Table 4 - Accent 3"/>
    <w:basedOn w:val="3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a59"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Grid Table 4 - Accent 4"/>
    <w:basedOn w:val="3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Grid Table 4 - Accent 5"/>
    <w:basedOn w:val="3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Grid Table 4 - Accent 6"/>
    <w:basedOn w:val="3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Grid Table 5 Dark"/>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Grid Table 5 Dark- Accent 1"/>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ae5f1" w:themeFill="accent1" w:themeFillTint="34"/>
    </w:tblPr>
    <w:tcPr>
      <w:tcBorders/>
    </w:tcPr>
    <w:tblStylePr w:type="band1Horz">
      <w:pPr>
        <w:pBdr/>
        <w:spacing/>
        <w:ind/>
      </w:pPr>
      <w:tblPr>
        <w:tblBorders/>
      </w:tblPr>
      <w:tcPr>
        <w:shd w:val="clear" w:color="ffffff" w:themeColor="accent1" w:themeTint="75" w:fill="adc5e0" w:themeFill="accent1" w:themeFillTint="75"/>
        <w:tcBorders/>
      </w:tcPr>
    </w:tblStylePr>
    <w:tblStylePr w:type="band1Vert">
      <w:pPr>
        <w:pBdr/>
        <w:spacing/>
        <w:ind/>
      </w:pPr>
      <w:tblPr>
        <w:tblBorders/>
      </w:tblPr>
      <w:tcPr>
        <w:shd w:val="clear" w:color="ffffff" w:themeColor="accent1" w:themeTint="75" w:fill="adc5e0"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Grid Table 5 Dark - Accent 2"/>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2dcdb" w:themeFill="accent2" w:themeFillTint="32"/>
    </w:tblPr>
    <w:tcPr>
      <w:tcBorders/>
    </w:tcPr>
    <w:tblStylePr w:type="band1Horz">
      <w:pPr>
        <w:pBdr/>
        <w:spacing/>
        <w:ind/>
      </w:pPr>
      <w:tblPr>
        <w:tblBorders/>
      </w:tblPr>
      <w:tcPr>
        <w:shd w:val="clear" w:color="ffffff" w:themeColor="accent2" w:themeTint="75" w:fill="e1adac" w:themeFill="accent2" w:themeFillTint="75"/>
        <w:tcBorders/>
      </w:tcPr>
    </w:tblStylePr>
    <w:tblStylePr w:type="band1Vert">
      <w:pPr>
        <w:pBdr/>
        <w:spacing/>
        <w:ind/>
      </w:pPr>
      <w:tblPr>
        <w:tblBorders/>
      </w:tblPr>
      <w:tcPr>
        <w:shd w:val="clear" w:color="ffffff" w:themeColor="accent2" w:themeTint="75" w:fill="e1adac"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Grid Table 5 Dark - Accent 3"/>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af0dd" w:themeFill="accent3" w:themeFillTint="34"/>
    </w:tblPr>
    <w:tcPr>
      <w:tcBorders/>
    </w:tcPr>
    <w:tblStylePr w:type="band1Horz">
      <w:pPr>
        <w:pBdr/>
        <w:spacing/>
        <w:ind/>
      </w:pPr>
      <w:tblPr>
        <w:tblBorders/>
      </w:tblPr>
      <w:tcPr>
        <w:shd w:val="clear" w:color="ffffff" w:themeColor="accent3" w:themeTint="75" w:fill="d1dfb2" w:themeFill="accent3" w:themeFillTint="75"/>
        <w:tcBorders/>
      </w:tcPr>
    </w:tblStylePr>
    <w:tblStylePr w:type="band1Vert">
      <w:pPr>
        <w:pBdr/>
        <w:spacing/>
        <w:ind/>
      </w:pPr>
      <w:tblPr>
        <w:tblBorders/>
      </w:tblPr>
      <w:tcPr>
        <w:shd w:val="clear" w:color="ffffff" w:themeColor="accent3" w:themeTint="75" w:fill="d1dfb2"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Grid Table 5 Dark- Accent 4"/>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4b7d4" w:themeFill="accent4" w:themeFillTint="75"/>
        <w:tcBorders/>
      </w:tcPr>
    </w:tblStylePr>
    <w:tblStylePr w:type="band1Vert">
      <w:pPr>
        <w:pBdr/>
        <w:spacing/>
        <w:ind/>
      </w:pPr>
      <w:tblPr>
        <w:tblBorders/>
      </w:tblPr>
      <w:tcPr>
        <w:shd w:val="clear" w:color="ffffff" w:themeColor="accent4" w:themeTint="75" w:fill="c4b7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Grid Table 5 Dark - Accent 5"/>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bd9e4" w:themeFill="accent5" w:themeFillTint="75"/>
        <w:tcBorders/>
      </w:tcPr>
    </w:tblStylePr>
    <w:tblStylePr w:type="band1Vert">
      <w:pPr>
        <w:pBdr/>
        <w:spacing/>
        <w:ind/>
      </w:pPr>
      <w:tblPr>
        <w:tblBorders/>
      </w:tblPr>
      <w:tcPr>
        <w:shd w:val="clear" w:color="ffffff" w:themeColor="accent5" w:themeTint="75" w:fill="abd9e4"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Grid Table 5 Dark - Accent 6"/>
    <w:basedOn w:val="3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9d8" w:themeFill="accent6" w:themeFillTint="34"/>
    </w:tblPr>
    <w:tcPr>
      <w:tcBorders/>
    </w:tcPr>
    <w:tblStylePr w:type="band1Horz">
      <w:pPr>
        <w:pBdr/>
        <w:spacing/>
        <w:ind/>
      </w:pPr>
      <w:tblPr>
        <w:tblBorders/>
      </w:tblPr>
      <w:tcPr>
        <w:shd w:val="clear" w:color="ffffff" w:themeColor="accent6" w:themeTint="75" w:fill="fbcda8" w:themeFill="accent6" w:themeFillTint="75"/>
        <w:tcBorders/>
      </w:tcPr>
    </w:tblStylePr>
    <w:tblStylePr w:type="band1Vert">
      <w:pPr>
        <w:pBdr/>
        <w:spacing/>
        <w:ind/>
      </w:pPr>
      <w:tblPr>
        <w:tblBorders/>
      </w:tblPr>
      <w:tcPr>
        <w:shd w:val="clear" w:color="ffffff" w:themeColor="accent6" w:themeTint="75" w:fill="fbcda8"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Grid Table 6 Colorful"/>
    <w:basedOn w:val="3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1">
    <w:name w:val="Grid Table 6 Colorful - Accent 1"/>
    <w:basedOn w:val="3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70a3" w:themeColor="accent1" w:themeTint="80" w:themeShade="95"/>
      </w:rPr>
      <w:pPr>
        <w:pBdr/>
        <w:spacing/>
        <w:ind/>
      </w:pPr>
      <w:tblPr>
        <w:tblBorders/>
      </w:tblPr>
      <w:tcPr>
        <w:tcBorders/>
      </w:tcPr>
    </w:tblStylePr>
    <w:tblStylePr w:type="firstRow">
      <w:rPr>
        <w:b/>
        <w:color w:val="3e70a3" w:themeColor="accent1" w:themeTint="80" w:themeShade="95"/>
      </w:rPr>
      <w:pPr>
        <w:pBdr/>
        <w:spacing/>
        <w:ind/>
      </w:pPr>
      <w:tblPr>
        <w:tblBorders/>
      </w:tblPr>
      <w:tcPr>
        <w:tcBorders>
          <w:bottom w:val="single" w:color="000000" w:themeColor="accent1" w:themeTint="80" w:sz="12" w:space="0"/>
        </w:tcBorders>
      </w:tcPr>
    </w:tblStylePr>
    <w:tblStylePr w:type="lastCol">
      <w:rPr>
        <w:b/>
        <w:color w:val="3e70a3" w:themeColor="accent1" w:themeTint="80" w:themeShade="95"/>
      </w:rPr>
      <w:pPr>
        <w:pBdr/>
        <w:spacing/>
        <w:ind/>
      </w:pPr>
      <w:tblPr>
        <w:tblBorders/>
      </w:tblPr>
      <w:tcPr>
        <w:tcBorders/>
      </w:tcPr>
    </w:tblStylePr>
    <w:tblStylePr w:type="lastRow">
      <w:rPr>
        <w:b/>
        <w:color w:val="3e70a3"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
    <w:name w:val="Grid Table 6 Colorful - Accent 2"/>
    <w:basedOn w:val="3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12"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3">
    <w:name w:val="Grid Table 6 Colorful - Accent 3"/>
    <w:basedOn w:val="3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c702f" w:themeColor="accent3" w:themeTint="FE" w:themeShade="95"/>
      </w:rPr>
      <w:pPr>
        <w:pBdr/>
        <w:spacing/>
        <w:ind/>
      </w:pPr>
      <w:tblPr>
        <w:tblBorders/>
      </w:tblPr>
      <w:tcPr>
        <w:tcBorders/>
      </w:tcPr>
    </w:tblStylePr>
    <w:tblStylePr w:type="firstRow">
      <w:rPr>
        <w:b/>
        <w:color w:val="5c702f" w:themeColor="accent3" w:themeTint="FE" w:themeShade="95"/>
      </w:rPr>
      <w:pPr>
        <w:pBdr/>
        <w:spacing/>
        <w:ind/>
      </w:pPr>
      <w:tblPr>
        <w:tblBorders/>
      </w:tblPr>
      <w:tcPr>
        <w:tcBorders>
          <w:bottom w:val="single" w:color="000000" w:themeColor="accent3" w:themeTint="FE" w:sz="12" w:space="0"/>
        </w:tcBorders>
      </w:tcPr>
    </w:tblStylePr>
    <w:tblStylePr w:type="lastCol">
      <w:rPr>
        <w:b/>
        <w:color w:val="5c702f" w:themeColor="accent3" w:themeTint="FE" w:themeShade="95"/>
      </w:rPr>
      <w:pPr>
        <w:pBdr/>
        <w:spacing/>
        <w:ind/>
      </w:pPr>
      <w:tblPr>
        <w:tblBorders/>
      </w:tblPr>
      <w:tcPr>
        <w:tcBorders/>
      </w:tcPr>
    </w:tblStylePr>
    <w:tblStylePr w:type="lastRow">
      <w:rPr>
        <w:b/>
        <w:color w:val="5c70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4">
    <w:name w:val="Grid Table 6 Colorful - Accent 4"/>
    <w:basedOn w:val="3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12"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5">
    <w:name w:val="Grid Table 6 Colorful - Accent 5"/>
    <w:basedOn w:val="3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5"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6">
    <w:name w:val="Grid Table 6 Colorful - Accent 6"/>
    <w:basedOn w:val="3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777" w:themeColor="accent5" w:themeShade="95"/>
      </w:rPr>
      <w:pPr>
        <w:pBdr/>
        <w:spacing/>
        <w:ind/>
      </w:pPr>
      <w:tblPr>
        <w:tblBorders/>
      </w:tblPr>
      <w:tcPr>
        <w:tcBorders/>
      </w:tcPr>
    </w:tblStylePr>
    <w:tblStylePr w:type="firstRow">
      <w:rPr>
        <w:b/>
        <w:color w:val="266777" w:themeColor="accent5" w:themeShade="95"/>
      </w:rPr>
      <w:pPr>
        <w:pBdr/>
        <w:spacing/>
        <w:ind/>
      </w:pPr>
      <w:tblPr>
        <w:tblBorders/>
      </w:tblPr>
      <w:tcPr>
        <w:tcBorders>
          <w:bottom w:val="single" w:color="000000" w:themeColor="accent6" w:sz="12" w:space="0"/>
        </w:tcBorders>
      </w:tcPr>
    </w:tblStylePr>
    <w:tblStylePr w:type="lastCol">
      <w:rPr>
        <w:b/>
        <w:color w:val="266777" w:themeColor="accent5" w:themeShade="95"/>
      </w:rPr>
      <w:pPr>
        <w:pBdr/>
        <w:spacing/>
        <w:ind/>
      </w:pPr>
      <w:tblPr>
        <w:tblBorders/>
      </w:tblPr>
      <w:tcPr>
        <w:tcBorders/>
      </w:tcPr>
    </w:tblStylePr>
    <w:tblStylePr w:type="lastRow">
      <w:rPr>
        <w:b/>
        <w:color w:val="266777"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7">
    <w:name w:val="Grid Table 7 Colorful"/>
    <w:basedOn w:val="3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
    <w:name w:val="Grid Table 7 Colorful - Accent 1"/>
    <w:basedOn w:val="3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70a3" w:themeColor="accent1" w:themeTint="80" w:themeShade="95"/>
        <w:sz w:val="22"/>
      </w:rPr>
      <w:pPr>
        <w:pBdr/>
        <w:spacing/>
        <w:ind/>
      </w:pPr>
      <w:tblPr>
        <w:tblBorders/>
      </w:tblPr>
      <w:tcPr>
        <w:shd w:val="clear" w:color="ffffff" w:themeColor="accent1" w:themeTint="34" w:fill="dae5f1" w:themeFill="accent1" w:themeFillTint="34"/>
        <w:tcBorders/>
      </w:tcPr>
    </w:tblStylePr>
    <w:tblStylePr w:type="band1Vert">
      <w:pPr>
        <w:pBdr/>
        <w:spacing/>
        <w:ind/>
      </w:pPr>
      <w:tblPr>
        <w:tblBorders/>
      </w:tblPr>
      <w:tcPr>
        <w:shd w:val="clear" w:color="ffffff" w:themeColor="accent1" w:themeTint="34" w:fill="dae5f1" w:themeFill="accent1" w:themeFillTint="34"/>
        <w:tcBorders/>
      </w:tcPr>
    </w:tblStylePr>
    <w:tblStylePr w:type="band2Horz">
      <w:rPr>
        <w:rFonts w:ascii="Arial" w:hAnsi="Arial"/>
        <w:color w:val="3e70a3"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70a3"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70a3"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70a3"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
    <w:name w:val="Grid Table 7 Colorful - Accent 2"/>
    <w:basedOn w:val="3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32" w:fill="f2dcdb" w:themeFill="accent2" w:themeFillTint="32"/>
        <w:tcBorders/>
      </w:tcPr>
    </w:tblStylePr>
    <w:tblStylePr w:type="band1Vert">
      <w:pPr>
        <w:pBdr/>
        <w:spacing/>
        <w:ind/>
      </w:pPr>
      <w:tblPr>
        <w:tblBorders/>
      </w:tblPr>
      <w:tcPr>
        <w:shd w:val="clear" w:color="ffffff" w:themeColor="accent2" w:themeTint="32" w:fill="f2dcdb" w:themeFill="accent2" w:themeFillTint="32"/>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
    <w:name w:val="Grid Table 7 Colorful - Accent 3"/>
    <w:basedOn w:val="3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c702f" w:themeColor="accent3" w:themeTint="FE" w:themeShade="95"/>
        <w:sz w:val="22"/>
      </w:rPr>
      <w:pPr>
        <w:pBdr/>
        <w:spacing/>
        <w:ind/>
      </w:pPr>
      <w:tblPr>
        <w:tblBorders/>
      </w:tblPr>
      <w:tcPr>
        <w:shd w:val="clear" w:color="ffffff" w:themeColor="accent3" w:themeTint="34" w:fill="eaf0dd" w:themeFill="accent3" w:themeFillTint="34"/>
        <w:tcBorders/>
      </w:tcPr>
    </w:tblStylePr>
    <w:tblStylePr w:type="band1Vert">
      <w:pPr>
        <w:pBdr/>
        <w:spacing/>
        <w:ind/>
      </w:pPr>
      <w:tblPr>
        <w:tblBorders/>
      </w:tblPr>
      <w:tcPr>
        <w:shd w:val="clear" w:color="ffffff" w:themeColor="accent3" w:themeTint="34" w:fill="eaf0dd" w:themeFill="accent3" w:themeFillTint="34"/>
        <w:tcBorders/>
      </w:tcPr>
    </w:tblStylePr>
    <w:tblStylePr w:type="band2Horz">
      <w:rPr>
        <w:rFonts w:ascii="Arial" w:hAnsi="Arial"/>
        <w:color w:val="5c70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c70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c70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c70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1">
    <w:name w:val="Grid Table 7 Colorful - Accent 4"/>
    <w:basedOn w:val="3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2">
    <w:name w:val="Grid Table 7 Colorful - Accent 5"/>
    <w:basedOn w:val="3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777"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777"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777"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777"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777"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777"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3">
    <w:name w:val="Grid Table 7 Colorful - Accent 6"/>
    <w:basedOn w:val="3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05307" w:themeColor="accent6" w:themeShade="95"/>
        <w:sz w:val="22"/>
      </w:rPr>
      <w:pPr>
        <w:pBdr/>
        <w:spacing/>
        <w:ind/>
      </w:pPr>
      <w:tblPr>
        <w:tblBorders/>
      </w:tblPr>
      <w:tcPr>
        <w:shd w:val="clear" w:color="ffffff" w:themeColor="accent6" w:themeTint="34" w:fill="fde9d8" w:themeFill="accent6" w:themeFillTint="34"/>
        <w:tcBorders/>
      </w:tcPr>
    </w:tblStylePr>
    <w:tblStylePr w:type="band1Vert">
      <w:pPr>
        <w:pBdr/>
        <w:spacing/>
        <w:ind/>
      </w:pPr>
      <w:tblPr>
        <w:tblBorders/>
      </w:tblPr>
      <w:tcPr>
        <w:shd w:val="clear" w:color="ffffff" w:themeColor="accent6" w:themeTint="34" w:fill="fde9d8" w:themeFill="accent6" w:themeFillTint="34"/>
        <w:tcBorders/>
      </w:tcPr>
    </w:tblStylePr>
    <w:tblStylePr w:type="band2Horz">
      <w:rPr>
        <w:rFonts w:ascii="Arial" w:hAnsi="Arial"/>
        <w:color w:val="b05307"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05307"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05307"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05307"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05307"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1 Light"/>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1 Light - Accent 1"/>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1 Light - Accent 2"/>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1 Light - Accent 3"/>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1 Light - Accent 4"/>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1 Light - Accent 5"/>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1 Light - Accent 6"/>
    <w:basedOn w:val="3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1">
    <w:name w:val="List Table 2"/>
    <w:basedOn w:val="3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2">
    <w:name w:val="List Table 2 - Accent 1"/>
    <w:basedOn w:val="3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3">
    <w:name w:val="List Table 2 - Accent 2"/>
    <w:basedOn w:val="3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4">
    <w:name w:val="List Table 2 - Accent 3"/>
    <w:basedOn w:val="3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5">
    <w:name w:val="List Table 2 - Accent 4"/>
    <w:basedOn w:val="3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6">
    <w:name w:val="List Table 2 - Accent 5"/>
    <w:basedOn w:val="3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7">
    <w:name w:val="List Table 2 - Accent 6"/>
    <w:basedOn w:val="3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st Table 3"/>
    <w:basedOn w:val="3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st Table 3 - Accent 1"/>
    <w:basedOn w:val="3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st Table 3 - Accent 2"/>
    <w:basedOn w:val="3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99694"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st Table 3 - Accent 3"/>
    <w:basedOn w:val="3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b"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st Table 3 - Accent 4"/>
    <w:basedOn w:val="3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6"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st Table 3 - Accent 5"/>
    <w:basedOn w:val="3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1cddc"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List Table 3 - Accent 6"/>
    <w:basedOn w:val="3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9bf90"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List Table 4"/>
    <w:basedOn w:val="3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List Table 4 - Accent 1"/>
    <w:basedOn w:val="3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e0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List Table 4 - Accent 2"/>
    <w:basedOn w:val="3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List Table 4 - Accent 3"/>
    <w:basedOn w:val="3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List Table 4 - Accent 4"/>
    <w:basedOn w:val="3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7"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List Table 4 - Accent 5"/>
    <w:basedOn w:val="3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1eaf0"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List Table 4 - Accent 6"/>
    <w:basedOn w:val="3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ce4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List Table 5 Dark"/>
    <w:basedOn w:val="3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3">
    <w:name w:val="List Table 5 Dark - Accent 1"/>
    <w:basedOn w:val="3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4">
    <w:name w:val="List Table 5 Dark - Accent 2"/>
    <w:basedOn w:val="3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99694" w:themeFill="accent2" w:themeFillTint="97"/>
    </w:tblPr>
    <w:tcPr>
      <w:tcBorders/>
    </w:tcPr>
    <w:tblStylePr w:type="band1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99694"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99694"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99694"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5">
    <w:name w:val="List Table 5 Dark - Accent 3"/>
    <w:basedOn w:val="3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b" w:themeFill="accent3" w:themeFillTint="98"/>
    </w:tblPr>
    <w:tcPr>
      <w:tcBorders/>
    </w:tcPr>
    <w:tblStylePr w:type="band1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b"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b"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b"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6">
    <w:name w:val="List Table 5 Dark - Accent 4"/>
    <w:basedOn w:val="3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6" w:themeFill="accent4" w:themeFillTint="9A"/>
    </w:tblPr>
    <w:tcPr>
      <w:tcBorders/>
    </w:tcPr>
    <w:tblStylePr w:type="band1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6"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6"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6"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7">
    <w:name w:val="List Table 5 Dark - Accent 5"/>
    <w:basedOn w:val="3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1cddc" w:themeFill="accent5" w:themeFillTint="9A"/>
    </w:tblPr>
    <w:tcPr>
      <w:tcBorders/>
    </w:tcPr>
    <w:tblStylePr w:type="band1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1cddc"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1cddc"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1cddc"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8">
    <w:name w:val="List Table 5 Dark - Accent 6"/>
    <w:basedOn w:val="3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9bf90" w:themeFill="accent6" w:themeFillTint="98"/>
    </w:tblPr>
    <w:tcPr>
      <w:tcBorders/>
    </w:tcPr>
    <w:tblStylePr w:type="band1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9bf90"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9bf90"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9bf90"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39">
    <w:name w:val="List Table 6 Colorful"/>
    <w:basedOn w:val="3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0">
    <w:name w:val="List Table 6 Colorful - Accent 1"/>
    <w:basedOn w:val="3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a4b71" w:themeColor="accent1" w:themeShade="95"/>
      </w:rPr>
      <w:pPr>
        <w:pBdr/>
        <w:spacing/>
        <w:ind/>
      </w:pPr>
      <w:tblPr>
        <w:tblBorders/>
      </w:tblPr>
      <w:tcPr>
        <w:tcBorders/>
      </w:tcPr>
    </w:tblStylePr>
    <w:tblStylePr w:type="firstRow">
      <w:rPr>
        <w:b/>
        <w:color w:val="2a4b71" w:themeColor="accent1" w:themeShade="95"/>
      </w:rPr>
      <w:pPr>
        <w:pBdr/>
        <w:spacing/>
        <w:ind/>
      </w:pPr>
      <w:tblPr>
        <w:tblBorders/>
      </w:tblPr>
      <w:tcPr>
        <w:tcBorders>
          <w:bottom w:val="single" w:color="000000" w:themeColor="accent1" w:sz="4" w:space="0"/>
        </w:tcBorders>
      </w:tcPr>
    </w:tblStylePr>
    <w:tblStylePr w:type="lastCol">
      <w:rPr>
        <w:b/>
        <w:color w:val="2a4b71" w:themeColor="accent1" w:themeShade="95"/>
      </w:rPr>
      <w:pPr>
        <w:pBdr/>
        <w:spacing/>
        <w:ind/>
      </w:pPr>
      <w:tblPr>
        <w:tblBorders/>
      </w:tblPr>
      <w:tcPr>
        <w:tcBorders/>
      </w:tcPr>
    </w:tblStylePr>
    <w:tblStylePr w:type="lastRow">
      <w:rPr>
        <w:b/>
        <w:color w:val="2a4b71"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1">
    <w:name w:val="List Table 6 Colorful - Accent 2"/>
    <w:basedOn w:val="3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c3a37" w:themeColor="accent2" w:themeTint="97" w:themeShade="95"/>
      </w:rPr>
      <w:pPr>
        <w:pBdr/>
        <w:spacing/>
        <w:ind/>
      </w:pPr>
      <w:tblPr>
        <w:tblBorders/>
      </w:tblPr>
      <w:tcPr>
        <w:tcBorders/>
      </w:tcPr>
    </w:tblStylePr>
    <w:tblStylePr w:type="firstRow">
      <w:rPr>
        <w:b/>
        <w:color w:val="9c3a37" w:themeColor="accent2" w:themeTint="97" w:themeShade="95"/>
      </w:rPr>
      <w:pPr>
        <w:pBdr/>
        <w:spacing/>
        <w:ind/>
      </w:pPr>
      <w:tblPr>
        <w:tblBorders/>
      </w:tblPr>
      <w:tcPr>
        <w:tcBorders>
          <w:bottom w:val="single" w:color="000000" w:themeColor="accent2" w:themeTint="97" w:sz="4" w:space="0"/>
        </w:tcBorders>
      </w:tcPr>
    </w:tblStylePr>
    <w:tblStylePr w:type="lastCol">
      <w:rPr>
        <w:b/>
        <w:color w:val="9c3a37" w:themeColor="accent2" w:themeTint="97" w:themeShade="95"/>
      </w:rPr>
      <w:pPr>
        <w:pBdr/>
        <w:spacing/>
        <w:ind/>
      </w:pPr>
      <w:tblPr>
        <w:tblBorders/>
      </w:tblPr>
      <w:tcPr>
        <w:tcBorders/>
      </w:tcPr>
    </w:tblStylePr>
    <w:tblStylePr w:type="lastRow">
      <w:rPr>
        <w:b/>
        <w:color w:val="9c3a37"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2">
    <w:name w:val="List Table 6 Colorful - Accent 3"/>
    <w:basedOn w:val="3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83f" w:themeColor="accent3" w:themeTint="98" w:themeShade="95"/>
      </w:rPr>
      <w:pPr>
        <w:pBdr/>
        <w:spacing/>
        <w:ind/>
      </w:pPr>
      <w:tblPr>
        <w:tblBorders/>
      </w:tblPr>
      <w:tcPr>
        <w:tcBorders/>
      </w:tcPr>
    </w:tblStylePr>
    <w:tblStylePr w:type="firstRow">
      <w:rPr>
        <w:b/>
        <w:color w:val="7c98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83f" w:themeColor="accent3" w:themeTint="98" w:themeShade="95"/>
      </w:rPr>
      <w:pPr>
        <w:pBdr/>
        <w:spacing/>
        <w:ind/>
      </w:pPr>
      <w:tblPr>
        <w:tblBorders/>
      </w:tblPr>
      <w:tcPr>
        <w:tcBorders/>
      </w:tcPr>
    </w:tblStylePr>
    <w:tblStylePr w:type="lastRow">
      <w:rPr>
        <w:b/>
        <w:color w:val="7c98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3">
    <w:name w:val="List Table 6 Colorful - Accent 4"/>
    <w:basedOn w:val="3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64f82" w:themeColor="accent4" w:themeTint="9A" w:themeShade="95"/>
      </w:rPr>
      <w:pPr>
        <w:pBdr/>
        <w:spacing/>
        <w:ind/>
      </w:pPr>
      <w:tblPr>
        <w:tblBorders/>
      </w:tblPr>
      <w:tcPr>
        <w:tcBorders/>
      </w:tcPr>
    </w:tblStylePr>
    <w:tblStylePr w:type="firstRow">
      <w:rPr>
        <w:b/>
        <w:color w:val="664f82" w:themeColor="accent4" w:themeTint="9A" w:themeShade="95"/>
      </w:rPr>
      <w:pPr>
        <w:pBdr/>
        <w:spacing/>
        <w:ind/>
      </w:pPr>
      <w:tblPr>
        <w:tblBorders/>
      </w:tblPr>
      <w:tcPr>
        <w:tcBorders>
          <w:bottom w:val="single" w:color="000000" w:themeColor="accent4" w:themeTint="9A" w:sz="4" w:space="0"/>
        </w:tcBorders>
      </w:tcPr>
    </w:tblStylePr>
    <w:tblStylePr w:type="lastCol">
      <w:rPr>
        <w:b/>
        <w:color w:val="664f82" w:themeColor="accent4" w:themeTint="9A" w:themeShade="95"/>
      </w:rPr>
      <w:pPr>
        <w:pBdr/>
        <w:spacing/>
        <w:ind/>
      </w:pPr>
      <w:tblPr>
        <w:tblBorders/>
      </w:tblPr>
      <w:tcPr>
        <w:tcBorders/>
      </w:tcPr>
    </w:tblStylePr>
    <w:tblStylePr w:type="lastRow">
      <w:rPr>
        <w:b/>
        <w:color w:val="664f82"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4">
    <w:name w:val="List Table 6 Colorful - Accent 5"/>
    <w:basedOn w:val="3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38aa0" w:themeColor="accent5" w:themeTint="9A" w:themeShade="95"/>
      </w:rPr>
      <w:pPr>
        <w:pBdr/>
        <w:spacing/>
        <w:ind/>
      </w:pPr>
      <w:tblPr>
        <w:tblBorders/>
      </w:tblPr>
      <w:tcPr>
        <w:tcBorders/>
      </w:tcPr>
    </w:tblStylePr>
    <w:tblStylePr w:type="firstRow">
      <w:rPr>
        <w:b/>
        <w:color w:val="338aa0" w:themeColor="accent5" w:themeTint="9A" w:themeShade="95"/>
      </w:rPr>
      <w:pPr>
        <w:pBdr/>
        <w:spacing/>
        <w:ind/>
      </w:pPr>
      <w:tblPr>
        <w:tblBorders/>
      </w:tblPr>
      <w:tcPr>
        <w:tcBorders>
          <w:bottom w:val="single" w:color="000000" w:themeColor="accent5" w:themeTint="9A" w:sz="4" w:space="0"/>
        </w:tcBorders>
      </w:tcPr>
    </w:tblStylePr>
    <w:tblStylePr w:type="lastCol">
      <w:rPr>
        <w:b/>
        <w:color w:val="338aa0" w:themeColor="accent5" w:themeTint="9A" w:themeShade="95"/>
      </w:rPr>
      <w:pPr>
        <w:pBdr/>
        <w:spacing/>
        <w:ind/>
      </w:pPr>
      <w:tblPr>
        <w:tblBorders/>
      </w:tblPr>
      <w:tcPr>
        <w:tcBorders/>
      </w:tcPr>
    </w:tblStylePr>
    <w:tblStylePr w:type="lastRow">
      <w:rPr>
        <w:b/>
        <w:color w:val="338aa0"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5">
    <w:name w:val="List Table 6 Colorful - Accent 6"/>
    <w:basedOn w:val="3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9680c" w:themeColor="accent6" w:themeTint="98" w:themeShade="95"/>
      </w:rPr>
      <w:pPr>
        <w:pBdr/>
        <w:spacing/>
        <w:ind/>
      </w:pPr>
      <w:tblPr>
        <w:tblBorders/>
      </w:tblPr>
      <w:tcPr>
        <w:tcBorders/>
      </w:tcPr>
    </w:tblStylePr>
    <w:tblStylePr w:type="firstRow">
      <w:rPr>
        <w:b/>
        <w:color w:val="d9680c" w:themeColor="accent6" w:themeTint="98" w:themeShade="95"/>
      </w:rPr>
      <w:pPr>
        <w:pBdr/>
        <w:spacing/>
        <w:ind/>
      </w:pPr>
      <w:tblPr>
        <w:tblBorders/>
      </w:tblPr>
      <w:tcPr>
        <w:tcBorders>
          <w:bottom w:val="single" w:color="000000" w:themeColor="accent6" w:themeTint="98" w:sz="4" w:space="0"/>
        </w:tcBorders>
      </w:tcPr>
    </w:tblStylePr>
    <w:tblStylePr w:type="lastCol">
      <w:rPr>
        <w:b/>
        <w:color w:val="d9680c" w:themeColor="accent6" w:themeTint="98" w:themeShade="95"/>
      </w:rPr>
      <w:pPr>
        <w:pBdr/>
        <w:spacing/>
        <w:ind/>
      </w:pPr>
      <w:tblPr>
        <w:tblBorders/>
      </w:tblPr>
      <w:tcPr>
        <w:tcBorders/>
      </w:tcPr>
    </w:tblStylePr>
    <w:tblStylePr w:type="lastRow">
      <w:rPr>
        <w:b/>
        <w:color w:val="d9680c"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6">
    <w:name w:val="List Table 7 Colorful"/>
    <w:basedOn w:val="3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47">
    <w:name w:val="List Table 7 Colorful - Accent 1"/>
    <w:basedOn w:val="3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a4b71" w:themeColor="accent1" w:themeShade="95"/>
        <w:sz w:val="22"/>
      </w:rPr>
      <w:pPr>
        <w:pBdr/>
        <w:spacing/>
        <w:ind/>
      </w:pPr>
      <w:tblPr>
        <w:tblBorders/>
      </w:tblPr>
      <w:tcPr>
        <w:shd w:val="clear" w:color="ffffff" w:themeColor="accent1" w:themeTint="40" w:fill="d3e0ee" w:themeFill="accent1" w:themeFillTint="40"/>
        <w:tcBorders/>
      </w:tcPr>
    </w:tblStylePr>
    <w:tblStylePr w:type="band1Vert">
      <w:pPr>
        <w:pBdr/>
        <w:spacing/>
        <w:ind/>
      </w:pPr>
      <w:tblPr>
        <w:tblBorders/>
      </w:tblPr>
      <w:tcPr>
        <w:shd w:val="clear" w:color="ffffff" w:themeColor="accent1" w:themeTint="40" w:fill="d3e0ee" w:themeFill="accent1" w:themeFillTint="40"/>
        <w:tcBorders/>
      </w:tcPr>
    </w:tblStylePr>
    <w:tblStylePr w:type="band2Horz">
      <w:rPr>
        <w:rFonts w:ascii="Arial" w:hAnsi="Arial"/>
        <w:color w:val="2a4b71"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a4b71"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a4b71"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a4b71"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a4b71"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a4b71" w:themeColor="accent1" w:themeShade="95"/>
        <w:sz w:val="22"/>
      </w:rPr>
      <w:pPr>
        <w:pBdr/>
        <w:spacing/>
        <w:ind/>
      </w:pPr>
      <w:tblPr>
        <w:tblBorders/>
      </w:tblPr>
      <w:tcPr>
        <w:tcBorders/>
      </w:tcPr>
    </w:tblStylePr>
  </w:style>
  <w:style w:type="table" w:styleId="148">
    <w:name w:val="List Table 7 Colorful - Accent 2"/>
    <w:basedOn w:val="3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c3a37"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c3a37"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c3a37"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c3a37"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c3a37"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c3a37" w:themeColor="accent2" w:themeTint="97" w:themeShade="95"/>
        <w:sz w:val="22"/>
      </w:rPr>
      <w:pPr>
        <w:pBdr/>
        <w:spacing/>
        <w:ind/>
      </w:pPr>
      <w:tblPr>
        <w:tblBorders/>
      </w:tblPr>
      <w:tcPr>
        <w:tcBorders/>
      </w:tcPr>
    </w:tblStylePr>
  </w:style>
  <w:style w:type="table" w:styleId="149">
    <w:name w:val="List Table 7 Colorful - Accent 3"/>
    <w:basedOn w:val="3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8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8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8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8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8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83f" w:themeColor="accent3" w:themeTint="98" w:themeShade="95"/>
        <w:sz w:val="22"/>
      </w:rPr>
      <w:pPr>
        <w:pBdr/>
        <w:spacing/>
        <w:ind/>
      </w:pPr>
      <w:tblPr>
        <w:tblBorders/>
      </w:tblPr>
      <w:tcPr>
        <w:tcBorders/>
      </w:tcPr>
    </w:tblStylePr>
  </w:style>
  <w:style w:type="table" w:styleId="150">
    <w:name w:val="List Table 7 Colorful - Accent 4"/>
    <w:basedOn w:val="3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64f82" w:themeColor="accent4" w:themeTint="9A" w:themeShade="95"/>
        <w:sz w:val="22"/>
      </w:rPr>
      <w:pPr>
        <w:pBdr/>
        <w:spacing/>
        <w:ind/>
      </w:pPr>
      <w:tblPr>
        <w:tblBorders/>
      </w:tblPr>
      <w:tcPr>
        <w:shd w:val="clear" w:color="ffffff" w:themeColor="accent4" w:themeTint="40" w:fill="dfd8e7" w:themeFill="accent4" w:themeFillTint="40"/>
        <w:tcBorders/>
      </w:tcPr>
    </w:tblStylePr>
    <w:tblStylePr w:type="band1Vert">
      <w:pPr>
        <w:pBdr/>
        <w:spacing/>
        <w:ind/>
      </w:pPr>
      <w:tblPr>
        <w:tblBorders/>
      </w:tblPr>
      <w:tcPr>
        <w:shd w:val="clear" w:color="ffffff" w:themeColor="accent4" w:themeTint="40" w:fill="dfd8e7" w:themeFill="accent4" w:themeFillTint="40"/>
        <w:tcBorders/>
      </w:tcPr>
    </w:tblStylePr>
    <w:tblStylePr w:type="band2Horz">
      <w:rPr>
        <w:rFonts w:ascii="Arial" w:hAnsi="Arial"/>
        <w:color w:val="664f82"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64f82"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64f82"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64f82"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64f82" w:themeColor="accent4" w:themeTint="9A" w:themeShade="95"/>
        <w:sz w:val="22"/>
      </w:rPr>
      <w:pPr>
        <w:pBdr/>
        <w:spacing/>
        <w:ind/>
      </w:pPr>
      <w:tblPr>
        <w:tblBorders/>
      </w:tblPr>
      <w:tcPr>
        <w:tcBorders/>
      </w:tcPr>
    </w:tblStylePr>
  </w:style>
  <w:style w:type="table" w:styleId="151">
    <w:name w:val="List Table 7 Colorful - Accent 5"/>
    <w:basedOn w:val="3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38aa0" w:themeColor="accent5" w:themeTint="9A" w:themeShade="95"/>
        <w:sz w:val="22"/>
      </w:rPr>
      <w:pPr>
        <w:pBdr/>
        <w:spacing/>
        <w:ind/>
      </w:pPr>
      <w:tblPr>
        <w:tblBorders/>
      </w:tblPr>
      <w:tcPr>
        <w:shd w:val="clear" w:color="ffffff" w:themeColor="accent5" w:themeTint="40" w:fill="d1eaf0" w:themeFill="accent5" w:themeFillTint="40"/>
        <w:tcBorders/>
      </w:tcPr>
    </w:tblStylePr>
    <w:tblStylePr w:type="band1Vert">
      <w:pPr>
        <w:pBdr/>
        <w:spacing/>
        <w:ind/>
      </w:pPr>
      <w:tblPr>
        <w:tblBorders/>
      </w:tblPr>
      <w:tcPr>
        <w:shd w:val="clear" w:color="ffffff" w:themeColor="accent5" w:themeTint="40" w:fill="d1eaf0" w:themeFill="accent5" w:themeFillTint="40"/>
        <w:tcBorders/>
      </w:tcPr>
    </w:tblStylePr>
    <w:tblStylePr w:type="band2Horz">
      <w:rPr>
        <w:rFonts w:ascii="Arial" w:hAnsi="Arial"/>
        <w:color w:val="338aa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38aa0"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38aa0"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38aa0"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38aa0" w:themeColor="accent5" w:themeTint="9A" w:themeShade="95"/>
        <w:sz w:val="22"/>
      </w:rPr>
      <w:pPr>
        <w:pBdr/>
        <w:spacing/>
        <w:ind/>
      </w:pPr>
      <w:tblPr>
        <w:tblBorders/>
      </w:tblPr>
      <w:tcPr>
        <w:tcBorders/>
      </w:tcPr>
    </w:tblStylePr>
  </w:style>
  <w:style w:type="table" w:styleId="152">
    <w:name w:val="List Table 7 Colorful - Accent 6"/>
    <w:basedOn w:val="3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9680c" w:themeColor="accent6" w:themeTint="98" w:themeShade="95"/>
        <w:sz w:val="22"/>
      </w:rPr>
      <w:pPr>
        <w:pBdr/>
        <w:spacing/>
        <w:ind/>
      </w:pPr>
      <w:tblPr>
        <w:tblBorders/>
      </w:tblPr>
      <w:tcPr>
        <w:shd w:val="clear" w:color="ffffff" w:themeColor="accent6" w:themeTint="40" w:fill="fce4d1" w:themeFill="accent6" w:themeFillTint="40"/>
        <w:tcBorders/>
      </w:tcPr>
    </w:tblStylePr>
    <w:tblStylePr w:type="band1Vert">
      <w:pPr>
        <w:pBdr/>
        <w:spacing/>
        <w:ind/>
      </w:pPr>
      <w:tblPr>
        <w:tblBorders/>
      </w:tblPr>
      <w:tcPr>
        <w:shd w:val="clear" w:color="ffffff" w:themeColor="accent6" w:themeTint="40" w:fill="fce4d1" w:themeFill="accent6" w:themeFillTint="40"/>
        <w:tcBorders/>
      </w:tcPr>
    </w:tblStylePr>
    <w:tblStylePr w:type="band2Horz">
      <w:rPr>
        <w:rFonts w:ascii="Arial" w:hAnsi="Arial"/>
        <w:color w:val="d9680c"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9680c"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9680c"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9680c"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9680c" w:themeColor="accent6" w:themeTint="98" w:themeShade="95"/>
        <w:sz w:val="22"/>
      </w:rPr>
      <w:pPr>
        <w:pBdr/>
        <w:spacing/>
        <w:ind/>
      </w:pPr>
      <w:tblPr>
        <w:tblBorders/>
      </w:tblPr>
      <w:tcPr>
        <w:tcBorders/>
      </w:tcPr>
    </w:tblStylePr>
  </w:style>
  <w:style w:type="table" w:styleId="153">
    <w:name w:val="Lined - Accent"/>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4">
    <w:name w:val="Lined - Accent 1"/>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5">
    <w:name w:val="Lined - Accent 2"/>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6">
    <w:name w:val="Lined - Accent 3"/>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7">
    <w:name w:val="Lined - Accent 4"/>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8">
    <w:name w:val="Lined - Accent 5"/>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9">
    <w:name w:val="Lined - Accent 6"/>
    <w:basedOn w:val="3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0">
    <w:name w:val="Bordered &amp; Lined - Accent"/>
    <w:basedOn w:val="3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1">
    <w:name w:val="Bordered &amp; Lined - Accent 1"/>
    <w:basedOn w:val="3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7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d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2">
    <w:name w:val="Bordered &amp; Lined - Accent 2"/>
    <w:basedOn w:val="3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2dcdb"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99694"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3">
    <w:name w:val="Bordered &amp; Lined - Accent 3"/>
    <w:basedOn w:val="3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af0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a59"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4">
    <w:name w:val="Bordered &amp; Lined - Accent 4"/>
    <w:basedOn w:val="3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6"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5">
    <w:name w:val="Bordered &amp; Lined - Accent 5"/>
    <w:basedOn w:val="3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6">
    <w:name w:val="Bordered &amp; Lined - Accent 6"/>
    <w:basedOn w:val="3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9d8"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7">
    <w:name w:val="Bordered"/>
    <w:basedOn w:val="3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8">
    <w:name w:val="Bordered - Accent 1"/>
    <w:basedOn w:val="3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9">
    <w:name w:val="Bordered - Accent 2"/>
    <w:basedOn w:val="3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0">
    <w:name w:val="Bordered - Accent 3"/>
    <w:basedOn w:val="3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1">
    <w:name w:val="Bordered - Accent 4"/>
    <w:basedOn w:val="3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2">
    <w:name w:val="Bordered - Accent 5"/>
    <w:basedOn w:val="3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3">
    <w:name w:val="Bordered - Accent 6"/>
    <w:basedOn w:val="3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174">
    <w:name w:val="Hyperlink"/>
    <w:uiPriority w:val="99"/>
    <w:unhideWhenUsed/>
    <w:pPr>
      <w:pBdr/>
      <w:spacing/>
      <w:ind/>
    </w:pPr>
    <w:rPr>
      <w:color w:val="0000ff" w:themeColor="hyperlink"/>
      <w:u w:val="single"/>
    </w:rPr>
  </w:style>
  <w:style w:type="paragraph" w:styleId="175">
    <w:name w:val="footnote text"/>
    <w:basedOn w:val="684"/>
    <w:link w:val="176"/>
    <w:uiPriority w:val="99"/>
    <w:semiHidden/>
    <w:unhideWhenUsed/>
    <w:pPr>
      <w:pBdr/>
      <w:spacing w:after="40" w:line="240" w:lineRule="auto"/>
      <w:ind/>
    </w:pPr>
    <w:rPr>
      <w:sz w:val="18"/>
    </w:rPr>
  </w:style>
  <w:style w:type="character" w:styleId="176">
    <w:name w:val="Footnote Text Char"/>
    <w:link w:val="175"/>
    <w:uiPriority w:val="99"/>
    <w:pPr>
      <w:pBdr/>
      <w:spacing/>
      <w:ind/>
    </w:pPr>
    <w:rPr>
      <w:sz w:val="18"/>
    </w:rPr>
  </w:style>
  <w:style w:type="character" w:styleId="177">
    <w:name w:val="footnote reference"/>
    <w:basedOn w:val="11"/>
    <w:uiPriority w:val="99"/>
    <w:unhideWhenUsed/>
    <w:pPr>
      <w:pBdr/>
      <w:spacing/>
      <w:ind/>
    </w:pPr>
    <w:rPr>
      <w:vertAlign w:val="superscript"/>
    </w:rPr>
  </w:style>
  <w:style w:type="paragraph" w:styleId="178">
    <w:name w:val="endnote text"/>
    <w:basedOn w:val="684"/>
    <w:link w:val="179"/>
    <w:uiPriority w:val="99"/>
    <w:semiHidden/>
    <w:unhideWhenUsed/>
    <w:pPr>
      <w:pBdr/>
      <w:spacing w:after="0" w:line="240" w:lineRule="auto"/>
      <w:ind/>
    </w:pPr>
    <w:rPr>
      <w:sz w:val="20"/>
    </w:rPr>
  </w:style>
  <w:style w:type="character" w:styleId="179">
    <w:name w:val="Endnote Text Char"/>
    <w:link w:val="178"/>
    <w:uiPriority w:val="99"/>
    <w:pPr>
      <w:pBdr/>
      <w:spacing/>
      <w:ind/>
    </w:pPr>
    <w:rPr>
      <w:sz w:val="20"/>
    </w:rPr>
  </w:style>
  <w:style w:type="character" w:styleId="180">
    <w:name w:val="endnote reference"/>
    <w:basedOn w:val="11"/>
    <w:uiPriority w:val="99"/>
    <w:semiHidden/>
    <w:unhideWhenUsed/>
    <w:pPr>
      <w:pBdr/>
      <w:spacing/>
      <w:ind/>
    </w:pPr>
    <w:rPr>
      <w:vertAlign w:val="superscript"/>
    </w:rPr>
  </w:style>
  <w:style w:type="paragraph" w:styleId="181">
    <w:name w:val="toc 1"/>
    <w:basedOn w:val="684"/>
    <w:next w:val="684"/>
    <w:uiPriority w:val="39"/>
    <w:unhideWhenUsed/>
    <w:pPr>
      <w:pBdr/>
      <w:spacing w:after="57"/>
      <w:ind w:right="0" w:firstLine="0" w:left="0"/>
    </w:pPr>
  </w:style>
  <w:style w:type="paragraph" w:styleId="182">
    <w:name w:val="toc 2"/>
    <w:basedOn w:val="684"/>
    <w:next w:val="684"/>
    <w:uiPriority w:val="39"/>
    <w:unhideWhenUsed/>
    <w:pPr>
      <w:pBdr/>
      <w:spacing w:after="57"/>
      <w:ind w:right="0" w:firstLine="0" w:left="283"/>
    </w:pPr>
  </w:style>
  <w:style w:type="paragraph" w:styleId="183">
    <w:name w:val="toc 3"/>
    <w:basedOn w:val="684"/>
    <w:next w:val="684"/>
    <w:uiPriority w:val="39"/>
    <w:unhideWhenUsed/>
    <w:pPr>
      <w:pBdr/>
      <w:spacing w:after="57"/>
      <w:ind w:right="0" w:firstLine="0" w:left="567"/>
    </w:pPr>
  </w:style>
  <w:style w:type="paragraph" w:styleId="184">
    <w:name w:val="toc 4"/>
    <w:basedOn w:val="684"/>
    <w:next w:val="684"/>
    <w:uiPriority w:val="39"/>
    <w:unhideWhenUsed/>
    <w:pPr>
      <w:pBdr/>
      <w:spacing w:after="57"/>
      <w:ind w:right="0" w:firstLine="0" w:left="850"/>
    </w:pPr>
  </w:style>
  <w:style w:type="paragraph" w:styleId="185">
    <w:name w:val="toc 5"/>
    <w:basedOn w:val="684"/>
    <w:next w:val="684"/>
    <w:uiPriority w:val="39"/>
    <w:unhideWhenUsed/>
    <w:pPr>
      <w:pBdr/>
      <w:spacing w:after="57"/>
      <w:ind w:right="0" w:firstLine="0" w:left="1134"/>
    </w:pPr>
  </w:style>
  <w:style w:type="paragraph" w:styleId="186">
    <w:name w:val="toc 6"/>
    <w:basedOn w:val="684"/>
    <w:next w:val="684"/>
    <w:uiPriority w:val="39"/>
    <w:unhideWhenUsed/>
    <w:pPr>
      <w:pBdr/>
      <w:spacing w:after="57"/>
      <w:ind w:right="0" w:firstLine="0" w:left="1417"/>
    </w:pPr>
  </w:style>
  <w:style w:type="paragraph" w:styleId="187">
    <w:name w:val="toc 7"/>
    <w:basedOn w:val="684"/>
    <w:next w:val="684"/>
    <w:uiPriority w:val="39"/>
    <w:unhideWhenUsed/>
    <w:pPr>
      <w:pBdr/>
      <w:spacing w:after="57"/>
      <w:ind w:right="0" w:firstLine="0" w:left="1701"/>
    </w:pPr>
  </w:style>
  <w:style w:type="paragraph" w:styleId="188">
    <w:name w:val="toc 8"/>
    <w:basedOn w:val="684"/>
    <w:next w:val="684"/>
    <w:uiPriority w:val="39"/>
    <w:unhideWhenUsed/>
    <w:pPr>
      <w:pBdr/>
      <w:spacing w:after="57"/>
      <w:ind w:right="0" w:firstLine="0" w:left="1984"/>
    </w:pPr>
  </w:style>
  <w:style w:type="paragraph" w:styleId="189">
    <w:name w:val="toc 9"/>
    <w:basedOn w:val="684"/>
    <w:next w:val="684"/>
    <w:uiPriority w:val="39"/>
    <w:unhideWhenUsed/>
    <w:pPr>
      <w:pBdr/>
      <w:spacing w:after="57"/>
      <w:ind w:right="0" w:firstLine="0" w:left="2268"/>
    </w:pPr>
  </w:style>
  <w:style w:type="paragraph" w:styleId="190">
    <w:name w:val="TOC Heading"/>
    <w:uiPriority w:val="39"/>
    <w:unhideWhenUsed/>
    <w:pPr>
      <w:pBdr/>
      <w:spacing/>
      <w:ind/>
    </w:pPr>
  </w:style>
  <w:style w:type="paragraph" w:styleId="191">
    <w:name w:val="table of figures"/>
    <w:basedOn w:val="684"/>
    <w:next w:val="684"/>
    <w:uiPriority w:val="99"/>
    <w:unhideWhenUsed/>
    <w:pPr>
      <w:pBdr/>
      <w:spacing w:after="0" w:afterAutospacing="0"/>
      <w:ind/>
    </w:pPr>
  </w:style>
  <w:style w:type="paragraph" w:styleId="684" w:default="1">
    <w:name w:val="Normal"/>
    <w:next w:val="684"/>
    <w:link w:val="684"/>
    <w:pPr>
      <w:widowControl w:val="false"/>
      <w:pBdr/>
      <w:spacing/>
      <w:ind/>
      <w:jc w:val="both"/>
    </w:pPr>
    <w:rPr>
      <w:sz w:val="21"/>
      <w:szCs w:val="24"/>
      <w:lang w:val="en-US" w:eastAsia="zh-CN" w:bidi="ar-SA"/>
    </w:rPr>
  </w:style>
  <w:style w:type="character" w:styleId="685">
    <w:name w:val="默认段落字体"/>
    <w:next w:val="685"/>
    <w:link w:val="684"/>
    <w:semiHidden/>
    <w:pPr>
      <w:pBdr/>
      <w:spacing/>
      <w:ind/>
    </w:pPr>
  </w:style>
  <w:style w:type="table" w:styleId="686">
    <w:name w:val="普通表格"/>
    <w:next w:val="686"/>
    <w:link w:val="684"/>
    <w:semiHidden/>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687">
    <w:name w:val="正文文本"/>
    <w:basedOn w:val="684"/>
    <w:next w:val="687"/>
    <w:link w:val="688"/>
    <w:semiHidden/>
    <w:pPr>
      <w:widowControl w:val="true"/>
      <w:pBdr/>
      <w:spacing/>
      <w:ind/>
      <w:jc w:val="left"/>
    </w:pPr>
    <w:rPr>
      <w:rFonts w:ascii="Arial" w:hAnsi="Arial" w:eastAsia="Arial"/>
      <w:color w:val="000000"/>
      <w:szCs w:val="21"/>
      <w:lang w:eastAsia="en-US"/>
    </w:rPr>
  </w:style>
  <w:style w:type="character" w:styleId="688">
    <w:name w:val="正文文本 Char"/>
    <w:basedOn w:val="685"/>
    <w:next w:val="688"/>
    <w:link w:val="687"/>
    <w:semiHidden/>
    <w:pPr>
      <w:pBdr/>
      <w:spacing/>
      <w:ind/>
    </w:pPr>
    <w:rPr>
      <w:rFonts w:ascii="Arial" w:hAnsi="Arial" w:eastAsia="Arial"/>
      <w:color w:val="000000"/>
      <w:sz w:val="21"/>
      <w:szCs w:val="21"/>
      <w:lang w:eastAsia="en-US" w:bidi="ar-SA"/>
    </w:rPr>
  </w:style>
  <w:style w:type="paragraph" w:styleId="689">
    <w:name w:val="目录 3"/>
    <w:basedOn w:val="684"/>
    <w:next w:val="684"/>
    <w:link w:val="684"/>
    <w:pPr>
      <w:widowControl w:val="true"/>
      <w:pBdr/>
      <w:spacing/>
      <w:ind/>
      <w:jc w:val="left"/>
    </w:pPr>
    <w:rPr>
      <w:rFonts w:ascii="Arial" w:hAnsi="Arial" w:eastAsia="Arial" w:cs="Arial"/>
      <w:color w:val="000000"/>
      <w:szCs w:val="21"/>
      <w:lang w:eastAsia="en-US"/>
    </w:rPr>
  </w:style>
  <w:style w:type="paragraph" w:styleId="690">
    <w:name w:val="页脚"/>
    <w:basedOn w:val="684"/>
    <w:next w:val="690"/>
    <w:link w:val="691"/>
    <w:pPr>
      <w:pBdr/>
      <w:tabs>
        <w:tab w:val="center" w:leader="none" w:pos="4153"/>
        <w:tab w:val="right" w:leader="none" w:pos="8306"/>
      </w:tabs>
      <w:spacing/>
      <w:ind/>
      <w:jc w:val="left"/>
    </w:pPr>
    <w:rPr>
      <w:sz w:val="18"/>
      <w:szCs w:val="18"/>
    </w:rPr>
  </w:style>
  <w:style w:type="character" w:styleId="691">
    <w:name w:val="页脚 Char"/>
    <w:basedOn w:val="685"/>
    <w:next w:val="691"/>
    <w:link w:val="690"/>
    <w:pPr>
      <w:pBdr/>
      <w:spacing/>
      <w:ind/>
    </w:pPr>
    <w:rPr>
      <w:rFonts w:eastAsia="宋体"/>
      <w:sz w:val="18"/>
      <w:szCs w:val="18"/>
      <w:lang w:val="en-US" w:eastAsia="zh-CN" w:bidi="ar-SA"/>
    </w:rPr>
  </w:style>
  <w:style w:type="paragraph" w:styleId="692">
    <w:name w:val="页眉"/>
    <w:basedOn w:val="684"/>
    <w:next w:val="692"/>
    <w:link w:val="693"/>
    <w:pPr>
      <w:pBdr>
        <w:bottom w:val="single" w:color="000000" w:sz="6" w:space="1"/>
      </w:pBdr>
      <w:tabs>
        <w:tab w:val="center" w:leader="none" w:pos="4153"/>
        <w:tab w:val="right" w:leader="none" w:pos="8306"/>
      </w:tabs>
      <w:spacing/>
      <w:ind/>
      <w:jc w:val="center"/>
    </w:pPr>
    <w:rPr>
      <w:sz w:val="18"/>
      <w:szCs w:val="18"/>
    </w:rPr>
  </w:style>
  <w:style w:type="character" w:styleId="693">
    <w:name w:val="页眉 Char"/>
    <w:basedOn w:val="685"/>
    <w:next w:val="693"/>
    <w:link w:val="692"/>
    <w:pPr>
      <w:pBdr/>
      <w:spacing/>
      <w:ind/>
    </w:pPr>
    <w:rPr>
      <w:rFonts w:eastAsia="宋体"/>
      <w:sz w:val="18"/>
      <w:szCs w:val="18"/>
      <w:lang w:val="en-US" w:eastAsia="zh-CN" w:bidi="ar-SA"/>
    </w:rPr>
  </w:style>
  <w:style w:type="paragraph" w:styleId="694">
    <w:name w:val="目录 1"/>
    <w:basedOn w:val="684"/>
    <w:next w:val="684"/>
    <w:link w:val="684"/>
    <w:pPr>
      <w:widowControl w:val="true"/>
      <w:pBdr/>
      <w:spacing/>
      <w:ind/>
      <w:jc w:val="left"/>
    </w:pPr>
    <w:rPr>
      <w:rFonts w:ascii="Arial" w:hAnsi="Arial" w:eastAsia="Arial" w:cs="Arial"/>
      <w:color w:val="000000"/>
      <w:szCs w:val="21"/>
      <w:lang w:eastAsia="en-US"/>
    </w:rPr>
  </w:style>
  <w:style w:type="paragraph" w:styleId="695">
    <w:name w:val="目录 2"/>
    <w:basedOn w:val="684"/>
    <w:next w:val="684"/>
    <w:link w:val="684"/>
    <w:pPr>
      <w:widowControl w:val="true"/>
      <w:pBdr/>
      <w:spacing/>
      <w:ind/>
      <w:jc w:val="left"/>
    </w:pPr>
    <w:rPr>
      <w:rFonts w:ascii="Arial" w:hAnsi="Arial" w:eastAsia="Arial" w:cs="Arial"/>
      <w:color w:val="000000"/>
      <w:szCs w:val="21"/>
      <w:lang w:eastAsia="en-US"/>
    </w:rPr>
  </w:style>
  <w:style w:type="character" w:styleId="696">
    <w:name w:val="要点"/>
    <w:basedOn w:val="685"/>
    <w:next w:val="696"/>
    <w:link w:val="684"/>
    <w:pPr>
      <w:pBdr/>
      <w:spacing/>
      <w:ind/>
    </w:pPr>
    <w:rPr>
      <w:b/>
    </w:rPr>
  </w:style>
  <w:style w:type="character" w:styleId="697">
    <w:name w:val="页码"/>
    <w:basedOn w:val="685"/>
    <w:next w:val="697"/>
    <w:link w:val="684"/>
    <w:pPr>
      <w:pBdr/>
      <w:spacing/>
      <w:ind/>
    </w:pPr>
  </w:style>
  <w:style w:type="character" w:styleId="698">
    <w:name w:val="超链接"/>
    <w:basedOn w:val="685"/>
    <w:next w:val="698"/>
    <w:link w:val="684"/>
    <w:pPr>
      <w:pBdr/>
      <w:spacing/>
      <w:ind/>
    </w:pPr>
    <w:rPr>
      <w:color w:val="0000ff"/>
      <w:u w:val="single"/>
    </w:rPr>
  </w:style>
  <w:style w:type="paragraph" w:styleId="699">
    <w:name w:val="WPSOffice手动目录 1"/>
    <w:next w:val="699"/>
    <w:link w:val="684"/>
    <w:pPr>
      <w:pBdr/>
      <w:spacing/>
      <w:ind/>
    </w:pPr>
    <w:rPr>
      <w:lang w:val="en-US" w:eastAsia="zh-CN" w:bidi="ar-SA"/>
    </w:rPr>
  </w:style>
  <w:style w:type="paragraph" w:styleId="700">
    <w:name w:val="WPSOffice手动目录 2"/>
    <w:next w:val="700"/>
    <w:link w:val="684"/>
    <w:pPr>
      <w:pBdr/>
      <w:spacing/>
      <w:ind/>
    </w:pPr>
    <w:rPr>
      <w:lang w:val="en-US" w:eastAsia="zh-CN" w:bidi="ar-SA"/>
    </w:rPr>
  </w:style>
  <w:style w:type="paragraph" w:styleId="701">
    <w:name w:val="WPSOffice手动目录 3"/>
    <w:next w:val="701"/>
    <w:link w:val="684"/>
    <w:pPr>
      <w:pBdr/>
      <w:spacing/>
      <w:ind/>
    </w:pPr>
    <w:rPr>
      <w:lang w:val="en-US" w:eastAsia="zh-CN" w:bidi="ar-SA"/>
    </w:rPr>
  </w:style>
  <w:style w:type="character" w:styleId="702">
    <w:name w:val="font31"/>
    <w:basedOn w:val="685"/>
    <w:next w:val="702"/>
    <w:link w:val="684"/>
    <w:pPr>
      <w:pBdr/>
      <w:spacing/>
      <w:ind/>
    </w:pPr>
    <w:rPr>
      <w:rFonts w:ascii="Times New Roman" w:hAnsi="Times New Roman" w:cs="Times New Roman"/>
      <w:color w:val="000000"/>
      <w:sz w:val="22"/>
      <w:szCs w:val="22"/>
      <w:u w:val="none"/>
    </w:rPr>
  </w:style>
  <w:style w:type="character" w:styleId="703">
    <w:name w:val="font11"/>
    <w:basedOn w:val="685"/>
    <w:next w:val="703"/>
    <w:link w:val="684"/>
    <w:pPr>
      <w:pBdr/>
      <w:spacing/>
      <w:ind/>
    </w:pPr>
    <w:rPr>
      <w:rFonts w:hint="eastAsia" w:ascii="宋体" w:hAnsi="宋体" w:eastAsia="宋体" w:cs="宋体"/>
      <w:color w:val="000000"/>
      <w:sz w:val="22"/>
      <w:szCs w:val="22"/>
      <w:u w:val="none"/>
    </w:rPr>
  </w:style>
  <w:style w:type="character" w:styleId="704">
    <w:name w:val="font41"/>
    <w:basedOn w:val="685"/>
    <w:next w:val="704"/>
    <w:link w:val="684"/>
    <w:pPr>
      <w:pBdr/>
      <w:spacing/>
      <w:ind/>
    </w:pPr>
    <w:rPr>
      <w:rFonts w:ascii="Times New Roman" w:hAnsi="Times New Roman" w:cs="Times New Roman"/>
      <w:color w:val="000000"/>
      <w:sz w:val="22"/>
      <w:szCs w:val="22"/>
      <w:u w:val="none"/>
    </w:rPr>
  </w:style>
  <w:style w:type="character" w:styleId="705">
    <w:name w:val="font81"/>
    <w:basedOn w:val="685"/>
    <w:next w:val="705"/>
    <w:link w:val="684"/>
    <w:pPr>
      <w:pBdr/>
      <w:spacing/>
      <w:ind/>
    </w:pPr>
    <w:rPr>
      <w:rFonts w:ascii="Times New Roman" w:hAnsi="Times New Roman" w:cs="Times New Roman"/>
      <w:b/>
      <w:bCs/>
      <w:color w:val="000000"/>
      <w:sz w:val="30"/>
      <w:szCs w:val="30"/>
      <w:u w:val="none"/>
    </w:rPr>
  </w:style>
  <w:style w:type="character" w:styleId="706">
    <w:name w:val="font51"/>
    <w:basedOn w:val="685"/>
    <w:next w:val="706"/>
    <w:link w:val="684"/>
    <w:pPr>
      <w:pBdr/>
      <w:spacing/>
      <w:ind/>
    </w:pPr>
    <w:rPr>
      <w:rFonts w:ascii="Times New Roman" w:hAnsi="Times New Roman" w:cs="Times New Roman"/>
      <w:color w:val="000000"/>
      <w:sz w:val="20"/>
      <w:szCs w:val="20"/>
      <w:u w:val="none"/>
    </w:rPr>
  </w:style>
  <w:style w:type="character" w:styleId="707">
    <w:name w:val="font21"/>
    <w:basedOn w:val="685"/>
    <w:next w:val="707"/>
    <w:link w:val="684"/>
    <w:pPr>
      <w:pBdr/>
      <w:spacing/>
      <w:ind/>
    </w:pPr>
    <w:rPr>
      <w:rFonts w:hint="eastAsia" w:ascii="黑体" w:hAnsi="宋体" w:eastAsia="黑体" w:cs="黑体"/>
      <w:color w:val="000000"/>
      <w:sz w:val="20"/>
      <w:szCs w:val="20"/>
      <w:u w:val="none"/>
    </w:rPr>
  </w:style>
  <w:style w:type="character" w:styleId="708">
    <w:name w:val="font71"/>
    <w:basedOn w:val="685"/>
    <w:next w:val="708"/>
    <w:link w:val="684"/>
    <w:pPr>
      <w:pBdr/>
      <w:spacing/>
      <w:ind/>
    </w:pPr>
    <w:rPr>
      <w:rFonts w:hint="eastAsia" w:ascii="宋体" w:hAnsi="宋体" w:eastAsia="宋体" w:cs="宋体"/>
      <w:color w:val="000000"/>
      <w:sz w:val="20"/>
      <w:szCs w:val="20"/>
      <w:u w:val="none"/>
    </w:rPr>
  </w:style>
  <w:style w:type="character" w:styleId="709">
    <w:name w:val="font61"/>
    <w:basedOn w:val="685"/>
    <w:next w:val="709"/>
    <w:link w:val="684"/>
    <w:pPr>
      <w:pBdr/>
      <w:spacing/>
      <w:ind/>
    </w:pPr>
    <w:rPr>
      <w:rFonts w:ascii="Times New Roman" w:hAnsi="Times New Roman" w:cs="Times New Roman"/>
      <w:color w:val="000000"/>
      <w:sz w:val="20"/>
      <w:szCs w:val="20"/>
      <w:u w:val="none"/>
    </w:rPr>
  </w:style>
  <w:style w:type="character" w:styleId="710">
    <w:name w:val="font101"/>
    <w:basedOn w:val="685"/>
    <w:next w:val="710"/>
    <w:link w:val="684"/>
    <w:pPr>
      <w:pBdr/>
      <w:spacing/>
      <w:ind/>
    </w:pPr>
    <w:rPr>
      <w:rFonts w:hint="eastAsia" w:ascii="宋体" w:hAnsi="宋体" w:eastAsia="宋体" w:cs="宋体"/>
      <w:color w:val="000000"/>
      <w:sz w:val="20"/>
      <w:szCs w:val="20"/>
      <w:u w:val="none"/>
      <w:vertAlign w:val="superscript"/>
    </w:rPr>
  </w:style>
  <w:style w:type="paragraph" w:styleId="711">
    <w:name w:val="Table Text"/>
    <w:basedOn w:val="684"/>
    <w:next w:val="711"/>
    <w:link w:val="684"/>
    <w:semiHidden/>
    <w:pPr>
      <w:widowControl w:val="true"/>
      <w:pBdr/>
      <w:spacing/>
      <w:ind/>
      <w:jc w:val="left"/>
    </w:pPr>
    <w:rPr>
      <w:rFonts w:eastAsia="Times New Roman"/>
      <w:color w:val="000000"/>
      <w:szCs w:val="21"/>
      <w:lang w:eastAsia="en-US"/>
    </w:rPr>
  </w:style>
  <w:style w:type="table" w:styleId="712">
    <w:name w:val="Grid Table Light"/>
    <w:basedOn w:val="686"/>
    <w:next w:val="712"/>
    <w:link w:val="684"/>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3">
    <w:name w:val="Table Normal"/>
    <w:next w:val="713"/>
    <w:link w:val="684"/>
    <w:semiHidden/>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character" w:styleId="43799" w:default="1">
    <w:name w:val="Default Paragraph Font"/>
    <w:uiPriority w:val="1"/>
    <w:semiHidden/>
    <w:unhideWhenUsed/>
    <w:pPr>
      <w:pBdr/>
      <w:spacing/>
      <w:ind/>
    </w:pPr>
  </w:style>
  <w:style w:type="numbering" w:styleId="43800" w:default="1">
    <w:name w:val="No List"/>
    <w:uiPriority w:val="99"/>
    <w:semiHidden/>
    <w:unhideWhenUsed/>
    <w:pPr>
      <w:pBdr/>
      <w:spacing/>
      <w:ind/>
    </w:pPr>
  </w:style>
  <w:style w:type="table" w:styleId="43801" w:default="1">
    <w:name w:val="Normal Table"/>
    <w:uiPriority w:val="99"/>
    <w:semiHidden/>
    <w:unhideWhenUsed/>
    <w:pPr>
      <w:pBdr/>
      <w:spacing/>
      <w:ind/>
    </w:pPr>
    <w:tblP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footnotes" Target="footnotes.xml" /><Relationship Id="rId7" Type="http://schemas.openxmlformats.org/officeDocument/2006/relationships/endnotes" Target="endnotes.xml" /><Relationship Id="rId8" Type="http://schemas.openxmlformats.org/officeDocument/2006/relationships/footer" Target="footer1.xml" /><Relationship Id="rId9" Type="http://schemas.openxmlformats.org/officeDocument/2006/relationships/footer" Target="footer2.xml" /><Relationship Id="rId10" Type="http://schemas.openxmlformats.org/officeDocument/2006/relationships/footer" Target="footer3.xml" /><Relationship Id="rId11" Type="http://schemas.openxmlformats.org/officeDocument/2006/relationships/footer" Target="footer4.xml" /><Relationship Id="rId12" Type="http://schemas.openxmlformats.org/officeDocument/2006/relationships/image" Target="media/image1.jpg"/><Relationship Id="rId13" Type="http://schemas.openxmlformats.org/officeDocument/2006/relationships/image" Target="media/image2.jpg"/><Relationship Id="rId14" Type="http://schemas.openxmlformats.org/officeDocument/2006/relationships/image" Target="media/image3.jpg"/><Relationship Id="rId15" Type="http://schemas.openxmlformats.org/officeDocument/2006/relationships/image" Target="media/image4.jpg"/><Relationship Id="rId16" Type="http://schemas.openxmlformats.org/officeDocument/2006/relationships/image" Target="media/image5.jpg"/><Relationship Id="rId17" Type="http://schemas.openxmlformats.org/officeDocument/2006/relationships/image" Target="media/image6.jpg"/><Relationship Id="rId18" Type="http://schemas.openxmlformats.org/officeDocument/2006/relationships/image" Target="media/image7.jpg"/><Relationship Id="rId19" Type="http://schemas.openxmlformats.org/officeDocument/2006/relationships/image" Target="media/image8.jpg"/><Relationship Id="rId20" Type="http://schemas.openxmlformats.org/officeDocument/2006/relationships/image" Target="media/image9.jpg"/><Relationship Id="rId21" Type="http://schemas.openxmlformats.org/officeDocument/2006/relationships/image" Target="media/image10.jpg"/><Relationship Id="rId22" Type="http://schemas.openxmlformats.org/officeDocument/2006/relationships/image" Target="media/image11.jpg"/><Relationship Id="rId23" Type="http://schemas.openxmlformats.org/officeDocument/2006/relationships/image" Target="media/image12.jpg"/><Relationship Id="rId24" Type="http://schemas.openxmlformats.org/officeDocument/2006/relationships/image" Target="media/image13.jpg"/><Relationship Id="rId25" Type="http://schemas.openxmlformats.org/officeDocument/2006/relationships/image" Target="media/image14.jpg"/><Relationship Id="rId26" Type="http://schemas.openxmlformats.org/officeDocument/2006/relationships/image" Target="media/image15.jpg"/><Relationship Id="rId27" Type="http://schemas.openxmlformats.org/officeDocument/2006/relationships/image" Target="media/image16.jpg"/><Relationship Id="rId28" Type="http://schemas.openxmlformats.org/officeDocument/2006/relationships/image" Target="media/image17.jpg"/><Relationship Id="rId29" Type="http://schemas.openxmlformats.org/officeDocument/2006/relationships/image" Target="media/image18.jpg"/><Relationship Id="rId30" Type="http://schemas.openxmlformats.org/officeDocument/2006/relationships/image" Target="media/image19.jpg"/><Relationship Id="rId31" Type="http://schemas.openxmlformats.org/officeDocument/2006/relationships/image" Target="media/image20.jpg"/><Relationship Id="rId32" Type="http://schemas.openxmlformats.org/officeDocument/2006/relationships/image" Target="media/image21.jpg"/><Relationship Id="rId33" Type="http://schemas.openxmlformats.org/officeDocument/2006/relationships/image" Target="media/image22.jpg"/><Relationship Id="rId34" Type="http://schemas.openxmlformats.org/officeDocument/2006/relationships/image" Target="media/image23.jpg"/><Relationship Id="rId35" Type="http://schemas.openxmlformats.org/officeDocument/2006/relationships/image" Target="media/image24.jpg"/><Relationship Id="rId36" Type="http://schemas.openxmlformats.org/officeDocument/2006/relationships/image" Target="media/image25.jpg"/><Relationship Id="rId37" Type="http://schemas.openxmlformats.org/officeDocument/2006/relationships/image" Target="media/image26.jpg"/><Relationship Id="rId38" Type="http://schemas.openxmlformats.org/officeDocument/2006/relationships/image" Target="media/image27.jpg"/><Relationship Id="rId39" Type="http://schemas.openxmlformats.org/officeDocument/2006/relationships/image" Target="media/image28.jpg"/><Relationship Id="rId40" Type="http://schemas.openxmlformats.org/officeDocument/2006/relationships/image" Target="media/image29.jpg"/><Relationship Id="rId41" Type="http://schemas.openxmlformats.org/officeDocument/2006/relationships/image" Target="media/image30.jpg"/><Relationship Id="rId42" Type="http://schemas.openxmlformats.org/officeDocument/2006/relationships/image" Target="media/image31.jpg"/><Relationship Id="rId43" Type="http://schemas.openxmlformats.org/officeDocument/2006/relationships/image" Target="media/image32.jpg"/><Relationship Id="rId44" Type="http://schemas.openxmlformats.org/officeDocument/2006/relationships/image" Target="media/image33.jpg"/><Relationship Id="rId45" Type="http://schemas.openxmlformats.org/officeDocument/2006/relationships/image" Target="media/image34.jpg"/><Relationship Id="rId46" Type="http://schemas.openxmlformats.org/officeDocument/2006/relationships/image" Target="media/image35.jpg"/><Relationship Id="rId47" Type="http://schemas.openxmlformats.org/officeDocument/2006/relationships/image" Target="media/image36.jpg"/><Relationship Id="rId48" Type="http://schemas.openxmlformats.org/officeDocument/2006/relationships/image" Target="media/image37.jpg"/><Relationship Id="rId49" Type="http://schemas.openxmlformats.org/officeDocument/2006/relationships/image" Target="media/image38.jpg"/><Relationship Id="rId50" Type="http://schemas.openxmlformats.org/officeDocument/2006/relationships/image" Target="media/image39.jpg"/><Relationship Id="rId51" Type="http://schemas.openxmlformats.org/officeDocument/2006/relationships/image" Target="media/image40.jpg"/><Relationship Id="rId52" Type="http://schemas.openxmlformats.org/officeDocument/2006/relationships/image" Target="media/image4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er4.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nam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theme>
</file>

<file path=docProps/app.xml><?xml version="1.0" encoding="utf-8"?>
<Properties xmlns="http://schemas.openxmlformats.org/officeDocument/2006/extended-properties" xmlns:vt="http://schemas.openxmlformats.org/officeDocument/2006/docPropsVTypes">
  <Application>ONLYOFFICE/7.5.1.23</Application>
  <Company>Micro</Company>
  <DocSecurity>0</DocSecurity>
  <ScaleCrop>false</ScaleCrop>
  <Template>Nor</Template>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遂宁市船山区充电</dc:title>
  <dc:creator>Adminis</dc:creator>
  <cp:lastModifiedBy>匿名</cp:lastModifiedBy>
  <cp:revision>3</cp:revision>
  <dcterms:created xsi:type="dcterms:W3CDTF">2024-10-21T14:36:00Z</dcterms:created>
  <dcterms:modified xsi:type="dcterms:W3CDTF">2024-10-22T08:08:09Z</dcterms:modified>
</cp:coreProperties>
</file>