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color w:val="auto"/>
          <w:sz w:val="21"/>
          <w:szCs w:val="21"/>
          <w:highlight w:val="none"/>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bookmarkStart w:id="1" w:name="_Toc15396597"/>
      <w:bookmarkStart w:id="2" w:name="_Toc15377193"/>
      <w:bookmarkStart w:id="3" w:name="_Toc15377425"/>
      <w:bookmarkStart w:id="4" w:name="_Toc15396475"/>
      <w:bookmarkStart w:id="5" w:name="_Toc15378441"/>
      <w:bookmarkStart w:id="6" w:name="_Toc518"/>
      <w:bookmarkStart w:id="7" w:name="_Toc15036"/>
      <w:r>
        <w:rPr>
          <w:rFonts w:hint="eastAsia" w:ascii="方正小标宋简体" w:hAnsi="方正小标宋简体" w:eastAsia="方正小标宋简体" w:cs="方正小标宋简体"/>
          <w:color w:val="auto"/>
          <w:sz w:val="52"/>
          <w:szCs w:val="52"/>
          <w:highlight w:val="none"/>
          <w:lang w:eastAsia="zh-CN"/>
        </w:rPr>
        <w:t>2023</w:t>
      </w:r>
      <w:r>
        <w:rPr>
          <w:rFonts w:hint="eastAsia" w:ascii="方正小标宋简体" w:hAnsi="方正小标宋简体" w:eastAsia="方正小标宋简体" w:cs="方正小标宋简体"/>
          <w:color w:val="auto"/>
          <w:sz w:val="52"/>
          <w:szCs w:val="52"/>
          <w:highlight w:val="none"/>
        </w:rPr>
        <w:t>年度</w:t>
      </w:r>
      <w:bookmarkEnd w:id="1"/>
      <w:bookmarkEnd w:id="2"/>
      <w:bookmarkEnd w:id="3"/>
      <w:bookmarkEnd w:id="4"/>
      <w:bookmarkEnd w:id="5"/>
      <w:bookmarkEnd w:id="6"/>
      <w:bookmarkEnd w:id="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lang w:val="en-US" w:eastAsia="zh-CN"/>
        </w:rPr>
      </w:pPr>
      <w:bookmarkStart w:id="8" w:name="_Toc15377426"/>
      <w:bookmarkStart w:id="9" w:name="_Toc15377194"/>
      <w:bookmarkStart w:id="10" w:name="_Toc15396598"/>
      <w:bookmarkStart w:id="11" w:name="_Toc19224"/>
      <w:bookmarkStart w:id="12" w:name="_Toc15378442"/>
      <w:bookmarkStart w:id="13" w:name="_Toc15396476"/>
      <w:bookmarkStart w:id="14" w:name="_Toc17807"/>
      <w:r>
        <w:rPr>
          <w:rFonts w:hint="eastAsia" w:ascii="方正小标宋简体" w:hAnsi="方正小标宋简体" w:eastAsia="方正小标宋简体" w:cs="方正小标宋简体"/>
          <w:color w:val="auto"/>
          <w:sz w:val="52"/>
          <w:szCs w:val="52"/>
          <w:highlight w:val="none"/>
        </w:rPr>
        <w:t>四川省</w:t>
      </w:r>
      <w:bookmarkEnd w:id="0"/>
      <w:bookmarkStart w:id="15" w:name="_Toc15306268"/>
      <w:r>
        <w:rPr>
          <w:rFonts w:hint="eastAsia" w:ascii="方正小标宋简体" w:hAnsi="方正小标宋简体" w:eastAsia="方正小标宋简体" w:cs="方正小标宋简体"/>
          <w:color w:val="auto"/>
          <w:sz w:val="52"/>
          <w:szCs w:val="52"/>
          <w:highlight w:val="none"/>
        </w:rPr>
        <w:t>遂宁市船山区</w:t>
      </w:r>
      <w:r>
        <w:rPr>
          <w:rFonts w:hint="eastAsia" w:ascii="方正小标宋简体" w:hAnsi="方正小标宋简体" w:eastAsia="方正小标宋简体" w:cs="方正小标宋简体"/>
          <w:color w:val="auto"/>
          <w:sz w:val="52"/>
          <w:szCs w:val="52"/>
          <w:highlight w:val="none"/>
          <w:lang w:val="en-US" w:eastAsia="zh-CN"/>
        </w:rPr>
        <w:t>盐关街</w:t>
      </w:r>
      <w:r>
        <w:rPr>
          <w:rFonts w:hint="eastAsia" w:ascii="方正小标宋简体" w:hAnsi="方正小标宋简体" w:eastAsia="方正小标宋简体" w:cs="方正小标宋简体"/>
          <w:color w:val="auto"/>
          <w:sz w:val="52"/>
          <w:szCs w:val="52"/>
          <w:highlight w:val="none"/>
        </w:rPr>
        <w:t>幼儿园</w:t>
      </w:r>
      <w:r>
        <w:rPr>
          <w:rFonts w:hint="eastAsia" w:ascii="方正小标宋简体" w:hAnsi="方正小标宋简体" w:eastAsia="方正小标宋简体" w:cs="方正小标宋简体"/>
          <w:color w:val="auto"/>
          <w:sz w:val="52"/>
          <w:szCs w:val="52"/>
          <w:highlight w:val="none"/>
          <w:lang w:eastAsia="zh-CN"/>
        </w:rPr>
        <w:t>单位</w:t>
      </w:r>
      <w:r>
        <w:rPr>
          <w:rFonts w:hint="eastAsia" w:ascii="方正小标宋简体" w:hAnsi="方正小标宋简体" w:eastAsia="方正小标宋简体" w:cs="方正小标宋简体"/>
          <w:color w:val="auto"/>
          <w:sz w:val="52"/>
          <w:szCs w:val="52"/>
          <w:highlight w:val="none"/>
        </w:rPr>
        <w:t>决算</w:t>
      </w:r>
      <w:bookmarkEnd w:id="8"/>
      <w:bookmarkEnd w:id="9"/>
      <w:bookmarkEnd w:id="10"/>
      <w:bookmarkEnd w:id="11"/>
      <w:bookmarkEnd w:id="12"/>
      <w:bookmarkEnd w:id="13"/>
      <w:bookmarkEnd w:id="14"/>
      <w:bookmarkEnd w:id="15"/>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jc w:val="center"/>
        <w:rPr>
          <w:rFonts w:hint="default" w:eastAsia="宋体"/>
          <w:lang w:val="en-US" w:eastAsia="zh-CN"/>
        </w:rPr>
      </w:pPr>
      <w:r>
        <w:rPr>
          <w:rFonts w:hint="eastAsia" w:ascii="仿宋_GB2312" w:eastAsia="仿宋_GB2312" w:cs="Times New Roman"/>
          <w:color w:val="auto"/>
          <w:sz w:val="32"/>
          <w:szCs w:val="32"/>
          <w:highlight w:val="none"/>
          <w:lang w:val="en-US" w:eastAsia="zh-CN"/>
        </w:rPr>
        <w:t>公开时间：2024年9月11日</w:t>
      </w: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sdt>
      <w:sdtPr>
        <w:rPr>
          <w:rFonts w:ascii="宋体" w:hAnsi="宋体" w:eastAsia="宋体" w:cs="Times New Roman"/>
          <w:kern w:val="2"/>
          <w:sz w:val="21"/>
          <w:szCs w:val="24"/>
          <w:lang w:val="en-US" w:eastAsia="zh-CN" w:bidi="ar-SA"/>
        </w:rPr>
        <w:id w:val="147472892"/>
        <w15:color w:val="DBDBDB"/>
        <w:docPartObj>
          <w:docPartGallery w:val="Table of Contents"/>
          <w:docPartUnique/>
        </w:docPartObj>
      </w:sdtPr>
      <w:sdtEndPr>
        <w:rPr>
          <w:rFonts w:ascii="仿宋_GB2312" w:hAnsi="Times New Roman" w:eastAsia="仿宋_GB2312" w:cs="Times New Roman"/>
          <w:b/>
          <w:kern w:val="0"/>
          <w:sz w:val="30"/>
          <w:szCs w:val="24"/>
          <w:lang w:val="en-US" w:eastAsia="zh-CN" w:bidi="ar-SA"/>
        </w:rPr>
      </w:sdtEndPr>
      <w:sdtContent>
        <w:p>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pPr>
            <w:pStyle w:val="30"/>
            <w:tabs>
              <w:tab w:val="right" w:leader="dot" w:pos="8306"/>
            </w:tabs>
            <w:rPr>
              <w:b/>
            </w:rPr>
          </w:pPr>
          <w:r>
            <w:rPr>
              <w:b/>
            </w:rPr>
            <w:fldChar w:fldCharType="begin"/>
          </w:r>
          <w:r>
            <w:rPr>
              <w:b/>
            </w:rPr>
            <w:instrText xml:space="preserve"> HYPERLINK \l _Toc1073 </w:instrText>
          </w:r>
          <w:r>
            <w:rPr>
              <w:b/>
            </w:rPr>
            <w:fldChar w:fldCharType="separate"/>
          </w:r>
          <w:r>
            <w:rPr>
              <w:rFonts w:hint="eastAsia" w:ascii="黑体" w:hAnsi="黑体" w:eastAsia="黑体"/>
              <w:b/>
              <w:highlight w:val="none"/>
            </w:rPr>
            <w:t xml:space="preserve">第一部分 </w:t>
          </w:r>
          <w:r>
            <w:rPr>
              <w:rFonts w:hint="eastAsia" w:ascii="黑体" w:hAnsi="黑体" w:eastAsia="黑体"/>
              <w:b/>
              <w:highlight w:val="none"/>
              <w:lang w:eastAsia="zh-CN"/>
            </w:rPr>
            <w:t>单位</w:t>
          </w:r>
          <w:r>
            <w:rPr>
              <w:rFonts w:hint="eastAsia" w:ascii="黑体" w:hAnsi="黑体" w:eastAsia="黑体"/>
              <w:b/>
              <w:bCs w:val="0"/>
              <w:highlight w:val="none"/>
            </w:rPr>
            <w:t>概况</w:t>
          </w:r>
          <w:r>
            <w:rPr>
              <w:b/>
            </w:rPr>
            <w:tab/>
          </w:r>
          <w:r>
            <w:rPr>
              <w:rFonts w:hint="eastAsia"/>
              <w:b/>
              <w:lang w:val="en-US" w:eastAsia="zh-CN"/>
            </w:rPr>
            <w:t>1</w:t>
          </w:r>
          <w:r>
            <w:rPr>
              <w:b/>
            </w:rPr>
            <w:fldChar w:fldCharType="end"/>
          </w:r>
        </w:p>
        <w:p>
          <w:pPr>
            <w:pStyle w:val="31"/>
            <w:tabs>
              <w:tab w:val="right" w:leader="dot" w:pos="8306"/>
            </w:tabs>
          </w:pPr>
          <w:r>
            <w:fldChar w:fldCharType="begin"/>
          </w:r>
          <w:r>
            <w:instrText xml:space="preserve"> HYPERLINK \l _Toc24172 </w:instrText>
          </w:r>
          <w:r>
            <w:fldChar w:fldCharType="separate"/>
          </w:r>
          <w:r>
            <w:rPr>
              <w:rFonts w:hint="eastAsia" w:ascii="黑体" w:hAnsi="黑体" w:eastAsia="黑体"/>
              <w:bCs w:val="0"/>
              <w:highlight w:val="none"/>
              <w:lang w:val="en-US" w:eastAsia="zh-CN"/>
            </w:rPr>
            <w:t>一、</w:t>
          </w:r>
          <w:r>
            <w:rPr>
              <w:rFonts w:hint="eastAsia" w:ascii="黑体" w:hAnsi="黑体" w:eastAsia="黑体"/>
              <w:bCs w:val="0"/>
              <w:highlight w:val="none"/>
              <w:lang w:eastAsia="zh-CN"/>
            </w:rPr>
            <w:t>主要职责</w:t>
          </w:r>
          <w:r>
            <w:tab/>
          </w:r>
          <w:r>
            <w:rPr>
              <w:rFonts w:hint="eastAsia"/>
              <w:lang w:val="en-US" w:eastAsia="zh-CN"/>
            </w:rPr>
            <w:t>1</w:t>
          </w:r>
          <w:r>
            <w:fldChar w:fldCharType="end"/>
          </w:r>
        </w:p>
        <w:p>
          <w:pPr>
            <w:pStyle w:val="31"/>
            <w:tabs>
              <w:tab w:val="right" w:leader="dot" w:pos="8306"/>
            </w:tabs>
          </w:pPr>
          <w:r>
            <w:fldChar w:fldCharType="begin"/>
          </w:r>
          <w:r>
            <w:instrText xml:space="preserve"> HYPERLINK \l _Toc14294 </w:instrText>
          </w:r>
          <w:r>
            <w:fldChar w:fldCharType="separate"/>
          </w:r>
          <w:r>
            <w:rPr>
              <w:rFonts w:hint="eastAsia" w:ascii="黑体" w:hAnsi="黑体" w:eastAsia="黑体"/>
              <w:highlight w:val="none"/>
              <w:lang w:val="en-US" w:eastAsia="zh-CN"/>
            </w:rPr>
            <w:t>二、机构设置</w:t>
          </w:r>
          <w:r>
            <w:tab/>
          </w:r>
          <w:r>
            <w:fldChar w:fldCharType="begin"/>
          </w:r>
          <w:r>
            <w:instrText xml:space="preserve"> PAGEREF _Toc14294 \h </w:instrText>
          </w:r>
          <w:r>
            <w:fldChar w:fldCharType="separate"/>
          </w:r>
          <w:r>
            <w:t>3</w:t>
          </w:r>
          <w:r>
            <w:fldChar w:fldCharType="end"/>
          </w:r>
          <w:r>
            <w:fldChar w:fldCharType="end"/>
          </w:r>
        </w:p>
        <w:p>
          <w:pPr>
            <w:pStyle w:val="30"/>
            <w:tabs>
              <w:tab w:val="right" w:leader="dot" w:pos="8306"/>
            </w:tabs>
            <w:rPr>
              <w:b/>
            </w:rPr>
          </w:pPr>
          <w:r>
            <w:rPr>
              <w:b/>
            </w:rPr>
            <w:fldChar w:fldCharType="begin"/>
          </w:r>
          <w:r>
            <w:rPr>
              <w:b/>
            </w:rPr>
            <w:instrText xml:space="preserve"> HYPERLINK \l _Toc18738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lang w:eastAsia="zh-CN"/>
            </w:rPr>
            <w:t>单位</w:t>
          </w:r>
          <w:r>
            <w:rPr>
              <w:rFonts w:hint="eastAsia" w:ascii="黑体" w:hAnsi="黑体" w:eastAsia="黑体"/>
              <w:b/>
              <w:bCs/>
              <w:highlight w:val="none"/>
            </w:rPr>
            <w:t>决算情况说明</w:t>
          </w:r>
          <w:r>
            <w:rPr>
              <w:b/>
            </w:rPr>
            <w:tab/>
          </w:r>
          <w:r>
            <w:rPr>
              <w:b/>
            </w:rPr>
            <w:fldChar w:fldCharType="begin"/>
          </w:r>
          <w:r>
            <w:rPr>
              <w:b/>
            </w:rPr>
            <w:instrText xml:space="preserve"> PAGEREF _Toc18738 \h </w:instrText>
          </w:r>
          <w:r>
            <w:rPr>
              <w:b/>
            </w:rPr>
            <w:fldChar w:fldCharType="separate"/>
          </w:r>
          <w:r>
            <w:rPr>
              <w:b/>
            </w:rPr>
            <w:t>4</w:t>
          </w:r>
          <w:r>
            <w:rPr>
              <w:b/>
            </w:rPr>
            <w:fldChar w:fldCharType="end"/>
          </w:r>
          <w:r>
            <w:rPr>
              <w:b/>
            </w:rPr>
            <w:fldChar w:fldCharType="end"/>
          </w:r>
        </w:p>
        <w:p>
          <w:pPr>
            <w:pStyle w:val="31"/>
            <w:tabs>
              <w:tab w:val="right" w:leader="dot" w:pos="8306"/>
            </w:tabs>
          </w:pPr>
          <w:r>
            <w:fldChar w:fldCharType="begin"/>
          </w:r>
          <w:r>
            <w:instrText xml:space="preserve"> HYPERLINK \l _Toc31362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_Toc31362 \h </w:instrText>
          </w:r>
          <w:r>
            <w:fldChar w:fldCharType="separate"/>
          </w:r>
          <w:r>
            <w:t>4</w:t>
          </w:r>
          <w:r>
            <w:fldChar w:fldCharType="end"/>
          </w:r>
          <w:r>
            <w:fldChar w:fldCharType="end"/>
          </w:r>
        </w:p>
        <w:p>
          <w:pPr>
            <w:pStyle w:val="31"/>
            <w:tabs>
              <w:tab w:val="right" w:leader="dot" w:pos="8306"/>
            </w:tabs>
          </w:pPr>
          <w:r>
            <w:fldChar w:fldCharType="begin"/>
          </w:r>
          <w:r>
            <w:instrText xml:space="preserve"> HYPERLINK \l _Toc15321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_Toc15321 \h </w:instrText>
          </w:r>
          <w:r>
            <w:fldChar w:fldCharType="separate"/>
          </w:r>
          <w:r>
            <w:t>4</w:t>
          </w:r>
          <w:r>
            <w:fldChar w:fldCharType="end"/>
          </w:r>
          <w:r>
            <w:fldChar w:fldCharType="end"/>
          </w:r>
        </w:p>
        <w:p>
          <w:pPr>
            <w:pStyle w:val="31"/>
            <w:tabs>
              <w:tab w:val="right" w:leader="dot" w:pos="8306"/>
            </w:tabs>
          </w:pPr>
          <w:r>
            <w:fldChar w:fldCharType="begin"/>
          </w:r>
          <w:r>
            <w:instrText xml:space="preserve"> HYPERLINK \l _Toc1436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_Toc1436 \h </w:instrText>
          </w:r>
          <w:r>
            <w:fldChar w:fldCharType="separate"/>
          </w:r>
          <w:r>
            <w:t>5</w:t>
          </w:r>
          <w:r>
            <w:fldChar w:fldCharType="end"/>
          </w:r>
          <w:r>
            <w:fldChar w:fldCharType="end"/>
          </w:r>
        </w:p>
        <w:p>
          <w:pPr>
            <w:pStyle w:val="31"/>
            <w:tabs>
              <w:tab w:val="right" w:leader="dot" w:pos="8306"/>
            </w:tabs>
          </w:pPr>
          <w:r>
            <w:fldChar w:fldCharType="begin"/>
          </w:r>
          <w:r>
            <w:instrText xml:space="preserve"> HYPERLINK \l _Toc1256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_Toc1256 \h </w:instrText>
          </w:r>
          <w:r>
            <w:fldChar w:fldCharType="separate"/>
          </w:r>
          <w:r>
            <w:t>5</w:t>
          </w:r>
          <w:r>
            <w:fldChar w:fldCharType="end"/>
          </w:r>
          <w:r>
            <w:fldChar w:fldCharType="end"/>
          </w:r>
        </w:p>
        <w:p>
          <w:pPr>
            <w:pStyle w:val="31"/>
            <w:tabs>
              <w:tab w:val="right" w:leader="dot" w:pos="8306"/>
            </w:tabs>
          </w:pPr>
          <w:r>
            <w:fldChar w:fldCharType="begin"/>
          </w:r>
          <w:r>
            <w:instrText xml:space="preserve"> HYPERLINK \l _Toc4703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_Toc4703 \h </w:instrText>
          </w:r>
          <w:r>
            <w:fldChar w:fldCharType="separate"/>
          </w:r>
          <w:r>
            <w:t>6</w:t>
          </w:r>
          <w:r>
            <w:fldChar w:fldCharType="end"/>
          </w:r>
          <w:r>
            <w:fldChar w:fldCharType="end"/>
          </w:r>
        </w:p>
        <w:p>
          <w:pPr>
            <w:pStyle w:val="31"/>
            <w:tabs>
              <w:tab w:val="right" w:leader="dot" w:pos="8306"/>
            </w:tabs>
          </w:pPr>
          <w:r>
            <w:fldChar w:fldCharType="begin"/>
          </w:r>
          <w:r>
            <w:instrText xml:space="preserve"> HYPERLINK \l _Toc9374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_Toc9374 \h </w:instrText>
          </w:r>
          <w:r>
            <w:fldChar w:fldCharType="separate"/>
          </w:r>
          <w:r>
            <w:t>8</w:t>
          </w:r>
          <w:r>
            <w:fldChar w:fldCharType="end"/>
          </w:r>
          <w:r>
            <w:fldChar w:fldCharType="end"/>
          </w:r>
        </w:p>
        <w:p>
          <w:pPr>
            <w:pStyle w:val="31"/>
            <w:tabs>
              <w:tab w:val="right" w:leader="dot" w:pos="8306"/>
            </w:tabs>
          </w:pPr>
          <w:r>
            <w:fldChar w:fldCharType="begin"/>
          </w:r>
          <w:r>
            <w:instrText xml:space="preserve"> HYPERLINK \l _Toc1365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_Toc1365 \h </w:instrText>
          </w:r>
          <w:r>
            <w:fldChar w:fldCharType="separate"/>
          </w:r>
          <w:r>
            <w:t>8</w:t>
          </w:r>
          <w:r>
            <w:fldChar w:fldCharType="end"/>
          </w:r>
          <w:r>
            <w:fldChar w:fldCharType="end"/>
          </w:r>
        </w:p>
        <w:p>
          <w:pPr>
            <w:pStyle w:val="31"/>
            <w:tabs>
              <w:tab w:val="right" w:leader="dot" w:pos="8306"/>
            </w:tabs>
          </w:pPr>
          <w:r>
            <w:fldChar w:fldCharType="begin"/>
          </w:r>
          <w:r>
            <w:instrText xml:space="preserve"> HYPERLINK \l _Toc29265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_Toc29265 \h </w:instrText>
          </w:r>
          <w:r>
            <w:fldChar w:fldCharType="separate"/>
          </w:r>
          <w:r>
            <w:t>10</w:t>
          </w:r>
          <w:r>
            <w:fldChar w:fldCharType="end"/>
          </w:r>
          <w:r>
            <w:fldChar w:fldCharType="end"/>
          </w:r>
        </w:p>
        <w:p>
          <w:pPr>
            <w:pStyle w:val="31"/>
            <w:tabs>
              <w:tab w:val="right" w:leader="dot" w:pos="8306"/>
            </w:tabs>
          </w:pPr>
          <w:r>
            <w:fldChar w:fldCharType="begin"/>
          </w:r>
          <w:r>
            <w:instrText xml:space="preserve"> HYPERLINK \l _Toc13546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_Toc13546 \h </w:instrText>
          </w:r>
          <w:r>
            <w:fldChar w:fldCharType="separate"/>
          </w:r>
          <w:r>
            <w:t>10</w:t>
          </w:r>
          <w:r>
            <w:fldChar w:fldCharType="end"/>
          </w:r>
          <w:r>
            <w:fldChar w:fldCharType="end"/>
          </w:r>
        </w:p>
        <w:p>
          <w:pPr>
            <w:pStyle w:val="31"/>
            <w:tabs>
              <w:tab w:val="right" w:leader="dot" w:pos="8306"/>
            </w:tabs>
          </w:pPr>
          <w:r>
            <w:fldChar w:fldCharType="begin"/>
          </w:r>
          <w:r>
            <w:instrText xml:space="preserve"> HYPERLINK \l _Toc27560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_Toc27560 \h </w:instrText>
          </w:r>
          <w:r>
            <w:fldChar w:fldCharType="separate"/>
          </w:r>
          <w:r>
            <w:t>10</w:t>
          </w:r>
          <w:r>
            <w:fldChar w:fldCharType="end"/>
          </w:r>
          <w:r>
            <w:fldChar w:fldCharType="end"/>
          </w:r>
        </w:p>
        <w:p>
          <w:pPr>
            <w:pStyle w:val="30"/>
            <w:tabs>
              <w:tab w:val="right" w:leader="dot" w:pos="8306"/>
            </w:tabs>
            <w:rPr>
              <w:b/>
            </w:rPr>
          </w:pPr>
          <w:r>
            <w:rPr>
              <w:b/>
            </w:rPr>
            <w:fldChar w:fldCharType="begin"/>
          </w:r>
          <w:r>
            <w:rPr>
              <w:b/>
            </w:rPr>
            <w:instrText xml:space="preserve"> HYPERLINK \l _Toc14915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_Toc14915 \h </w:instrText>
          </w:r>
          <w:r>
            <w:rPr>
              <w:b/>
            </w:rPr>
            <w:fldChar w:fldCharType="separate"/>
          </w:r>
          <w:r>
            <w:rPr>
              <w:b/>
            </w:rPr>
            <w:t>12</w:t>
          </w:r>
          <w:r>
            <w:rPr>
              <w:b/>
            </w:rPr>
            <w:fldChar w:fldCharType="end"/>
          </w:r>
          <w:r>
            <w:rPr>
              <w:b/>
            </w:rPr>
            <w:fldChar w:fldCharType="end"/>
          </w:r>
        </w:p>
        <w:p>
          <w:pPr>
            <w:pStyle w:val="30"/>
            <w:tabs>
              <w:tab w:val="right" w:leader="dot" w:pos="8306"/>
            </w:tabs>
            <w:rPr>
              <w:b/>
            </w:rPr>
          </w:pPr>
          <w:r>
            <w:rPr>
              <w:b/>
            </w:rPr>
            <w:fldChar w:fldCharType="begin"/>
          </w:r>
          <w:r>
            <w:rPr>
              <w:b/>
            </w:rPr>
            <w:instrText xml:space="preserve"> HYPERLINK \l _Toc27296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_Toc27296 \h </w:instrText>
          </w:r>
          <w:r>
            <w:rPr>
              <w:b/>
            </w:rPr>
            <w:fldChar w:fldCharType="separate"/>
          </w:r>
          <w:r>
            <w:rPr>
              <w:b/>
            </w:rPr>
            <w:t>14</w:t>
          </w:r>
          <w:r>
            <w:rPr>
              <w:b/>
            </w:rPr>
            <w:fldChar w:fldCharType="end"/>
          </w:r>
          <w:r>
            <w:rPr>
              <w:b/>
            </w:rPr>
            <w:fldChar w:fldCharType="end"/>
          </w:r>
        </w:p>
        <w:p>
          <w:pPr>
            <w:pStyle w:val="30"/>
            <w:tabs>
              <w:tab w:val="right" w:leader="dot" w:pos="8306"/>
            </w:tabs>
            <w:rPr>
              <w:b/>
            </w:rPr>
          </w:pPr>
          <w:r>
            <w:rPr>
              <w:b/>
            </w:rPr>
            <w:fldChar w:fldCharType="begin"/>
          </w:r>
          <w:r>
            <w:rPr>
              <w:b/>
            </w:rPr>
            <w:instrText xml:space="preserve"> HYPERLINK \l _Toc26345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_Toc26345 \h </w:instrText>
          </w:r>
          <w:r>
            <w:rPr>
              <w:b/>
            </w:rPr>
            <w:fldChar w:fldCharType="separate"/>
          </w:r>
          <w:r>
            <w:rPr>
              <w:b/>
            </w:rPr>
            <w:t>16</w:t>
          </w:r>
          <w:r>
            <w:rPr>
              <w:b/>
            </w:rPr>
            <w:fldChar w:fldCharType="end"/>
          </w:r>
          <w:r>
            <w:rPr>
              <w:b/>
            </w:rPr>
            <w:fldChar w:fldCharType="end"/>
          </w:r>
        </w:p>
        <w:p>
          <w:pPr>
            <w:pStyle w:val="31"/>
            <w:tabs>
              <w:tab w:val="right" w:leader="dot" w:pos="8306"/>
            </w:tabs>
          </w:pPr>
          <w:r>
            <w:fldChar w:fldCharType="begin"/>
          </w:r>
          <w:r>
            <w:instrText xml:space="preserve"> HYPERLINK \l _Toc25629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_Toc25629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_Toc1992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_Toc1992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_Toc13985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_Toc13985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_Toc22904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_Toc22904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_Toc11264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_Toc11264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_Toc26540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_Toc26540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_Toc11658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_Toc11658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_Toc31038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_Toc31038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_Toc26221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_Toc26221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_Toc30062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_Toc30062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_Toc11886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_Toc11886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_Toc21586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_Toc21586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_Toc10026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_Toc10026 \h </w:instrText>
          </w:r>
          <w:r>
            <w:fldChar w:fldCharType="separate"/>
          </w:r>
          <w:r>
            <w:t>16</w:t>
          </w:r>
          <w:r>
            <w:fldChar w:fldCharType="end"/>
          </w:r>
          <w:r>
            <w:fldChar w:fldCharType="end"/>
          </w:r>
        </w:p>
        <w:p>
          <w:pPr>
            <w:pStyle w:val="5"/>
            <w:rPr>
              <w:b/>
            </w:rPr>
          </w:pPr>
          <w:r>
            <w:rPr>
              <w:b/>
            </w:rPr>
            <w:fldChar w:fldCharType="end"/>
          </w:r>
        </w:p>
        <w:p>
          <w:pPr>
            <w:pStyle w:val="5"/>
          </w:pPr>
        </w:p>
      </w:sdtContent>
    </w:sdt>
    <w:p>
      <w:pPr>
        <w:pStyle w:val="2"/>
        <w:jc w:val="center"/>
        <w:rPr>
          <w:rStyle w:val="24"/>
          <w:rFonts w:ascii="黑体" w:hAnsi="黑体" w:eastAsia="黑体"/>
          <w:b/>
          <w:bCs w:val="0"/>
          <w:color w:val="auto"/>
          <w:highlight w:val="none"/>
        </w:rPr>
      </w:pPr>
      <w:bookmarkStart w:id="16" w:name="_Toc15396599"/>
      <w:bookmarkStart w:id="17" w:name="_Toc15377196"/>
      <w:bookmarkStart w:id="18" w:name="_Toc1073"/>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6"/>
      <w:bookmarkEnd w:id="17"/>
      <w:bookmarkEnd w:id="18"/>
    </w:p>
    <w:p>
      <w:pPr>
        <w:widowControl/>
        <w:jc w:val="left"/>
        <w:rPr>
          <w:rFonts w:ascii="黑体" w:eastAsia="黑体"/>
          <w:color w:val="auto"/>
          <w:sz w:val="32"/>
          <w:szCs w:val="32"/>
          <w:highlight w:val="none"/>
        </w:rPr>
      </w:pPr>
    </w:p>
    <w:p>
      <w:pPr>
        <w:pStyle w:val="3"/>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Style w:val="25"/>
          <w:rFonts w:hint="eastAsia" w:ascii="黑体" w:hAnsi="黑体" w:eastAsia="黑体"/>
          <w:b w:val="0"/>
          <w:bCs w:val="0"/>
          <w:color w:val="auto"/>
          <w:highlight w:val="none"/>
          <w:lang w:eastAsia="zh-CN"/>
        </w:rPr>
      </w:pPr>
      <w:bookmarkStart w:id="19" w:name="_Toc24172"/>
      <w:bookmarkStart w:id="20" w:name="_Toc15377197"/>
      <w:bookmarkStart w:id="21" w:name="_Toc15396600"/>
      <w:r>
        <w:rPr>
          <w:rStyle w:val="25"/>
          <w:rFonts w:hint="eastAsia" w:ascii="黑体" w:hAnsi="黑体" w:eastAsia="黑体"/>
          <w:b w:val="0"/>
          <w:bCs w:val="0"/>
          <w:color w:val="auto"/>
          <w:highlight w:val="none"/>
          <w:lang w:val="en-US" w:eastAsia="zh-CN"/>
        </w:rPr>
        <w:t>一、</w:t>
      </w:r>
      <w:r>
        <w:rPr>
          <w:rStyle w:val="25"/>
          <w:rFonts w:hint="eastAsia" w:ascii="黑体" w:hAnsi="黑体" w:eastAsia="黑体"/>
          <w:b w:val="0"/>
          <w:bCs w:val="0"/>
          <w:color w:val="auto"/>
          <w:highlight w:val="none"/>
          <w:lang w:eastAsia="zh-CN"/>
        </w:rPr>
        <w:t>主要职责</w:t>
      </w:r>
      <w:bookmarkEnd w:id="19"/>
    </w:p>
    <w:p>
      <w:pPr>
        <w:snapToGrid w:val="0"/>
        <w:spacing w:line="520" w:lineRule="exact"/>
        <w:ind w:firstLine="320" w:firstLineChars="100"/>
        <w:rPr>
          <w:rFonts w:ascii="仿宋_GB2312" w:hAnsi="仿宋" w:eastAsia="仿宋_GB2312"/>
          <w:sz w:val="32"/>
          <w:szCs w:val="32"/>
        </w:rPr>
      </w:pPr>
      <w:bookmarkStart w:id="22" w:name="_Toc14294"/>
      <w:r>
        <w:rPr>
          <w:rFonts w:hint="eastAsia" w:ascii="仿宋_GB2312" w:hAnsi="仿宋" w:eastAsia="仿宋_GB2312"/>
          <w:sz w:val="32"/>
          <w:szCs w:val="32"/>
        </w:rPr>
        <w:t>（1）正确贯彻执行党和国家的教育方针、政策、法规。</w:t>
      </w:r>
    </w:p>
    <w:p>
      <w:pPr>
        <w:pStyle w:val="23"/>
        <w:snapToGrid w:val="0"/>
        <w:spacing w:line="520" w:lineRule="exact"/>
        <w:ind w:left="420" w:firstLine="0" w:firstLineChars="0"/>
        <w:rPr>
          <w:rFonts w:ascii="仿宋_GB2312" w:hAnsi="仿宋" w:eastAsia="仿宋_GB2312"/>
          <w:sz w:val="32"/>
          <w:szCs w:val="32"/>
        </w:rPr>
      </w:pPr>
      <w:r>
        <w:rPr>
          <w:rFonts w:hint="eastAsia" w:ascii="仿宋_GB2312" w:hAnsi="仿宋" w:eastAsia="仿宋_GB2312"/>
          <w:sz w:val="32"/>
          <w:szCs w:val="32"/>
        </w:rPr>
        <w:t>（2）维护学校的教学秩序，为学生创造良好的学习环境;</w:t>
      </w:r>
    </w:p>
    <w:p>
      <w:pPr>
        <w:pStyle w:val="23"/>
        <w:snapToGrid w:val="0"/>
        <w:spacing w:line="520" w:lineRule="exact"/>
        <w:ind w:left="420" w:firstLine="0" w:firstLineChars="0"/>
        <w:rPr>
          <w:rFonts w:ascii="仿宋_GB2312" w:hAnsi="仿宋" w:eastAsia="仿宋_GB2312"/>
          <w:sz w:val="32"/>
          <w:szCs w:val="32"/>
        </w:rPr>
      </w:pPr>
      <w:r>
        <w:rPr>
          <w:rFonts w:hint="eastAsia" w:ascii="仿宋_GB2312" w:hAnsi="仿宋" w:eastAsia="仿宋_GB2312"/>
          <w:sz w:val="32"/>
          <w:szCs w:val="32"/>
        </w:rPr>
        <w:t>（3）积极稳妥地推进教育改革，按教育规律办事，不断提高教育质量;</w:t>
      </w:r>
    </w:p>
    <w:p>
      <w:pPr>
        <w:pStyle w:val="23"/>
        <w:snapToGrid w:val="0"/>
        <w:spacing w:line="520" w:lineRule="exact"/>
        <w:ind w:left="420" w:firstLine="0" w:firstLineChars="0"/>
        <w:rPr>
          <w:rFonts w:ascii="仿宋_GB2312" w:hAnsi="仿宋" w:eastAsia="仿宋_GB2312"/>
          <w:sz w:val="32"/>
          <w:szCs w:val="32"/>
        </w:rPr>
      </w:pPr>
      <w:r>
        <w:rPr>
          <w:rFonts w:hint="eastAsia" w:ascii="仿宋_GB2312" w:hAnsi="仿宋" w:eastAsia="仿宋_GB2312"/>
          <w:sz w:val="32"/>
          <w:szCs w:val="32"/>
        </w:rPr>
        <w:t>（4）根据学校规模，设置学校管理机构，建立健全各项规章制度和岗位责任制。</w:t>
      </w:r>
    </w:p>
    <w:p>
      <w:pPr>
        <w:pStyle w:val="23"/>
        <w:snapToGrid w:val="0"/>
        <w:spacing w:line="520" w:lineRule="exact"/>
        <w:ind w:left="420" w:firstLine="0" w:firstLineChars="0"/>
        <w:rPr>
          <w:rFonts w:ascii="仿宋_GB2312" w:hAnsi="仿宋" w:eastAsia="仿宋_GB2312"/>
          <w:sz w:val="32"/>
          <w:szCs w:val="32"/>
        </w:rPr>
      </w:pPr>
      <w:r>
        <w:rPr>
          <w:rFonts w:hint="eastAsia" w:ascii="仿宋_GB2312" w:hAnsi="仿宋" w:eastAsia="仿宋_GB2312"/>
          <w:sz w:val="32"/>
          <w:szCs w:val="32"/>
        </w:rPr>
        <w:t>（5）坚持教书育人，服务育人，环境育人方针，加强对学生的思想品德教育，使学生的德智体全面发展。</w:t>
      </w:r>
    </w:p>
    <w:p>
      <w:pPr>
        <w:pStyle w:val="23"/>
        <w:snapToGrid w:val="0"/>
        <w:spacing w:line="520" w:lineRule="exact"/>
        <w:ind w:left="420" w:firstLine="0" w:firstLineChars="0"/>
        <w:rPr>
          <w:rFonts w:ascii="仿宋_GB2312" w:hAnsi="仿宋" w:eastAsia="仿宋_GB2312"/>
          <w:sz w:val="32"/>
          <w:szCs w:val="32"/>
        </w:rPr>
      </w:pPr>
      <w:r>
        <w:rPr>
          <w:rFonts w:hint="eastAsia" w:ascii="仿宋_GB2312" w:hAnsi="仿宋" w:eastAsia="仿宋_GB2312"/>
          <w:sz w:val="32"/>
          <w:szCs w:val="32"/>
        </w:rPr>
        <w:t>（6）抓好教师队伍建设，使每个教师都热心于教育事业;</w:t>
      </w:r>
    </w:p>
    <w:p>
      <w:pPr>
        <w:pStyle w:val="23"/>
        <w:snapToGrid w:val="0"/>
        <w:spacing w:line="520" w:lineRule="exact"/>
        <w:ind w:left="420" w:firstLine="0" w:firstLineChars="0"/>
        <w:rPr>
          <w:rFonts w:ascii="仿宋_GB2312" w:hAnsi="仿宋" w:eastAsia="仿宋_GB2312"/>
          <w:sz w:val="32"/>
          <w:szCs w:val="32"/>
        </w:rPr>
      </w:pPr>
      <w:r>
        <w:rPr>
          <w:rFonts w:hint="eastAsia" w:ascii="仿宋_GB2312" w:hAnsi="仿宋" w:eastAsia="仿宋_GB2312"/>
          <w:sz w:val="32"/>
          <w:szCs w:val="32"/>
        </w:rPr>
        <w:t>（7）做好安全防范，保证学生的</w:t>
      </w:r>
      <w:r>
        <w:rPr>
          <w:rFonts w:hint="eastAsia" w:ascii="仿宋_GB2312" w:hAnsi="仿宋" w:eastAsia="仿宋_GB2312"/>
          <w:sz w:val="32"/>
          <w:szCs w:val="32"/>
          <w:lang w:eastAsia="zh-CN"/>
        </w:rPr>
        <w:t>人身安全</w:t>
      </w:r>
      <w:r>
        <w:rPr>
          <w:rFonts w:hint="eastAsia" w:ascii="仿宋_GB2312" w:hAnsi="仿宋" w:eastAsia="仿宋_GB2312"/>
          <w:sz w:val="32"/>
          <w:szCs w:val="32"/>
        </w:rPr>
        <w:t>。</w:t>
      </w:r>
    </w:p>
    <w:p>
      <w:pPr>
        <w:pStyle w:val="3"/>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bookmarkEnd w:id="22"/>
    </w:p>
    <w:p>
      <w:pPr>
        <w:pageBreakBefore w:val="0"/>
        <w:kinsoku/>
        <w:wordWrap/>
        <w:overflowPunct/>
        <w:topLinePunct w:val="0"/>
        <w:autoSpaceDE/>
        <w:autoSpaceDN/>
        <w:bidi w:val="0"/>
        <w:adjustRightInd/>
        <w:snapToGrid/>
        <w:spacing w:line="560" w:lineRule="exact"/>
        <w:ind w:firstLine="800" w:firstLineChars="250"/>
        <w:textAlignment w:val="auto"/>
        <w:rPr>
          <w:rFonts w:hint="eastAsia" w:ascii="仿宋" w:hAnsi="仿宋" w:eastAsia="仿宋"/>
          <w:sz w:val="32"/>
          <w:szCs w:val="32"/>
        </w:rPr>
      </w:pPr>
      <w:r>
        <w:rPr>
          <w:rFonts w:hint="eastAsia" w:eastAsia="仿宋_GB2312"/>
          <w:sz w:val="32"/>
          <w:lang w:val="en-US" w:eastAsia="zh-CN"/>
        </w:rPr>
        <w:t>盐关街</w:t>
      </w:r>
      <w:r>
        <w:rPr>
          <w:rFonts w:hint="eastAsia" w:eastAsia="仿宋_GB2312"/>
          <w:sz w:val="32"/>
        </w:rPr>
        <w:t>幼儿园</w:t>
      </w:r>
      <w:r>
        <w:rPr>
          <w:rFonts w:hint="eastAsia" w:ascii="仿宋" w:hAnsi="仿宋" w:eastAsia="仿宋"/>
          <w:sz w:val="32"/>
          <w:szCs w:val="32"/>
        </w:rPr>
        <w:t>是区教育体育局下属二级单位，本单位无下属单位。</w:t>
      </w:r>
    </w:p>
    <w:p>
      <w:pPr>
        <w:pStyle w:val="5"/>
      </w:pPr>
    </w:p>
    <w:p>
      <w:pPr>
        <w:pStyle w:val="5"/>
      </w:pPr>
    </w:p>
    <w:p>
      <w:pPr>
        <w:pStyle w:val="5"/>
      </w:pPr>
    </w:p>
    <w:p>
      <w:pPr>
        <w:pStyle w:val="5"/>
      </w:pPr>
    </w:p>
    <w:p>
      <w:pPr>
        <w:pStyle w:val="5"/>
      </w:pPr>
    </w:p>
    <w:bookmarkEnd w:id="20"/>
    <w:bookmarkEnd w:id="21"/>
    <w:p>
      <w:pPr>
        <w:pStyle w:val="2"/>
        <w:ind w:right="440"/>
        <w:jc w:val="center"/>
        <w:rPr>
          <w:rStyle w:val="24"/>
          <w:rFonts w:ascii="黑体" w:hAnsi="黑体" w:eastAsia="黑体"/>
          <w:b w:val="0"/>
          <w:bCs/>
          <w:color w:val="auto"/>
          <w:highlight w:val="none"/>
        </w:rPr>
      </w:pPr>
      <w:bookmarkStart w:id="23" w:name="_Toc15396602"/>
      <w:bookmarkStart w:id="24" w:name="_Toc18738"/>
      <w:bookmarkStart w:id="25"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3"/>
      <w:bookmarkEnd w:id="24"/>
      <w:bookmarkEnd w:id="25"/>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6" w:name="_Toc15377205"/>
      <w:bookmarkStart w:id="27" w:name="_Toc15396603"/>
      <w:bookmarkStart w:id="28" w:name="_Toc31362"/>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6"/>
      <w:bookmarkEnd w:id="27"/>
      <w:bookmarkEnd w:id="28"/>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2023年度收、支总计382.93万元。与2022年相比，收、支总计各</w:t>
      </w:r>
      <w:r>
        <w:rPr>
          <w:rFonts w:hint="eastAsia" w:ascii="仿宋_GB2312" w:hAnsi="仿宋_GB2312" w:eastAsia="仿宋_GB2312"/>
          <w:color w:val="000000"/>
          <w:kern w:val="2"/>
          <w:sz w:val="32"/>
          <w:szCs w:val="24"/>
          <w:lang w:val="en-US" w:eastAsia="zh-CN"/>
        </w:rPr>
        <w:t>增加35.60</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color w:val="000000"/>
          <w:kern w:val="2"/>
          <w:sz w:val="32"/>
          <w:szCs w:val="24"/>
          <w:lang w:val="en-US" w:eastAsia="zh-CN"/>
        </w:rPr>
        <w:t>增长10.25</w:t>
      </w:r>
      <w:r>
        <w:rPr>
          <w:rFonts w:hint="eastAsia" w:ascii="仿宋_GB2312" w:hAnsi="仿宋_GB2312" w:eastAsia="仿宋_GB2312"/>
          <w:color w:val="000000"/>
          <w:kern w:val="2"/>
          <w:sz w:val="32"/>
          <w:szCs w:val="24"/>
          <w:lang w:val="zh-CN"/>
        </w:rPr>
        <w:t>%。主要变动原因是</w:t>
      </w:r>
      <w:r>
        <w:rPr>
          <w:rFonts w:hint="eastAsia" w:ascii="仿宋_GB2312" w:hAnsi="仿宋_GB2312" w:eastAsia="仿宋_GB2312"/>
          <w:color w:val="000000"/>
          <w:kern w:val="2"/>
          <w:sz w:val="32"/>
          <w:szCs w:val="24"/>
          <w:lang w:val="en-US" w:eastAsia="zh-CN"/>
        </w:rPr>
        <w:t>因为本年度有调入人员，经费增加</w:t>
      </w:r>
      <w:r>
        <w:rPr>
          <w:rFonts w:hint="eastAsia" w:ascii="仿宋_GB2312" w:hAnsi="仿宋_GB2312" w:eastAsia="仿宋_GB2312"/>
          <w:color w:val="000000"/>
          <w:kern w:val="2"/>
          <w:sz w:val="32"/>
          <w:szCs w:val="24"/>
          <w:lang w:val="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5"/>
        <w:jc w:val="center"/>
        <w:rPr>
          <w:rFonts w:hint="eastAsia" w:ascii="仿宋_GB2312" w:eastAsia="仿宋_GB2312"/>
          <w:color w:val="auto"/>
          <w:sz w:val="32"/>
          <w:szCs w:val="32"/>
          <w:highlight w:val="none"/>
          <w:lang w:eastAsia="zh-CN"/>
        </w:rPr>
      </w:pPr>
      <w:r>
        <w:drawing>
          <wp:inline distT="0" distB="0" distL="114300" distR="114300">
            <wp:extent cx="4820285" cy="2438400"/>
            <wp:effectExtent l="4445" t="5080" r="13970" b="13970"/>
            <wp:docPr id="47" name="图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9" w:name="_Toc15396604"/>
      <w:bookmarkStart w:id="30" w:name="_Toc15321"/>
      <w:bookmarkStart w:id="31"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9"/>
      <w:bookmarkEnd w:id="30"/>
      <w:bookmarkEnd w:id="31"/>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2023年本年收入合计372.86万元，其中：一般公共预算财政拨款收入340.1</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万元，占9</w:t>
      </w:r>
      <w:r>
        <w:rPr>
          <w:rFonts w:hint="eastAsia" w:ascii="仿宋_GB2312" w:hAnsi="仿宋_GB2312" w:eastAsia="仿宋_GB2312"/>
          <w:color w:val="000000"/>
          <w:kern w:val="2"/>
          <w:sz w:val="32"/>
          <w:szCs w:val="24"/>
          <w:lang w:val="en-US" w:eastAsia="zh-CN"/>
        </w:rPr>
        <w:t>1.21</w:t>
      </w:r>
      <w:r>
        <w:rPr>
          <w:rFonts w:hint="eastAsia" w:ascii="仿宋_GB2312" w:hAnsi="仿宋_GB2312" w:eastAsia="仿宋_GB2312"/>
          <w:color w:val="000000"/>
          <w:kern w:val="2"/>
          <w:sz w:val="32"/>
          <w:szCs w:val="24"/>
          <w:lang w:val="zh-CN"/>
        </w:rPr>
        <w:t>%；其他收入32.76万元，占</w:t>
      </w:r>
      <w:r>
        <w:rPr>
          <w:rFonts w:hint="eastAsia" w:ascii="仿宋_GB2312" w:hAnsi="仿宋_GB2312" w:eastAsia="仿宋_GB2312"/>
          <w:color w:val="000000"/>
          <w:kern w:val="2"/>
          <w:sz w:val="32"/>
          <w:szCs w:val="24"/>
          <w:lang w:val="en-US" w:eastAsia="zh-CN"/>
        </w:rPr>
        <w:t>8.79</w:t>
      </w:r>
      <w:r>
        <w:rPr>
          <w:rFonts w:hint="eastAsia" w:ascii="仿宋_GB2312" w:hAnsi="仿宋_GB2312" w:eastAsia="仿宋_GB2312"/>
          <w:color w:val="000000"/>
          <w:kern w:val="2"/>
          <w:sz w:val="32"/>
          <w:szCs w:val="24"/>
          <w:lang w:val="zh-CN"/>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5"/>
        <w:jc w:val="center"/>
        <w:rPr>
          <w:rFonts w:hint="eastAsia"/>
          <w:lang w:eastAsia="zh-CN"/>
        </w:rPr>
      </w:pPr>
      <w:r>
        <w:drawing>
          <wp:inline distT="0" distB="0" distL="114300" distR="114300">
            <wp:extent cx="4544060" cy="2562225"/>
            <wp:effectExtent l="4445" t="4445" r="23495" b="5080"/>
            <wp:docPr id="7"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32" w:name="_Toc15377207"/>
      <w:bookmarkStart w:id="33" w:name="_Toc15396605"/>
      <w:bookmarkStart w:id="34" w:name="_Toc1436"/>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2"/>
      <w:bookmarkEnd w:id="33"/>
      <w:bookmarkEnd w:id="34"/>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2023年本年支出合计371.29万元，其中：基本支出230.5</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万元，占6</w:t>
      </w:r>
      <w:r>
        <w:rPr>
          <w:rFonts w:hint="eastAsia" w:ascii="仿宋_GB2312" w:hAnsi="仿宋_GB2312" w:eastAsia="仿宋_GB2312"/>
          <w:color w:val="000000"/>
          <w:kern w:val="2"/>
          <w:sz w:val="32"/>
          <w:szCs w:val="24"/>
          <w:lang w:val="en-US" w:eastAsia="zh-CN"/>
        </w:rPr>
        <w:t>2.08</w:t>
      </w:r>
      <w:r>
        <w:rPr>
          <w:rFonts w:hint="eastAsia" w:ascii="仿宋_GB2312" w:hAnsi="仿宋_GB2312" w:eastAsia="仿宋_GB2312"/>
          <w:color w:val="000000"/>
          <w:kern w:val="2"/>
          <w:sz w:val="32"/>
          <w:szCs w:val="24"/>
          <w:lang w:val="zh-CN"/>
        </w:rPr>
        <w:t>%；项目支出140.79万元，占3</w:t>
      </w:r>
      <w:r>
        <w:rPr>
          <w:rFonts w:hint="eastAsia" w:ascii="仿宋_GB2312" w:hAnsi="仿宋_GB2312" w:eastAsia="仿宋_GB2312"/>
          <w:color w:val="000000"/>
          <w:kern w:val="2"/>
          <w:sz w:val="32"/>
          <w:szCs w:val="24"/>
          <w:lang w:val="en-US" w:eastAsia="zh-CN"/>
        </w:rPr>
        <w:t>7.92</w:t>
      </w:r>
      <w:r>
        <w:rPr>
          <w:rFonts w:hint="eastAsia" w:ascii="仿宋_GB2312" w:hAnsi="仿宋_GB2312" w:eastAsia="仿宋_GB2312"/>
          <w:color w:val="000000"/>
          <w:kern w:val="2"/>
          <w:sz w:val="32"/>
          <w:szCs w:val="24"/>
          <w:lang w:val="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pStyle w:val="5"/>
        <w:jc w:val="center"/>
        <w:rPr>
          <w:rFonts w:hint="eastAsia" w:ascii="仿宋_GB2312" w:eastAsia="仿宋_GB2312"/>
          <w:color w:val="auto"/>
          <w:sz w:val="32"/>
          <w:szCs w:val="32"/>
          <w:highlight w:val="none"/>
          <w:lang w:eastAsia="zh-CN"/>
        </w:rPr>
      </w:pPr>
      <w:r>
        <w:drawing>
          <wp:inline distT="0" distB="0" distL="114300" distR="114300">
            <wp:extent cx="4480560" cy="2496820"/>
            <wp:effectExtent l="4445" t="5080" r="10795" b="12700"/>
            <wp:docPr id="54" name="图表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1"/>
        </w:numPr>
        <w:spacing w:line="600" w:lineRule="exact"/>
        <w:ind w:left="1360" w:leftChars="0" w:hanging="720" w:firstLineChars="0"/>
        <w:outlineLvl w:val="1"/>
        <w:rPr>
          <w:rStyle w:val="25"/>
          <w:rFonts w:hint="eastAsia" w:ascii="黑体" w:hAnsi="黑体" w:eastAsia="黑体"/>
          <w:b w:val="0"/>
          <w:color w:val="auto"/>
          <w:highlight w:val="none"/>
        </w:rPr>
      </w:pPr>
      <w:bookmarkStart w:id="35" w:name="_Toc15396606"/>
      <w:bookmarkStart w:id="36" w:name="_Toc1256"/>
      <w:bookmarkStart w:id="37" w:name="_Toc15377208"/>
      <w:r>
        <w:rPr>
          <w:rFonts w:hint="eastAsia" w:ascii="黑体" w:hAnsi="黑体" w:eastAsia="黑体"/>
          <w:color w:val="auto"/>
          <w:sz w:val="32"/>
          <w:szCs w:val="32"/>
          <w:highlight w:val="none"/>
        </w:rPr>
        <w:t>财</w:t>
      </w:r>
      <w:r>
        <w:rPr>
          <w:rStyle w:val="25"/>
          <w:rFonts w:hint="eastAsia" w:ascii="黑体" w:hAnsi="黑体" w:eastAsia="黑体"/>
          <w:b w:val="0"/>
          <w:color w:val="auto"/>
          <w:highlight w:val="none"/>
        </w:rPr>
        <w:t>政拨款收入支出决算总体情况说明</w:t>
      </w:r>
      <w:bookmarkEnd w:id="35"/>
      <w:bookmarkEnd w:id="36"/>
      <w:bookmarkEnd w:id="37"/>
    </w:p>
    <w:p>
      <w:pPr>
        <w:numPr>
          <w:ilvl w:val="0"/>
          <w:numId w:val="0"/>
        </w:numPr>
        <w:spacing w:line="600" w:lineRule="exact"/>
        <w:ind w:firstLine="640" w:firstLineChars="200"/>
        <w:outlineLvl w:val="1"/>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2023年财政拨款收、支总计340.1</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万元。与2022年相比，财政拨款收、支总计各</w:t>
      </w:r>
      <w:r>
        <w:rPr>
          <w:rFonts w:hint="eastAsia" w:ascii="仿宋_GB2312" w:hAnsi="仿宋_GB2312" w:eastAsia="仿宋_GB2312"/>
          <w:color w:val="000000"/>
          <w:kern w:val="2"/>
          <w:sz w:val="32"/>
          <w:szCs w:val="24"/>
          <w:lang w:val="en-US" w:eastAsia="zh-CN"/>
        </w:rPr>
        <w:t>增加8.91</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color w:val="000000"/>
          <w:kern w:val="2"/>
          <w:sz w:val="32"/>
          <w:szCs w:val="24"/>
          <w:lang w:val="en-US" w:eastAsia="zh-CN"/>
        </w:rPr>
        <w:t>增长2.69</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en-US" w:eastAsia="zh-CN"/>
        </w:rPr>
        <w:t>主</w:t>
      </w:r>
      <w:r>
        <w:rPr>
          <w:rFonts w:hint="eastAsia" w:ascii="仿宋_GB2312" w:hAnsi="仿宋_GB2312" w:eastAsia="仿宋_GB2312"/>
          <w:color w:val="000000"/>
          <w:kern w:val="2"/>
          <w:sz w:val="32"/>
          <w:szCs w:val="24"/>
          <w:lang w:val="zh-CN"/>
        </w:rPr>
        <w:t>要变动原因是</w:t>
      </w:r>
      <w:r>
        <w:rPr>
          <w:rFonts w:hint="eastAsia" w:ascii="仿宋_GB2312" w:hAnsi="仿宋_GB2312" w:eastAsia="仿宋_GB2312"/>
          <w:color w:val="000000"/>
          <w:kern w:val="2"/>
          <w:sz w:val="32"/>
          <w:szCs w:val="24"/>
          <w:lang w:val="en-US" w:eastAsia="zh-CN"/>
        </w:rPr>
        <w:t>因为本年度有调入人员，经费增加</w:t>
      </w:r>
      <w:r>
        <w:rPr>
          <w:rFonts w:hint="eastAsia" w:ascii="仿宋_GB2312" w:hAnsi="仿宋_GB2312" w:eastAsia="仿宋_GB2312"/>
          <w:color w:val="000000"/>
          <w:kern w:val="2"/>
          <w:sz w:val="32"/>
          <w:szCs w:val="24"/>
          <w:lang w:val="zh-CN"/>
        </w:rPr>
        <w:t>。</w:t>
      </w:r>
    </w:p>
    <w:p>
      <w:pPr>
        <w:spacing w:beforeLines="0" w:afterLines="0" w:line="576" w:lineRule="exact"/>
        <w:ind w:firstLine="640"/>
        <w:jc w:val="both"/>
        <w:rPr>
          <w:rFonts w:hint="eastAsia" w:ascii="仿宋_GB2312" w:hAnsi="仿宋_GB2312" w:eastAsia="仿宋_GB2312"/>
          <w:color w:val="000000"/>
          <w:kern w:val="2"/>
          <w:sz w:val="32"/>
          <w:szCs w:val="24"/>
          <w:lang w:val="zh-CN"/>
        </w:rPr>
      </w:pPr>
    </w:p>
    <w:p>
      <w:pPr>
        <w:spacing w:beforeLines="0" w:afterLines="0" w:line="576" w:lineRule="exact"/>
        <w:ind w:firstLine="640"/>
        <w:jc w:val="both"/>
        <w:rPr>
          <w:rFonts w:hint="eastAsia" w:ascii="仿宋_GB2312" w:hAnsi="仿宋_GB2312" w:eastAsia="仿宋_GB2312"/>
          <w:color w:val="000000"/>
          <w:kern w:val="2"/>
          <w:sz w:val="32"/>
          <w:szCs w:val="24"/>
          <w:lang w:val="zh-CN"/>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pStyle w:val="5"/>
        <w:jc w:val="center"/>
        <w:rPr>
          <w:rFonts w:ascii="仿宋" w:hAnsi="仿宋" w:eastAsia="仿宋"/>
          <w:b/>
          <w:color w:val="auto"/>
          <w:sz w:val="32"/>
          <w:szCs w:val="32"/>
          <w:highlight w:val="none"/>
        </w:rPr>
      </w:pPr>
      <w:r>
        <w:drawing>
          <wp:inline distT="0" distB="0" distL="114300" distR="114300">
            <wp:extent cx="4708525" cy="2447925"/>
            <wp:effectExtent l="4445" t="4445" r="11430" b="5080"/>
            <wp:docPr id="55" name="图表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5"/>
          <w:rFonts w:ascii="黑体" w:hAnsi="黑体" w:eastAsia="黑体"/>
          <w:b w:val="0"/>
          <w:color w:val="auto"/>
          <w:highlight w:val="none"/>
        </w:rPr>
      </w:pPr>
      <w:bookmarkStart w:id="38" w:name="_Toc4703"/>
      <w:bookmarkStart w:id="39" w:name="_Toc15377209"/>
      <w:bookmarkStart w:id="40"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numPr>
          <w:ilvl w:val="0"/>
          <w:numId w:val="0"/>
        </w:numPr>
        <w:spacing w:line="600" w:lineRule="exact"/>
        <w:ind w:firstLine="640" w:firstLineChars="200"/>
        <w:outlineLvl w:val="1"/>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2023年一般公共预算财政拨款支出340.10万元，占本年支出合计的9</w:t>
      </w:r>
      <w:r>
        <w:rPr>
          <w:rFonts w:hint="eastAsia" w:ascii="仿宋_GB2312" w:hAnsi="仿宋_GB2312" w:eastAsia="仿宋_GB2312"/>
          <w:color w:val="000000"/>
          <w:kern w:val="2"/>
          <w:sz w:val="32"/>
          <w:szCs w:val="24"/>
          <w:lang w:val="en-US" w:eastAsia="zh-CN"/>
        </w:rPr>
        <w:t>1.60</w:t>
      </w:r>
      <w:r>
        <w:rPr>
          <w:rFonts w:hint="eastAsia" w:ascii="仿宋_GB2312" w:hAnsi="仿宋_GB2312" w:eastAsia="仿宋_GB2312"/>
          <w:color w:val="000000"/>
          <w:kern w:val="2"/>
          <w:sz w:val="32"/>
          <w:szCs w:val="24"/>
          <w:lang w:val="zh-CN"/>
        </w:rPr>
        <w:t>%。与2022年相比，一般公共预算财政拨款支出</w:t>
      </w:r>
      <w:r>
        <w:rPr>
          <w:rFonts w:hint="eastAsia" w:ascii="仿宋_GB2312" w:hAnsi="仿宋_GB2312" w:eastAsia="仿宋_GB2312"/>
          <w:color w:val="000000"/>
          <w:kern w:val="2"/>
          <w:sz w:val="32"/>
          <w:szCs w:val="24"/>
          <w:lang w:val="en-US" w:eastAsia="zh-CN"/>
        </w:rPr>
        <w:t>增加8.91</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color w:val="000000"/>
          <w:kern w:val="2"/>
          <w:sz w:val="32"/>
          <w:szCs w:val="24"/>
          <w:lang w:val="en-US" w:eastAsia="zh-CN"/>
        </w:rPr>
        <w:t>增长2.69</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en-US" w:eastAsia="zh-CN"/>
        </w:rPr>
        <w:t>主</w:t>
      </w:r>
      <w:r>
        <w:rPr>
          <w:rFonts w:hint="eastAsia" w:ascii="仿宋_GB2312" w:hAnsi="仿宋_GB2312" w:eastAsia="仿宋_GB2312"/>
          <w:color w:val="000000"/>
          <w:kern w:val="2"/>
          <w:sz w:val="32"/>
          <w:szCs w:val="24"/>
          <w:lang w:val="zh-CN"/>
        </w:rPr>
        <w:t>要变动原因是</w:t>
      </w:r>
      <w:r>
        <w:rPr>
          <w:rFonts w:hint="eastAsia" w:ascii="仿宋_GB2312" w:hAnsi="仿宋_GB2312" w:eastAsia="仿宋_GB2312"/>
          <w:color w:val="000000"/>
          <w:kern w:val="2"/>
          <w:sz w:val="32"/>
          <w:szCs w:val="24"/>
          <w:lang w:val="en-US" w:eastAsia="zh-CN"/>
        </w:rPr>
        <w:t>因为本年度有调入人员、经费增加</w:t>
      </w:r>
      <w:r>
        <w:rPr>
          <w:rFonts w:hint="eastAsia" w:ascii="仿宋_GB2312" w:hAnsi="仿宋_GB2312" w:eastAsia="仿宋_GB2312"/>
          <w:color w:val="000000"/>
          <w:kern w:val="2"/>
          <w:sz w:val="32"/>
          <w:szCs w:val="24"/>
          <w:lang w:val="zh-CN"/>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5"/>
        <w:jc w:val="center"/>
        <w:rPr>
          <w:rFonts w:hint="eastAsia" w:ascii="仿宋" w:hAnsi="仿宋" w:eastAsia="仿宋"/>
          <w:color w:val="auto"/>
          <w:sz w:val="32"/>
          <w:szCs w:val="32"/>
          <w:highlight w:val="none"/>
        </w:rPr>
      </w:pPr>
      <w:r>
        <w:drawing>
          <wp:inline distT="0" distB="0" distL="114300" distR="114300">
            <wp:extent cx="4705985" cy="2696210"/>
            <wp:effectExtent l="4445" t="5080" r="13970" b="22860"/>
            <wp:docPr id="56" name="图表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2"/>
        </w:numPr>
        <w:spacing w:line="600" w:lineRule="exact"/>
        <w:ind w:firstLine="643" w:firstLineChars="200"/>
        <w:outlineLvl w:val="2"/>
        <w:rPr>
          <w:rFonts w:hint="eastAsia"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一般公共预算财政拨款支出决算结构情况</w:t>
      </w:r>
      <w:bookmarkEnd w:id="42"/>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2023年一般公共预算财政拨款支出340.10万元，主要用于以下方面: 教育支出293.12万元，占8</w:t>
      </w:r>
      <w:r>
        <w:rPr>
          <w:rFonts w:hint="eastAsia" w:ascii="仿宋_GB2312" w:hAnsi="仿宋_GB2312" w:eastAsia="仿宋_GB2312"/>
          <w:color w:val="000000"/>
          <w:kern w:val="2"/>
          <w:sz w:val="32"/>
          <w:szCs w:val="24"/>
          <w:lang w:val="en-US" w:eastAsia="zh-CN"/>
        </w:rPr>
        <w:t>6.18</w:t>
      </w:r>
      <w:r>
        <w:rPr>
          <w:rFonts w:hint="eastAsia" w:ascii="仿宋_GB2312" w:hAnsi="仿宋_GB2312" w:eastAsia="仿宋_GB2312"/>
          <w:color w:val="000000"/>
          <w:kern w:val="2"/>
          <w:sz w:val="32"/>
          <w:szCs w:val="24"/>
          <w:lang w:val="zh-CN"/>
        </w:rPr>
        <w:t>%；社会保障和就业支出21.64万元，占</w:t>
      </w:r>
      <w:r>
        <w:rPr>
          <w:rFonts w:hint="eastAsia" w:ascii="仿宋_GB2312" w:hAnsi="仿宋_GB2312" w:eastAsia="仿宋_GB2312"/>
          <w:color w:val="000000"/>
          <w:kern w:val="2"/>
          <w:sz w:val="32"/>
          <w:szCs w:val="24"/>
          <w:lang w:val="en-US" w:eastAsia="zh-CN"/>
        </w:rPr>
        <w:t>6.36</w:t>
      </w:r>
      <w:r>
        <w:rPr>
          <w:rFonts w:hint="eastAsia" w:ascii="仿宋_GB2312" w:hAnsi="仿宋_GB2312" w:eastAsia="仿宋_GB2312"/>
          <w:color w:val="000000"/>
          <w:kern w:val="2"/>
          <w:sz w:val="32"/>
          <w:szCs w:val="24"/>
          <w:lang w:val="zh-CN"/>
        </w:rPr>
        <w:t>%；卫生健康支出9.61万元，占2.</w:t>
      </w:r>
      <w:r>
        <w:rPr>
          <w:rFonts w:hint="eastAsia" w:ascii="仿宋_GB2312" w:hAnsi="仿宋_GB2312" w:eastAsia="仿宋_GB2312"/>
          <w:color w:val="000000"/>
          <w:kern w:val="2"/>
          <w:sz w:val="32"/>
          <w:szCs w:val="24"/>
          <w:lang w:val="en-US" w:eastAsia="zh-CN"/>
        </w:rPr>
        <w:t>83</w:t>
      </w:r>
      <w:r>
        <w:rPr>
          <w:rFonts w:hint="eastAsia" w:ascii="仿宋_GB2312" w:hAnsi="仿宋_GB2312" w:eastAsia="仿宋_GB2312"/>
          <w:color w:val="000000"/>
          <w:kern w:val="2"/>
          <w:sz w:val="32"/>
          <w:szCs w:val="24"/>
          <w:lang w:val="zh-CN"/>
        </w:rPr>
        <w:t>%；住房保障支出15.73万元，占4.</w:t>
      </w:r>
      <w:r>
        <w:rPr>
          <w:rFonts w:hint="eastAsia" w:ascii="仿宋_GB2312" w:hAnsi="仿宋_GB2312" w:eastAsia="仿宋_GB2312"/>
          <w:color w:val="000000"/>
          <w:kern w:val="2"/>
          <w:sz w:val="32"/>
          <w:szCs w:val="24"/>
          <w:lang w:val="en-US" w:eastAsia="zh-CN"/>
        </w:rPr>
        <w:t>63</w:t>
      </w:r>
      <w:r>
        <w:rPr>
          <w:rFonts w:hint="eastAsia" w:ascii="仿宋_GB2312" w:hAnsi="仿宋_GB2312" w:eastAsia="仿宋_GB2312"/>
          <w:color w:val="000000"/>
          <w:kern w:val="2"/>
          <w:sz w:val="32"/>
          <w:szCs w:val="24"/>
          <w:lang w:val="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Style w:val="5"/>
        <w:jc w:val="center"/>
      </w:pPr>
      <w:r>
        <w:drawing>
          <wp:inline distT="0" distB="0" distL="114300" distR="114300">
            <wp:extent cx="4848860" cy="2857500"/>
            <wp:effectExtent l="5080" t="4445" r="22860" b="14605"/>
            <wp:docPr id="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5"/>
        <w:jc w:val="center"/>
      </w:pPr>
    </w:p>
    <w:p>
      <w:pPr>
        <w:spacing w:line="600" w:lineRule="exact"/>
        <w:ind w:firstLine="643"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2023年一般公共预算支出决算数为340.10万元</w:t>
      </w:r>
      <w:r>
        <w:rPr>
          <w:rFonts w:hint="eastAsia" w:ascii="仿宋_GB2312" w:hAnsi="仿宋_GB2312" w:eastAsia="仿宋_GB2312"/>
          <w:color w:val="000000"/>
          <w:kern w:val="2"/>
          <w:sz w:val="32"/>
          <w:szCs w:val="24"/>
          <w:lang w:val="zh-CN"/>
        </w:rPr>
        <w:t>，</w:t>
      </w:r>
      <w:r>
        <w:rPr>
          <w:rFonts w:hint="eastAsia" w:ascii="仿宋_GB2312" w:hAnsi="仿宋_GB2312" w:eastAsia="仿宋_GB2312"/>
          <w:b/>
          <w:color w:val="000000"/>
          <w:kern w:val="2"/>
          <w:sz w:val="32"/>
          <w:szCs w:val="24"/>
          <w:lang w:val="zh-CN"/>
        </w:rPr>
        <w:t>完成预算100%。其中：</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1</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教育（类）普通教育（款）学前教育（项）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支出决算为290.90万元，完成预算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bookmarkStart w:id="44" w:name="OLE_LINK1"/>
      <w:r>
        <w:rPr>
          <w:rStyle w:val="14"/>
          <w:rFonts w:hint="eastAsia" w:ascii="仿宋" w:hAnsi="仿宋" w:eastAsia="仿宋"/>
          <w:b w:val="0"/>
          <w:bCs/>
          <w:color w:val="auto"/>
          <w:sz w:val="32"/>
          <w:szCs w:val="32"/>
          <w:highlight w:val="none"/>
          <w:lang w:eastAsia="zh-CN"/>
        </w:rPr>
        <w:t>，决算数与预算数持平</w:t>
      </w:r>
      <w:bookmarkEnd w:id="44"/>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ascii="仿宋" w:hAnsi="仿宋" w:eastAsia="仿宋"/>
          <w:bCs/>
          <w:color w:val="auto"/>
          <w:sz w:val="32"/>
          <w:szCs w:val="32"/>
          <w:highlight w:val="none"/>
        </w:rPr>
      </w:pPr>
      <w:r>
        <w:rPr>
          <w:rStyle w:val="14"/>
          <w:rFonts w:hint="eastAsia" w:ascii="仿宋" w:hAnsi="仿宋" w:eastAsia="仿宋"/>
          <w:bCs/>
          <w:color w:val="auto"/>
          <w:sz w:val="32"/>
          <w:szCs w:val="32"/>
          <w:highlight w:val="none"/>
          <w:lang w:val="en-US" w:eastAsia="zh-CN"/>
        </w:rPr>
        <w:t>2</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社会保障和就业支出（类）行政事业单位养老支出（款）    机关事业单位基本养老保险缴费支出（项）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支出决算为19.35万元，完成预算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，决算数与预算数持平</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ascii="仿宋" w:hAnsi="仿宋" w:eastAsia="仿宋"/>
          <w:bCs/>
          <w:color w:val="auto"/>
          <w:sz w:val="32"/>
          <w:szCs w:val="32"/>
          <w:highlight w:val="none"/>
        </w:rPr>
      </w:pPr>
      <w:r>
        <w:rPr>
          <w:rStyle w:val="14"/>
          <w:rFonts w:hint="eastAsia" w:ascii="仿宋" w:hAnsi="仿宋" w:eastAsia="仿宋"/>
          <w:bCs/>
          <w:color w:val="auto"/>
          <w:sz w:val="32"/>
          <w:szCs w:val="32"/>
          <w:highlight w:val="none"/>
          <w:lang w:val="en-US" w:eastAsia="zh-CN"/>
        </w:rPr>
        <w:t>3</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社会保障和就业支出（类）残疾人事业（款）残疾人就业（项）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支出决算为1.52万元，完成预算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，决算数与预算数持平</w:t>
      </w:r>
      <w:r>
        <w:rPr>
          <w:rStyle w:val="14"/>
          <w:rFonts w:hint="eastAsia" w:ascii="仿宋" w:hAnsi="仿宋" w:eastAsia="仿宋"/>
          <w:b w:val="0"/>
          <w:bCs/>
          <w:color w:val="auto"/>
          <w:sz w:val="32"/>
          <w:szCs w:val="32"/>
          <w:highlight w:val="none"/>
        </w:rPr>
        <w:t>。</w:t>
      </w:r>
    </w:p>
    <w:p>
      <w:pPr>
        <w:pStyle w:val="5"/>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4</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社会保障和就业支出（类）其他社会保障和就业支出（款）其他社会保障和就业支出（项）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支出决算为0.78万元，完成预算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，决算数与预算数持平</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5</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4"/>
          <w:rFonts w:hint="eastAsia" w:ascii="仿宋" w:hAnsi="仿宋" w:eastAsia="仿宋"/>
          <w:bCs/>
          <w:color w:val="auto"/>
          <w:sz w:val="32"/>
          <w:szCs w:val="32"/>
          <w:highlight w:val="none"/>
        </w:rPr>
        <w:t>（类）行政事业单位医疗（款）事业单位医疗（项）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支出决算为7.59万元，完成预算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，决算数与预算数持平</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6</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4"/>
          <w:rFonts w:hint="eastAsia" w:ascii="仿宋" w:hAnsi="仿宋" w:eastAsia="仿宋"/>
          <w:bCs/>
          <w:color w:val="auto"/>
          <w:sz w:val="32"/>
          <w:szCs w:val="32"/>
          <w:highlight w:val="none"/>
        </w:rPr>
        <w:t>（类）行政事业单位医疗（款）公务员医疗补助（项）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支出决算为2.02万元，完成预算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，决算数与预算数持平</w:t>
      </w:r>
      <w:r>
        <w:rPr>
          <w:rStyle w:val="14"/>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7</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4"/>
          <w:rFonts w:hint="eastAsia" w:ascii="仿宋" w:hAnsi="仿宋" w:eastAsia="仿宋"/>
          <w:bCs/>
          <w:color w:val="auto"/>
          <w:sz w:val="32"/>
          <w:szCs w:val="32"/>
          <w:highlight w:val="none"/>
        </w:rPr>
        <w:t>（类）住房改革支出（款）住房公积金（项）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支出决算为15.73万元，完成预算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，决算数与预算数持平</w:t>
      </w:r>
      <w:r>
        <w:rPr>
          <w:rStyle w:val="14"/>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25"/>
          <w:color w:val="auto"/>
          <w:highlight w:val="none"/>
        </w:rPr>
      </w:pPr>
      <w:bookmarkStart w:id="45" w:name="_Toc15396608"/>
      <w:bookmarkStart w:id="46" w:name="_Toc9374"/>
      <w:bookmarkStart w:id="47"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45"/>
      <w:bookmarkEnd w:id="46"/>
      <w:bookmarkEnd w:id="47"/>
      <w:r>
        <w:rPr>
          <w:rStyle w:val="25"/>
          <w:rFonts w:ascii="黑体" w:hAnsi="黑体" w:eastAsia="黑体"/>
          <w:b w:val="0"/>
          <w:color w:val="auto"/>
          <w:highlight w:val="none"/>
        </w:rPr>
        <w:tab/>
      </w:r>
    </w:p>
    <w:p>
      <w:pPr>
        <w:spacing w:beforeLines="0" w:afterLines="0" w:line="576" w:lineRule="exact"/>
        <w:ind w:firstLine="640"/>
        <w:jc w:val="both"/>
        <w:rPr>
          <w:rFonts w:hint="eastAsia" w:ascii="仿宋_GB2312" w:hAnsi="仿宋_GB2312" w:eastAsia="仿宋_GB2312"/>
          <w:color w:val="000000"/>
          <w:kern w:val="2"/>
          <w:sz w:val="32"/>
          <w:szCs w:val="24"/>
          <w:lang w:val="zh-CN"/>
        </w:rPr>
      </w:pPr>
      <w:bookmarkStart w:id="48" w:name="_Toc15377215"/>
      <w:bookmarkStart w:id="49" w:name="_Toc15396609"/>
      <w:bookmarkStart w:id="50" w:name="_Toc1365"/>
      <w:r>
        <w:rPr>
          <w:rFonts w:hint="eastAsia" w:ascii="仿宋_GB2312" w:hAnsi="仿宋_GB2312" w:eastAsia="仿宋_GB2312"/>
          <w:color w:val="000000"/>
          <w:kern w:val="2"/>
          <w:sz w:val="32"/>
          <w:szCs w:val="24"/>
          <w:lang w:val="zh-CN"/>
        </w:rPr>
        <w:t>2023年一般公共预算财政拨款基本支出230.5</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万元，其中：</w:t>
      </w:r>
    </w:p>
    <w:p>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zh-CN"/>
        </w:rPr>
        <w:t>214.78万元，主要包括：</w:t>
      </w:r>
      <w:r>
        <w:rPr>
          <w:rFonts w:hint="eastAsia" w:ascii="仿宋" w:hAnsi="仿宋" w:eastAsia="仿宋"/>
          <w:color w:val="auto"/>
          <w:kern w:val="2"/>
          <w:sz w:val="32"/>
          <w:szCs w:val="24"/>
          <w:lang w:val="en-US"/>
        </w:rPr>
        <w:t>基本工资、津贴补贴、绩效工资、机关事业单位基本养老保险缴费、职工基本医疗保险缴费</w:t>
      </w:r>
      <w:r>
        <w:rPr>
          <w:rFonts w:hint="eastAsia" w:ascii="仿宋" w:hAnsi="仿宋" w:eastAsia="仿宋"/>
          <w:color w:val="auto"/>
          <w:kern w:val="2"/>
          <w:sz w:val="32"/>
          <w:szCs w:val="24"/>
          <w:lang w:val="en-US" w:eastAsia="zh-CN"/>
        </w:rPr>
        <w:t>、公务员医疗补助缴费、</w:t>
      </w:r>
      <w:r>
        <w:rPr>
          <w:rFonts w:hint="eastAsia" w:ascii="仿宋" w:hAnsi="仿宋" w:eastAsia="仿宋"/>
          <w:color w:val="auto"/>
          <w:kern w:val="2"/>
          <w:sz w:val="32"/>
          <w:szCs w:val="24"/>
          <w:lang w:val="en-US"/>
        </w:rPr>
        <w:t>其他社会保障缴费、住房公积金、其他工资福利支出等</w:t>
      </w:r>
      <w:r>
        <w:rPr>
          <w:rFonts w:hint="eastAsia" w:ascii="仿宋_GB2312" w:hAnsi="仿宋_GB2312" w:eastAsia="仿宋_GB2312"/>
          <w:color w:val="000000"/>
          <w:kern w:val="2"/>
          <w:sz w:val="32"/>
          <w:szCs w:val="24"/>
          <w:lang w:val="zh-CN"/>
        </w:rPr>
        <w:t>。</w:t>
      </w:r>
    </w:p>
    <w:p>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zh-CN"/>
        </w:rPr>
        <w:t>15.72万元，主要包括：</w:t>
      </w:r>
      <w:r>
        <w:rPr>
          <w:rFonts w:hint="eastAsia" w:ascii="仿宋" w:hAnsi="仿宋" w:eastAsia="仿宋"/>
          <w:color w:val="auto"/>
          <w:kern w:val="2"/>
          <w:sz w:val="32"/>
          <w:szCs w:val="24"/>
          <w:lang w:val="en-US"/>
        </w:rPr>
        <w:t>办公费、手续费、水费</w:t>
      </w:r>
      <w:r>
        <w:rPr>
          <w:rFonts w:hint="eastAsia" w:ascii="仿宋" w:hAnsi="仿宋" w:eastAsia="仿宋"/>
          <w:color w:val="auto"/>
          <w:kern w:val="2"/>
          <w:sz w:val="32"/>
          <w:szCs w:val="24"/>
          <w:lang w:val="en-US" w:eastAsia="zh-CN"/>
        </w:rPr>
        <w:t>、电费、</w:t>
      </w:r>
      <w:r>
        <w:rPr>
          <w:rFonts w:hint="eastAsia" w:ascii="仿宋" w:hAnsi="仿宋" w:eastAsia="仿宋"/>
          <w:color w:val="auto"/>
          <w:kern w:val="2"/>
          <w:sz w:val="32"/>
          <w:szCs w:val="24"/>
          <w:lang w:val="en-US"/>
        </w:rPr>
        <w:t>邮电费、物业管理费</w:t>
      </w:r>
      <w:r>
        <w:rPr>
          <w:rFonts w:hint="eastAsia" w:ascii="仿宋" w:hAnsi="仿宋" w:eastAsia="仿宋"/>
          <w:color w:val="auto"/>
          <w:kern w:val="2"/>
          <w:sz w:val="32"/>
          <w:szCs w:val="24"/>
          <w:lang w:val="en-US" w:eastAsia="zh-CN"/>
        </w:rPr>
        <w:t>、维修（</w:t>
      </w:r>
      <w:bookmarkStart w:id="112" w:name="_GoBack"/>
      <w:bookmarkEnd w:id="112"/>
      <w:r>
        <w:rPr>
          <w:rFonts w:hint="eastAsia" w:ascii="仿宋" w:hAnsi="仿宋" w:eastAsia="仿宋"/>
          <w:color w:val="auto"/>
          <w:kern w:val="2"/>
          <w:sz w:val="32"/>
          <w:szCs w:val="24"/>
          <w:lang w:val="en-US" w:eastAsia="zh-CN"/>
        </w:rPr>
        <w:t>护）费、租赁费、</w:t>
      </w:r>
      <w:r>
        <w:rPr>
          <w:rFonts w:hint="eastAsia" w:ascii="仿宋" w:hAnsi="仿宋" w:eastAsia="仿宋"/>
          <w:color w:val="auto"/>
          <w:kern w:val="2"/>
          <w:sz w:val="32"/>
          <w:szCs w:val="24"/>
          <w:lang w:val="en-US"/>
        </w:rPr>
        <w:t>专用材料费</w:t>
      </w:r>
      <w:r>
        <w:rPr>
          <w:rFonts w:hint="eastAsia" w:ascii="仿宋" w:hAnsi="仿宋" w:eastAsia="仿宋"/>
          <w:color w:val="auto"/>
          <w:kern w:val="2"/>
          <w:sz w:val="32"/>
          <w:szCs w:val="24"/>
          <w:lang w:val="en-US" w:eastAsia="zh-CN"/>
        </w:rPr>
        <w:t>、</w:t>
      </w:r>
      <w:r>
        <w:rPr>
          <w:rFonts w:hint="eastAsia" w:ascii="仿宋" w:hAnsi="仿宋" w:eastAsia="仿宋"/>
          <w:color w:val="auto"/>
          <w:kern w:val="2"/>
          <w:sz w:val="32"/>
          <w:szCs w:val="24"/>
          <w:lang w:val="en-US"/>
        </w:rPr>
        <w:t>福利费、其他商品和服务支出</w:t>
      </w:r>
      <w:r>
        <w:rPr>
          <w:rFonts w:hint="eastAsia" w:ascii="仿宋" w:hAnsi="仿宋" w:eastAsia="仿宋"/>
          <w:color w:val="auto"/>
          <w:kern w:val="2"/>
          <w:sz w:val="32"/>
          <w:szCs w:val="24"/>
          <w:lang w:val="en-US" w:eastAsia="zh-CN"/>
        </w:rPr>
        <w:t>等</w:t>
      </w:r>
      <w:r>
        <w:rPr>
          <w:rFonts w:hint="eastAsia" w:ascii="仿宋_GB2312" w:hAnsi="仿宋_GB2312" w:eastAsia="仿宋_GB2312"/>
          <w:color w:val="000000"/>
          <w:kern w:val="2"/>
          <w:sz w:val="32"/>
          <w:szCs w:val="24"/>
          <w:lang w:val="zh-CN"/>
        </w:rPr>
        <w:t>。</w:t>
      </w:r>
    </w:p>
    <w:p>
      <w:pPr>
        <w:spacing w:line="600" w:lineRule="exact"/>
        <w:ind w:firstLine="640"/>
        <w:outlineLvl w:val="1"/>
        <w:rPr>
          <w:rStyle w:val="25"/>
          <w:rFonts w:ascii="黑体" w:hAnsi="黑体" w:eastAsia="黑体"/>
          <w:b w:val="0"/>
          <w:color w:val="auto"/>
          <w:highlight w:val="none"/>
        </w:rPr>
      </w:pPr>
      <w:r>
        <w:rPr>
          <w:rFonts w:hint="eastAsia" w:ascii="黑体" w:eastAsia="黑体"/>
          <w:color w:val="auto"/>
          <w:sz w:val="32"/>
          <w:szCs w:val="32"/>
          <w:highlight w:val="none"/>
        </w:rPr>
        <w:t>七、</w:t>
      </w:r>
      <w:r>
        <w:rPr>
          <w:rStyle w:val="25"/>
          <w:rFonts w:hint="eastAsia" w:ascii="黑体" w:hAnsi="黑体" w:eastAsia="黑体"/>
          <w:b w:val="0"/>
          <w:color w:val="auto"/>
          <w:highlight w:val="none"/>
        </w:rPr>
        <w:t>财政拨款</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三公”经费支出决算情况说明</w:t>
      </w:r>
      <w:bookmarkEnd w:id="48"/>
      <w:bookmarkEnd w:id="49"/>
      <w:bookmarkEnd w:id="50"/>
    </w:p>
    <w:p>
      <w:pPr>
        <w:spacing w:line="600" w:lineRule="exact"/>
        <w:ind w:firstLine="640"/>
        <w:outlineLvl w:val="2"/>
        <w:rPr>
          <w:rFonts w:ascii="仿宋" w:hAnsi="仿宋" w:eastAsia="仿宋"/>
          <w:b/>
          <w:color w:val="auto"/>
          <w:sz w:val="32"/>
          <w:szCs w:val="32"/>
          <w:highlight w:val="none"/>
        </w:rPr>
      </w:pPr>
      <w:bookmarkStart w:id="51" w:name="_Toc15377216"/>
      <w:r>
        <w:rPr>
          <w:rFonts w:hint="eastAsia" w:ascii="仿宋" w:hAnsi="仿宋" w:eastAsia="仿宋"/>
          <w:b/>
          <w:color w:val="auto"/>
          <w:sz w:val="32"/>
          <w:szCs w:val="32"/>
          <w:highlight w:val="none"/>
        </w:rPr>
        <w:t>（一）“三公”经费财政拨款支出决算总体情况说明</w:t>
      </w:r>
      <w:bookmarkEnd w:id="51"/>
    </w:p>
    <w:p>
      <w:pPr>
        <w:spacing w:line="600" w:lineRule="exact"/>
        <w:ind w:firstLine="640"/>
        <w:rPr>
          <w:rFonts w:ascii="仿宋" w:hAnsi="仿宋" w:eastAsia="仿宋"/>
          <w:color w:val="auto"/>
          <w:sz w:val="32"/>
          <w:szCs w:val="32"/>
          <w:highlight w:val="none"/>
        </w:rPr>
      </w:pPr>
      <w:r>
        <w:rPr>
          <w:rFonts w:hint="eastAsia" w:ascii="仿宋_GB2312" w:hAnsi="仿宋_GB2312" w:eastAsia="仿宋_GB2312"/>
          <w:color w:val="000000"/>
          <w:kern w:val="2"/>
          <w:sz w:val="32"/>
          <w:szCs w:val="24"/>
          <w:lang w:val="zh-CN"/>
        </w:rPr>
        <w:t>2023年</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三公</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经费财政拨款支出决算为0万元，完成预算0%；较上年增加0万元，增长0%。</w:t>
      </w:r>
      <w:r>
        <w:rPr>
          <w:rFonts w:hint="eastAsia" w:ascii="仿宋" w:hAnsi="仿宋" w:eastAsia="仿宋"/>
          <w:color w:val="auto"/>
          <w:sz w:val="32"/>
          <w:szCs w:val="32"/>
          <w:highlight w:val="none"/>
        </w:rPr>
        <w:t>决算数与预算数持平决算数与预算数持平</w:t>
      </w:r>
      <w:r>
        <w:rPr>
          <w:rFonts w:hint="eastAsia" w:ascii="仿宋" w:hAnsi="仿宋" w:eastAsia="仿宋"/>
          <w:color w:val="000000"/>
          <w:sz w:val="32"/>
          <w:szCs w:val="32"/>
        </w:rPr>
        <w:t>的主要原因是</w:t>
      </w:r>
      <w:r>
        <w:rPr>
          <w:rFonts w:hint="eastAsia" w:ascii="仿宋" w:hAnsi="仿宋" w:eastAsia="仿宋"/>
          <w:color w:val="000000"/>
          <w:sz w:val="32"/>
          <w:szCs w:val="32"/>
          <w:lang w:val="en-US" w:eastAsia="zh-CN"/>
        </w:rPr>
        <w:t>两</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均</w:t>
      </w:r>
      <w:r>
        <w:rPr>
          <w:rFonts w:hint="eastAsia" w:ascii="仿宋" w:hAnsi="仿宋" w:eastAsia="仿宋"/>
          <w:color w:val="000000"/>
          <w:sz w:val="32"/>
          <w:szCs w:val="32"/>
        </w:rPr>
        <w:t>未预算“三公”经费。</w:t>
      </w:r>
    </w:p>
    <w:p>
      <w:pPr>
        <w:spacing w:line="600" w:lineRule="exact"/>
        <w:ind w:firstLine="640"/>
        <w:outlineLvl w:val="2"/>
        <w:rPr>
          <w:rFonts w:ascii="仿宋" w:hAnsi="仿宋" w:eastAsia="仿宋"/>
          <w:b/>
          <w:color w:val="auto"/>
          <w:sz w:val="32"/>
          <w:szCs w:val="32"/>
          <w:highlight w:val="none"/>
        </w:rPr>
      </w:pPr>
      <w:bookmarkStart w:id="52" w:name="_Toc15377217"/>
      <w:r>
        <w:rPr>
          <w:rFonts w:hint="eastAsia" w:ascii="仿宋" w:hAnsi="仿宋" w:eastAsia="仿宋"/>
          <w:b/>
          <w:color w:val="auto"/>
          <w:sz w:val="32"/>
          <w:szCs w:val="32"/>
          <w:highlight w:val="none"/>
        </w:rPr>
        <w:t>（二）“三公”经费财政拨款支出决算具体情况说明</w:t>
      </w:r>
      <w:bookmarkEnd w:id="52"/>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三公</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经费财政拨款支出决算中，因公出国（境）费支出决算0万元，占0%；公务用车购置及运行维护费支出决算0万元，占0%；公务接待费支出决算0万元，占0%。具体情况如下：</w:t>
      </w:r>
    </w:p>
    <w:p>
      <w:pPr>
        <w:spacing w:line="560" w:lineRule="exact"/>
        <w:ind w:firstLine="643" w:firstLineChars="200"/>
        <w:rPr>
          <w:rFonts w:hint="eastAsia" w:ascii="仿宋_GB2312" w:eastAsia="仿宋_GB2312"/>
          <w:color w:val="000000"/>
          <w:sz w:val="32"/>
          <w:szCs w:val="32"/>
        </w:rPr>
      </w:pPr>
      <w:r>
        <w:rPr>
          <w:rFonts w:hint="eastAsia" w:ascii="仿宋_GB2312" w:hAnsi="仿宋_GB2312" w:eastAsia="仿宋_GB2312"/>
          <w:b/>
          <w:color w:val="000000"/>
          <w:kern w:val="2"/>
          <w:sz w:val="32"/>
          <w:szCs w:val="24"/>
          <w:lang w:val="zh-CN"/>
        </w:rPr>
        <w:t>1.因公出国（境）经费</w:t>
      </w:r>
      <w:r>
        <w:rPr>
          <w:rFonts w:hint="eastAsia" w:ascii="仿宋_GB2312" w:hAnsi="仿宋_GB2312" w:eastAsia="仿宋_GB2312"/>
          <w:color w:val="000000"/>
          <w:kern w:val="2"/>
          <w:sz w:val="32"/>
          <w:szCs w:val="24"/>
          <w:lang w:val="zh-CN"/>
        </w:rPr>
        <w:t>支出0万元，完成预算0%。全年安排因公出国（境）团组0个，出国（境）0人。因公出国（境）支出决算比2022年增加0万元，增长0%。</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rPr>
        <w:t>两年均</w:t>
      </w:r>
      <w:r>
        <w:rPr>
          <w:rFonts w:hint="eastAsia" w:ascii="仿宋_GB2312" w:eastAsia="仿宋_GB2312"/>
          <w:color w:val="000000"/>
          <w:sz w:val="32"/>
          <w:szCs w:val="32"/>
          <w:lang w:eastAsia="zh-CN"/>
        </w:rPr>
        <w:t>未按预算安排</w:t>
      </w:r>
      <w:r>
        <w:rPr>
          <w:rFonts w:hint="eastAsia" w:ascii="仿宋_GB2312" w:eastAsia="仿宋_GB2312"/>
          <w:color w:val="000000"/>
          <w:sz w:val="32"/>
          <w:szCs w:val="32"/>
        </w:rPr>
        <w:t>因公出国（境）经费。</w:t>
      </w:r>
    </w:p>
    <w:p>
      <w:pPr>
        <w:spacing w:line="600" w:lineRule="exact"/>
        <w:ind w:firstLine="640"/>
        <w:rPr>
          <w:rFonts w:ascii="仿宋_GB2312" w:eastAsia="仿宋_GB2312"/>
          <w:b/>
          <w:color w:val="auto"/>
          <w:sz w:val="32"/>
          <w:szCs w:val="32"/>
          <w:highlight w:val="none"/>
        </w:rPr>
      </w:pPr>
      <w:r>
        <w:rPr>
          <w:rFonts w:hint="eastAsia" w:ascii="仿宋_GB2312" w:hAnsi="仿宋_GB2312" w:eastAsia="仿宋_GB2312"/>
          <w:b/>
          <w:color w:val="000000"/>
          <w:kern w:val="2"/>
          <w:sz w:val="32"/>
          <w:szCs w:val="24"/>
          <w:lang w:val="zh-CN"/>
        </w:rPr>
        <w:t>2.公务用车购置及运行维护费</w:t>
      </w:r>
      <w:r>
        <w:rPr>
          <w:rFonts w:hint="eastAsia" w:ascii="仿宋_GB2312" w:hAnsi="仿宋_GB2312" w:eastAsia="仿宋_GB2312"/>
          <w:color w:val="000000"/>
          <w:kern w:val="2"/>
          <w:sz w:val="32"/>
          <w:szCs w:val="24"/>
          <w:lang w:val="zh-CN"/>
        </w:rPr>
        <w:t>支出0万元，完成预算0%。公务用车购置及运行维护费支出决算比2022年增加0万元，增长0%。</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是</w:t>
      </w:r>
      <w:r>
        <w:rPr>
          <w:rFonts w:hint="eastAsia" w:ascii="仿宋_GB2312" w:eastAsia="仿宋_GB2312"/>
          <w:color w:val="000000"/>
          <w:sz w:val="32"/>
          <w:szCs w:val="32"/>
        </w:rPr>
        <w:t>学校无公务用车。</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color w:val="000000"/>
          <w:sz w:val="32"/>
          <w:szCs w:val="32"/>
        </w:rPr>
        <w:t>主要原因是两年都未预算公务接待费。</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25"/>
          <w:rFonts w:ascii="黑体" w:hAnsi="黑体" w:eastAsia="黑体"/>
          <w:color w:val="auto"/>
          <w:highlight w:val="none"/>
        </w:rPr>
      </w:pPr>
      <w:bookmarkStart w:id="53" w:name="_Toc15377218"/>
      <w:bookmarkStart w:id="54" w:name="_Toc15396610"/>
      <w:bookmarkStart w:id="55" w:name="_Toc29265"/>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53"/>
      <w:bookmarkEnd w:id="54"/>
      <w:bookmarkEnd w:id="55"/>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5"/>
          <w:rFonts w:ascii="黑体" w:hAnsi="黑体" w:eastAsia="黑体"/>
          <w:b w:val="0"/>
          <w:color w:val="auto"/>
          <w:highlight w:val="none"/>
        </w:rPr>
      </w:pPr>
      <w:bookmarkStart w:id="56" w:name="_Toc15396611"/>
      <w:bookmarkStart w:id="57" w:name="_Toc13546"/>
      <w:bookmarkStart w:id="58" w:name="_Toc15377219"/>
      <w:r>
        <w:rPr>
          <w:rStyle w:val="25"/>
          <w:rFonts w:hint="eastAsia" w:ascii="黑体" w:hAnsi="黑体" w:eastAsia="黑体"/>
          <w:b w:val="0"/>
          <w:color w:val="auto"/>
          <w:highlight w:val="none"/>
        </w:rPr>
        <w:t>国有资本经营预算支出决算情况说明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5"/>
          <w:rFonts w:hint="eastAsia" w:ascii="黑体" w:hAnsi="黑体" w:eastAsia="黑体"/>
          <w:b w:val="0"/>
          <w:color w:val="auto"/>
          <w:highlight w:val="none"/>
        </w:rPr>
      </w:pPr>
      <w:bookmarkStart w:id="59" w:name="_Toc15396612"/>
      <w:bookmarkStart w:id="60" w:name="_Toc15377221"/>
      <w:bookmarkStart w:id="61" w:name="_Toc27560"/>
      <w:r>
        <w:rPr>
          <w:rStyle w:val="25"/>
          <w:rFonts w:hint="eastAsia" w:ascii="黑体" w:hAnsi="黑体" w:eastAsia="黑体"/>
          <w:b w:val="0"/>
          <w:color w:val="auto"/>
          <w:highlight w:val="none"/>
        </w:rPr>
        <w:t>其他重要事项的情况说明</w:t>
      </w:r>
      <w:bookmarkEnd w:id="59"/>
      <w:bookmarkEnd w:id="60"/>
      <w:bookmarkEnd w:id="61"/>
    </w:p>
    <w:p>
      <w:pPr>
        <w:spacing w:line="600" w:lineRule="exact"/>
        <w:ind w:firstLine="643" w:firstLineChars="200"/>
        <w:outlineLvl w:val="2"/>
        <w:rPr>
          <w:rFonts w:ascii="仿宋" w:hAnsi="仿宋" w:eastAsia="仿宋"/>
          <w:color w:val="auto"/>
          <w:sz w:val="32"/>
          <w:szCs w:val="32"/>
          <w:highlight w:val="none"/>
        </w:rPr>
      </w:pPr>
      <w:bookmarkStart w:id="62" w:name="_Toc15377222"/>
      <w:r>
        <w:rPr>
          <w:rFonts w:hint="eastAsia" w:ascii="仿宋" w:hAnsi="仿宋" w:eastAsia="仿宋"/>
          <w:b/>
          <w:color w:val="auto"/>
          <w:sz w:val="32"/>
          <w:szCs w:val="32"/>
          <w:highlight w:val="none"/>
        </w:rPr>
        <w:t>（一）机关运行经费支出情况</w:t>
      </w:r>
      <w:bookmarkEnd w:id="62"/>
    </w:p>
    <w:p>
      <w:pPr>
        <w:ind w:firstLine="640" w:firstLineChars="200"/>
        <w:rPr>
          <w:rFonts w:ascii="仿宋" w:hAnsi="仿宋" w:eastAsia="仿宋"/>
          <w:b/>
          <w:color w:val="auto"/>
          <w:sz w:val="32"/>
          <w:szCs w:val="32"/>
          <w:highlight w:val="none"/>
        </w:rPr>
      </w:pPr>
      <w:bookmarkStart w:id="63" w:name="OLE_LINK3"/>
      <w:bookmarkStart w:id="64" w:name="OLE_LINK4"/>
      <w:bookmarkStart w:id="65" w:name="OLE_LINK11"/>
      <w:bookmarkStart w:id="66" w:name="OLE_LINK9"/>
      <w:bookmarkStart w:id="67" w:name="OLE_LINK5"/>
      <w:bookmarkStart w:id="68" w:name="OLE_LINK2"/>
      <w:bookmarkStart w:id="69" w:name="OLE_LINK14"/>
      <w:bookmarkStart w:id="70" w:name="OLE_LINK12"/>
      <w:bookmarkStart w:id="71" w:name="OLE_LINK8"/>
      <w:bookmarkStart w:id="72" w:name="OLE_LINK7"/>
      <w:bookmarkStart w:id="73" w:name="OLE_LINK13"/>
      <w:bookmarkStart w:id="74" w:name="OLE_LINK10"/>
      <w:bookmarkStart w:id="75" w:name="OLE_LINK6"/>
      <w:r>
        <w:rPr>
          <w:rFonts w:hint="eastAsia" w:ascii="仿宋_GB2312" w:eastAsia="仿宋_GB2312" w:cs="Times New Roman"/>
          <w:color w:val="auto"/>
          <w:sz w:val="32"/>
          <w:szCs w:val="32"/>
          <w:highlight w:val="none"/>
          <w:lang w:val="en-US" w:eastAsia="zh-CN"/>
        </w:rPr>
        <w:t>本单位是全额拨款事业单位，没有预算机关运行经费</w:t>
      </w:r>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6" w:name="_Toc15377223"/>
      <w:r>
        <w:rPr>
          <w:rFonts w:hint="eastAsia" w:ascii="仿宋" w:hAnsi="仿宋" w:eastAsia="仿宋"/>
          <w:b/>
          <w:color w:val="auto"/>
          <w:sz w:val="32"/>
          <w:szCs w:val="32"/>
          <w:highlight w:val="none"/>
        </w:rPr>
        <w:t>（二）政府采购支出情况</w:t>
      </w:r>
      <w:bookmarkEnd w:id="76"/>
    </w:p>
    <w:p>
      <w:pPr>
        <w:spacing w:beforeLines="0" w:afterLines="0" w:line="576" w:lineRule="exact"/>
        <w:ind w:firstLine="640"/>
        <w:jc w:val="both"/>
        <w:rPr>
          <w:rFonts w:hint="eastAsia" w:ascii="仿宋_GB2312" w:hAnsi="仿宋_GB2312" w:eastAsia="仿宋_GB2312"/>
          <w:color w:val="000000"/>
          <w:kern w:val="2"/>
          <w:sz w:val="32"/>
          <w:szCs w:val="24"/>
          <w:highlight w:val="yellow"/>
          <w:lang w:val="zh-CN"/>
        </w:rPr>
      </w:pPr>
      <w:bookmarkStart w:id="77" w:name="_Toc15377224"/>
      <w:r>
        <w:rPr>
          <w:rFonts w:hint="eastAsia" w:ascii="仿宋_GB2312" w:hAnsi="仿宋_GB2312" w:eastAsia="仿宋_GB2312"/>
          <w:color w:val="000000"/>
          <w:kern w:val="2"/>
          <w:sz w:val="32"/>
          <w:szCs w:val="24"/>
          <w:lang w:val="zh-CN"/>
        </w:rPr>
        <w:t>2023年，遂宁市船山区盐关街幼儿园政府采购支出总额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万元，其中：政府采购货物支出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万元、政府采购工程支出0万元、政府采购服务支出0万元。主要用于</w:t>
      </w:r>
      <w:r>
        <w:rPr>
          <w:rFonts w:hint="eastAsia" w:ascii="仿宋_GB2312" w:hAnsi="仿宋_GB2312" w:eastAsia="仿宋_GB2312"/>
          <w:color w:val="auto"/>
          <w:kern w:val="2"/>
          <w:sz w:val="32"/>
          <w:szCs w:val="24"/>
          <w:highlight w:val="white"/>
          <w:lang w:val="en-US" w:eastAsia="zh-CN"/>
        </w:rPr>
        <w:t>空</w:t>
      </w:r>
      <w:r>
        <w:rPr>
          <w:rFonts w:hint="eastAsia" w:ascii="仿宋_GB2312" w:hAnsi="仿宋_GB2312" w:eastAsia="仿宋_GB2312"/>
          <w:color w:val="auto"/>
          <w:kern w:val="2"/>
          <w:sz w:val="32"/>
          <w:szCs w:val="24"/>
          <w:highlight w:val="none"/>
          <w:lang w:val="en-US" w:eastAsia="zh-CN"/>
        </w:rPr>
        <w:t>调、电脑采购，电器设备和计算机维护等</w:t>
      </w:r>
      <w:r>
        <w:rPr>
          <w:rFonts w:hint="eastAsia" w:ascii="仿宋_GB2312" w:hAnsi="仿宋_GB2312" w:eastAsia="仿宋_GB2312"/>
          <w:color w:val="auto"/>
          <w:kern w:val="2"/>
          <w:sz w:val="32"/>
          <w:szCs w:val="24"/>
          <w:highlight w:val="none"/>
          <w:lang w:val="zh-CN"/>
        </w:rPr>
        <w:t>。授予中小企业合同金额</w:t>
      </w:r>
      <w:r>
        <w:rPr>
          <w:rFonts w:hint="eastAsia" w:ascii="仿宋_GB2312" w:hAnsi="仿宋_GB2312" w:eastAsia="仿宋_GB2312"/>
          <w:color w:val="auto"/>
          <w:kern w:val="2"/>
          <w:sz w:val="32"/>
          <w:szCs w:val="24"/>
          <w:highlight w:val="none"/>
          <w:lang w:val="en-US" w:eastAsia="zh-CN"/>
        </w:rPr>
        <w:t>0</w:t>
      </w:r>
      <w:r>
        <w:rPr>
          <w:rFonts w:hint="eastAsia" w:ascii="仿宋_GB2312" w:hAnsi="仿宋_GB2312" w:eastAsia="仿宋_GB2312"/>
          <w:color w:val="auto"/>
          <w:kern w:val="2"/>
          <w:sz w:val="32"/>
          <w:szCs w:val="24"/>
          <w:highlight w:val="none"/>
          <w:lang w:val="zh-CN"/>
        </w:rPr>
        <w:t>万元，占政府采购支出总额的</w:t>
      </w:r>
      <w:r>
        <w:rPr>
          <w:rFonts w:hint="eastAsia" w:ascii="仿宋_GB2312" w:hAnsi="仿宋_GB2312" w:eastAsia="仿宋_GB2312"/>
          <w:color w:val="auto"/>
          <w:kern w:val="2"/>
          <w:sz w:val="32"/>
          <w:szCs w:val="24"/>
          <w:highlight w:val="none"/>
          <w:lang w:val="en-US" w:eastAsia="zh-CN"/>
        </w:rPr>
        <w:t>0</w:t>
      </w:r>
      <w:r>
        <w:rPr>
          <w:rFonts w:hint="eastAsia" w:ascii="仿宋_GB2312" w:hAnsi="仿宋_GB2312" w:eastAsia="仿宋_GB2312"/>
          <w:color w:val="auto"/>
          <w:kern w:val="2"/>
          <w:sz w:val="32"/>
          <w:szCs w:val="24"/>
          <w:highlight w:val="none"/>
          <w:lang w:val="zh-CN"/>
        </w:rPr>
        <w:t>%，其中：授予小微企业合</w:t>
      </w:r>
      <w:r>
        <w:rPr>
          <w:rFonts w:hint="eastAsia" w:ascii="仿宋_GB2312" w:hAnsi="仿宋_GB2312" w:eastAsia="仿宋_GB2312"/>
          <w:color w:val="000000"/>
          <w:kern w:val="2"/>
          <w:sz w:val="32"/>
          <w:szCs w:val="24"/>
          <w:highlight w:val="none"/>
          <w:lang w:val="zh-CN"/>
        </w:rPr>
        <w:t>同金额</w:t>
      </w:r>
      <w:r>
        <w:rPr>
          <w:rFonts w:hint="eastAsia" w:ascii="仿宋_GB2312" w:hAnsi="仿宋_GB2312" w:eastAsia="仿宋_GB2312"/>
          <w:color w:val="000000"/>
          <w:kern w:val="2"/>
          <w:sz w:val="32"/>
          <w:szCs w:val="24"/>
          <w:highlight w:val="none"/>
          <w:lang w:val="en-US" w:eastAsia="zh-CN"/>
        </w:rPr>
        <w:t>0</w:t>
      </w:r>
      <w:r>
        <w:rPr>
          <w:rFonts w:hint="eastAsia" w:ascii="仿宋_GB2312" w:hAnsi="仿宋_GB2312" w:eastAsia="仿宋_GB2312"/>
          <w:color w:val="000000"/>
          <w:kern w:val="2"/>
          <w:sz w:val="32"/>
          <w:szCs w:val="24"/>
          <w:highlight w:val="none"/>
          <w:lang w:val="zh-CN"/>
        </w:rPr>
        <w:t>万元，</w:t>
      </w:r>
      <w:r>
        <w:rPr>
          <w:rFonts w:hint="eastAsia" w:ascii="仿宋_GB2312" w:hAnsi="仿宋_GB2312" w:eastAsia="仿宋_GB2312"/>
          <w:color w:val="auto"/>
          <w:kern w:val="2"/>
          <w:sz w:val="32"/>
          <w:szCs w:val="24"/>
          <w:highlight w:val="none"/>
          <w:lang w:val="en-US"/>
        </w:rPr>
        <w:t>占政府采购支出总额的</w:t>
      </w:r>
      <w:r>
        <w:rPr>
          <w:rFonts w:hint="eastAsia" w:ascii="仿宋_GB2312" w:hAnsi="仿宋_GB2312" w:eastAsia="仿宋_GB2312"/>
          <w:color w:val="000000"/>
          <w:kern w:val="2"/>
          <w:sz w:val="32"/>
          <w:szCs w:val="24"/>
          <w:highlight w:val="none"/>
          <w:lang w:val="en-US" w:eastAsia="zh-CN"/>
        </w:rPr>
        <w:t>0</w:t>
      </w:r>
      <w:r>
        <w:rPr>
          <w:rFonts w:hint="eastAsia" w:ascii="仿宋_GB2312" w:hAnsi="仿宋_GB2312" w:eastAsia="仿宋_GB2312"/>
          <w:color w:val="000000"/>
          <w:kern w:val="2"/>
          <w:sz w:val="32"/>
          <w:szCs w:val="24"/>
          <w:highlight w:val="none"/>
          <w:lang w:val="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bookmarkEnd w:id="77"/>
    </w:p>
    <w:p>
      <w:pPr>
        <w:spacing w:beforeLines="0" w:afterLines="0" w:line="576" w:lineRule="exact"/>
        <w:ind w:firstLine="640"/>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截至2023年12月31日，遂宁市船山区盐关街幼儿园共有车辆0辆，其中：副部（省）级及以上领导用车0辆、主要领导干部用车0辆、机要通信用车0辆、应急保障用车0辆、执法执勤用车0辆、特种专业技术用车0辆、离退休干部用车0辆、其他用车0辆。单价100万元（含）以上设备0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widowControl/>
        <w:jc w:val="left"/>
        <w:rPr>
          <w:rFonts w:hint="default" w:ascii="仿宋_GB2312" w:eastAsia="仿宋_GB2312"/>
          <w:b/>
          <w:color w:val="auto"/>
          <w:sz w:val="32"/>
          <w:szCs w:val="32"/>
          <w:highlight w:val="none"/>
          <w:lang w:val="en-US" w:eastAsia="zh-CN"/>
        </w:rPr>
      </w:pPr>
      <w:r>
        <w:rPr>
          <w:rFonts w:hint="eastAsia" w:ascii="仿宋_GB2312" w:hAnsi="仿宋_GB2312" w:eastAsia="仿宋_GB2312"/>
          <w:color w:val="auto"/>
          <w:w w:val="99"/>
          <w:kern w:val="2"/>
          <w:sz w:val="32"/>
          <w:szCs w:val="24"/>
          <w:lang w:val="zh-CN"/>
        </w:rPr>
        <w:t>根据预算绩效管理要求，本单位在2023年度预算编制阶段，没有需要做预算事前绩效评估项目，故未开展预算绩效评估，组织对人员类、运转类、特定目标等</w:t>
      </w:r>
      <w:r>
        <w:rPr>
          <w:rFonts w:hint="eastAsia" w:ascii="仿宋_GB2312" w:hAnsi="仿宋_GB2312" w:eastAsia="仿宋_GB2312"/>
          <w:color w:val="auto"/>
          <w:w w:val="99"/>
          <w:kern w:val="2"/>
          <w:sz w:val="32"/>
          <w:szCs w:val="24"/>
          <w:lang w:val="en-US" w:eastAsia="zh-CN"/>
        </w:rPr>
        <w:t>27</w:t>
      </w:r>
      <w:r>
        <w:rPr>
          <w:rFonts w:hint="eastAsia" w:ascii="仿宋_GB2312" w:hAnsi="仿宋_GB2312" w:eastAsia="仿宋_GB2312"/>
          <w:color w:val="auto"/>
          <w:w w:val="99"/>
          <w:kern w:val="2"/>
          <w:sz w:val="32"/>
          <w:szCs w:val="24"/>
          <w:lang w:val="zh-CN"/>
        </w:rPr>
        <w:t>个项目编制了绩效目标，预算执行过程中，选取了</w:t>
      </w:r>
      <w:r>
        <w:rPr>
          <w:rFonts w:hint="eastAsia" w:ascii="仿宋_GB2312" w:hAnsi="仿宋_GB2312" w:eastAsia="仿宋_GB2312"/>
          <w:color w:val="auto"/>
          <w:w w:val="99"/>
          <w:kern w:val="2"/>
          <w:sz w:val="32"/>
          <w:szCs w:val="24"/>
          <w:lang w:val="en-US" w:eastAsia="zh-CN"/>
        </w:rPr>
        <w:t>1</w:t>
      </w:r>
      <w:r>
        <w:rPr>
          <w:rFonts w:hint="eastAsia" w:ascii="仿宋_GB2312" w:hAnsi="仿宋_GB2312" w:eastAsia="仿宋_GB2312"/>
          <w:color w:val="auto"/>
          <w:w w:val="99"/>
          <w:kern w:val="2"/>
          <w:sz w:val="32"/>
          <w:szCs w:val="24"/>
          <w:lang w:val="zh-CN"/>
        </w:rPr>
        <w:t>个项目开展绩效监控，组织对学前教育保教费（收费）项目等</w:t>
      </w:r>
      <w:r>
        <w:rPr>
          <w:rFonts w:hint="eastAsia" w:ascii="仿宋_GB2312" w:hAnsi="仿宋_GB2312" w:eastAsia="仿宋_GB2312"/>
          <w:color w:val="auto"/>
          <w:w w:val="99"/>
          <w:kern w:val="2"/>
          <w:sz w:val="32"/>
          <w:szCs w:val="24"/>
          <w:lang w:val="en-US" w:eastAsia="zh-CN"/>
        </w:rPr>
        <w:t>1</w:t>
      </w:r>
      <w:r>
        <w:rPr>
          <w:rFonts w:hint="eastAsia" w:ascii="仿宋_GB2312" w:hAnsi="仿宋_GB2312" w:eastAsia="仿宋_GB2312"/>
          <w:color w:val="auto"/>
          <w:w w:val="99"/>
          <w:kern w:val="2"/>
          <w:sz w:val="32"/>
          <w:szCs w:val="24"/>
          <w:lang w:val="zh-CN"/>
        </w:rPr>
        <w:t>个项目开展绩效自评，绩效自评表详见第四部分附件。</w:t>
      </w: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78" w:name="_Toc15377225"/>
      <w:bookmarkStart w:id="79" w:name="_Toc14915"/>
      <w:bookmarkStart w:id="80"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78"/>
      <w:bookmarkEnd w:id="79"/>
      <w:bookmarkEnd w:id="80"/>
    </w:p>
    <w:p>
      <w:pPr>
        <w:spacing w:line="600" w:lineRule="exact"/>
        <w:jc w:val="left"/>
        <w:rPr>
          <w:rFonts w:ascii="宋体"/>
          <w:b/>
          <w:color w:val="auto"/>
          <w:sz w:val="44"/>
          <w:szCs w:val="44"/>
          <w:highlight w:val="none"/>
        </w:rPr>
      </w:pP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spacing w:line="576" w:lineRule="exact"/>
        <w:ind w:firstLine="640" w:firstLineChars="200"/>
        <w:rPr>
          <w:rFonts w:hint="eastAsia" w:eastAsia="仿宋_GB2312"/>
          <w:sz w:val="32"/>
        </w:rPr>
      </w:pPr>
      <w:r>
        <w:rPr>
          <w:rFonts w:hint="eastAsia" w:eastAsia="仿宋_GB2312"/>
          <w:sz w:val="32"/>
          <w:lang w:val="en-US" w:eastAsia="zh-CN"/>
        </w:rPr>
        <w:t>3</w:t>
      </w:r>
      <w:r>
        <w:rPr>
          <w:rFonts w:hint="eastAsia" w:eastAsia="仿宋_GB2312"/>
          <w:sz w:val="32"/>
        </w:rPr>
        <w:t>.教育（类）普通教育（款）学前教育（项）: 指学前教育。</w:t>
      </w:r>
    </w:p>
    <w:p>
      <w:pPr>
        <w:spacing w:line="576" w:lineRule="exact"/>
        <w:ind w:firstLine="640" w:firstLineChars="200"/>
        <w:rPr>
          <w:rFonts w:hint="eastAsia" w:eastAsia="仿宋_GB2312"/>
          <w:sz w:val="32"/>
        </w:rPr>
      </w:pPr>
      <w:r>
        <w:rPr>
          <w:rFonts w:hint="eastAsia" w:eastAsia="仿宋_GB2312"/>
          <w:sz w:val="32"/>
          <w:lang w:val="en-US" w:eastAsia="zh-CN"/>
        </w:rPr>
        <w:t>4</w:t>
      </w:r>
      <w:r>
        <w:rPr>
          <w:rFonts w:hint="eastAsia" w:eastAsia="仿宋_GB2312"/>
          <w:sz w:val="32"/>
        </w:rPr>
        <w:t>.教育（类）普通教育（款）其他普通教育（项）:指其他普通教育。</w:t>
      </w:r>
    </w:p>
    <w:p>
      <w:pPr>
        <w:spacing w:line="576" w:lineRule="exact"/>
        <w:ind w:firstLine="640" w:firstLineChars="200"/>
        <w:rPr>
          <w:rFonts w:hint="eastAsia" w:eastAsia="仿宋_GB2312"/>
          <w:sz w:val="32"/>
        </w:rPr>
      </w:pPr>
      <w:r>
        <w:rPr>
          <w:rFonts w:hint="eastAsia" w:eastAsia="仿宋_GB2312"/>
          <w:sz w:val="32"/>
          <w:lang w:val="en-US" w:eastAsia="zh-CN"/>
        </w:rPr>
        <w:t>5</w:t>
      </w:r>
      <w:r>
        <w:rPr>
          <w:rFonts w:hint="eastAsia" w:eastAsia="仿宋_GB2312"/>
          <w:sz w:val="32"/>
        </w:rPr>
        <w:t>.社会保障和就业（类）行政事业单位养老（款）机关事业单位基本养老保险缴费（项）:指机关事业单位基本养老保险缴费 。</w:t>
      </w:r>
    </w:p>
    <w:p>
      <w:pPr>
        <w:pStyle w:val="5"/>
        <w:ind w:firstLine="640" w:firstLineChars="200"/>
        <w:rPr>
          <w:rFonts w:hint="eastAsia"/>
        </w:rPr>
      </w:pPr>
      <w:r>
        <w:rPr>
          <w:rFonts w:hint="eastAsia"/>
          <w:sz w:val="32"/>
          <w:lang w:val="en-US" w:eastAsia="zh-CN"/>
        </w:rPr>
        <w:t>6</w:t>
      </w:r>
      <w:r>
        <w:rPr>
          <w:rFonts w:hint="eastAsia" w:eastAsia="仿宋_GB2312"/>
          <w:sz w:val="32"/>
          <w:lang w:val="en-US" w:eastAsia="zh-CN"/>
        </w:rPr>
        <w:t>.</w:t>
      </w:r>
      <w:r>
        <w:rPr>
          <w:rFonts w:hint="eastAsia" w:eastAsia="仿宋_GB2312"/>
          <w:sz w:val="32"/>
        </w:rPr>
        <w:t>社会保障和就业支出（类）残疾人事业（款）残疾人就业（项）</w:t>
      </w:r>
      <w:r>
        <w:rPr>
          <w:rFonts w:hint="eastAsia" w:eastAsia="仿宋_GB2312"/>
          <w:sz w:val="32"/>
          <w:lang w:eastAsia="zh-CN"/>
        </w:rPr>
        <w:t>：</w:t>
      </w:r>
      <w:r>
        <w:rPr>
          <w:rFonts w:hint="eastAsia" w:eastAsia="仿宋_GB2312"/>
          <w:sz w:val="32"/>
          <w:lang w:val="en-US" w:eastAsia="zh-CN"/>
        </w:rPr>
        <w:t>指残疾人联合会用于残疾人就业方面的支出</w:t>
      </w:r>
    </w:p>
    <w:p>
      <w:pPr>
        <w:spacing w:line="576" w:lineRule="exact"/>
        <w:ind w:firstLine="640" w:firstLineChars="200"/>
        <w:rPr>
          <w:rFonts w:hint="eastAsia" w:eastAsia="仿宋_GB2312"/>
          <w:sz w:val="32"/>
        </w:rPr>
      </w:pPr>
      <w:r>
        <w:rPr>
          <w:rFonts w:hint="eastAsia" w:eastAsia="仿宋_GB2312"/>
          <w:sz w:val="32"/>
          <w:lang w:val="en-US" w:eastAsia="zh-CN"/>
        </w:rPr>
        <w:t>7</w:t>
      </w:r>
      <w:r>
        <w:rPr>
          <w:rFonts w:hint="eastAsia" w:eastAsia="仿宋_GB2312"/>
          <w:sz w:val="32"/>
        </w:rPr>
        <w:t>.社会保障和就业（类）其他社会保障和就业（款）其他社会保障和就业（项）:指其他社会保障和就业。</w:t>
      </w:r>
    </w:p>
    <w:p>
      <w:pPr>
        <w:spacing w:line="576" w:lineRule="exact"/>
        <w:ind w:firstLine="640" w:firstLineChars="200"/>
        <w:rPr>
          <w:rFonts w:hint="eastAsia" w:eastAsia="仿宋_GB2312"/>
          <w:sz w:val="32"/>
        </w:rPr>
      </w:pPr>
      <w:r>
        <w:rPr>
          <w:rFonts w:hint="eastAsia" w:eastAsia="仿宋_GB2312"/>
          <w:sz w:val="32"/>
          <w:lang w:val="en-US" w:eastAsia="zh-CN"/>
        </w:rPr>
        <w:t>8</w:t>
      </w:r>
      <w:r>
        <w:rPr>
          <w:rFonts w:hint="eastAsia" w:eastAsia="仿宋_GB2312"/>
          <w:sz w:val="32"/>
        </w:rPr>
        <w:t>.卫生健康（类）行政事业单位医疗（款）事业单位医疗（项）:指事业单位医疗。</w:t>
      </w:r>
    </w:p>
    <w:p>
      <w:pPr>
        <w:spacing w:line="576" w:lineRule="exact"/>
        <w:ind w:firstLine="640" w:firstLineChars="200"/>
        <w:rPr>
          <w:rFonts w:hint="eastAsia" w:eastAsia="仿宋_GB2312"/>
          <w:sz w:val="32"/>
        </w:rPr>
      </w:pPr>
      <w:r>
        <w:rPr>
          <w:rFonts w:hint="eastAsia" w:eastAsia="仿宋_GB2312"/>
          <w:sz w:val="32"/>
          <w:lang w:val="en-US" w:eastAsia="zh-CN"/>
        </w:rPr>
        <w:t>9</w:t>
      </w:r>
      <w:r>
        <w:rPr>
          <w:rFonts w:hint="eastAsia" w:eastAsia="仿宋_GB2312"/>
          <w:sz w:val="32"/>
        </w:rPr>
        <w:t>.卫生健康（类）行政事业单位医疗（款）公务员医疗补助（项）：指公务员医疗补助。</w:t>
      </w:r>
    </w:p>
    <w:p>
      <w:pPr>
        <w:spacing w:line="576" w:lineRule="exact"/>
        <w:ind w:firstLine="640" w:firstLineChars="200"/>
        <w:rPr>
          <w:rFonts w:hint="eastAsia" w:eastAsia="仿宋_GB2312"/>
          <w:sz w:val="32"/>
        </w:rPr>
      </w:pPr>
      <w:r>
        <w:rPr>
          <w:rFonts w:hint="eastAsia" w:eastAsia="仿宋_GB2312"/>
          <w:sz w:val="32"/>
          <w:lang w:val="en-US" w:eastAsia="zh-CN"/>
        </w:rPr>
        <w:t>10</w:t>
      </w:r>
      <w:r>
        <w:rPr>
          <w:rFonts w:hint="eastAsia" w:eastAsia="仿宋_GB2312"/>
          <w:sz w:val="32"/>
        </w:rPr>
        <w:t>.卫生健康（类）行政事业单位医疗（款）其他行政事业单位医疗（项）：指其他行政事业单位医疗。</w:t>
      </w:r>
    </w:p>
    <w:p>
      <w:pPr>
        <w:spacing w:line="576" w:lineRule="exact"/>
        <w:ind w:firstLine="640" w:firstLineChars="200"/>
        <w:rPr>
          <w:rFonts w:hint="eastAsia" w:eastAsia="仿宋_GB2312"/>
          <w:sz w:val="32"/>
        </w:rPr>
      </w:pPr>
      <w:r>
        <w:rPr>
          <w:rFonts w:hint="eastAsia" w:eastAsia="仿宋_GB2312"/>
          <w:sz w:val="32"/>
          <w:lang w:val="en-US" w:eastAsia="zh-CN"/>
        </w:rPr>
        <w:t>11</w:t>
      </w:r>
      <w:r>
        <w:rPr>
          <w:rFonts w:hint="eastAsia" w:eastAsia="仿宋_GB2312"/>
          <w:sz w:val="32"/>
        </w:rPr>
        <w:t>.住房保障（类）住房改革（款）住房公积金（项）：指住房公积金。</w:t>
      </w:r>
    </w:p>
    <w:p>
      <w:pPr>
        <w:spacing w:line="576" w:lineRule="exact"/>
        <w:ind w:firstLine="640" w:firstLineChars="200"/>
        <w:rPr>
          <w:rFonts w:hint="eastAsia" w:eastAsia="仿宋_GB2312"/>
          <w:sz w:val="32"/>
        </w:rPr>
      </w:pPr>
      <w:r>
        <w:rPr>
          <w:rFonts w:hint="eastAsia" w:eastAsia="仿宋_GB2312"/>
          <w:sz w:val="32"/>
        </w:rPr>
        <w:t>1</w:t>
      </w:r>
      <w:r>
        <w:rPr>
          <w:rFonts w:hint="eastAsia" w:eastAsia="仿宋_GB2312"/>
          <w:sz w:val="32"/>
          <w:lang w:val="en-US" w:eastAsia="zh-CN"/>
        </w:rPr>
        <w:t>2</w:t>
      </w:r>
      <w:r>
        <w:rPr>
          <w:rFonts w:hint="eastAsia" w:eastAsia="仿宋_GB2312"/>
          <w:sz w:val="32"/>
        </w:rPr>
        <w:t>.基本支出：指为保障机构正常运转、完成日常工作任务而发生的人员支出和公用支出。</w:t>
      </w:r>
    </w:p>
    <w:p>
      <w:pPr>
        <w:spacing w:line="576" w:lineRule="exact"/>
        <w:ind w:firstLine="640" w:firstLineChars="200"/>
        <w:rPr>
          <w:rFonts w:hint="eastAsia" w:eastAsia="仿宋_GB2312"/>
          <w:sz w:val="32"/>
        </w:rPr>
      </w:pPr>
      <w:r>
        <w:rPr>
          <w:rFonts w:hint="eastAsia" w:eastAsia="仿宋_GB2312"/>
          <w:sz w:val="32"/>
        </w:rPr>
        <w:t>1</w:t>
      </w:r>
      <w:r>
        <w:rPr>
          <w:rFonts w:hint="eastAsia" w:eastAsia="仿宋_GB2312"/>
          <w:sz w:val="32"/>
          <w:lang w:val="en-US" w:eastAsia="zh-CN"/>
        </w:rPr>
        <w:t>3</w:t>
      </w:r>
      <w:r>
        <w:rPr>
          <w:rFonts w:hint="eastAsia" w:eastAsia="仿宋_GB2312"/>
          <w:sz w:val="32"/>
        </w:rPr>
        <w:t xml:space="preserve">.项目支出：指在基本支出之外为完成特定行政任务和事业发展目标所发生的支出。 </w:t>
      </w:r>
    </w:p>
    <w:p>
      <w:pPr>
        <w:ind w:firstLine="640" w:firstLineChars="200"/>
        <w:rPr>
          <w:rFonts w:hint="eastAsia" w:eastAsia="仿宋_GB2312"/>
          <w:sz w:val="32"/>
        </w:rPr>
      </w:pPr>
      <w:r>
        <w:rPr>
          <w:rFonts w:hint="eastAsia" w:eastAsia="仿宋_GB2312"/>
          <w:sz w:val="32"/>
        </w:rPr>
        <w:t>1</w:t>
      </w:r>
      <w:r>
        <w:rPr>
          <w:rFonts w:hint="eastAsia" w:eastAsia="仿宋_GB2312"/>
          <w:sz w:val="32"/>
          <w:lang w:val="en-US" w:eastAsia="zh-CN"/>
        </w:rPr>
        <w:t>4</w:t>
      </w:r>
      <w:r>
        <w:rPr>
          <w:rFonts w:hint="eastAsia" w:eastAsia="仿宋_GB2312"/>
          <w:sz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9"/>
        <w:rPr>
          <w:rFonts w:ascii="宋体"/>
          <w:b/>
          <w:color w:val="auto"/>
          <w:sz w:val="44"/>
          <w:szCs w:val="44"/>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81" w:name="_Toc15377226"/>
    </w:p>
    <w:p>
      <w:pPr>
        <w:spacing w:line="600" w:lineRule="exact"/>
        <w:jc w:val="center"/>
        <w:outlineLvl w:val="0"/>
        <w:rPr>
          <w:rStyle w:val="24"/>
          <w:rFonts w:ascii="黑体" w:hAnsi="黑体" w:eastAsia="黑体"/>
          <w:b w:val="0"/>
          <w:color w:val="auto"/>
          <w:highlight w:val="none"/>
        </w:rPr>
      </w:pPr>
      <w:bookmarkStart w:id="82" w:name="_Toc27296"/>
      <w:bookmarkStart w:id="83"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82"/>
      <w:bookmarkEnd w:id="83"/>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1"/>
        <w:gridCol w:w="924"/>
        <w:gridCol w:w="1218"/>
        <w:gridCol w:w="399"/>
        <w:gridCol w:w="867"/>
        <w:gridCol w:w="396"/>
        <w:gridCol w:w="758"/>
        <w:gridCol w:w="486"/>
        <w:gridCol w:w="396"/>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51090322T000000352871-学前教育保教费（收费）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四川省遂宁市船山区教育体育局部门</w:t>
            </w:r>
          </w:p>
        </w:tc>
        <w:tc>
          <w:tcPr>
            <w:tcW w:w="44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四川省遂宁市船山区盐关街幼儿园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年收入的保教费，将全部用于学校的办公费及聘用人员工资保险等等日常经费预算。</w:t>
            </w:r>
          </w:p>
        </w:tc>
        <w:tc>
          <w:tcPr>
            <w:tcW w:w="17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保障了</w:t>
            </w:r>
            <w:r>
              <w:rPr>
                <w:rFonts w:ascii="宋体" w:hAnsi="宋体" w:eastAsia="宋体" w:cs="宋体"/>
                <w:i w:val="0"/>
                <w:iCs w:val="0"/>
                <w:color w:val="000000"/>
                <w:kern w:val="0"/>
                <w:sz w:val="18"/>
                <w:szCs w:val="18"/>
                <w:u w:val="none"/>
                <w:lang w:val="en-US" w:eastAsia="zh-CN" w:bidi="ar"/>
              </w:rPr>
              <w:t>学校的办公费及聘用人员工资保险等等日常经费预算</w:t>
            </w:r>
            <w:r>
              <w:rPr>
                <w:rFonts w:hint="eastAsia" w:ascii="宋体" w:hAnsi="宋体" w:cs="宋体"/>
                <w:i w:val="0"/>
                <w:iCs w:val="0"/>
                <w:color w:val="000000"/>
                <w:kern w:val="0"/>
                <w:sz w:val="18"/>
                <w:szCs w:val="18"/>
                <w:u w:val="none"/>
                <w:lang w:val="en-US" w:eastAsia="zh-CN" w:bidi="ar"/>
              </w:rPr>
              <w:t>，基本完成目标任务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立了学前保教经费领导小组，并拟定相关资金管理办法，做到学前保教经费资金使用“专款专用”的原则。严格按照财务管理制度进行管理、使用学前教育保教经费。与此同时，我校按照相关文件要求，实行拟定学前教育保教经费资金使用计划专人负责，分管领导签字等制度。项目实施后，校园环境极大改善，有益于师生的身心健康，基本解决入园难入园贵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54.66</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50.89</w:t>
            </w:r>
          </w:p>
        </w:tc>
        <w:tc>
          <w:tcPr>
            <w:tcW w:w="9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54.66</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50.89</w:t>
            </w:r>
          </w:p>
        </w:tc>
        <w:tc>
          <w:tcPr>
            <w:tcW w:w="9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保教费人数约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提高学生综合能力</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经费管理机制</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优良中差低</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幼儿成长</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按照区财政局和区教体局通知，我校立即组织相关工作人员成立自评小组，一是组织相关人员查阅资金使用情况，准备检查资料，二是根据预算项目支出绩效评价指标体系中的相关内容，认真填写预算项目支出绩效评价指标体系评分表，三是撰写预算项目支出绩效自评报告。我们采用满意值赋分法评价方法，对各项指标进行评价，并根据预算项目支出绩效评价指标体系表中的相关内容要求，根据各项指标的完成情况，进行评价本项目的实施过程，真正做到年初有预算，事中、事后有监督，总分97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随着幼儿人数逐年增加，当地物价逐年增长，希望提高专项资助</w:t>
            </w:r>
            <w:r>
              <w:rPr>
                <w:rFonts w:hint="eastAsia" w:ascii="宋体" w:hAnsi="宋体" w:cs="宋体"/>
                <w:i w:val="0"/>
                <w:iCs w:val="0"/>
                <w:color w:val="000000"/>
                <w:kern w:val="0"/>
                <w:sz w:val="18"/>
                <w:szCs w:val="18"/>
                <w:u w:val="none"/>
                <w:lang w:val="en-US" w:eastAsia="zh-CN" w:bidi="ar"/>
              </w:rPr>
              <w:t>标准为了更好地保障</w:t>
            </w:r>
            <w:r>
              <w:rPr>
                <w:rFonts w:hint="eastAsia" w:ascii="宋体" w:hAnsi="宋体" w:eastAsia="宋体" w:cs="宋体"/>
                <w:i w:val="0"/>
                <w:iCs w:val="0"/>
                <w:color w:val="000000"/>
                <w:kern w:val="0"/>
                <w:sz w:val="18"/>
                <w:szCs w:val="18"/>
                <w:u w:val="none"/>
                <w:lang w:val="en-US" w:eastAsia="zh-CN" w:bidi="ar"/>
              </w:rPr>
              <w:t>全区适龄少年儿童接受学前教育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5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pacing w:line="600" w:lineRule="exact"/>
        <w:jc w:val="center"/>
        <w:outlineLvl w:val="9"/>
        <w:rPr>
          <w:rFonts w:ascii="宋体"/>
          <w:b/>
          <w:color w:val="auto"/>
          <w:sz w:val="44"/>
          <w:szCs w:val="44"/>
          <w:highlight w:val="none"/>
        </w:rPr>
        <w:sectPr>
          <w:pgSz w:w="11906" w:h="16838"/>
          <w:pgMar w:top="1440" w:right="1803" w:bottom="1440" w:left="1803" w:header="851" w:footer="992" w:gutter="0"/>
          <w:pgNumType w:fmt="decimal"/>
          <w:cols w:space="0" w:num="1"/>
          <w:titlePg/>
          <w:rtlGutter w:val="0"/>
          <w:docGrid w:type="lines" w:linePitch="319" w:charSpace="0"/>
        </w:sectPr>
      </w:pPr>
      <w:r>
        <w:rPr>
          <w:rFonts w:ascii="宋体"/>
          <w:b/>
          <w:color w:val="auto"/>
          <w:sz w:val="44"/>
          <w:szCs w:val="44"/>
          <w:highlight w:val="none"/>
        </w:rPr>
        <w:br w:type="page"/>
      </w:r>
      <w:bookmarkStart w:id="84" w:name="_Toc15396618"/>
    </w:p>
    <w:p>
      <w:pPr>
        <w:spacing w:line="600" w:lineRule="exact"/>
        <w:jc w:val="center"/>
        <w:outlineLvl w:val="0"/>
        <w:rPr>
          <w:rFonts w:hint="eastAsia" w:ascii="仿宋" w:hAnsi="仿宋" w:eastAsia="仿宋"/>
          <w:b w:val="0"/>
          <w:color w:val="auto"/>
          <w:highlight w:val="none"/>
        </w:rPr>
      </w:pPr>
      <w:bookmarkStart w:id="85" w:name="_Toc26345"/>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81"/>
      <w:bookmarkEnd w:id="84"/>
      <w:bookmarkEnd w:id="85"/>
      <w:bookmarkStart w:id="86" w:name="_Toc15396619"/>
    </w:p>
    <w:p>
      <w:pPr>
        <w:pStyle w:val="3"/>
        <w:rPr>
          <w:rFonts w:ascii="仿宋" w:hAnsi="仿宋" w:eastAsia="仿宋"/>
          <w:color w:val="auto"/>
          <w:highlight w:val="none"/>
        </w:rPr>
      </w:pPr>
      <w:bookmarkStart w:id="87" w:name="_Toc25629"/>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86"/>
      <w:bookmarkEnd w:id="87"/>
    </w:p>
    <w:p>
      <w:pPr>
        <w:pStyle w:val="3"/>
        <w:rPr>
          <w:rFonts w:ascii="仿宋" w:hAnsi="仿宋" w:eastAsia="仿宋"/>
          <w:color w:val="auto"/>
          <w:highlight w:val="none"/>
        </w:rPr>
      </w:pPr>
      <w:bookmarkStart w:id="88" w:name="_Toc15396620"/>
      <w:bookmarkStart w:id="89" w:name="_Toc1992"/>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88"/>
      <w:bookmarkEnd w:id="89"/>
    </w:p>
    <w:p>
      <w:pPr>
        <w:pStyle w:val="3"/>
        <w:rPr>
          <w:rFonts w:ascii="仿宋" w:hAnsi="仿宋" w:eastAsia="仿宋"/>
          <w:color w:val="auto"/>
          <w:highlight w:val="none"/>
        </w:rPr>
      </w:pPr>
      <w:bookmarkStart w:id="90" w:name="_Toc13985"/>
      <w:bookmarkStart w:id="91"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90"/>
      <w:bookmarkEnd w:id="91"/>
    </w:p>
    <w:p>
      <w:pPr>
        <w:pStyle w:val="3"/>
        <w:rPr>
          <w:rFonts w:ascii="仿宋" w:hAnsi="仿宋" w:eastAsia="仿宋"/>
          <w:b w:val="0"/>
          <w:color w:val="auto"/>
          <w:highlight w:val="none"/>
        </w:rPr>
      </w:pPr>
      <w:bookmarkStart w:id="92" w:name="_Toc22904"/>
      <w:bookmarkStart w:id="93"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92"/>
      <w:bookmarkEnd w:id="93"/>
    </w:p>
    <w:p>
      <w:pPr>
        <w:pStyle w:val="3"/>
        <w:rPr>
          <w:rStyle w:val="25"/>
          <w:rFonts w:ascii="仿宋" w:hAnsi="仿宋" w:eastAsia="仿宋"/>
          <w:b w:val="0"/>
          <w:bCs w:val="0"/>
          <w:color w:val="auto"/>
          <w:highlight w:val="none"/>
        </w:rPr>
      </w:pPr>
      <w:bookmarkStart w:id="94" w:name="_Toc15396623"/>
      <w:bookmarkStart w:id="95" w:name="_Toc11264"/>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94"/>
      <w:bookmarkEnd w:id="95"/>
      <w:bookmarkStart w:id="96" w:name="_Toc15396624"/>
    </w:p>
    <w:p>
      <w:pPr>
        <w:pStyle w:val="3"/>
        <w:rPr>
          <w:rFonts w:ascii="仿宋" w:hAnsi="仿宋" w:eastAsia="仿宋"/>
          <w:color w:val="auto"/>
          <w:highlight w:val="none"/>
        </w:rPr>
      </w:pPr>
      <w:bookmarkStart w:id="97" w:name="_Toc26540"/>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96"/>
      <w:bookmarkEnd w:id="97"/>
    </w:p>
    <w:p>
      <w:pPr>
        <w:pStyle w:val="3"/>
        <w:rPr>
          <w:rFonts w:ascii="仿宋" w:hAnsi="仿宋" w:eastAsia="仿宋"/>
          <w:color w:val="auto"/>
          <w:highlight w:val="none"/>
        </w:rPr>
      </w:pPr>
      <w:bookmarkStart w:id="98" w:name="_Toc15396625"/>
      <w:bookmarkStart w:id="99" w:name="_Toc11658"/>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98"/>
      <w:bookmarkEnd w:id="99"/>
    </w:p>
    <w:p>
      <w:pPr>
        <w:pStyle w:val="3"/>
        <w:rPr>
          <w:rFonts w:ascii="仿宋" w:hAnsi="仿宋" w:eastAsia="仿宋"/>
          <w:color w:val="auto"/>
          <w:highlight w:val="none"/>
        </w:rPr>
      </w:pPr>
      <w:bookmarkStart w:id="100" w:name="_Toc31038"/>
      <w:bookmarkStart w:id="101"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100"/>
      <w:bookmarkEnd w:id="101"/>
    </w:p>
    <w:p>
      <w:pPr>
        <w:pStyle w:val="3"/>
        <w:rPr>
          <w:rFonts w:ascii="仿宋" w:hAnsi="仿宋" w:eastAsia="仿宋"/>
          <w:color w:val="auto"/>
          <w:highlight w:val="none"/>
        </w:rPr>
      </w:pPr>
      <w:bookmarkStart w:id="102" w:name="_Toc26221"/>
      <w:bookmarkStart w:id="103"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102"/>
      <w:bookmarkEnd w:id="103"/>
    </w:p>
    <w:p>
      <w:pPr>
        <w:pStyle w:val="3"/>
        <w:rPr>
          <w:rFonts w:ascii="仿宋" w:hAnsi="仿宋" w:eastAsia="仿宋"/>
          <w:color w:val="auto"/>
          <w:highlight w:val="none"/>
        </w:rPr>
      </w:pPr>
      <w:bookmarkStart w:id="104" w:name="_Toc15396628"/>
      <w:bookmarkStart w:id="105" w:name="_Toc30062"/>
      <w:r>
        <w:rPr>
          <w:rStyle w:val="25"/>
          <w:rFonts w:hint="eastAsia" w:ascii="仿宋" w:hAnsi="仿宋" w:eastAsia="仿宋"/>
          <w:b w:val="0"/>
          <w:bCs w:val="0"/>
          <w:color w:val="auto"/>
          <w:highlight w:val="none"/>
        </w:rPr>
        <w:t>十、</w:t>
      </w:r>
      <w:bookmarkEnd w:id="104"/>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105"/>
    </w:p>
    <w:p>
      <w:pPr>
        <w:pStyle w:val="3"/>
        <w:rPr>
          <w:rFonts w:ascii="仿宋" w:hAnsi="仿宋" w:eastAsia="仿宋"/>
          <w:color w:val="auto"/>
          <w:highlight w:val="none"/>
        </w:rPr>
      </w:pPr>
      <w:bookmarkStart w:id="106" w:name="_Toc15396629"/>
      <w:bookmarkStart w:id="107" w:name="_Toc11886"/>
      <w:r>
        <w:rPr>
          <w:rStyle w:val="25"/>
          <w:rFonts w:hint="eastAsia" w:ascii="仿宋" w:hAnsi="仿宋" w:eastAsia="仿宋"/>
          <w:b w:val="0"/>
          <w:bCs w:val="0"/>
          <w:color w:val="auto"/>
          <w:highlight w:val="none"/>
        </w:rPr>
        <w:t>十一、</w:t>
      </w:r>
      <w:bookmarkEnd w:id="106"/>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7"/>
    </w:p>
    <w:p>
      <w:pPr>
        <w:pStyle w:val="3"/>
        <w:rPr>
          <w:rFonts w:ascii="仿宋" w:hAnsi="仿宋" w:eastAsia="仿宋"/>
          <w:color w:val="auto"/>
          <w:highlight w:val="none"/>
        </w:rPr>
      </w:pPr>
      <w:bookmarkStart w:id="108" w:name="_Toc15396630"/>
      <w:bookmarkStart w:id="109" w:name="_Toc21586"/>
      <w:r>
        <w:rPr>
          <w:rStyle w:val="25"/>
          <w:rFonts w:hint="eastAsia" w:ascii="仿宋" w:hAnsi="仿宋" w:eastAsia="仿宋"/>
          <w:b w:val="0"/>
          <w:bCs w:val="0"/>
          <w:color w:val="auto"/>
          <w:highlight w:val="none"/>
        </w:rPr>
        <w:t>十二、</w:t>
      </w:r>
      <w:bookmarkEnd w:id="108"/>
      <w:r>
        <w:rPr>
          <w:rStyle w:val="25"/>
          <w:rFonts w:hint="eastAsia" w:ascii="仿宋" w:hAnsi="仿宋" w:eastAsia="仿宋"/>
          <w:b w:val="0"/>
          <w:bCs w:val="0"/>
          <w:color w:val="auto"/>
          <w:highlight w:val="none"/>
          <w:lang w:eastAsia="zh-CN"/>
        </w:rPr>
        <w:t>国有资本经营预算财政拨款支出决算表</w:t>
      </w:r>
      <w:bookmarkEnd w:id="109"/>
    </w:p>
    <w:p>
      <w:pPr>
        <w:pStyle w:val="3"/>
        <w:rPr>
          <w:rFonts w:hint="eastAsia" w:eastAsia="仿宋"/>
          <w:color w:val="auto"/>
          <w:highlight w:val="none"/>
          <w:lang w:eastAsia="zh-CN"/>
        </w:rPr>
      </w:pPr>
      <w:bookmarkStart w:id="110" w:name="_Toc15396631"/>
      <w:bookmarkStart w:id="111" w:name="_Toc10026"/>
      <w:r>
        <w:rPr>
          <w:rStyle w:val="25"/>
          <w:rFonts w:hint="eastAsia" w:ascii="仿宋" w:hAnsi="仿宋" w:eastAsia="仿宋"/>
          <w:b w:val="0"/>
          <w:bCs w:val="0"/>
          <w:color w:val="auto"/>
          <w:highlight w:val="none"/>
        </w:rPr>
        <w:t>十三、</w:t>
      </w:r>
      <w:bookmarkEnd w:id="110"/>
      <w:r>
        <w:rPr>
          <w:rStyle w:val="25"/>
          <w:rFonts w:hint="eastAsia" w:ascii="仿宋" w:hAnsi="仿宋" w:eastAsia="仿宋"/>
          <w:b w:val="0"/>
          <w:bCs w:val="0"/>
          <w:color w:val="auto"/>
          <w:highlight w:val="none"/>
          <w:lang w:eastAsia="zh-CN"/>
        </w:rPr>
        <w:t>财政拨款“三公”经费支出决算表</w:t>
      </w:r>
      <w:bookmarkEnd w:id="111"/>
    </w:p>
    <w:sectPr>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D098472"/>
    <w:multiLevelType w:val="singleLevel"/>
    <w:tmpl w:val="6D098472"/>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NTM3NGMzYzk5OWQ0YzYwMmE4NTI3ODY2ODYxZm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3916"/>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4E7C79"/>
    <w:rsid w:val="053A62B5"/>
    <w:rsid w:val="0A2032A3"/>
    <w:rsid w:val="0B8A37D8"/>
    <w:rsid w:val="0BC123D3"/>
    <w:rsid w:val="0CC834DE"/>
    <w:rsid w:val="10C055FF"/>
    <w:rsid w:val="118107EC"/>
    <w:rsid w:val="11DD6519"/>
    <w:rsid w:val="12036806"/>
    <w:rsid w:val="1402315B"/>
    <w:rsid w:val="14F13CB4"/>
    <w:rsid w:val="155353BE"/>
    <w:rsid w:val="16BB723D"/>
    <w:rsid w:val="18015F3F"/>
    <w:rsid w:val="1881312C"/>
    <w:rsid w:val="1BE8440E"/>
    <w:rsid w:val="1D155CEE"/>
    <w:rsid w:val="1EFE6FB1"/>
    <w:rsid w:val="20F57F95"/>
    <w:rsid w:val="22724382"/>
    <w:rsid w:val="240371BF"/>
    <w:rsid w:val="248B5F64"/>
    <w:rsid w:val="25711CC6"/>
    <w:rsid w:val="25C741E6"/>
    <w:rsid w:val="27842671"/>
    <w:rsid w:val="28C0786D"/>
    <w:rsid w:val="29FD04D3"/>
    <w:rsid w:val="2ABE7A3E"/>
    <w:rsid w:val="2CA234A8"/>
    <w:rsid w:val="2E437360"/>
    <w:rsid w:val="2EFA178C"/>
    <w:rsid w:val="2FBD1C1C"/>
    <w:rsid w:val="30B46D73"/>
    <w:rsid w:val="319F7F4E"/>
    <w:rsid w:val="329C5046"/>
    <w:rsid w:val="342E3D2D"/>
    <w:rsid w:val="349473AE"/>
    <w:rsid w:val="3677266F"/>
    <w:rsid w:val="36A775C5"/>
    <w:rsid w:val="383D272C"/>
    <w:rsid w:val="39AE70AB"/>
    <w:rsid w:val="3B6A2905"/>
    <w:rsid w:val="3C0C0783"/>
    <w:rsid w:val="3D006466"/>
    <w:rsid w:val="3D760FF4"/>
    <w:rsid w:val="3D996D2D"/>
    <w:rsid w:val="3F9F3A96"/>
    <w:rsid w:val="442E5667"/>
    <w:rsid w:val="48BF60AB"/>
    <w:rsid w:val="48E24C72"/>
    <w:rsid w:val="493C27E9"/>
    <w:rsid w:val="496F39ED"/>
    <w:rsid w:val="49FF41D3"/>
    <w:rsid w:val="4B7C7600"/>
    <w:rsid w:val="4BE068DB"/>
    <w:rsid w:val="4BF6002B"/>
    <w:rsid w:val="4E8371C8"/>
    <w:rsid w:val="4EC2357B"/>
    <w:rsid w:val="4ECE2238"/>
    <w:rsid w:val="4FC86C60"/>
    <w:rsid w:val="51295111"/>
    <w:rsid w:val="51481530"/>
    <w:rsid w:val="51DB4B86"/>
    <w:rsid w:val="54695690"/>
    <w:rsid w:val="55333C3E"/>
    <w:rsid w:val="57146ABA"/>
    <w:rsid w:val="58B7705F"/>
    <w:rsid w:val="5980650D"/>
    <w:rsid w:val="5CD7462A"/>
    <w:rsid w:val="5FED0F10"/>
    <w:rsid w:val="61D20F3D"/>
    <w:rsid w:val="63A57AC5"/>
    <w:rsid w:val="64CA39A1"/>
    <w:rsid w:val="68946C46"/>
    <w:rsid w:val="69630ADE"/>
    <w:rsid w:val="6C4A05C8"/>
    <w:rsid w:val="6CD95A76"/>
    <w:rsid w:val="6D3B1A89"/>
    <w:rsid w:val="70800D7B"/>
    <w:rsid w:val="70F60628"/>
    <w:rsid w:val="71BF4EC2"/>
    <w:rsid w:val="71D8052E"/>
    <w:rsid w:val="72734D90"/>
    <w:rsid w:val="7412278C"/>
    <w:rsid w:val="743B538F"/>
    <w:rsid w:val="74AE2984"/>
    <w:rsid w:val="75842A89"/>
    <w:rsid w:val="78F01158"/>
    <w:rsid w:val="792149D7"/>
    <w:rsid w:val="79E7B28D"/>
    <w:rsid w:val="7CA3400E"/>
    <w:rsid w:val="7F4339B5"/>
    <w:rsid w:val="7F84126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6-&#36930;&#23425;&#24066;&#33337;&#23665;&#21306;&#30416;&#20851;&#34903;&#24188;&#20799;&#22253;2023&#20915;&#31639;&#20844;&#24320;\&#22270;&#24418;&#21270;2023-137015-&#22235;&#24029;&#30465;&#36930;&#23425;&#24066;&#33337;&#23665;&#21306;&#21271;&#36784;&#34903;&#24188;&#20799;&#2225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6-&#36930;&#23425;&#24066;&#33337;&#23665;&#21306;&#30416;&#20851;&#34903;&#24188;&#20799;&#22253;2023&#20915;&#31639;&#20844;&#24320;\&#22270;&#24418;&#21270;2023-137015-&#22235;&#24029;&#30465;&#36930;&#23425;&#24066;&#33337;&#23665;&#21306;&#21271;&#36784;&#34903;&#24188;&#20799;&#2225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6-&#36930;&#23425;&#24066;&#33337;&#23665;&#21306;&#30416;&#20851;&#34903;&#24188;&#20799;&#22253;2023&#20915;&#31639;&#20844;&#24320;\&#22270;&#24418;&#21270;2023-137015-&#22235;&#24029;&#30465;&#36930;&#23425;&#24066;&#33337;&#23665;&#21306;&#21271;&#36784;&#34903;&#24188;&#20799;&#2225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6-&#36930;&#23425;&#24066;&#33337;&#23665;&#21306;&#30416;&#20851;&#34903;&#24188;&#20799;&#22253;2023&#20915;&#31639;&#20844;&#24320;\&#22270;&#24418;&#21270;2023-137015-&#22235;&#24029;&#30465;&#36930;&#23425;&#24066;&#33337;&#23665;&#21306;&#21271;&#36784;&#34903;&#24188;&#20799;&#2225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6-&#36930;&#23425;&#24066;&#33337;&#23665;&#21306;&#30416;&#20851;&#34903;&#24188;&#20799;&#22253;2023&#20915;&#31639;&#20844;&#24320;\&#22270;&#24418;&#21270;2023-137015-&#22235;&#24029;&#30465;&#36930;&#23425;&#24066;&#33337;&#23665;&#21306;&#21271;&#36784;&#34903;&#24188;&#20799;&#2225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46-&#36930;&#23425;&#24066;&#33337;&#23665;&#21306;&#30416;&#20851;&#34903;&#24188;&#20799;&#22253;2023&#20915;&#31639;&#20844;&#24320;\&#22270;&#24418;&#21270;2023-137015-&#22235;&#24029;&#30465;&#36930;&#23425;&#24066;&#33337;&#23665;&#21306;&#21271;&#36784;&#34903;&#24188;&#20799;&#22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'[图形化2023-137015-四川省遂宁市船山区北辰街幼儿园.xlsx]Sheet1'!$B$1</c:f>
              <c:strCache>
                <c:ptCount val="1"/>
                <c:pt idx="0">
                  <c:v>收入支出总体情况表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'[图形化2023-137015-四川省遂宁市船山区北辰街幼儿园.xlsx]Sheet1'!$A$2:$A$3</c:f>
              <c:strCache>
                <c:ptCount val="2"/>
                <c:pt idx="0">
                  <c:v>2022年</c:v>
                </c:pt>
                <c:pt idx="1">
                  <c:v>2023年</c:v>
                </c:pt>
              </c:strCache>
            </c:strRef>
          </c:cat>
          <c:val>
            <c:numRef>
              <c:f>'[图形化2023-137015-四川省遂宁市船山区北辰街幼儿园.xlsx]Sheet1'!$B$2:$B$3</c:f>
              <c:numCache>
                <c:formatCode>General</c:formatCode>
                <c:ptCount val="2"/>
                <c:pt idx="0">
                  <c:v>347.33</c:v>
                </c:pt>
                <c:pt idx="1">
                  <c:v>382.93</c:v>
                </c:pt>
              </c:numCache>
            </c:numRef>
          </c:val>
        </c:ser>
        <c:dLbls>
          <c:showLegendKey val="0"/>
          <c:showVal val="1"/>
          <c:showCatName val="0"/>
          <c:showSerName val="0"/>
          <c:showPercent val="0"/>
          <c:showBubbleSize val="0"/>
        </c:dLbls>
        <c:gapWidth val="150"/>
        <c:axId val="24361216"/>
        <c:axId val="24707072"/>
      </c:barChart>
      <c:catAx>
        <c:axId val="2436121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707072"/>
        <c:crosses val="autoZero"/>
        <c:auto val="1"/>
        <c:lblAlgn val="ctr"/>
        <c:lblOffset val="100"/>
        <c:noMultiLvlLbl val="0"/>
      </c:catAx>
      <c:valAx>
        <c:axId val="247070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36121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1733931240658"/>
          <c:y val="0.00694444444444444"/>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'[图形化2023-137015-四川省遂宁市船山区北辰街幼儿园.xlsx]Sheet1'!$E$1</c:f>
              <c:strCache>
                <c:ptCount val="1"/>
                <c:pt idx="0">
                  <c:v>二、 收入决算情况(万元)</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'[图形化2023-137015-四川省遂宁市船山区北辰街幼儿园.xlsx]Sheet1'!$D$2:$D$4</c:f>
              <c:strCache>
                <c:ptCount val="3"/>
                <c:pt idx="0">
                  <c:v>一般公共预算财政拨款收入</c:v>
                </c:pt>
                <c:pt idx="1">
                  <c:v>其他收入</c:v>
                </c:pt>
              </c:strCache>
            </c:strRef>
          </c:cat>
          <c:val>
            <c:numRef>
              <c:f>'[图形化2023-137015-四川省遂宁市船山区北辰街幼儿园.xlsx]Sheet1'!$E$2:$E$4</c:f>
              <c:numCache>
                <c:formatCode>General</c:formatCode>
                <c:ptCount val="3"/>
                <c:pt idx="0">
                  <c:v>340.1</c:v>
                </c:pt>
                <c:pt idx="1">
                  <c:v>32.76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'[图形化2023-137015-四川省遂宁市船山区北辰街幼儿园.xlsx]Sheet1'!$I$1</c:f>
              <c:strCache>
                <c:ptCount val="1"/>
                <c:pt idx="0">
                  <c:v>三、 支出决算情况(万元)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'[图形化2023-137015-四川省遂宁市船山区北辰街幼儿园.xlsx]Sheet1'!$H$2:$H$3</c:f>
              <c:strCache>
                <c:ptCount val="2"/>
                <c:pt idx="0">
                  <c:v>基本支出</c:v>
                </c:pt>
                <c:pt idx="1">
                  <c:v>项目支出</c:v>
                </c:pt>
              </c:strCache>
            </c:strRef>
          </c:cat>
          <c:val>
            <c:numRef>
              <c:f>'[图形化2023-137015-四川省遂宁市船山区北辰街幼儿园.xlsx]Sheet1'!$I$2:$I$3</c:f>
              <c:numCache>
                <c:formatCode>General</c:formatCode>
                <c:ptCount val="2"/>
                <c:pt idx="0">
                  <c:v>230.5</c:v>
                </c:pt>
                <c:pt idx="1">
                  <c:v>140.79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'[图形化2023-137015-四川省遂宁市船山区北辰街幼儿园.xlsx]Sheet1'!$M$1</c:f>
              <c:strCache>
                <c:ptCount val="1"/>
                <c:pt idx="0">
                  <c:v>四、财政拨款收、支决算总计变动情况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'[图形化2023-137015-四川省遂宁市船山区北辰街幼儿园.xlsx]Sheet1'!$L$2:$L$3</c:f>
              <c:strCache>
                <c:ptCount val="2"/>
                <c:pt idx="0">
                  <c:v>2022年</c:v>
                </c:pt>
                <c:pt idx="1">
                  <c:v>2023年</c:v>
                </c:pt>
              </c:strCache>
            </c:strRef>
          </c:cat>
          <c:val>
            <c:numRef>
              <c:f>'[图形化2023-137015-四川省遂宁市船山区北辰街幼儿园.xlsx]Sheet1'!$M$2:$M$3</c:f>
              <c:numCache>
                <c:formatCode>General</c:formatCode>
                <c:ptCount val="2"/>
                <c:pt idx="0">
                  <c:v>331.19</c:v>
                </c:pt>
                <c:pt idx="1" c:formatCode="#,##0.00">
                  <c:v>340.1</c:v>
                </c:pt>
              </c:numCache>
            </c:numRef>
          </c:val>
        </c:ser>
        <c:dLbls>
          <c:showLegendKey val="0"/>
          <c:showVal val="1"/>
          <c:showCatName val="0"/>
          <c:showSerName val="0"/>
          <c:showPercent val="0"/>
          <c:showBubbleSize val="0"/>
        </c:dLbls>
        <c:gapWidth val="150"/>
        <c:axId val="24909696"/>
        <c:axId val="24911232"/>
      </c:barChart>
      <c:catAx>
        <c:axId val="249096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11232"/>
        <c:crosses val="autoZero"/>
        <c:auto val="1"/>
        <c:lblAlgn val="ctr"/>
        <c:lblOffset val="100"/>
        <c:noMultiLvlLbl val="0"/>
      </c:catAx>
      <c:valAx>
        <c:axId val="249112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0969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一般公共预算财政拨款支出决算总体情况（万元）</a:t>
            </a:r>
            <a:endParaRPr lang="zh-CN" altLang="en-US" sz="1200"/>
          </a:p>
        </c:rich>
      </c:tx>
      <c:layout>
        <c:manualLayout>
          <c:xMode val="edge"/>
          <c:yMode val="edge"/>
          <c:x val="0.113316954695044"/>
          <c:y val="0.0153188535039171"/>
        </c:manualLayout>
      </c:layout>
      <c:overlay val="0"/>
    </c:title>
    <c:autoTitleDeleted val="0"/>
    <c:plotArea>
      <c:layout>
        <c:manualLayout>
          <c:layoutTarget val="inner"/>
          <c:xMode val="edge"/>
          <c:yMode val="edge"/>
          <c:x val="0.10439076018575"/>
          <c:y val="0.138401349447186"/>
          <c:w val="0.867295222977443"/>
          <c:h val="0.585335840402905"/>
        </c:manualLayout>
      </c:layout>
      <c:barChart>
        <c:barDir val="col"/>
        <c:grouping val="clustered"/>
        <c:varyColors val="0"/>
        <c:ser>
          <c:idx val="0"/>
          <c:order val="0"/>
          <c:tx>
            <c:strRef>
              <c:f>'[图形化2023-137015-四川省遂宁市船山区北辰街幼儿园.xlsx]Sheet1'!$B$20</c:f>
              <c:strCache>
                <c:ptCount val="1"/>
                <c:pt idx="0">
                  <c:v>一般公共预算财政拨款支出决算总体情况（万元）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'[图形化2023-137015-四川省遂宁市船山区北辰街幼儿园.xlsx]Sheet1'!$A$21:$A$22</c:f>
              <c:strCache>
                <c:ptCount val="2"/>
                <c:pt idx="0">
                  <c:v>2022年</c:v>
                </c:pt>
                <c:pt idx="1">
                  <c:v>2023年</c:v>
                </c:pt>
              </c:strCache>
            </c:strRef>
          </c:cat>
          <c:val>
            <c:numRef>
              <c:f>'[图形化2023-137015-四川省遂宁市船山区北辰街幼儿园.xlsx]Sheet1'!$B$21:$B$22</c:f>
              <c:numCache>
                <c:formatCode>General</c:formatCode>
                <c:ptCount val="2"/>
                <c:pt idx="0">
                  <c:v>331.19</c:v>
                </c:pt>
                <c:pt idx="1" c:formatCode="#,##0.00">
                  <c:v>340.1</c:v>
                </c:pt>
              </c:numCache>
            </c:numRef>
          </c:val>
        </c:ser>
        <c:dLbls>
          <c:showLegendKey val="0"/>
          <c:showVal val="1"/>
          <c:showCatName val="0"/>
          <c:showSerName val="0"/>
          <c:showPercent val="0"/>
          <c:showBubbleSize val="0"/>
        </c:dLbls>
        <c:gapWidth val="150"/>
        <c:axId val="24927232"/>
        <c:axId val="24961792"/>
      </c:barChart>
      <c:catAx>
        <c:axId val="249272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61792"/>
        <c:crosses val="autoZero"/>
        <c:auto val="1"/>
        <c:lblAlgn val="ctr"/>
        <c:lblOffset val="100"/>
        <c:noMultiLvlLbl val="0"/>
      </c:catAx>
      <c:valAx>
        <c:axId val="249617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2723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'[图形化2023-137015-四川省遂宁市船山区北辰街幼儿园.xlsx]Sheet1'!$B$47</c:f>
              <c:strCache>
                <c:ptCount val="1"/>
                <c:pt idx="0">
                  <c:v>（二）一般公共预算财政拨款支出决算结构情况(万元)</c:v>
                </c:pt>
              </c:strCache>
            </c:strRef>
          </c:tx>
          <c:explosion val="14"/>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'[图形化2023-137015-四川省遂宁市船山区北辰街幼儿园.xlsx]Sheet1'!$A$48:$A$51</c:f>
              <c:strCache>
                <c:ptCount val="4"/>
                <c:pt idx="0">
                  <c:v>教育支出</c:v>
                </c:pt>
                <c:pt idx="1">
                  <c:v>社会保障和就业支出</c:v>
                </c:pt>
                <c:pt idx="2">
                  <c:v>卫生健康支出</c:v>
                </c:pt>
                <c:pt idx="3">
                  <c:v>住房保障支出</c:v>
                </c:pt>
              </c:strCache>
            </c:strRef>
          </c:cat>
          <c:val>
            <c:numRef>
              <c:f>'[图形化2023-137015-四川省遂宁市船山区北辰街幼儿园.xlsx]Sheet1'!$B$48:$B$51</c:f>
              <c:numCache>
                <c:formatCode>0.00_ </c:formatCode>
                <c:ptCount val="4"/>
                <c:pt idx="0">
                  <c:v>293.12</c:v>
                </c:pt>
                <c:pt idx="1" c:formatCode="General">
                  <c:v>21.64</c:v>
                </c:pt>
                <c:pt idx="2" c:formatCode="General">
                  <c:v>9.61</c:v>
                </c:pt>
                <c:pt idx="3" c:formatCode="General">
                  <c:v>15.73</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591709755030621"/>
          <c:y val="0.461732283464567"/>
          <c:w val="0.363845800524934"/>
          <c:h val="0.334868766404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5327</Words>
  <Characters>5798</Characters>
  <Lines>61</Lines>
  <Paragraphs>17</Paragraphs>
  <TotalTime>13</TotalTime>
  <ScaleCrop>false</ScaleCrop>
  <LinksUpToDate>false</LinksUpToDate>
  <CharactersWithSpaces>5916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2024-09-26T02:11:18Z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8C0E325DAD2A4350B5768AA88AAFBDD8_13</vt:lpwstr>
  </property>
</Properties>
</file>