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45509189"/>
      <w:bookmarkStart w:id="2" w:name="_Toc15377425"/>
      <w:bookmarkStart w:id="3" w:name="_Toc15378441"/>
      <w:bookmarkStart w:id="4" w:name="_Toc15396597"/>
      <w:bookmarkStart w:id="5" w:name="_Toc15396475"/>
      <w:bookmarkStart w:id="6" w:name="_Toc15377193"/>
      <w:r>
        <w:rPr>
          <w:rFonts w:hint="eastAsia" w:ascii="方正小标宋简体" w:hAnsi="方正小标宋简体" w:eastAsia="方正小标宋简体" w:cs="方正小标宋简体"/>
          <w:sz w:val="52"/>
          <w:szCs w:val="52"/>
          <w:lang w:eastAsia="zh-CN"/>
        </w:rPr>
        <w:t>2023</w:t>
      </w:r>
      <w:r>
        <w:rPr>
          <w:rFonts w:hint="eastAsia" w:ascii="方正小标宋简体" w:hAnsi="方正小标宋简体" w:eastAsia="方正小标宋简体" w:cs="方正小标宋简体"/>
          <w:sz w:val="52"/>
          <w:szCs w:val="52"/>
        </w:rPr>
        <w:t>年度</w:t>
      </w:r>
      <w:bookmarkEnd w:id="1"/>
      <w:bookmarkEnd w:id="2"/>
      <w:bookmarkEnd w:id="3"/>
      <w:bookmarkEnd w:id="4"/>
      <w:bookmarkEnd w:id="5"/>
      <w:bookmarkEnd w:id="6"/>
    </w:p>
    <w:bookmarkEnd w:id="0"/>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7" w:name="_Toc145509190"/>
      <w:r>
        <w:rPr>
          <w:rFonts w:hint="eastAsia" w:ascii="方正小标宋简体" w:hAnsi="方正小标宋简体" w:eastAsia="方正小标宋简体" w:cs="方正小标宋简体"/>
          <w:sz w:val="52"/>
          <w:szCs w:val="52"/>
        </w:rPr>
        <w:t>遂宁市船山区老池镇幼儿园</w:t>
      </w:r>
      <w:bookmarkEnd w:id="7"/>
    </w:p>
    <w:p>
      <w:pPr>
        <w:pStyle w:val="6"/>
        <w:spacing w:before="93"/>
      </w:pPr>
    </w:p>
    <w:p>
      <w:pPr>
        <w:pStyle w:val="6"/>
        <w:spacing w:before="93"/>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8" w:name="_Toc145509191"/>
      <w:bookmarkStart w:id="9" w:name="_Toc5305"/>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8"/>
      <w:bookmarkEnd w:id="9"/>
      <w:r>
        <w:rPr>
          <w:rFonts w:hint="eastAsia" w:ascii="方正小标宋简体" w:hAnsi="方正小标宋简体" w:eastAsia="方正小标宋简体" w:cs="方正小标宋简体"/>
          <w:sz w:val="52"/>
          <w:szCs w:val="52"/>
          <w:lang w:val="en-US" w:eastAsia="zh-CN"/>
        </w:rPr>
        <w:t>公开</w:t>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sdt>
      <w:sdtPr>
        <w:rPr>
          <w:lang w:val="zh-CN"/>
        </w:rPr>
        <w:id w:val="435953829"/>
        <w:docPartObj>
          <w:docPartGallery w:val="Table of Contents"/>
          <w:docPartUnique/>
        </w:docPartObj>
      </w:sdtPr>
      <w:sdtEndPr>
        <w:rPr>
          <w:rFonts w:ascii="Times New Roman" w:hAnsi="Times New Roman" w:eastAsia="宋体" w:cs="Times New Roman"/>
          <w:b/>
          <w:bCs w:val="0"/>
          <w:color w:val="auto"/>
          <w:kern w:val="2"/>
          <w:sz w:val="21"/>
          <w:szCs w:val="24"/>
          <w:lang w:val="en-US"/>
        </w:rPr>
      </w:sdtEndPr>
      <w:sdtContent>
        <w:p>
          <w:pPr>
            <w:pStyle w:val="32"/>
          </w:pPr>
          <w:bookmarkStart w:id="10" w:name="_Toc15377196"/>
          <w:bookmarkStart w:id="11" w:name="_Toc15396599"/>
        </w:p>
        <w:p>
          <w:pPr>
            <w:widowControl/>
            <w:jc w:val="center"/>
            <w:rPr>
              <w:rFonts w:hint="eastAsia" w:ascii="黑体" w:hAnsi="黑体" w:eastAsia="黑体"/>
              <w:b/>
              <w:sz w:val="48"/>
              <w:szCs w:val="48"/>
            </w:rPr>
          </w:pPr>
        </w:p>
        <w:p>
          <w:pPr>
            <w:widowControl/>
            <w:jc w:val="center"/>
            <w:rPr>
              <w:rFonts w:hint="eastAsia" w:ascii="黑体" w:hAnsi="黑体" w:eastAsia="黑体"/>
              <w:b/>
              <w:sz w:val="48"/>
              <w:szCs w:val="48"/>
            </w:rPr>
          </w:pPr>
        </w:p>
        <w:p>
          <w:pPr>
            <w:widowControl/>
            <w:jc w:val="center"/>
            <w:rPr>
              <w:rFonts w:hint="eastAsia" w:ascii="黑体" w:hAnsi="黑体" w:eastAsia="黑体"/>
              <w:b/>
              <w:sz w:val="48"/>
              <w:szCs w:val="48"/>
            </w:rPr>
          </w:pPr>
          <w:r>
            <w:rPr>
              <w:rFonts w:hint="eastAsia" w:ascii="黑体" w:hAnsi="黑体" w:eastAsia="黑体"/>
              <w:b/>
              <w:sz w:val="48"/>
              <w:szCs w:val="48"/>
            </w:rPr>
            <w:t>目  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widowControl/>
            <w:jc w:val="center"/>
            <w:rPr>
              <w:rFonts w:asciiTheme="minorHAnsi" w:hAnsiTheme="minorHAnsi" w:eastAsiaTheme="minorEastAsia" w:cstheme="minorBidi"/>
              <w:b/>
              <w:bCs w:val="0"/>
              <w:sz w:val="21"/>
              <w:szCs w:val="22"/>
            </w:rPr>
          </w:pPr>
          <w:r>
            <w:rPr>
              <w:b/>
              <w:bCs w:val="0"/>
            </w:rPr>
            <w:fldChar w:fldCharType="begin"/>
          </w:r>
          <w:r>
            <w:rPr>
              <w:b/>
              <w:bCs w:val="0"/>
            </w:rPr>
            <w:instrText xml:space="preserve"> TOC \o "1-3" \h \z \u </w:instrText>
          </w:r>
          <w:r>
            <w:rPr>
              <w:b/>
              <w:bCs w:val="0"/>
            </w:rPr>
            <w:fldChar w:fldCharType="separate"/>
          </w:r>
        </w:p>
        <w:p>
          <w:pPr>
            <w:pStyle w:val="11"/>
            <w:rPr>
              <w:rFonts w:asciiTheme="minorHAnsi" w:hAnsiTheme="minorHAnsi" w:eastAsiaTheme="minorEastAsia" w:cstheme="minorBidi"/>
              <w:b/>
              <w:bCs w:val="0"/>
              <w:sz w:val="21"/>
              <w:szCs w:val="22"/>
            </w:rPr>
          </w:pPr>
          <w:r>
            <w:rPr>
              <w:b/>
              <w:bCs w:val="0"/>
            </w:rPr>
            <w:fldChar w:fldCharType="begin"/>
          </w:r>
          <w:r>
            <w:rPr>
              <w:b/>
              <w:bCs w:val="0"/>
            </w:rPr>
            <w:instrText xml:space="preserve"> HYPERLINK \l "_Toc145509192" </w:instrText>
          </w:r>
          <w:r>
            <w:rPr>
              <w:b/>
              <w:bCs w:val="0"/>
            </w:rPr>
            <w:fldChar w:fldCharType="separate"/>
          </w:r>
          <w:r>
            <w:rPr>
              <w:rStyle w:val="16"/>
              <w:rFonts w:hint="eastAsia" w:ascii="黑体" w:hAnsi="黑体" w:eastAsia="黑体"/>
              <w:b/>
              <w:bCs w:val="0"/>
            </w:rPr>
            <w:t>第一部分</w:t>
          </w:r>
          <w:r>
            <w:rPr>
              <w:rStyle w:val="16"/>
              <w:rFonts w:ascii="黑体" w:hAnsi="黑体" w:eastAsia="黑体"/>
              <w:b/>
              <w:bCs w:val="0"/>
            </w:rPr>
            <w:t xml:space="preserve"> </w:t>
          </w:r>
          <w:r>
            <w:rPr>
              <w:rStyle w:val="16"/>
              <w:rFonts w:hint="eastAsia" w:ascii="黑体" w:hAnsi="黑体" w:eastAsia="黑体"/>
              <w:b/>
              <w:bCs w:val="0"/>
            </w:rPr>
            <w:t>单位概况</w:t>
          </w:r>
          <w:r>
            <w:rPr>
              <w:b/>
              <w:bCs w:val="0"/>
            </w:rPr>
            <w:tab/>
          </w:r>
          <w:r>
            <w:rPr>
              <w:b/>
              <w:bCs w:val="0"/>
            </w:rPr>
            <w:fldChar w:fldCharType="begin"/>
          </w:r>
          <w:r>
            <w:rPr>
              <w:b/>
              <w:bCs w:val="0"/>
            </w:rPr>
            <w:instrText xml:space="preserve"> PAGEREF _Toc145509192 \h </w:instrText>
          </w:r>
          <w:r>
            <w:rPr>
              <w:b/>
              <w:bCs w:val="0"/>
            </w:rPr>
            <w:fldChar w:fldCharType="separate"/>
          </w:r>
          <w:r>
            <w:rPr>
              <w:b/>
              <w:bCs w:val="0"/>
            </w:rPr>
            <w:t>3</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"_Toc145509193" </w:instrText>
          </w:r>
          <w:r>
            <w:rPr>
              <w:b/>
              <w:bCs w:val="0"/>
            </w:rPr>
            <w:fldChar w:fldCharType="separate"/>
          </w:r>
          <w:r>
            <w:rPr>
              <w:rStyle w:val="16"/>
              <w:rFonts w:hint="eastAsia" w:ascii="黑体" w:hAnsi="黑体" w:eastAsia="黑体"/>
              <w:b/>
              <w:bCs w:val="0"/>
            </w:rPr>
            <w:t>一、主要职责</w:t>
          </w:r>
          <w:r>
            <w:rPr>
              <w:b/>
              <w:bCs w:val="0"/>
            </w:rPr>
            <w:tab/>
          </w:r>
          <w:r>
            <w:rPr>
              <w:b/>
              <w:bCs w:val="0"/>
            </w:rPr>
            <w:fldChar w:fldCharType="begin"/>
          </w:r>
          <w:r>
            <w:rPr>
              <w:b/>
              <w:bCs w:val="0"/>
            </w:rPr>
            <w:instrText xml:space="preserve"> PAGEREF _Toc145509193 \h </w:instrText>
          </w:r>
          <w:r>
            <w:rPr>
              <w:b/>
              <w:bCs w:val="0"/>
            </w:rPr>
            <w:fldChar w:fldCharType="separate"/>
          </w:r>
          <w:r>
            <w:rPr>
              <w:b/>
              <w:bCs w:val="0"/>
            </w:rPr>
            <w:t>3</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"_Toc145509194" </w:instrText>
          </w:r>
          <w:r>
            <w:rPr>
              <w:b/>
              <w:bCs w:val="0"/>
            </w:rPr>
            <w:fldChar w:fldCharType="separate"/>
          </w:r>
          <w:r>
            <w:rPr>
              <w:rStyle w:val="16"/>
              <w:rFonts w:hint="eastAsia" w:ascii="黑体" w:hAnsi="黑体" w:eastAsia="黑体"/>
              <w:b/>
              <w:bCs w:val="0"/>
            </w:rPr>
            <w:t>二、机构设置</w:t>
          </w:r>
          <w:r>
            <w:rPr>
              <w:b/>
              <w:bCs w:val="0"/>
            </w:rPr>
            <w:tab/>
          </w:r>
          <w:r>
            <w:rPr>
              <w:b/>
              <w:bCs w:val="0"/>
            </w:rPr>
            <w:fldChar w:fldCharType="begin"/>
          </w:r>
          <w:r>
            <w:rPr>
              <w:b/>
              <w:bCs w:val="0"/>
            </w:rPr>
            <w:instrText xml:space="preserve"> PAGEREF _Toc145509194 \h </w:instrText>
          </w:r>
          <w:r>
            <w:rPr>
              <w:b/>
              <w:bCs w:val="0"/>
            </w:rPr>
            <w:fldChar w:fldCharType="separate"/>
          </w:r>
          <w:r>
            <w:rPr>
              <w:b/>
              <w:bCs w:val="0"/>
            </w:rPr>
            <w:t>3</w:t>
          </w:r>
          <w:r>
            <w:rPr>
              <w:b/>
              <w:bCs w:val="0"/>
            </w:rPr>
            <w:fldChar w:fldCharType="end"/>
          </w:r>
          <w:r>
            <w:rPr>
              <w:b/>
              <w:bCs w:val="0"/>
            </w:rPr>
            <w:fldChar w:fldCharType="end"/>
          </w:r>
        </w:p>
        <w:p>
          <w:pPr>
            <w:pStyle w:val="11"/>
            <w:rPr>
              <w:rFonts w:asciiTheme="minorHAnsi" w:hAnsiTheme="minorHAnsi" w:eastAsiaTheme="minorEastAsia" w:cstheme="minorBidi"/>
              <w:b/>
              <w:bCs w:val="0"/>
              <w:sz w:val="21"/>
              <w:szCs w:val="22"/>
            </w:rPr>
          </w:pPr>
          <w:r>
            <w:rPr>
              <w:b/>
              <w:bCs w:val="0"/>
            </w:rPr>
            <w:fldChar w:fldCharType="begin"/>
          </w:r>
          <w:r>
            <w:rPr>
              <w:b/>
              <w:bCs w:val="0"/>
            </w:rPr>
            <w:instrText xml:space="preserve"> HYPERLINK \l "_Toc145509195" </w:instrText>
          </w:r>
          <w:r>
            <w:rPr>
              <w:b/>
              <w:bCs w:val="0"/>
            </w:rPr>
            <w:fldChar w:fldCharType="separate"/>
          </w:r>
          <w:r>
            <w:rPr>
              <w:rStyle w:val="16"/>
              <w:rFonts w:hint="eastAsia" w:ascii="黑体" w:hAnsi="黑体" w:eastAsia="黑体"/>
              <w:b/>
              <w:bCs w:val="0"/>
            </w:rPr>
            <w:t>第二部分</w:t>
          </w:r>
          <w:r>
            <w:rPr>
              <w:rStyle w:val="16"/>
              <w:rFonts w:ascii="黑体" w:hAnsi="黑体" w:eastAsia="黑体"/>
              <w:b/>
              <w:bCs w:val="0"/>
            </w:rPr>
            <w:t xml:space="preserve"> </w:t>
          </w:r>
          <w:r>
            <w:rPr>
              <w:rStyle w:val="16"/>
              <w:rFonts w:hint="eastAsia" w:ascii="黑体" w:hAnsi="黑体" w:eastAsia="黑体"/>
              <w:b/>
              <w:bCs w:val="0"/>
              <w:lang w:eastAsia="zh-CN"/>
            </w:rPr>
            <w:t>2023</w:t>
          </w:r>
          <w:r>
            <w:rPr>
              <w:rStyle w:val="16"/>
              <w:rFonts w:hint="eastAsia" w:ascii="黑体" w:hAnsi="黑体" w:eastAsia="黑体"/>
              <w:b/>
              <w:bCs w:val="0"/>
            </w:rPr>
            <w:t>年度单位决算情况说明</w:t>
          </w:r>
          <w:r>
            <w:rPr>
              <w:b/>
              <w:bCs w:val="0"/>
            </w:rPr>
            <w:tab/>
          </w:r>
          <w:r>
            <w:rPr>
              <w:b/>
              <w:bCs w:val="0"/>
            </w:rPr>
            <w:fldChar w:fldCharType="begin"/>
          </w:r>
          <w:r>
            <w:rPr>
              <w:b/>
              <w:bCs w:val="0"/>
            </w:rPr>
            <w:instrText xml:space="preserve"> PAGEREF _Toc145509195 \h </w:instrText>
          </w:r>
          <w:r>
            <w:rPr>
              <w:b/>
              <w:bCs w:val="0"/>
            </w:rPr>
            <w:fldChar w:fldCharType="separate"/>
          </w:r>
          <w:r>
            <w:rPr>
              <w:b/>
              <w:bCs w:val="0"/>
            </w:rPr>
            <w:t>4</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"_Toc145509196" </w:instrText>
          </w:r>
          <w:r>
            <w:rPr>
              <w:b/>
              <w:bCs w:val="0"/>
            </w:rPr>
            <w:fldChar w:fldCharType="separate"/>
          </w:r>
          <w:r>
            <w:rPr>
              <w:rStyle w:val="16"/>
              <w:rFonts w:hint="eastAsia" w:ascii="黑体" w:hAnsi="黑体" w:eastAsia="黑体" w:cstheme="majorBidi"/>
              <w:b/>
              <w:bCs w:val="0"/>
            </w:rPr>
            <w:t>一、</w:t>
          </w:r>
          <w:r>
            <w:rPr>
              <w:rStyle w:val="16"/>
              <w:rFonts w:hint="eastAsia" w:ascii="黑体" w:hAnsi="黑体" w:eastAsia="黑体"/>
              <w:b/>
              <w:bCs w:val="0"/>
            </w:rPr>
            <w:t>收</w:t>
          </w:r>
          <w:r>
            <w:rPr>
              <w:rStyle w:val="16"/>
              <w:rFonts w:hint="eastAsia" w:ascii="黑体" w:hAnsi="黑体" w:eastAsia="黑体" w:cstheme="majorBidi"/>
              <w:b/>
              <w:bCs w:val="0"/>
            </w:rPr>
            <w:t>入支出决算总体情况说明</w:t>
          </w:r>
          <w:r>
            <w:rPr>
              <w:b/>
              <w:bCs w:val="0"/>
            </w:rPr>
            <w:tab/>
          </w:r>
          <w:r>
            <w:rPr>
              <w:b/>
              <w:bCs w:val="0"/>
            </w:rPr>
            <w:fldChar w:fldCharType="begin"/>
          </w:r>
          <w:r>
            <w:rPr>
              <w:b/>
              <w:bCs w:val="0"/>
            </w:rPr>
            <w:instrText xml:space="preserve"> PAGEREF _Toc145509196 \h </w:instrText>
          </w:r>
          <w:r>
            <w:rPr>
              <w:b/>
              <w:bCs w:val="0"/>
            </w:rPr>
            <w:fldChar w:fldCharType="separate"/>
          </w:r>
          <w:r>
            <w:rPr>
              <w:b/>
              <w:bCs w:val="0"/>
            </w:rPr>
            <w:t>4</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"_Toc145509197" </w:instrText>
          </w:r>
          <w:r>
            <w:rPr>
              <w:b/>
              <w:bCs w:val="0"/>
            </w:rPr>
            <w:fldChar w:fldCharType="separate"/>
          </w:r>
          <w:r>
            <w:rPr>
              <w:rStyle w:val="16"/>
              <w:rFonts w:hint="eastAsia" w:ascii="黑体" w:hAnsi="黑体" w:eastAsia="黑体" w:cstheme="majorBidi"/>
              <w:b/>
              <w:bCs w:val="0"/>
            </w:rPr>
            <w:t>二、</w:t>
          </w:r>
          <w:r>
            <w:rPr>
              <w:rStyle w:val="16"/>
              <w:rFonts w:hint="eastAsia" w:ascii="黑体" w:hAnsi="黑体" w:eastAsia="黑体"/>
              <w:b/>
              <w:bCs w:val="0"/>
            </w:rPr>
            <w:t>收</w:t>
          </w:r>
          <w:r>
            <w:rPr>
              <w:rStyle w:val="16"/>
              <w:rFonts w:hint="eastAsia" w:ascii="黑体" w:hAnsi="黑体" w:eastAsia="黑体" w:cstheme="majorBidi"/>
              <w:b/>
              <w:bCs w:val="0"/>
            </w:rPr>
            <w:t>入决算情况说明</w:t>
          </w:r>
          <w:r>
            <w:rPr>
              <w:b/>
              <w:bCs w:val="0"/>
            </w:rPr>
            <w:tab/>
          </w:r>
          <w:r>
            <w:rPr>
              <w:b/>
              <w:bCs w:val="0"/>
            </w:rPr>
            <w:fldChar w:fldCharType="begin"/>
          </w:r>
          <w:r>
            <w:rPr>
              <w:b/>
              <w:bCs w:val="0"/>
            </w:rPr>
            <w:instrText xml:space="preserve"> PAGEREF _Toc145509197 \h </w:instrText>
          </w:r>
          <w:r>
            <w:rPr>
              <w:b/>
              <w:bCs w:val="0"/>
            </w:rPr>
            <w:fldChar w:fldCharType="separate"/>
          </w:r>
          <w:r>
            <w:rPr>
              <w:b/>
              <w:bCs w:val="0"/>
            </w:rPr>
            <w:t>4</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"_Toc145509199" </w:instrText>
          </w:r>
          <w:r>
            <w:rPr>
              <w:b/>
              <w:bCs w:val="0"/>
            </w:rPr>
            <w:fldChar w:fldCharType="separate"/>
          </w:r>
          <w:r>
            <w:rPr>
              <w:rStyle w:val="16"/>
              <w:rFonts w:hint="eastAsia" w:ascii="黑体" w:hAnsi="黑体" w:eastAsia="黑体" w:cstheme="majorBidi"/>
              <w:b/>
              <w:bCs w:val="0"/>
            </w:rPr>
            <w:t>三、</w:t>
          </w:r>
          <w:r>
            <w:rPr>
              <w:rStyle w:val="16"/>
              <w:rFonts w:hint="eastAsia" w:ascii="黑体" w:hAnsi="黑体" w:eastAsia="黑体"/>
              <w:b/>
              <w:bCs w:val="0"/>
            </w:rPr>
            <w:t>支</w:t>
          </w:r>
          <w:r>
            <w:rPr>
              <w:rStyle w:val="16"/>
              <w:rFonts w:hint="eastAsia" w:ascii="黑体" w:hAnsi="黑体" w:eastAsia="黑体" w:cstheme="majorBidi"/>
              <w:b/>
              <w:bCs w:val="0"/>
            </w:rPr>
            <w:t>出决算情况说明</w:t>
          </w:r>
          <w:r>
            <w:rPr>
              <w:b/>
              <w:bCs w:val="0"/>
            </w:rPr>
            <w:tab/>
          </w:r>
          <w:r>
            <w:rPr>
              <w:b/>
              <w:bCs w:val="0"/>
            </w:rPr>
            <w:fldChar w:fldCharType="begin"/>
          </w:r>
          <w:r>
            <w:rPr>
              <w:b/>
              <w:bCs w:val="0"/>
            </w:rPr>
            <w:instrText xml:space="preserve"> PAGEREF _Toc145509199 \h </w:instrText>
          </w:r>
          <w:r>
            <w:rPr>
              <w:b/>
              <w:bCs w:val="0"/>
            </w:rPr>
            <w:fldChar w:fldCharType="separate"/>
          </w:r>
          <w:r>
            <w:rPr>
              <w:b/>
              <w:bCs w:val="0"/>
            </w:rPr>
            <w:t>5</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"_Toc145509201" </w:instrText>
          </w:r>
          <w:r>
            <w:rPr>
              <w:b/>
              <w:bCs w:val="0"/>
            </w:rPr>
            <w:fldChar w:fldCharType="separate"/>
          </w:r>
          <w:r>
            <w:rPr>
              <w:rStyle w:val="16"/>
              <w:rFonts w:hint="eastAsia" w:ascii="黑体" w:hAnsi="黑体" w:eastAsia="黑体"/>
              <w:b/>
              <w:bCs w:val="0"/>
            </w:rPr>
            <w:t>四、财</w:t>
          </w:r>
          <w:r>
            <w:rPr>
              <w:rStyle w:val="16"/>
              <w:rFonts w:hint="eastAsia" w:ascii="黑体" w:hAnsi="黑体" w:eastAsia="黑体" w:cstheme="majorBidi"/>
              <w:b/>
              <w:bCs w:val="0"/>
            </w:rPr>
            <w:t>政拨款收入支出决算总体情况说明</w:t>
          </w:r>
          <w:r>
            <w:rPr>
              <w:b/>
              <w:bCs w:val="0"/>
            </w:rPr>
            <w:tab/>
          </w:r>
          <w:r>
            <w:rPr>
              <w:b/>
              <w:bCs w:val="0"/>
            </w:rPr>
            <w:fldChar w:fldCharType="begin"/>
          </w:r>
          <w:r>
            <w:rPr>
              <w:b/>
              <w:bCs w:val="0"/>
            </w:rPr>
            <w:instrText xml:space="preserve"> PAGEREF _Toc145509201 \h </w:instrText>
          </w:r>
          <w:r>
            <w:rPr>
              <w:b/>
              <w:bCs w:val="0"/>
            </w:rPr>
            <w:fldChar w:fldCharType="separate"/>
          </w:r>
          <w:r>
            <w:rPr>
              <w:b/>
              <w:bCs w:val="0"/>
            </w:rPr>
            <w:t>5</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"_Toc145509202" </w:instrText>
          </w:r>
          <w:r>
            <w:rPr>
              <w:b/>
              <w:bCs w:val="0"/>
            </w:rPr>
            <w:fldChar w:fldCharType="separate"/>
          </w:r>
          <w:r>
            <w:rPr>
              <w:rStyle w:val="16"/>
              <w:rFonts w:hint="eastAsia" w:ascii="黑体" w:hAnsi="黑体" w:eastAsia="黑体"/>
              <w:b/>
              <w:bCs w:val="0"/>
            </w:rPr>
            <w:t>五、一</w:t>
          </w:r>
          <w:r>
            <w:rPr>
              <w:rStyle w:val="16"/>
              <w:rFonts w:hint="eastAsia" w:ascii="黑体" w:hAnsi="黑体" w:eastAsia="黑体" w:cstheme="majorBidi"/>
              <w:b/>
              <w:bCs w:val="0"/>
            </w:rPr>
            <w:t>般公共预算财政拨款支出决算情况说明</w:t>
          </w:r>
          <w:r>
            <w:rPr>
              <w:b/>
              <w:bCs w:val="0"/>
            </w:rPr>
            <w:tab/>
          </w:r>
          <w:r>
            <w:rPr>
              <w:rFonts w:hint="eastAsia"/>
              <w:b/>
              <w:bCs w:val="0"/>
              <w:lang w:val="en-US" w:eastAsia="zh-CN"/>
            </w:rPr>
            <w:t>7</w:t>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"_Toc145509207" </w:instrText>
          </w:r>
          <w:r>
            <w:rPr>
              <w:b/>
              <w:bCs w:val="0"/>
            </w:rPr>
            <w:fldChar w:fldCharType="separate"/>
          </w:r>
          <w:r>
            <w:rPr>
              <w:rStyle w:val="16"/>
              <w:rFonts w:hint="eastAsia" w:ascii="黑体" w:eastAsia="黑体"/>
              <w:b/>
              <w:bCs w:val="0"/>
            </w:rPr>
            <w:t>六、</w:t>
          </w:r>
          <w:r>
            <w:rPr>
              <w:rStyle w:val="16"/>
              <w:rFonts w:hint="eastAsia" w:ascii="黑体" w:hAnsi="黑体" w:eastAsia="黑体"/>
              <w:b/>
              <w:bCs w:val="0"/>
            </w:rPr>
            <w:t>一</w:t>
          </w:r>
          <w:r>
            <w:rPr>
              <w:rStyle w:val="16"/>
              <w:rFonts w:hint="eastAsia" w:ascii="黑体" w:hAnsi="黑体" w:eastAsia="黑体" w:cstheme="majorBidi"/>
              <w:b/>
              <w:bCs w:val="0"/>
            </w:rPr>
            <w:t>般公共预算财政拨款基本支出决算情况说明</w:t>
          </w:r>
          <w:r>
            <w:rPr>
              <w:b/>
              <w:bCs w:val="0"/>
            </w:rPr>
            <w:tab/>
          </w:r>
          <w:r>
            <w:rPr>
              <w:b/>
              <w:bCs w:val="0"/>
            </w:rPr>
            <w:fldChar w:fldCharType="begin"/>
          </w:r>
          <w:r>
            <w:rPr>
              <w:b/>
              <w:bCs w:val="0"/>
            </w:rPr>
            <w:instrText xml:space="preserve"> PAGEREF _Toc145509207 \h </w:instrText>
          </w:r>
          <w:r>
            <w:rPr>
              <w:b/>
              <w:bCs w:val="0"/>
            </w:rPr>
            <w:fldChar w:fldCharType="separate"/>
          </w:r>
          <w:r>
            <w:rPr>
              <w:b/>
              <w:bCs w:val="0"/>
            </w:rPr>
            <w:t>8</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"_Toc145509208" </w:instrText>
          </w:r>
          <w:r>
            <w:rPr>
              <w:b/>
              <w:bCs w:val="0"/>
            </w:rPr>
            <w:fldChar w:fldCharType="separate"/>
          </w:r>
          <w:r>
            <w:rPr>
              <w:rStyle w:val="16"/>
              <w:rFonts w:hint="eastAsia" w:ascii="黑体" w:eastAsia="黑体"/>
              <w:b/>
              <w:bCs w:val="0"/>
            </w:rPr>
            <w:t>七、</w:t>
          </w:r>
          <w:r>
            <w:rPr>
              <w:rStyle w:val="16"/>
              <w:rFonts w:hint="eastAsia" w:ascii="黑体" w:hAnsi="黑体" w:eastAsia="黑体" w:cstheme="majorBidi"/>
              <w:b/>
              <w:bCs w:val="0"/>
            </w:rPr>
            <w:t>财政拨款</w:t>
          </w:r>
          <w:r>
            <w:rPr>
              <w:rStyle w:val="16"/>
              <w:rFonts w:ascii="黑体" w:hAnsi="黑体" w:eastAsia="黑体" w:cstheme="majorBidi"/>
              <w:b/>
              <w:bCs w:val="0"/>
            </w:rPr>
            <w:t>“</w:t>
          </w:r>
          <w:r>
            <w:rPr>
              <w:rStyle w:val="16"/>
              <w:rFonts w:hint="eastAsia" w:ascii="黑体" w:hAnsi="黑体" w:eastAsia="黑体" w:cstheme="majorBidi"/>
              <w:b/>
              <w:bCs w:val="0"/>
            </w:rPr>
            <w:t>三公”经费支出决算情况说明</w:t>
          </w:r>
          <w:r>
            <w:rPr>
              <w:b/>
              <w:bCs w:val="0"/>
            </w:rPr>
            <w:tab/>
          </w:r>
          <w:r>
            <w:rPr>
              <w:b/>
              <w:bCs w:val="0"/>
            </w:rPr>
            <w:fldChar w:fldCharType="begin"/>
          </w:r>
          <w:r>
            <w:rPr>
              <w:b/>
              <w:bCs w:val="0"/>
            </w:rPr>
            <w:instrText xml:space="preserve"> PAGEREF _Toc145509208 \h </w:instrText>
          </w:r>
          <w:r>
            <w:rPr>
              <w:b/>
              <w:bCs w:val="0"/>
            </w:rPr>
            <w:fldChar w:fldCharType="separate"/>
          </w:r>
          <w:r>
            <w:rPr>
              <w:b/>
              <w:bCs w:val="0"/>
            </w:rPr>
            <w:t>9</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"_Toc145509211" </w:instrText>
          </w:r>
          <w:r>
            <w:rPr>
              <w:b/>
              <w:bCs w:val="0"/>
            </w:rPr>
            <w:fldChar w:fldCharType="separate"/>
          </w:r>
          <w:r>
            <w:rPr>
              <w:rStyle w:val="16"/>
              <w:rFonts w:hint="eastAsia" w:ascii="黑体" w:eastAsia="黑体"/>
              <w:b/>
              <w:bCs w:val="0"/>
            </w:rPr>
            <w:t>八、</w:t>
          </w:r>
          <w:r>
            <w:rPr>
              <w:rStyle w:val="16"/>
              <w:rFonts w:hint="eastAsia" w:ascii="黑体" w:hAnsi="黑体" w:eastAsia="黑体" w:cstheme="majorBidi"/>
              <w:b/>
              <w:bCs w:val="0"/>
            </w:rPr>
            <w:t>政府性基金预算支出决算情况说明</w:t>
          </w:r>
          <w:r>
            <w:rPr>
              <w:b/>
              <w:bCs w:val="0"/>
            </w:rPr>
            <w:tab/>
          </w:r>
          <w:r>
            <w:rPr>
              <w:b/>
              <w:bCs w:val="0"/>
            </w:rPr>
            <w:fldChar w:fldCharType="begin"/>
          </w:r>
          <w:r>
            <w:rPr>
              <w:b/>
              <w:bCs w:val="0"/>
            </w:rPr>
            <w:instrText xml:space="preserve"> PAGEREF _Toc145509211 \h </w:instrText>
          </w:r>
          <w:r>
            <w:rPr>
              <w:b/>
              <w:bCs w:val="0"/>
            </w:rPr>
            <w:fldChar w:fldCharType="separate"/>
          </w:r>
          <w:r>
            <w:rPr>
              <w:b/>
              <w:bCs w:val="0"/>
            </w:rPr>
            <w:t>10</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"_Toc145509212" </w:instrText>
          </w:r>
          <w:r>
            <w:rPr>
              <w:b/>
              <w:bCs w:val="0"/>
            </w:rPr>
            <w:fldChar w:fldCharType="separate"/>
          </w:r>
          <w:r>
            <w:rPr>
              <w:rStyle w:val="16"/>
              <w:rFonts w:hint="eastAsia" w:ascii="黑体" w:hAnsi="黑体" w:eastAsia="黑体" w:cstheme="majorBidi"/>
              <w:b/>
              <w:bCs w:val="0"/>
            </w:rPr>
            <w:t>九、国有资本经营预算支出决算情况说明</w:t>
          </w:r>
          <w:r>
            <w:rPr>
              <w:b/>
              <w:bCs w:val="0"/>
            </w:rPr>
            <w:tab/>
          </w:r>
          <w:r>
            <w:rPr>
              <w:b/>
              <w:bCs w:val="0"/>
            </w:rPr>
            <w:fldChar w:fldCharType="begin"/>
          </w:r>
          <w:r>
            <w:rPr>
              <w:b/>
              <w:bCs w:val="0"/>
            </w:rPr>
            <w:instrText xml:space="preserve"> PAGEREF _Toc145509212 \h </w:instrText>
          </w:r>
          <w:r>
            <w:rPr>
              <w:b/>
              <w:bCs w:val="0"/>
            </w:rPr>
            <w:fldChar w:fldCharType="separate"/>
          </w:r>
          <w:r>
            <w:rPr>
              <w:b/>
              <w:bCs w:val="0"/>
            </w:rPr>
            <w:t>10</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"_Toc145509213" </w:instrText>
          </w:r>
          <w:r>
            <w:rPr>
              <w:b/>
              <w:bCs w:val="0"/>
            </w:rPr>
            <w:fldChar w:fldCharType="separate"/>
          </w:r>
          <w:r>
            <w:rPr>
              <w:rStyle w:val="16"/>
              <w:rFonts w:hint="eastAsia" w:ascii="黑体" w:hAnsi="黑体" w:eastAsia="黑体" w:cstheme="majorBidi"/>
              <w:b/>
              <w:bCs w:val="0"/>
            </w:rPr>
            <w:t>十、其他重要事项的情况说明</w:t>
          </w:r>
          <w:r>
            <w:rPr>
              <w:b/>
              <w:bCs w:val="0"/>
            </w:rPr>
            <w:tab/>
          </w:r>
          <w:r>
            <w:rPr>
              <w:b/>
              <w:bCs w:val="0"/>
            </w:rPr>
            <w:fldChar w:fldCharType="begin"/>
          </w:r>
          <w:r>
            <w:rPr>
              <w:b/>
              <w:bCs w:val="0"/>
            </w:rPr>
            <w:instrText xml:space="preserve"> PAGEREF _Toc145509213 \h </w:instrText>
          </w:r>
          <w:r>
            <w:rPr>
              <w:b/>
              <w:bCs w:val="0"/>
            </w:rPr>
            <w:fldChar w:fldCharType="separate"/>
          </w:r>
          <w:r>
            <w:rPr>
              <w:b/>
              <w:bCs w:val="0"/>
            </w:rPr>
            <w:t>10</w:t>
          </w:r>
          <w:r>
            <w:rPr>
              <w:b/>
              <w:bCs w:val="0"/>
            </w:rPr>
            <w:fldChar w:fldCharType="end"/>
          </w:r>
          <w:r>
            <w:rPr>
              <w:b/>
              <w:bCs w:val="0"/>
            </w:rPr>
            <w:fldChar w:fldCharType="end"/>
          </w:r>
        </w:p>
        <w:p>
          <w:pPr>
            <w:pStyle w:val="11"/>
            <w:rPr>
              <w:rFonts w:asciiTheme="minorHAnsi" w:hAnsiTheme="minorHAnsi" w:eastAsiaTheme="minorEastAsia" w:cstheme="minorBidi"/>
              <w:b/>
              <w:bCs w:val="0"/>
              <w:sz w:val="21"/>
              <w:szCs w:val="22"/>
            </w:rPr>
          </w:pPr>
          <w:r>
            <w:rPr>
              <w:b/>
              <w:bCs w:val="0"/>
            </w:rPr>
            <w:fldChar w:fldCharType="begin"/>
          </w:r>
          <w:r>
            <w:rPr>
              <w:b/>
              <w:bCs w:val="0"/>
            </w:rPr>
            <w:instrText xml:space="preserve"> HYPERLINK \l "_Toc145509218" </w:instrText>
          </w:r>
          <w:r>
            <w:rPr>
              <w:b/>
              <w:bCs w:val="0"/>
            </w:rPr>
            <w:fldChar w:fldCharType="separate"/>
          </w:r>
          <w:r>
            <w:rPr>
              <w:rStyle w:val="16"/>
              <w:rFonts w:hint="eastAsia" w:ascii="黑体" w:hAnsi="黑体" w:eastAsia="黑体" w:cs="黑体"/>
              <w:b/>
              <w:bCs w:val="0"/>
              <w:kern w:val="44"/>
            </w:rPr>
            <w:t>第三部分</w:t>
          </w:r>
          <w:r>
            <w:rPr>
              <w:rStyle w:val="16"/>
              <w:rFonts w:hint="eastAsia" w:ascii="黑体" w:hAnsi="黑体" w:eastAsia="黑体"/>
              <w:b/>
              <w:bCs w:val="0"/>
            </w:rPr>
            <w:t xml:space="preserve"> 名</w:t>
          </w:r>
          <w:r>
            <w:rPr>
              <w:rStyle w:val="16"/>
              <w:rFonts w:hint="eastAsia" w:ascii="黑体" w:hAnsi="黑体" w:eastAsia="黑体"/>
              <w:b/>
              <w:bCs w:val="0"/>
              <w:kern w:val="44"/>
            </w:rPr>
            <w:t>词解释</w:t>
          </w:r>
          <w:r>
            <w:rPr>
              <w:b/>
              <w:bCs w:val="0"/>
            </w:rPr>
            <w:tab/>
          </w:r>
          <w:r>
            <w:rPr>
              <w:b/>
              <w:bCs w:val="0"/>
            </w:rPr>
            <w:fldChar w:fldCharType="begin"/>
          </w:r>
          <w:r>
            <w:rPr>
              <w:b/>
              <w:bCs w:val="0"/>
            </w:rPr>
            <w:instrText xml:space="preserve"> PAGEREF _Toc145509218 \h </w:instrText>
          </w:r>
          <w:r>
            <w:rPr>
              <w:b/>
              <w:bCs w:val="0"/>
            </w:rPr>
            <w:fldChar w:fldCharType="separate"/>
          </w:r>
          <w:r>
            <w:rPr>
              <w:b/>
              <w:bCs w:val="0"/>
            </w:rPr>
            <w:t>12</w:t>
          </w:r>
          <w:r>
            <w:rPr>
              <w:b/>
              <w:bCs w:val="0"/>
            </w:rPr>
            <w:fldChar w:fldCharType="end"/>
          </w:r>
          <w:r>
            <w:rPr>
              <w:b/>
              <w:bCs w:val="0"/>
            </w:rPr>
            <w:fldChar w:fldCharType="end"/>
          </w:r>
        </w:p>
        <w:p>
          <w:pPr>
            <w:pStyle w:val="11"/>
            <w:rPr>
              <w:rFonts w:asciiTheme="minorHAnsi" w:hAnsiTheme="minorHAnsi" w:eastAsiaTheme="minorEastAsia" w:cstheme="minorBidi"/>
              <w:b/>
              <w:bCs w:val="0"/>
              <w:sz w:val="21"/>
              <w:szCs w:val="22"/>
            </w:rPr>
          </w:pPr>
          <w:r>
            <w:rPr>
              <w:b/>
              <w:bCs w:val="0"/>
            </w:rPr>
            <w:fldChar w:fldCharType="begin"/>
          </w:r>
          <w:r>
            <w:rPr>
              <w:b/>
              <w:bCs w:val="0"/>
            </w:rPr>
            <w:instrText xml:space="preserve"> HYPERLINK \l "_Toc145509219" </w:instrText>
          </w:r>
          <w:r>
            <w:rPr>
              <w:b/>
              <w:bCs w:val="0"/>
            </w:rPr>
            <w:fldChar w:fldCharType="separate"/>
          </w:r>
          <w:r>
            <w:rPr>
              <w:rStyle w:val="16"/>
              <w:rFonts w:hint="eastAsia" w:ascii="黑体" w:hAnsi="黑体" w:eastAsia="黑体"/>
              <w:b/>
              <w:bCs w:val="0"/>
            </w:rPr>
            <w:t>第</w:t>
          </w:r>
          <w:r>
            <w:rPr>
              <w:rStyle w:val="16"/>
              <w:rFonts w:hint="eastAsia" w:ascii="黑体" w:hAnsi="黑体" w:eastAsia="黑体"/>
              <w:b/>
              <w:bCs w:val="0"/>
              <w:kern w:val="44"/>
            </w:rPr>
            <w:t>四部分</w:t>
          </w:r>
          <w:r>
            <w:rPr>
              <w:rStyle w:val="16"/>
              <w:rFonts w:ascii="黑体" w:hAnsi="黑体" w:eastAsia="黑体"/>
              <w:b/>
              <w:bCs w:val="0"/>
              <w:kern w:val="44"/>
            </w:rPr>
            <w:t xml:space="preserve"> </w:t>
          </w:r>
          <w:r>
            <w:rPr>
              <w:rStyle w:val="16"/>
              <w:rFonts w:hint="eastAsia" w:ascii="黑体" w:hAnsi="黑体" w:eastAsia="黑体"/>
              <w:b/>
              <w:bCs w:val="0"/>
              <w:kern w:val="44"/>
            </w:rPr>
            <w:t>附件</w:t>
          </w:r>
          <w:r>
            <w:rPr>
              <w:b/>
              <w:bCs w:val="0"/>
            </w:rPr>
            <w:tab/>
          </w:r>
          <w:r>
            <w:rPr>
              <w:b/>
              <w:bCs w:val="0"/>
            </w:rPr>
            <w:fldChar w:fldCharType="begin"/>
          </w:r>
          <w:r>
            <w:rPr>
              <w:b/>
              <w:bCs w:val="0"/>
            </w:rPr>
            <w:instrText xml:space="preserve"> PAGEREF _Toc145509219 \h </w:instrText>
          </w:r>
          <w:r>
            <w:rPr>
              <w:b/>
              <w:bCs w:val="0"/>
            </w:rPr>
            <w:fldChar w:fldCharType="separate"/>
          </w:r>
          <w:r>
            <w:rPr>
              <w:b/>
              <w:bCs w:val="0"/>
            </w:rPr>
            <w:t>14</w:t>
          </w:r>
          <w:r>
            <w:rPr>
              <w:b/>
              <w:bCs w:val="0"/>
            </w:rPr>
            <w:fldChar w:fldCharType="end"/>
          </w:r>
          <w:r>
            <w:rPr>
              <w:b/>
              <w:bCs w:val="0"/>
            </w:rPr>
            <w:fldChar w:fldCharType="end"/>
          </w:r>
        </w:p>
        <w:p>
          <w:pPr>
            <w:pStyle w:val="11"/>
            <w:rPr>
              <w:rFonts w:hint="eastAsia" w:eastAsia="仿宋" w:asciiTheme="minorHAnsi" w:hAnsiTheme="minorHAnsi" w:cstheme="minorBidi"/>
              <w:b/>
              <w:bCs w:val="0"/>
              <w:sz w:val="21"/>
              <w:szCs w:val="22"/>
              <w:lang w:val="en-US" w:eastAsia="zh-CN"/>
            </w:rPr>
          </w:pPr>
          <w:r>
            <w:rPr>
              <w:b/>
              <w:bCs w:val="0"/>
            </w:rPr>
            <w:fldChar w:fldCharType="begin"/>
          </w:r>
          <w:r>
            <w:rPr>
              <w:b/>
              <w:bCs w:val="0"/>
            </w:rPr>
            <w:instrText xml:space="preserve"> HYPERLINK \l "_Toc145509221" </w:instrText>
          </w:r>
          <w:r>
            <w:rPr>
              <w:b/>
              <w:bCs w:val="0"/>
            </w:rPr>
            <w:fldChar w:fldCharType="separate"/>
          </w:r>
          <w:r>
            <w:rPr>
              <w:rStyle w:val="16"/>
              <w:rFonts w:hint="eastAsia" w:ascii="黑体" w:hAnsi="黑体" w:eastAsia="黑体"/>
              <w:b/>
              <w:bCs w:val="0"/>
            </w:rPr>
            <w:t>第</w:t>
          </w:r>
          <w:r>
            <w:rPr>
              <w:rStyle w:val="16"/>
              <w:rFonts w:hint="eastAsia" w:ascii="黑体" w:hAnsi="黑体" w:eastAsia="黑体"/>
              <w:b/>
              <w:bCs w:val="0"/>
              <w:kern w:val="44"/>
            </w:rPr>
            <w:t>五部分</w:t>
          </w:r>
          <w:r>
            <w:rPr>
              <w:rStyle w:val="16"/>
              <w:rFonts w:ascii="黑体" w:hAnsi="黑体" w:eastAsia="黑体"/>
              <w:b/>
              <w:bCs w:val="0"/>
              <w:kern w:val="44"/>
            </w:rPr>
            <w:t xml:space="preserve"> </w:t>
          </w:r>
          <w:r>
            <w:rPr>
              <w:rStyle w:val="16"/>
              <w:rFonts w:hint="eastAsia" w:ascii="黑体" w:hAnsi="黑体" w:eastAsia="黑体"/>
              <w:b/>
              <w:bCs w:val="0"/>
              <w:kern w:val="44"/>
            </w:rPr>
            <w:t>附表</w:t>
          </w:r>
          <w:r>
            <w:rPr>
              <w:b/>
              <w:bCs w:val="0"/>
            </w:rPr>
            <w:tab/>
          </w:r>
          <w:r>
            <w:rPr>
              <w:rFonts w:hint="eastAsia"/>
              <w:b/>
              <w:bCs w:val="0"/>
              <w:lang w:val="en-US" w:eastAsia="zh-CN"/>
            </w:rPr>
            <w:t>1</w:t>
          </w:r>
          <w:r>
            <w:rPr>
              <w:b/>
              <w:bCs w:val="0"/>
            </w:rPr>
            <w:fldChar w:fldCharType="end"/>
          </w:r>
          <w:r>
            <w:rPr>
              <w:rFonts w:hint="eastAsia"/>
              <w:b/>
              <w:bCs w:val="0"/>
              <w:lang w:val="en-US" w:eastAsia="zh-CN"/>
            </w:rPr>
            <w:t>5</w:t>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"_Toc145509222" </w:instrText>
          </w:r>
          <w:r>
            <w:rPr>
              <w:b/>
              <w:bCs w:val="0"/>
            </w:rPr>
            <w:fldChar w:fldCharType="separate"/>
          </w:r>
          <w:r>
            <w:rPr>
              <w:rStyle w:val="16"/>
              <w:rFonts w:hint="eastAsia" w:ascii="仿宋" w:hAnsi="仿宋" w:eastAsia="仿宋"/>
              <w:b/>
              <w:bCs w:val="0"/>
            </w:rPr>
            <w:t>一、收入支出决算总表</w:t>
          </w:r>
          <w:r>
            <w:rPr>
              <w:b/>
              <w:bCs w:val="0"/>
            </w:rPr>
            <w:tab/>
          </w:r>
          <w:r>
            <w:rPr>
              <w:b/>
              <w:bCs w:val="0"/>
            </w:rPr>
            <w:fldChar w:fldCharType="begin"/>
          </w:r>
          <w:r>
            <w:rPr>
              <w:b/>
              <w:bCs w:val="0"/>
            </w:rPr>
            <w:instrText xml:space="preserve"> PAGEREF _Toc145509222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"_Toc145509223" </w:instrText>
          </w:r>
          <w:r>
            <w:rPr>
              <w:b/>
              <w:bCs w:val="0"/>
            </w:rPr>
            <w:fldChar w:fldCharType="separate"/>
          </w:r>
          <w:r>
            <w:rPr>
              <w:rStyle w:val="16"/>
              <w:rFonts w:hint="eastAsia" w:ascii="仿宋" w:hAnsi="仿宋" w:eastAsia="仿宋"/>
              <w:b/>
              <w:bCs w:val="0"/>
            </w:rPr>
            <w:t>二、收入决算表</w:t>
          </w:r>
          <w:r>
            <w:rPr>
              <w:b/>
              <w:bCs w:val="0"/>
            </w:rPr>
            <w:tab/>
          </w:r>
          <w:r>
            <w:rPr>
              <w:b/>
              <w:bCs w:val="0"/>
            </w:rPr>
            <w:fldChar w:fldCharType="begin"/>
          </w:r>
          <w:r>
            <w:rPr>
              <w:b/>
              <w:bCs w:val="0"/>
            </w:rPr>
            <w:instrText xml:space="preserve"> PAGEREF _Toc145509223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"_Toc145509224" </w:instrText>
          </w:r>
          <w:r>
            <w:rPr>
              <w:b/>
              <w:bCs w:val="0"/>
            </w:rPr>
            <w:fldChar w:fldCharType="separate"/>
          </w:r>
          <w:r>
            <w:rPr>
              <w:rStyle w:val="16"/>
              <w:rFonts w:hint="eastAsia" w:ascii="仿宋" w:hAnsi="仿宋" w:eastAsia="仿宋"/>
              <w:b/>
              <w:bCs w:val="0"/>
            </w:rPr>
            <w:t>三、支出决算表</w:t>
          </w:r>
          <w:r>
            <w:rPr>
              <w:b/>
              <w:bCs w:val="0"/>
            </w:rPr>
            <w:tab/>
          </w:r>
          <w:r>
            <w:rPr>
              <w:b/>
              <w:bCs w:val="0"/>
            </w:rPr>
            <w:fldChar w:fldCharType="begin"/>
          </w:r>
          <w:r>
            <w:rPr>
              <w:b/>
              <w:bCs w:val="0"/>
            </w:rPr>
            <w:instrText xml:space="preserve"> PAGEREF _Toc145509224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"_Toc145509225" </w:instrText>
          </w:r>
          <w:r>
            <w:rPr>
              <w:b/>
              <w:bCs w:val="0"/>
            </w:rPr>
            <w:fldChar w:fldCharType="separate"/>
          </w:r>
          <w:r>
            <w:rPr>
              <w:rStyle w:val="16"/>
              <w:rFonts w:hint="eastAsia" w:ascii="仿宋" w:hAnsi="仿宋" w:eastAsia="仿宋"/>
              <w:b/>
              <w:bCs w:val="0"/>
            </w:rPr>
            <w:t>四、财政拨款收入支出决算总表</w:t>
          </w:r>
          <w:r>
            <w:rPr>
              <w:b/>
              <w:bCs w:val="0"/>
            </w:rPr>
            <w:tab/>
          </w:r>
          <w:r>
            <w:rPr>
              <w:b/>
              <w:bCs w:val="0"/>
            </w:rPr>
            <w:fldChar w:fldCharType="begin"/>
          </w:r>
          <w:r>
            <w:rPr>
              <w:b/>
              <w:bCs w:val="0"/>
            </w:rPr>
            <w:instrText xml:space="preserve"> PAGEREF _Toc145509225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"_Toc145509226" </w:instrText>
          </w:r>
          <w:r>
            <w:rPr>
              <w:b/>
              <w:bCs w:val="0"/>
            </w:rPr>
            <w:fldChar w:fldCharType="separate"/>
          </w:r>
          <w:r>
            <w:rPr>
              <w:rStyle w:val="16"/>
              <w:rFonts w:hint="eastAsia" w:ascii="仿宋" w:hAnsi="仿宋" w:eastAsia="仿宋"/>
              <w:b/>
              <w:bCs w:val="0"/>
            </w:rPr>
            <w:t>五、财政拨款支出决算明细表</w:t>
          </w:r>
          <w:r>
            <w:rPr>
              <w:b/>
              <w:bCs w:val="0"/>
            </w:rPr>
            <w:tab/>
          </w:r>
          <w:r>
            <w:rPr>
              <w:b/>
              <w:bCs w:val="0"/>
            </w:rPr>
            <w:fldChar w:fldCharType="begin"/>
          </w:r>
          <w:r>
            <w:rPr>
              <w:b/>
              <w:bCs w:val="0"/>
            </w:rPr>
            <w:instrText xml:space="preserve"> PAGEREF _Toc145509226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"_Toc145509227" </w:instrText>
          </w:r>
          <w:r>
            <w:rPr>
              <w:b/>
              <w:bCs w:val="0"/>
            </w:rPr>
            <w:fldChar w:fldCharType="separate"/>
          </w:r>
          <w:r>
            <w:rPr>
              <w:rStyle w:val="16"/>
              <w:rFonts w:hint="eastAsia" w:ascii="仿宋" w:hAnsi="仿宋" w:eastAsia="仿宋"/>
              <w:b/>
              <w:bCs w:val="0"/>
            </w:rPr>
            <w:t>六、一般公共预算财政拨款支出决算表</w:t>
          </w:r>
          <w:r>
            <w:rPr>
              <w:b/>
              <w:bCs w:val="0"/>
            </w:rPr>
            <w:tab/>
          </w:r>
          <w:r>
            <w:rPr>
              <w:b/>
              <w:bCs w:val="0"/>
            </w:rPr>
            <w:fldChar w:fldCharType="begin"/>
          </w:r>
          <w:r>
            <w:rPr>
              <w:b/>
              <w:bCs w:val="0"/>
            </w:rPr>
            <w:instrText xml:space="preserve"> PAGEREF _Toc145509227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"_Toc145509228" </w:instrText>
          </w:r>
          <w:r>
            <w:rPr>
              <w:b/>
              <w:bCs w:val="0"/>
            </w:rPr>
            <w:fldChar w:fldCharType="separate"/>
          </w:r>
          <w:r>
            <w:rPr>
              <w:rStyle w:val="16"/>
              <w:rFonts w:hint="eastAsia" w:ascii="仿宋" w:hAnsi="仿宋" w:eastAsia="仿宋"/>
              <w:b/>
              <w:bCs w:val="0"/>
            </w:rPr>
            <w:t>七、一般公共预算财政拨款支出决算明细表</w:t>
          </w:r>
          <w:r>
            <w:rPr>
              <w:b/>
              <w:bCs w:val="0"/>
            </w:rPr>
            <w:tab/>
          </w:r>
          <w:r>
            <w:rPr>
              <w:b/>
              <w:bCs w:val="0"/>
            </w:rPr>
            <w:fldChar w:fldCharType="begin"/>
          </w:r>
          <w:r>
            <w:rPr>
              <w:b/>
              <w:bCs w:val="0"/>
            </w:rPr>
            <w:instrText xml:space="preserve"> PAGEREF _Toc145509228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"_Toc145509229" </w:instrText>
          </w:r>
          <w:r>
            <w:rPr>
              <w:b/>
              <w:bCs w:val="0"/>
            </w:rPr>
            <w:fldChar w:fldCharType="separate"/>
          </w:r>
          <w:r>
            <w:rPr>
              <w:rStyle w:val="16"/>
              <w:rFonts w:hint="eastAsia" w:ascii="仿宋" w:hAnsi="仿宋" w:eastAsia="仿宋"/>
              <w:b/>
              <w:bCs w:val="0"/>
            </w:rPr>
            <w:t>八、一般公共预算财政拨款基本支出决算表</w:t>
          </w:r>
          <w:r>
            <w:rPr>
              <w:b/>
              <w:bCs w:val="0"/>
            </w:rPr>
            <w:tab/>
          </w:r>
          <w:r>
            <w:rPr>
              <w:b/>
              <w:bCs w:val="0"/>
            </w:rPr>
            <w:fldChar w:fldCharType="begin"/>
          </w:r>
          <w:r>
            <w:rPr>
              <w:b/>
              <w:bCs w:val="0"/>
            </w:rPr>
            <w:instrText xml:space="preserve"> PAGEREF _Toc145509229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"_Toc145509230" </w:instrText>
          </w:r>
          <w:r>
            <w:rPr>
              <w:b/>
              <w:bCs w:val="0"/>
            </w:rPr>
            <w:fldChar w:fldCharType="separate"/>
          </w:r>
          <w:r>
            <w:rPr>
              <w:rStyle w:val="16"/>
              <w:rFonts w:hint="eastAsia" w:ascii="仿宋" w:hAnsi="仿宋" w:eastAsia="仿宋"/>
              <w:b/>
              <w:bCs w:val="0"/>
            </w:rPr>
            <w:t>九、一般公共预算财政拨款项目支出决算表</w:t>
          </w:r>
          <w:r>
            <w:rPr>
              <w:b/>
              <w:bCs w:val="0"/>
            </w:rPr>
            <w:tab/>
          </w:r>
          <w:r>
            <w:rPr>
              <w:b/>
              <w:bCs w:val="0"/>
            </w:rPr>
            <w:fldChar w:fldCharType="begin"/>
          </w:r>
          <w:r>
            <w:rPr>
              <w:b/>
              <w:bCs w:val="0"/>
            </w:rPr>
            <w:instrText xml:space="preserve"> PAGEREF _Toc145509230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"_Toc145509231" </w:instrText>
          </w:r>
          <w:r>
            <w:rPr>
              <w:b/>
              <w:bCs w:val="0"/>
            </w:rPr>
            <w:fldChar w:fldCharType="separate"/>
          </w:r>
          <w:r>
            <w:rPr>
              <w:rStyle w:val="16"/>
              <w:rFonts w:hint="eastAsia" w:ascii="仿宋" w:hAnsi="仿宋" w:eastAsia="仿宋"/>
              <w:b/>
              <w:bCs w:val="0"/>
            </w:rPr>
            <w:t>十、政府性基金预算财政拨款收入支出决算表</w:t>
          </w:r>
          <w:r>
            <w:rPr>
              <w:b/>
              <w:bCs w:val="0"/>
            </w:rPr>
            <w:tab/>
          </w:r>
          <w:r>
            <w:rPr>
              <w:b/>
              <w:bCs w:val="0"/>
            </w:rPr>
            <w:fldChar w:fldCharType="begin"/>
          </w:r>
          <w:r>
            <w:rPr>
              <w:b/>
              <w:bCs w:val="0"/>
            </w:rPr>
            <w:instrText xml:space="preserve"> PAGEREF _Toc145509231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"_Toc145509232" </w:instrText>
          </w:r>
          <w:r>
            <w:rPr>
              <w:b/>
              <w:bCs w:val="0"/>
            </w:rPr>
            <w:fldChar w:fldCharType="separate"/>
          </w:r>
          <w:r>
            <w:rPr>
              <w:rStyle w:val="16"/>
              <w:rFonts w:hint="eastAsia" w:ascii="仿宋" w:hAnsi="仿宋" w:eastAsia="仿宋"/>
              <w:b/>
              <w:bCs w:val="0"/>
            </w:rPr>
            <w:t>十一、国有资本经营预算财政拨款收入支出决算表</w:t>
          </w:r>
          <w:r>
            <w:rPr>
              <w:b/>
              <w:bCs w:val="0"/>
            </w:rPr>
            <w:tab/>
          </w:r>
          <w:r>
            <w:rPr>
              <w:b/>
              <w:bCs w:val="0"/>
            </w:rPr>
            <w:fldChar w:fldCharType="begin"/>
          </w:r>
          <w:r>
            <w:rPr>
              <w:b/>
              <w:bCs w:val="0"/>
            </w:rPr>
            <w:instrText xml:space="preserve"> PAGEREF _Toc145509232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"_Toc145509233" </w:instrText>
          </w:r>
          <w:r>
            <w:rPr>
              <w:b/>
              <w:bCs w:val="0"/>
            </w:rPr>
            <w:fldChar w:fldCharType="separate"/>
          </w:r>
          <w:r>
            <w:rPr>
              <w:rStyle w:val="16"/>
              <w:rFonts w:hint="eastAsia" w:ascii="仿宋" w:hAnsi="仿宋" w:eastAsia="仿宋"/>
              <w:b/>
              <w:bCs w:val="0"/>
            </w:rPr>
            <w:t>十二、国有资本经营预算财政拨款支出决算表</w:t>
          </w:r>
          <w:r>
            <w:rPr>
              <w:b/>
              <w:bCs w:val="0"/>
            </w:rPr>
            <w:tab/>
          </w:r>
          <w:r>
            <w:rPr>
              <w:b/>
              <w:bCs w:val="0"/>
            </w:rPr>
            <w:fldChar w:fldCharType="begin"/>
          </w:r>
          <w:r>
            <w:rPr>
              <w:b/>
              <w:bCs w:val="0"/>
            </w:rPr>
            <w:instrText xml:space="preserve"> PAGEREF _Toc145509233 \h </w:instrText>
          </w:r>
          <w:r>
            <w:rPr>
              <w:b/>
              <w:bCs w:val="0"/>
            </w:rPr>
            <w:fldChar w:fldCharType="separate"/>
          </w:r>
          <w:r>
            <w:rPr>
              <w:b/>
              <w:bCs w:val="0"/>
            </w:rPr>
            <w:t>16</w:t>
          </w:r>
          <w:r>
            <w:rPr>
              <w:b/>
              <w:bCs w:val="0"/>
            </w:rPr>
            <w:fldChar w:fldCharType="end"/>
          </w:r>
          <w:r>
            <w:rPr>
              <w:b/>
              <w:bCs w:val="0"/>
            </w:rPr>
            <w:fldChar w:fldCharType="end"/>
          </w:r>
        </w:p>
        <w:p>
          <w:pPr>
            <w:pStyle w:val="12"/>
            <w:rPr>
              <w:rFonts w:asciiTheme="minorHAnsi" w:hAnsiTheme="minorHAnsi" w:eastAsiaTheme="minorEastAsia" w:cstheme="minorBidi"/>
              <w:b/>
              <w:bCs w:val="0"/>
              <w:szCs w:val="22"/>
            </w:rPr>
          </w:pPr>
          <w:r>
            <w:rPr>
              <w:b/>
              <w:bCs w:val="0"/>
            </w:rPr>
            <w:fldChar w:fldCharType="begin"/>
          </w:r>
          <w:r>
            <w:rPr>
              <w:b/>
              <w:bCs w:val="0"/>
            </w:rPr>
            <w:instrText xml:space="preserve"> HYPERLINK \l "_Toc145509234" </w:instrText>
          </w:r>
          <w:r>
            <w:rPr>
              <w:b/>
              <w:bCs w:val="0"/>
            </w:rPr>
            <w:fldChar w:fldCharType="separate"/>
          </w:r>
          <w:r>
            <w:rPr>
              <w:rStyle w:val="16"/>
              <w:rFonts w:hint="eastAsia" w:ascii="仿宋" w:hAnsi="仿宋" w:eastAsia="仿宋"/>
              <w:b/>
              <w:bCs w:val="0"/>
            </w:rPr>
            <w:t>十三、财政拨款“三公”经费支出决算表</w:t>
          </w:r>
          <w:r>
            <w:rPr>
              <w:b/>
              <w:bCs w:val="0"/>
            </w:rPr>
            <w:tab/>
          </w:r>
          <w:r>
            <w:rPr>
              <w:b/>
              <w:bCs w:val="0"/>
            </w:rPr>
            <w:fldChar w:fldCharType="begin"/>
          </w:r>
          <w:r>
            <w:rPr>
              <w:b/>
              <w:bCs w:val="0"/>
            </w:rPr>
            <w:instrText xml:space="preserve"> PAGEREF _Toc145509234 \h </w:instrText>
          </w:r>
          <w:r>
            <w:rPr>
              <w:b/>
              <w:bCs w:val="0"/>
            </w:rPr>
            <w:fldChar w:fldCharType="separate"/>
          </w:r>
          <w:r>
            <w:rPr>
              <w:b/>
              <w:bCs w:val="0"/>
            </w:rPr>
            <w:t>16</w:t>
          </w:r>
          <w:r>
            <w:rPr>
              <w:b/>
              <w:bCs w:val="0"/>
            </w:rPr>
            <w:fldChar w:fldCharType="end"/>
          </w:r>
          <w:r>
            <w:rPr>
              <w:b/>
              <w:bCs w:val="0"/>
            </w:rPr>
            <w:fldChar w:fldCharType="end"/>
          </w:r>
        </w:p>
        <w:p>
          <w:pPr>
            <w:rPr>
              <w:b/>
              <w:bCs w:val="0"/>
            </w:rPr>
          </w:pPr>
          <w:r>
            <w:rPr>
              <w:b/>
              <w:bCs w:val="0"/>
            </w:rPr>
            <w:fldChar w:fldCharType="end"/>
          </w:r>
        </w:p>
      </w:sdtContent>
    </w:sdt>
    <w:p>
      <w:pPr>
        <w:pStyle w:val="2"/>
        <w:jc w:val="center"/>
        <w:rPr>
          <w:rStyle w:val="26"/>
          <w:rFonts w:ascii="黑体" w:hAnsi="黑体" w:eastAsia="黑体"/>
          <w:b/>
          <w:bCs w:val="0"/>
        </w:rPr>
      </w:pPr>
      <w:bookmarkStart w:id="12" w:name="_Toc145509192"/>
      <w:r>
        <w:rPr>
          <w:rFonts w:hint="eastAsia" w:ascii="黑体" w:hAnsi="黑体" w:eastAsia="黑体"/>
          <w:b w:val="0"/>
        </w:rPr>
        <w:t>第一部分 单位</w:t>
      </w:r>
      <w:r>
        <w:rPr>
          <w:rStyle w:val="26"/>
          <w:rFonts w:hint="eastAsia" w:ascii="黑体" w:hAnsi="黑体" w:eastAsia="黑体"/>
          <w:b w:val="0"/>
          <w:bCs w:val="0"/>
        </w:rPr>
        <w:t>概况</w:t>
      </w:r>
      <w:bookmarkEnd w:id="10"/>
      <w:bookmarkEnd w:id="11"/>
      <w:bookmarkEnd w:id="12"/>
    </w:p>
    <w:p>
      <w:pPr>
        <w:pStyle w:val="3"/>
        <w:numPr>
          <w:ilvl w:val="0"/>
          <w:numId w:val="1"/>
        </w:numPr>
        <w:rPr>
          <w:rStyle w:val="27"/>
          <w:rFonts w:ascii="黑体" w:hAnsi="黑体" w:eastAsia="黑体"/>
          <w:b w:val="0"/>
          <w:bCs w:val="0"/>
        </w:rPr>
      </w:pPr>
      <w:bookmarkStart w:id="13" w:name="_Toc145509193"/>
      <w:bookmarkStart w:id="14" w:name="_Toc15377197"/>
      <w:bookmarkStart w:id="15" w:name="_Toc15396600"/>
      <w:r>
        <w:rPr>
          <w:rStyle w:val="27"/>
          <w:rFonts w:hint="eastAsia" w:ascii="黑体" w:hAnsi="黑体" w:eastAsia="黑体"/>
          <w:b w:val="0"/>
          <w:bCs w:val="0"/>
        </w:rPr>
        <w:t>主要职责</w:t>
      </w:r>
      <w:bookmarkEnd w:id="13"/>
    </w:p>
    <w:p>
      <w:pPr>
        <w:pStyle w:val="25"/>
        <w:numPr>
          <w:ilvl w:val="0"/>
          <w:numId w:val="2"/>
        </w:numPr>
        <w:snapToGrid w:val="0"/>
        <w:spacing w:line="520" w:lineRule="exact"/>
        <w:ind w:firstLineChars="0"/>
        <w:rPr>
          <w:rFonts w:ascii="仿宋" w:hAnsi="仿宋" w:eastAsia="仿宋"/>
          <w:sz w:val="32"/>
          <w:szCs w:val="32"/>
        </w:rPr>
      </w:pPr>
      <w:r>
        <w:rPr>
          <w:rFonts w:hint="eastAsia" w:ascii="仿宋" w:hAnsi="仿宋" w:eastAsia="仿宋"/>
          <w:sz w:val="32"/>
          <w:szCs w:val="32"/>
        </w:rPr>
        <w:t>主要职能。</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1.实施学前教育，促进学前教育发展、进行相关社会服务。正确贯彻执行党和国家的教育方针、政策、法规。</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2.维护学校的教学秩序，为学生创造良好的学习环境;</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3.积极稳妥地推进教育改革，按教育规律办事，不断提高教育质量;</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4.根据学校规模，设置学校管理机构，建立健全各项规章制度和岗位责任制。</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5.坚持教书育人，服务育人，环境育人方针，加强对学生的思想品德教育，使学生的德智体全面发展。</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6.抓好教师队伍建设，使每个教师都热心于教育事业;</w:t>
      </w:r>
    </w:p>
    <w:p>
      <w:pPr>
        <w:pStyle w:val="6"/>
        <w:spacing w:before="93"/>
        <w:ind w:firstLine="640" w:firstLineChars="200"/>
        <w:rPr>
          <w:rFonts w:ascii="仿宋" w:hAnsi="仿宋" w:eastAsia="仿宋"/>
          <w:sz w:val="32"/>
          <w:szCs w:val="32"/>
        </w:rPr>
      </w:pPr>
      <w:r>
        <w:rPr>
          <w:rFonts w:hint="eastAsia" w:ascii="仿宋" w:hAnsi="仿宋" w:eastAsia="仿宋"/>
          <w:sz w:val="32"/>
          <w:szCs w:val="32"/>
        </w:rPr>
        <w:t>7.做好安全防范，保证学生的</w:t>
      </w:r>
      <w:r>
        <w:rPr>
          <w:rFonts w:hint="eastAsia" w:ascii="仿宋" w:hAnsi="仿宋" w:eastAsia="仿宋"/>
          <w:sz w:val="32"/>
          <w:szCs w:val="32"/>
          <w:lang w:eastAsia="zh-CN"/>
        </w:rPr>
        <w:t>人身安全</w:t>
      </w:r>
      <w:r>
        <w:rPr>
          <w:rFonts w:hint="eastAsia" w:ascii="仿宋" w:hAnsi="仿宋" w:eastAsia="仿宋"/>
          <w:sz w:val="32"/>
          <w:szCs w:val="32"/>
        </w:rPr>
        <w:t>。</w:t>
      </w:r>
    </w:p>
    <w:p>
      <w:pPr>
        <w:pStyle w:val="3"/>
        <w:rPr>
          <w:rFonts w:ascii="黑体" w:hAnsi="黑体" w:eastAsia="黑体"/>
          <w:b w:val="0"/>
        </w:rPr>
      </w:pPr>
      <w:bookmarkStart w:id="16" w:name="_Toc145509194"/>
      <w:r>
        <w:rPr>
          <w:rFonts w:hint="eastAsia" w:ascii="黑体" w:hAnsi="黑体" w:eastAsia="黑体"/>
          <w:b w:val="0"/>
        </w:rPr>
        <w:t>二、机构设置</w:t>
      </w:r>
      <w:bookmarkEnd w:id="16"/>
    </w:p>
    <w:bookmarkEnd w:id="14"/>
    <w:bookmarkEnd w:id="15"/>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船山区老池镇幼儿园是区教育体育局下属二级单位，本单位无下属单位。</w:t>
      </w:r>
    </w:p>
    <w:p>
      <w:pPr>
        <w:spacing w:line="360" w:lineRule="auto"/>
        <w:ind w:firstLine="640" w:firstLineChars="200"/>
        <w:rPr>
          <w:rFonts w:hint="eastAsia" w:ascii="方正仿宋_GBK" w:hAnsi="方正仿宋_GBK"/>
          <w:sz w:val="32"/>
          <w:szCs w:val="32"/>
        </w:rPr>
      </w:pPr>
      <w:r>
        <w:rPr>
          <w:rFonts w:ascii="仿宋" w:hAnsi="仿宋" w:eastAsia="仿宋" w:cs="华文楷体"/>
          <w:kern w:val="0"/>
          <w:sz w:val="32"/>
          <w:szCs w:val="32"/>
          <w:shd w:val="clear" w:color="auto" w:fill="FFFFFF"/>
        </w:rPr>
        <w:t>。</w:t>
      </w:r>
    </w:p>
    <w:p>
      <w:pPr>
        <w:pStyle w:val="2"/>
        <w:ind w:right="440"/>
        <w:jc w:val="center"/>
      </w:pPr>
      <w:r>
        <w:rPr>
          <w:rFonts w:ascii="仿宋" w:hAnsi="仿宋" w:eastAsia="仿宋"/>
          <w:sz w:val="32"/>
          <w:szCs w:val="32"/>
        </w:rPr>
        <w:br w:type="page"/>
      </w:r>
      <w:bookmarkStart w:id="17" w:name="_Toc145509195"/>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6"/>
          <w:rFonts w:hint="eastAsia" w:ascii="黑体" w:hAnsi="黑体" w:eastAsia="黑体"/>
          <w:b w:val="0"/>
          <w:bCs/>
        </w:rPr>
        <w:t>单位决算情况说明</w:t>
      </w:r>
      <w:bookmarkEnd w:id="17"/>
    </w:p>
    <w:p>
      <w:pPr>
        <w:pStyle w:val="25"/>
        <w:numPr>
          <w:ilvl w:val="0"/>
          <w:numId w:val="3"/>
        </w:numPr>
        <w:spacing w:line="600" w:lineRule="exact"/>
        <w:ind w:firstLineChars="0"/>
        <w:outlineLvl w:val="1"/>
        <w:rPr>
          <w:rStyle w:val="27"/>
          <w:rFonts w:ascii="黑体" w:hAnsi="黑体" w:eastAsia="黑体"/>
          <w:b w:val="0"/>
        </w:rPr>
      </w:pPr>
      <w:bookmarkStart w:id="18" w:name="_Toc15377205"/>
      <w:bookmarkStart w:id="19" w:name="_Toc145509196"/>
      <w:bookmarkStart w:id="20"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年度收、支总计198.29万元。与</w:t>
      </w:r>
      <w:r>
        <w:rPr>
          <w:rFonts w:hint="eastAsia" w:ascii="仿宋" w:hAnsi="仿宋" w:eastAsia="仿宋"/>
          <w:sz w:val="32"/>
          <w:szCs w:val="32"/>
          <w:lang w:eastAsia="zh-CN"/>
        </w:rPr>
        <w:t>2022</w:t>
      </w:r>
      <w:r>
        <w:rPr>
          <w:rFonts w:hint="eastAsia" w:ascii="仿宋" w:hAnsi="仿宋" w:eastAsia="仿宋"/>
          <w:sz w:val="32"/>
          <w:szCs w:val="32"/>
        </w:rPr>
        <w:t>年相比，收、支总计各减少</w:t>
      </w:r>
      <w:r>
        <w:rPr>
          <w:rFonts w:hint="eastAsia" w:ascii="仿宋" w:hAnsi="仿宋" w:eastAsia="仿宋"/>
          <w:sz w:val="32"/>
          <w:szCs w:val="32"/>
          <w:lang w:val="en-US" w:eastAsia="zh-CN"/>
        </w:rPr>
        <w:t>79.91</w:t>
      </w:r>
      <w:r>
        <w:rPr>
          <w:rFonts w:hint="eastAsia" w:ascii="仿宋" w:hAnsi="仿宋" w:eastAsia="仿宋"/>
          <w:sz w:val="32"/>
          <w:szCs w:val="32"/>
        </w:rPr>
        <w:t>万元，下降</w:t>
      </w:r>
      <w:r>
        <w:rPr>
          <w:rFonts w:hint="eastAsia" w:ascii="仿宋" w:hAnsi="仿宋" w:eastAsia="仿宋"/>
          <w:sz w:val="32"/>
          <w:szCs w:val="32"/>
          <w:highlight w:val="none"/>
          <w:lang w:val="en-US" w:eastAsia="zh-CN"/>
        </w:rPr>
        <w:t>28.72</w:t>
      </w:r>
      <w:r>
        <w:rPr>
          <w:rFonts w:ascii="仿宋" w:hAnsi="仿宋" w:eastAsia="仿宋"/>
          <w:sz w:val="32"/>
          <w:szCs w:val="32"/>
          <w:highlight w:val="none"/>
        </w:rPr>
        <w:t>%</w:t>
      </w:r>
      <w:r>
        <w:rPr>
          <w:rFonts w:hint="eastAsia" w:ascii="仿宋" w:hAnsi="仿宋" w:eastAsia="仿宋"/>
          <w:sz w:val="32"/>
          <w:szCs w:val="32"/>
        </w:rPr>
        <w:t>。主要变动原因是本年教师人数较上年减少。</w:t>
      </w:r>
    </w:p>
    <w:p>
      <w:pPr>
        <w:pStyle w:val="6"/>
        <w:spacing w:before="93"/>
        <w:jc w:val="center"/>
        <w:rPr>
          <w:sz w:val="52"/>
          <w:szCs w:val="52"/>
        </w:rPr>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3"/>
        </w:numPr>
        <w:spacing w:line="600" w:lineRule="exact"/>
        <w:ind w:firstLineChars="0"/>
        <w:outlineLvl w:val="1"/>
        <w:rPr>
          <w:rStyle w:val="27"/>
          <w:rFonts w:ascii="黑体" w:hAnsi="黑体" w:eastAsia="黑体"/>
          <w:b w:val="0"/>
        </w:rPr>
      </w:pPr>
      <w:bookmarkStart w:id="21" w:name="_Toc15377206"/>
      <w:bookmarkStart w:id="22" w:name="_Toc145509197"/>
      <w:bookmarkStart w:id="23" w:name="_Toc15396604"/>
      <w:r>
        <w:rPr>
          <w:rFonts w:hint="eastAsia" w:ascii="黑体" w:hAnsi="黑体" w:eastAsia="黑体"/>
          <w:sz w:val="32"/>
          <w:szCs w:val="32"/>
        </w:rPr>
        <w:t>收</w:t>
      </w:r>
      <w:r>
        <w:rPr>
          <w:rStyle w:val="27"/>
          <w:rFonts w:hint="eastAsia" w:ascii="黑体" w:hAnsi="黑体" w:eastAsia="黑体"/>
          <w:b w:val="0"/>
        </w:rPr>
        <w:t>入决算情况说明</w:t>
      </w:r>
      <w:bookmarkEnd w:id="21"/>
      <w:bookmarkEnd w:id="22"/>
      <w:bookmarkEnd w:id="23"/>
    </w:p>
    <w:p>
      <w:pPr>
        <w:spacing w:line="600" w:lineRule="exact"/>
        <w:ind w:firstLine="640" w:firstLineChars="200"/>
        <w:outlineLvl w:val="1"/>
        <w:rPr>
          <w:rFonts w:ascii="仿宋" w:hAnsi="仿宋" w:eastAsia="仿宋"/>
          <w:sz w:val="32"/>
          <w:szCs w:val="32"/>
          <w:highlight w:val="none"/>
        </w:rPr>
      </w:pPr>
      <w:bookmarkStart w:id="24" w:name="_Toc145509198"/>
      <w:r>
        <w:rPr>
          <w:rFonts w:hint="eastAsia" w:ascii="仿宋" w:hAnsi="仿宋" w:eastAsia="仿宋"/>
          <w:sz w:val="32"/>
          <w:szCs w:val="32"/>
          <w:highlight w:val="none"/>
          <w:lang w:eastAsia="zh-CN"/>
        </w:rPr>
        <w:t>2023</w:t>
      </w:r>
      <w:r>
        <w:rPr>
          <w:rFonts w:hint="eastAsia" w:ascii="仿宋" w:hAnsi="仿宋" w:eastAsia="仿宋"/>
          <w:sz w:val="32"/>
          <w:szCs w:val="32"/>
          <w:highlight w:val="none"/>
        </w:rPr>
        <w:t>年本年收入合计</w:t>
      </w:r>
      <w:r>
        <w:rPr>
          <w:rFonts w:hint="eastAsia" w:ascii="仿宋" w:hAnsi="仿宋" w:eastAsia="仿宋"/>
          <w:sz w:val="32"/>
          <w:szCs w:val="32"/>
          <w:highlight w:val="none"/>
          <w:lang w:val="en-US" w:eastAsia="zh-CN"/>
        </w:rPr>
        <w:t>188.32</w:t>
      </w:r>
      <w:r>
        <w:rPr>
          <w:rFonts w:hint="eastAsia" w:ascii="仿宋" w:hAnsi="仿宋" w:eastAsia="仿宋"/>
          <w:sz w:val="32"/>
          <w:szCs w:val="32"/>
          <w:highlight w:val="none"/>
        </w:rPr>
        <w:t>万元，其中：一般公共预算财政拨款收入179.74万元，占</w:t>
      </w:r>
      <w:r>
        <w:rPr>
          <w:rFonts w:hint="eastAsia" w:ascii="仿宋" w:hAnsi="仿宋" w:eastAsia="仿宋"/>
          <w:sz w:val="32"/>
          <w:szCs w:val="32"/>
          <w:highlight w:val="none"/>
          <w:lang w:val="en-US" w:eastAsia="zh-CN"/>
        </w:rPr>
        <w:t>95.44</w:t>
      </w:r>
      <w:r>
        <w:rPr>
          <w:rFonts w:ascii="仿宋" w:hAnsi="仿宋" w:eastAsia="仿宋"/>
          <w:sz w:val="32"/>
          <w:szCs w:val="32"/>
          <w:highlight w:val="none"/>
        </w:rPr>
        <w:t>%</w:t>
      </w:r>
      <w:r>
        <w:rPr>
          <w:rFonts w:hint="eastAsia" w:ascii="仿宋" w:hAnsi="仿宋" w:eastAsia="仿宋"/>
          <w:sz w:val="32"/>
          <w:szCs w:val="32"/>
          <w:highlight w:val="none"/>
        </w:rPr>
        <w:t>。其他收入8.58万元, 占</w:t>
      </w:r>
      <w:r>
        <w:rPr>
          <w:rFonts w:hint="eastAsia" w:ascii="仿宋" w:hAnsi="仿宋" w:eastAsia="仿宋"/>
          <w:sz w:val="32"/>
          <w:szCs w:val="32"/>
          <w:highlight w:val="none"/>
          <w:lang w:val="en-US" w:eastAsia="zh-CN"/>
        </w:rPr>
        <w:t>4.56</w:t>
      </w:r>
      <w:r>
        <w:rPr>
          <w:rFonts w:hint="eastAsia" w:ascii="仿宋" w:hAnsi="仿宋" w:eastAsia="仿宋"/>
          <w:sz w:val="32"/>
          <w:szCs w:val="32"/>
          <w:highlight w:val="none"/>
        </w:rPr>
        <w:t>%。</w:t>
      </w:r>
      <w:bookmarkEnd w:id="24"/>
    </w:p>
    <w:p>
      <w:pPr>
        <w:spacing w:line="600" w:lineRule="exact"/>
        <w:outlineLvl w:val="1"/>
        <w:rPr>
          <w:rFonts w:ascii="仿宋" w:hAnsi="仿宋" w:eastAsia="仿宋"/>
          <w:sz w:val="32"/>
          <w:szCs w:val="32"/>
          <w:highlight w:val="none"/>
        </w:rPr>
      </w:pPr>
    </w:p>
    <w:p>
      <w:pPr>
        <w:pStyle w:val="6"/>
        <w:spacing w:before="93"/>
        <w:jc w:val="center"/>
      </w:pPr>
      <w:r>
        <w:drawing>
          <wp:inline distT="0" distB="0" distL="114300" distR="114300">
            <wp:extent cx="4417060" cy="2595245"/>
            <wp:effectExtent l="4445" t="4445" r="17145"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pStyle w:val="25"/>
        <w:numPr>
          <w:ilvl w:val="0"/>
          <w:numId w:val="3"/>
        </w:numPr>
        <w:spacing w:line="600" w:lineRule="exact"/>
        <w:ind w:firstLineChars="0"/>
        <w:outlineLvl w:val="1"/>
        <w:rPr>
          <w:rStyle w:val="27"/>
          <w:rFonts w:ascii="黑体" w:hAnsi="黑体" w:eastAsia="黑体"/>
          <w:b w:val="0"/>
        </w:rPr>
      </w:pPr>
      <w:bookmarkStart w:id="25" w:name="_Toc15396605"/>
      <w:bookmarkStart w:id="26" w:name="_Toc15377207"/>
      <w:bookmarkStart w:id="27" w:name="_Toc145509199"/>
      <w:r>
        <w:rPr>
          <w:rFonts w:hint="eastAsia" w:ascii="黑体" w:hAnsi="黑体" w:eastAsia="黑体"/>
          <w:sz w:val="32"/>
          <w:szCs w:val="32"/>
        </w:rPr>
        <w:t>支</w:t>
      </w:r>
      <w:r>
        <w:rPr>
          <w:rStyle w:val="27"/>
          <w:rFonts w:hint="eastAsia" w:ascii="黑体" w:hAnsi="黑体" w:eastAsia="黑体"/>
          <w:b w:val="0"/>
        </w:rPr>
        <w:t>出决算情况说明</w:t>
      </w:r>
      <w:bookmarkEnd w:id="25"/>
      <w:bookmarkEnd w:id="26"/>
      <w:bookmarkEnd w:id="27"/>
    </w:p>
    <w:p>
      <w:pPr>
        <w:spacing w:line="600" w:lineRule="exact"/>
        <w:ind w:firstLine="640" w:firstLineChars="200"/>
        <w:outlineLvl w:val="1"/>
        <w:rPr>
          <w:rFonts w:ascii="仿宋" w:hAnsi="仿宋" w:eastAsia="仿宋"/>
          <w:sz w:val="32"/>
          <w:szCs w:val="32"/>
        </w:rPr>
      </w:pPr>
      <w:bookmarkStart w:id="28" w:name="_Toc145509200"/>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highlight w:val="none"/>
        </w:rPr>
        <w:t>195.72</w:t>
      </w:r>
      <w:r>
        <w:rPr>
          <w:rFonts w:hint="eastAsia" w:ascii="仿宋" w:hAnsi="仿宋" w:eastAsia="仿宋"/>
          <w:sz w:val="32"/>
          <w:szCs w:val="32"/>
        </w:rPr>
        <w:t>万元，其中：基本支出161.13万元，占8</w:t>
      </w:r>
      <w:r>
        <w:rPr>
          <w:rFonts w:hint="eastAsia" w:ascii="仿宋" w:hAnsi="仿宋" w:eastAsia="仿宋"/>
          <w:sz w:val="32"/>
          <w:szCs w:val="32"/>
          <w:lang w:val="en-US" w:eastAsia="zh-CN"/>
        </w:rPr>
        <w:t>2.33</w:t>
      </w:r>
      <w:r>
        <w:rPr>
          <w:rFonts w:ascii="仿宋" w:hAnsi="仿宋" w:eastAsia="仿宋"/>
          <w:sz w:val="32"/>
          <w:szCs w:val="32"/>
        </w:rPr>
        <w:t>%</w:t>
      </w:r>
      <w:r>
        <w:rPr>
          <w:rFonts w:hint="eastAsia" w:ascii="仿宋" w:hAnsi="仿宋" w:eastAsia="仿宋"/>
          <w:sz w:val="32"/>
          <w:szCs w:val="32"/>
        </w:rPr>
        <w:t>；项目支出34.59万元，占1</w:t>
      </w:r>
      <w:r>
        <w:rPr>
          <w:rFonts w:hint="eastAsia" w:ascii="仿宋" w:hAnsi="仿宋" w:eastAsia="仿宋"/>
          <w:sz w:val="32"/>
          <w:szCs w:val="32"/>
          <w:lang w:val="en-US" w:eastAsia="zh-CN"/>
        </w:rPr>
        <w:t>7.6</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w:t>
      </w:r>
      <w:bookmarkEnd w:id="28"/>
    </w:p>
    <w:p>
      <w:pPr>
        <w:pStyle w:val="6"/>
        <w:spacing w:before="93"/>
        <w:jc w:val="center"/>
      </w:pPr>
      <w:r>
        <w:drawing>
          <wp:inline distT="0" distB="0" distL="114300" distR="114300">
            <wp:extent cx="4342765" cy="2496820"/>
            <wp:effectExtent l="4445" t="4445" r="15240" b="13335"/>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Fonts w:hint="eastAsia" w:ascii="黑体" w:hAnsi="黑体" w:eastAsia="黑体"/>
          <w:sz w:val="32"/>
          <w:szCs w:val="32"/>
        </w:rPr>
      </w:pPr>
      <w:bookmarkStart w:id="29" w:name="_Toc15377208"/>
      <w:bookmarkStart w:id="30" w:name="_Toc15396606"/>
      <w:bookmarkStart w:id="31" w:name="_Toc145509201"/>
    </w:p>
    <w:p>
      <w:pPr>
        <w:spacing w:line="600" w:lineRule="exact"/>
        <w:ind w:firstLine="640" w:firstLineChars="200"/>
        <w:outlineLvl w:val="1"/>
        <w:rPr>
          <w:rStyle w:val="27"/>
          <w:rFonts w:ascii="黑体" w:hAnsi="黑体" w:eastAsia="黑体"/>
          <w:b w:val="0"/>
        </w:rPr>
      </w:pPr>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9"/>
      <w:bookmarkEnd w:id="30"/>
      <w:bookmarkEnd w:id="31"/>
    </w:p>
    <w:p>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eastAsia="zh-CN"/>
        </w:rPr>
        <w:t>2023</w:t>
      </w:r>
      <w:r>
        <w:rPr>
          <w:rFonts w:hint="eastAsia" w:ascii="仿宋" w:hAnsi="仿宋" w:eastAsia="仿宋"/>
          <w:sz w:val="32"/>
          <w:szCs w:val="32"/>
        </w:rPr>
        <w:t>年财政拨款收、支总计179.74万元。与</w:t>
      </w:r>
      <w:r>
        <w:rPr>
          <w:rFonts w:hint="eastAsia" w:ascii="仿宋" w:hAnsi="仿宋" w:eastAsia="仿宋"/>
          <w:sz w:val="32"/>
          <w:szCs w:val="32"/>
          <w:lang w:eastAsia="zh-CN"/>
        </w:rPr>
        <w:t>2022</w:t>
      </w:r>
      <w:r>
        <w:rPr>
          <w:rFonts w:hint="eastAsia" w:ascii="仿宋" w:hAnsi="仿宋" w:eastAsia="仿宋"/>
          <w:sz w:val="32"/>
          <w:szCs w:val="32"/>
        </w:rPr>
        <w:t>年相比，财政拨款收、支总计各</w:t>
      </w:r>
      <w:r>
        <w:rPr>
          <w:rFonts w:hint="eastAsia" w:ascii="仿宋" w:hAnsi="仿宋" w:eastAsia="仿宋"/>
          <w:sz w:val="32"/>
          <w:szCs w:val="32"/>
          <w:lang w:val="en-US" w:eastAsia="zh-CN"/>
        </w:rPr>
        <w:t>减少83.79</w:t>
      </w:r>
      <w:r>
        <w:rPr>
          <w:rFonts w:hint="eastAsia" w:ascii="仿宋" w:hAnsi="仿宋" w:eastAsia="仿宋"/>
          <w:sz w:val="32"/>
          <w:szCs w:val="32"/>
        </w:rPr>
        <w:t>万元，</w:t>
      </w:r>
      <w:r>
        <w:rPr>
          <w:rFonts w:hint="eastAsia" w:ascii="仿宋" w:hAnsi="仿宋" w:eastAsia="仿宋"/>
          <w:sz w:val="32"/>
          <w:szCs w:val="32"/>
          <w:lang w:val="en-US" w:eastAsia="zh-CN"/>
        </w:rPr>
        <w:t>下降3.18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主要变动原因是本年教师人数较上年减少</w:t>
      </w:r>
      <w:r>
        <w:rPr>
          <w:rFonts w:hint="eastAsia" w:ascii="仿宋" w:hAnsi="仿宋" w:eastAsia="仿宋"/>
          <w:sz w:val="32"/>
          <w:szCs w:val="32"/>
          <w:lang w:eastAsia="zh-CN"/>
        </w:rPr>
        <w:t>。</w:t>
      </w:r>
    </w:p>
    <w:p>
      <w:pPr>
        <w:pStyle w:val="6"/>
        <w:spacing w:before="93"/>
        <w:jc w:val="center"/>
      </w:pPr>
      <w:r>
        <w:drawing>
          <wp:inline distT="0" distB="0" distL="114300" distR="114300">
            <wp:extent cx="4572000" cy="2447925"/>
            <wp:effectExtent l="4445" t="4445" r="14605" b="5080"/>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2" w:name="_Toc15396607"/>
      <w:bookmarkStart w:id="33" w:name="_Toc145509202"/>
      <w:bookmarkStart w:id="34"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bookmarkEnd w:id="34"/>
    </w:p>
    <w:p>
      <w:pPr>
        <w:spacing w:line="600" w:lineRule="exact"/>
        <w:ind w:firstLine="643" w:firstLineChars="200"/>
        <w:outlineLvl w:val="2"/>
        <w:rPr>
          <w:rFonts w:ascii="仿宋" w:hAnsi="仿宋" w:eastAsia="仿宋"/>
          <w:b/>
          <w:sz w:val="32"/>
          <w:szCs w:val="32"/>
        </w:rPr>
      </w:pPr>
      <w:bookmarkStart w:id="35" w:name="_Toc15377210"/>
      <w:bookmarkStart w:id="36" w:name="_Toc145509203"/>
      <w:r>
        <w:rPr>
          <w:rFonts w:hint="eastAsia" w:ascii="仿宋" w:hAnsi="仿宋" w:eastAsia="仿宋"/>
          <w:b/>
          <w:sz w:val="32"/>
          <w:szCs w:val="32"/>
        </w:rPr>
        <w:t>（一）一般公共预算财政拨款支出决算总体情况</w:t>
      </w:r>
      <w:bookmarkEnd w:id="35"/>
      <w:bookmarkEnd w:id="36"/>
    </w:p>
    <w:p>
      <w:pPr>
        <w:snapToGrid w:val="0"/>
        <w:spacing w:line="520" w:lineRule="exact"/>
        <w:ind w:firstLine="645"/>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年一般公共预算财政拨款支出179.74万元，占本年支出合计的9</w:t>
      </w:r>
      <w:r>
        <w:rPr>
          <w:rFonts w:hint="eastAsia" w:ascii="仿宋" w:hAnsi="仿宋" w:eastAsia="仿宋"/>
          <w:sz w:val="32"/>
          <w:szCs w:val="32"/>
          <w:lang w:val="en-US" w:eastAsia="zh-CN"/>
        </w:rPr>
        <w:t>1.84</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减少83.79</w:t>
      </w:r>
      <w:r>
        <w:rPr>
          <w:rFonts w:hint="eastAsia" w:ascii="仿宋" w:hAnsi="仿宋" w:eastAsia="仿宋"/>
          <w:sz w:val="32"/>
          <w:szCs w:val="32"/>
        </w:rPr>
        <w:t>万元，</w:t>
      </w:r>
      <w:r>
        <w:rPr>
          <w:rFonts w:hint="eastAsia" w:ascii="仿宋" w:hAnsi="仿宋" w:eastAsia="仿宋"/>
          <w:sz w:val="32"/>
          <w:szCs w:val="32"/>
          <w:lang w:val="en-US" w:eastAsia="zh-CN"/>
        </w:rPr>
        <w:t>下降3.18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主要变动原因是本年教师人数较上年减少</w:t>
      </w:r>
      <w:r>
        <w:rPr>
          <w:rFonts w:hint="eastAsia" w:ascii="仿宋" w:hAnsi="仿宋" w:eastAsia="仿宋"/>
          <w:sz w:val="32"/>
          <w:szCs w:val="32"/>
          <w:lang w:eastAsia="zh-CN"/>
        </w:rPr>
        <w:t>。</w:t>
      </w:r>
    </w:p>
    <w:p>
      <w:pPr>
        <w:pStyle w:val="6"/>
        <w:spacing w:before="93"/>
        <w:jc w:val="center"/>
      </w:pPr>
      <w:r>
        <w:drawing>
          <wp:inline distT="0" distB="0" distL="114300" distR="114300">
            <wp:extent cx="4705985" cy="26962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24"/>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7" w:name="_Toc145509204"/>
      <w:bookmarkStart w:id="38" w:name="_Toc15377211"/>
      <w:r>
        <w:rPr>
          <w:rFonts w:hint="eastAsia" w:ascii="仿宋" w:hAnsi="仿宋" w:eastAsia="仿宋"/>
          <w:b/>
          <w:sz w:val="32"/>
          <w:szCs w:val="32"/>
        </w:rPr>
        <w:t>（二）一般公共预算财政拨款支出决算结构情况</w:t>
      </w:r>
      <w:bookmarkEnd w:id="37"/>
      <w:bookmarkEnd w:id="38"/>
    </w:p>
    <w:p>
      <w:pPr>
        <w:spacing w:line="600" w:lineRule="exact"/>
        <w:ind w:firstLine="640"/>
        <w:rPr>
          <w:rFonts w:ascii="仿宋" w:hAnsi="仿宋" w:eastAsia="仿宋"/>
          <w:b w:val="0"/>
          <w:bCs/>
          <w:sz w:val="32"/>
          <w:szCs w:val="32"/>
          <w:highlight w:val="none"/>
        </w:rPr>
      </w:pPr>
      <w:r>
        <w:rPr>
          <w:rFonts w:hint="eastAsia" w:ascii="仿宋" w:hAnsi="仿宋" w:eastAsia="仿宋"/>
          <w:sz w:val="32"/>
          <w:szCs w:val="32"/>
          <w:highlight w:val="none"/>
          <w:lang w:eastAsia="zh-CN"/>
        </w:rPr>
        <w:t>2023</w:t>
      </w:r>
      <w:r>
        <w:rPr>
          <w:rFonts w:hint="eastAsia" w:ascii="仿宋" w:hAnsi="仿宋" w:eastAsia="仿宋"/>
          <w:sz w:val="32"/>
          <w:szCs w:val="32"/>
          <w:highlight w:val="none"/>
        </w:rPr>
        <w:t>年一般公共预算财政拨款支出</w:t>
      </w:r>
      <w:r>
        <w:rPr>
          <w:rFonts w:hint="eastAsia" w:ascii="仿宋" w:hAnsi="仿宋" w:eastAsia="仿宋"/>
          <w:sz w:val="32"/>
          <w:szCs w:val="32"/>
          <w:highlight w:val="none"/>
          <w:lang w:val="en-US" w:eastAsia="zh-CN"/>
        </w:rPr>
        <w:t>179.74</w:t>
      </w:r>
      <w:r>
        <w:rPr>
          <w:rFonts w:hint="eastAsia" w:ascii="仿宋" w:hAnsi="仿宋" w:eastAsia="仿宋"/>
          <w:sz w:val="32"/>
          <w:szCs w:val="32"/>
          <w:highlight w:val="none"/>
        </w:rPr>
        <w:t>万元，主要用于以下方面</w:t>
      </w:r>
      <w:r>
        <w:rPr>
          <w:rFonts w:hint="eastAsia" w:ascii="仿宋" w:hAnsi="仿宋" w:eastAsia="仿宋"/>
          <w:sz w:val="32"/>
          <w:szCs w:val="32"/>
          <w:highlight w:val="none"/>
          <w:lang w:val="en-US" w:eastAsia="zh-CN"/>
        </w:rPr>
        <w:t>:</w:t>
      </w:r>
      <w:r>
        <w:rPr>
          <w:rFonts w:hint="eastAsia" w:ascii="仿宋" w:hAnsi="仿宋" w:eastAsia="仿宋"/>
          <w:b w:val="0"/>
          <w:bCs/>
          <w:sz w:val="32"/>
          <w:szCs w:val="32"/>
          <w:highlight w:val="none"/>
        </w:rPr>
        <w:t>教育支出</w:t>
      </w:r>
      <w:r>
        <w:rPr>
          <w:rFonts w:hint="eastAsia" w:ascii="仿宋" w:hAnsi="仿宋" w:eastAsia="仿宋"/>
          <w:b w:val="0"/>
          <w:bCs/>
          <w:sz w:val="32"/>
          <w:szCs w:val="32"/>
          <w:highlight w:val="none"/>
          <w:lang w:val="en-US" w:eastAsia="zh-CN"/>
        </w:rPr>
        <w:t>151.69</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84.39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val="0"/>
          <w:bCs/>
          <w:sz w:val="32"/>
          <w:szCs w:val="32"/>
          <w:highlight w:val="none"/>
        </w:rPr>
        <w:t>社会保障和就业支出12.77万元，占</w:t>
      </w:r>
      <w:r>
        <w:rPr>
          <w:rFonts w:hint="eastAsia" w:ascii="仿宋" w:hAnsi="仿宋" w:eastAsia="仿宋"/>
          <w:b w:val="0"/>
          <w:bCs/>
          <w:sz w:val="32"/>
          <w:szCs w:val="32"/>
          <w:highlight w:val="none"/>
          <w:lang w:val="en-US" w:eastAsia="zh-CN"/>
        </w:rPr>
        <w:t>7.10</w:t>
      </w:r>
      <w:r>
        <w:rPr>
          <w:rFonts w:ascii="仿宋" w:hAnsi="仿宋" w:eastAsia="仿宋"/>
          <w:b w:val="0"/>
          <w:bCs/>
          <w:sz w:val="32"/>
          <w:szCs w:val="32"/>
          <w:highlight w:val="none"/>
        </w:rPr>
        <w:t>%</w:t>
      </w:r>
      <w:r>
        <w:rPr>
          <w:rFonts w:hint="eastAsia" w:ascii="仿宋" w:hAnsi="仿宋" w:eastAsia="仿宋"/>
          <w:b w:val="0"/>
          <w:bCs/>
          <w:sz w:val="32"/>
          <w:szCs w:val="32"/>
          <w:highlight w:val="none"/>
        </w:rPr>
        <w:t>；卫生健康支出5.65万元，占</w:t>
      </w:r>
      <w:r>
        <w:rPr>
          <w:rFonts w:hint="eastAsia" w:ascii="仿宋" w:hAnsi="仿宋" w:eastAsia="仿宋"/>
          <w:b w:val="0"/>
          <w:bCs/>
          <w:sz w:val="32"/>
          <w:szCs w:val="32"/>
          <w:highlight w:val="none"/>
          <w:lang w:val="en-US" w:eastAsia="zh-CN"/>
        </w:rPr>
        <w:t>3.14</w:t>
      </w:r>
      <w:r>
        <w:rPr>
          <w:rFonts w:ascii="仿宋" w:hAnsi="仿宋" w:eastAsia="仿宋"/>
          <w:b w:val="0"/>
          <w:bCs/>
          <w:sz w:val="32"/>
          <w:szCs w:val="32"/>
          <w:highlight w:val="none"/>
        </w:rPr>
        <w:t>%</w:t>
      </w:r>
      <w:r>
        <w:rPr>
          <w:rFonts w:hint="eastAsia" w:ascii="仿宋" w:hAnsi="仿宋" w:eastAsia="仿宋"/>
          <w:b w:val="0"/>
          <w:bCs/>
          <w:sz w:val="32"/>
          <w:szCs w:val="32"/>
          <w:highlight w:val="none"/>
        </w:rPr>
        <w:t>；住房保障支出9.63万元，</w:t>
      </w:r>
      <w:r>
        <w:rPr>
          <w:rFonts w:hint="eastAsia" w:ascii="仿宋" w:hAnsi="仿宋" w:eastAsia="仿宋"/>
          <w:b w:val="0"/>
          <w:bCs/>
          <w:sz w:val="32"/>
          <w:szCs w:val="32"/>
          <w:highlight w:val="none"/>
          <w:lang w:val="en-US" w:eastAsia="zh-CN"/>
        </w:rPr>
        <w:t>占5.36</w:t>
      </w:r>
      <w:r>
        <w:rPr>
          <w:rFonts w:ascii="仿宋" w:hAnsi="仿宋" w:eastAsia="仿宋"/>
          <w:b w:val="0"/>
          <w:bCs/>
          <w:sz w:val="32"/>
          <w:szCs w:val="32"/>
          <w:highlight w:val="none"/>
        </w:rPr>
        <w:t>%</w:t>
      </w:r>
      <w:r>
        <w:rPr>
          <w:rFonts w:hint="eastAsia" w:ascii="仿宋" w:hAnsi="仿宋" w:eastAsia="仿宋"/>
          <w:b w:val="0"/>
          <w:bCs/>
          <w:sz w:val="32"/>
          <w:szCs w:val="32"/>
          <w:highlight w:val="none"/>
        </w:rPr>
        <w:t>。</w:t>
      </w:r>
    </w:p>
    <w:p>
      <w:pPr>
        <w:pStyle w:val="6"/>
        <w:spacing w:before="93"/>
        <w:jc w:val="center"/>
      </w:pPr>
      <w:r>
        <w:drawing>
          <wp:inline distT="0" distB="0" distL="114300" distR="114300">
            <wp:extent cx="4848860" cy="2857500"/>
            <wp:effectExtent l="5080" t="4445" r="2286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hint="eastAsia" w:ascii="仿宋" w:hAnsi="仿宋" w:eastAsia="仿宋"/>
          <w:b/>
          <w:sz w:val="32"/>
          <w:szCs w:val="32"/>
        </w:rPr>
      </w:pPr>
      <w:bookmarkStart w:id="39" w:name="_Toc145509205"/>
      <w:bookmarkStart w:id="4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9"/>
      <w:bookmarkEnd w:id="40"/>
    </w:p>
    <w:p>
      <w:pPr>
        <w:spacing w:line="600" w:lineRule="exact"/>
        <w:ind w:firstLine="643" w:firstLineChars="200"/>
        <w:outlineLvl w:val="2"/>
        <w:rPr>
          <w:rFonts w:ascii="仿宋" w:hAnsi="仿宋" w:eastAsia="仿宋"/>
          <w:sz w:val="32"/>
          <w:szCs w:val="32"/>
        </w:rPr>
      </w:pPr>
      <w:bookmarkStart w:id="41" w:name="_Toc15378460"/>
      <w:bookmarkStart w:id="42" w:name="_Toc15377444"/>
      <w:bookmarkStart w:id="43" w:name="_Toc145509206"/>
      <w:bookmarkStart w:id="44" w:name="_Toc15377213"/>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sz w:val="32"/>
          <w:szCs w:val="32"/>
          <w:highlight w:val="none"/>
          <w:lang w:val="en-US" w:eastAsia="zh-CN"/>
        </w:rPr>
        <w:t>179.74万元</w:t>
      </w:r>
      <w:r>
        <w:rPr>
          <w:rFonts w:hint="eastAsia" w:ascii="仿宋" w:hAnsi="仿宋" w:eastAsia="仿宋"/>
          <w:sz w:val="32"/>
          <w:szCs w:val="32"/>
          <w:highlight w:val="none"/>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41"/>
      <w:bookmarkEnd w:id="42"/>
      <w:bookmarkEnd w:id="43"/>
      <w:bookmarkEnd w:id="44"/>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Style w:val="15"/>
          <w:rFonts w:hint="eastAsia" w:ascii="仿宋" w:hAnsi="仿宋" w:eastAsia="仿宋"/>
          <w:bCs/>
          <w:sz w:val="32"/>
          <w:szCs w:val="32"/>
        </w:rPr>
        <w:t>教育支出（类）普通教育（款）学前教育（项）</w:t>
      </w:r>
      <w:r>
        <w:rPr>
          <w:rStyle w:val="15"/>
          <w:rFonts w:ascii="仿宋" w:hAnsi="仿宋" w:eastAsia="仿宋"/>
          <w:bCs/>
          <w:sz w:val="32"/>
          <w:szCs w:val="32"/>
        </w:rPr>
        <w:t>:</w:t>
      </w:r>
      <w:r>
        <w:rPr>
          <w:rStyle w:val="15"/>
          <w:rFonts w:hint="eastAsia" w:ascii="仿宋" w:hAnsi="仿宋" w:eastAsia="仿宋"/>
          <w:b w:val="0"/>
          <w:bCs/>
          <w:sz w:val="32"/>
          <w:szCs w:val="32"/>
        </w:rPr>
        <w:t>支出决算为151.69万元，完成预算</w:t>
      </w:r>
      <w:r>
        <w:rPr>
          <w:rStyle w:val="15"/>
          <w:rFonts w:hint="eastAsia" w:ascii="仿宋" w:hAnsi="仿宋" w:eastAsia="仿宋"/>
          <w:b w:val="0"/>
          <w:bCs/>
          <w:sz w:val="32"/>
          <w:szCs w:val="32"/>
          <w:highlight w:val="none"/>
          <w:lang w:val="en-US" w:eastAsia="zh-CN"/>
        </w:rPr>
        <w:t>100</w:t>
      </w:r>
      <w:r>
        <w:rPr>
          <w:rStyle w:val="15"/>
          <w:rFonts w:ascii="仿宋" w:hAnsi="仿宋" w:eastAsia="仿宋"/>
          <w:b w:val="0"/>
          <w:bCs/>
          <w:sz w:val="32"/>
          <w:szCs w:val="32"/>
        </w:rPr>
        <w:t>%</w:t>
      </w:r>
      <w:bookmarkStart w:id="45" w:name="OLE_LINK1"/>
      <w:r>
        <w:rPr>
          <w:rStyle w:val="15"/>
          <w:rFonts w:hint="eastAsia" w:ascii="仿宋" w:hAnsi="仿宋" w:eastAsia="仿宋"/>
          <w:b w:val="0"/>
          <w:bCs/>
          <w:sz w:val="32"/>
          <w:szCs w:val="32"/>
          <w:lang w:eastAsia="zh-CN"/>
        </w:rPr>
        <w:t>，决算数与预算数持平</w:t>
      </w:r>
      <w:bookmarkEnd w:id="45"/>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社会保障和就业支出（类）行政事业单位养老支出（款）机关事业单位基本养老保险缴费支出（项）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支出决算为11.32万元，完成预算100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社会保障和就业支出（类）残疾人事业（款）残疾人就业（项）</w:t>
      </w:r>
      <w:r>
        <w:rPr>
          <w:rStyle w:val="15"/>
          <w:rFonts w:ascii="仿宋" w:hAnsi="仿宋" w:eastAsia="仿宋"/>
          <w:bCs/>
          <w:sz w:val="32"/>
          <w:szCs w:val="32"/>
        </w:rPr>
        <w:t>:</w:t>
      </w:r>
      <w:r>
        <w:rPr>
          <w:rStyle w:val="15"/>
          <w:rFonts w:hint="eastAsia" w:ascii="仿宋" w:hAnsi="仿宋" w:eastAsia="仿宋"/>
          <w:b w:val="0"/>
          <w:bCs/>
          <w:sz w:val="32"/>
          <w:szCs w:val="32"/>
        </w:rPr>
        <w:t>支出决算为0.93万元，完成预算100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spacing w:line="600" w:lineRule="exact"/>
        <w:ind w:firstLine="643" w:firstLineChars="200"/>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社会保障和就业支出（类）其他社会保障和就业支出（款）其他社会保障和就业支出（项）</w:t>
      </w:r>
      <w:r>
        <w:rPr>
          <w:rStyle w:val="15"/>
          <w:rFonts w:ascii="仿宋" w:hAnsi="仿宋" w:eastAsia="仿宋"/>
          <w:bCs/>
          <w:sz w:val="32"/>
          <w:szCs w:val="32"/>
        </w:rPr>
        <w:t>:</w:t>
      </w:r>
      <w:r>
        <w:rPr>
          <w:rStyle w:val="15"/>
          <w:rFonts w:hint="eastAsia" w:ascii="仿宋" w:hAnsi="仿宋" w:eastAsia="仿宋"/>
          <w:b w:val="0"/>
          <w:bCs/>
          <w:sz w:val="32"/>
          <w:szCs w:val="32"/>
        </w:rPr>
        <w:t>支出决算为0.52万元，完成预算100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支出决算为4.46万元，完成预算100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6</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支出决算为1.19万元，完成预算100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pStyle w:val="6"/>
        <w:spacing w:before="93"/>
        <w:ind w:firstLine="630" w:firstLineChars="196"/>
      </w:pPr>
      <w:r>
        <w:rPr>
          <w:rStyle w:val="15"/>
          <w:rFonts w:hint="eastAsia" w:ascii="仿宋" w:hAnsi="仿宋" w:eastAsia="仿宋"/>
          <w:bCs/>
          <w:sz w:val="32"/>
          <w:szCs w:val="32"/>
        </w:rPr>
        <w:t>7</w:t>
      </w:r>
      <w:r>
        <w:rPr>
          <w:rStyle w:val="15"/>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5"/>
          <w:rFonts w:hint="eastAsia" w:ascii="仿宋" w:hAnsi="仿宋" w:eastAsia="仿宋"/>
          <w:bCs/>
          <w:sz w:val="32"/>
          <w:szCs w:val="32"/>
        </w:rPr>
        <w:t>（类）住房改革支出（款）住房公积金（项）</w:t>
      </w:r>
      <w:r>
        <w:rPr>
          <w:rStyle w:val="15"/>
          <w:rFonts w:ascii="仿宋" w:hAnsi="仿宋" w:eastAsia="仿宋"/>
          <w:bCs/>
          <w:sz w:val="32"/>
          <w:szCs w:val="32"/>
        </w:rPr>
        <w:t>:</w:t>
      </w:r>
      <w:r>
        <w:rPr>
          <w:rStyle w:val="15"/>
          <w:rFonts w:hint="eastAsia" w:ascii="仿宋" w:hAnsi="仿宋" w:eastAsia="仿宋"/>
          <w:b w:val="0"/>
          <w:bCs/>
          <w:sz w:val="32"/>
          <w:szCs w:val="32"/>
        </w:rPr>
        <w:t>支出决算为9.63万元，完成预算100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，决算数与预算数持平</w:t>
      </w:r>
      <w:r>
        <w:rPr>
          <w:rStyle w:val="15"/>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46" w:name="_Toc15396608"/>
      <w:bookmarkStart w:id="47" w:name="_Toc15377214"/>
      <w:bookmarkStart w:id="48" w:name="_Toc14550920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6"/>
      <w:bookmarkEnd w:id="47"/>
      <w:bookmarkEnd w:id="48"/>
      <w:r>
        <w:rPr>
          <w:rStyle w:val="27"/>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b/>
          <w:bCs/>
          <w:sz w:val="32"/>
          <w:szCs w:val="32"/>
          <w:lang w:eastAsia="zh-CN"/>
        </w:rPr>
        <w:t>2023</w:t>
      </w:r>
      <w:r>
        <w:rPr>
          <w:rFonts w:hint="eastAsia" w:ascii="仿宋" w:hAnsi="仿宋" w:eastAsia="仿宋"/>
          <w:b/>
          <w:bCs/>
          <w:sz w:val="32"/>
          <w:szCs w:val="32"/>
        </w:rPr>
        <w:t>年一般公共预算财政拨款基本支出160.95万元，其中</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b/>
          <w:bCs/>
          <w:sz w:val="32"/>
          <w:szCs w:val="32"/>
        </w:rPr>
        <w:t>人员经费</w:t>
      </w:r>
      <w:r>
        <w:rPr>
          <w:rFonts w:hint="eastAsia" w:ascii="仿宋" w:hAnsi="仿宋" w:eastAsia="仿宋"/>
          <w:sz w:val="32"/>
          <w:szCs w:val="32"/>
        </w:rPr>
        <w:t xml:space="preserve">152.76万元，主要包括：基本工资、津贴补贴、绩效工资、机关事业单位基本养老保险缴费、职工基本医疗保险缴费、公务员医疗补助缴费、其他社会保障缴费、住房公积金、其他工资福利支出、其他对个人和家庭的补助等。　　  </w:t>
      </w:r>
    </w:p>
    <w:p>
      <w:pPr>
        <w:spacing w:line="600" w:lineRule="exact"/>
        <w:ind w:firstLine="645"/>
      </w:pPr>
      <w:r>
        <w:rPr>
          <w:rFonts w:hint="eastAsia" w:ascii="仿宋" w:hAnsi="仿宋" w:eastAsia="仿宋"/>
          <w:b/>
          <w:bCs/>
          <w:sz w:val="32"/>
          <w:szCs w:val="32"/>
        </w:rPr>
        <w:t>公用经费</w:t>
      </w:r>
      <w:r>
        <w:rPr>
          <w:rFonts w:hint="eastAsia" w:ascii="仿宋" w:hAnsi="仿宋" w:eastAsia="仿宋"/>
          <w:sz w:val="32"/>
          <w:szCs w:val="32"/>
        </w:rPr>
        <w:t>8.19万元，主要包括：办公费、印刷费</w:t>
      </w:r>
      <w:r>
        <w:rPr>
          <w:rFonts w:hint="eastAsia" w:ascii="仿宋" w:hAnsi="仿宋" w:eastAsia="仿宋"/>
          <w:sz w:val="32"/>
          <w:szCs w:val="32"/>
          <w:lang w:eastAsia="zh-CN"/>
        </w:rPr>
        <w:t>、</w:t>
      </w:r>
      <w:r>
        <w:rPr>
          <w:rFonts w:hint="eastAsia" w:ascii="仿宋" w:hAnsi="仿宋" w:eastAsia="仿宋"/>
          <w:sz w:val="32"/>
          <w:szCs w:val="32"/>
        </w:rPr>
        <w:t>电费、邮电费、差旅费、培训费、专用材料费、福利费、其他交通费用</w:t>
      </w:r>
      <w:r>
        <w:rPr>
          <w:rFonts w:hint="eastAsia" w:ascii="仿宋" w:hAnsi="仿宋" w:eastAsia="仿宋"/>
          <w:sz w:val="32"/>
          <w:szCs w:val="32"/>
          <w:lang w:eastAsia="zh-CN"/>
        </w:rPr>
        <w:t>、</w:t>
      </w:r>
      <w:r>
        <w:rPr>
          <w:rFonts w:hint="eastAsia" w:ascii="仿宋" w:hAnsi="仿宋" w:eastAsia="仿宋"/>
          <w:sz w:val="32"/>
          <w:szCs w:val="32"/>
        </w:rPr>
        <w:t>其他商品和服务支出等。</w:t>
      </w:r>
    </w:p>
    <w:p>
      <w:pPr>
        <w:spacing w:line="600" w:lineRule="exact"/>
        <w:ind w:firstLine="640"/>
        <w:outlineLvl w:val="1"/>
        <w:rPr>
          <w:rStyle w:val="27"/>
          <w:rFonts w:ascii="黑体" w:hAnsi="黑体" w:eastAsia="黑体"/>
          <w:b w:val="0"/>
        </w:rPr>
      </w:pPr>
      <w:bookmarkStart w:id="49" w:name="_Toc15377215"/>
      <w:bookmarkStart w:id="50" w:name="_Toc145509208"/>
      <w:bookmarkStart w:id="51" w:name="_Toc15396609"/>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9"/>
      <w:bookmarkEnd w:id="50"/>
      <w:bookmarkEnd w:id="51"/>
    </w:p>
    <w:p>
      <w:pPr>
        <w:spacing w:line="600" w:lineRule="exact"/>
        <w:ind w:firstLine="640"/>
        <w:outlineLvl w:val="2"/>
        <w:rPr>
          <w:rFonts w:ascii="仿宋" w:hAnsi="仿宋" w:eastAsia="仿宋"/>
          <w:b/>
          <w:sz w:val="32"/>
          <w:szCs w:val="32"/>
        </w:rPr>
      </w:pPr>
      <w:bookmarkStart w:id="52" w:name="_Toc145509209"/>
      <w:bookmarkStart w:id="53" w:name="_Toc15377216"/>
      <w:r>
        <w:rPr>
          <w:rFonts w:hint="eastAsia" w:ascii="仿宋" w:hAnsi="仿宋" w:eastAsia="仿宋"/>
          <w:b/>
          <w:sz w:val="32"/>
          <w:szCs w:val="32"/>
        </w:rPr>
        <w:t>（一）“三公”经费财政拨款支出决算总体情况说明</w:t>
      </w:r>
      <w:bookmarkEnd w:id="52"/>
      <w:bookmarkEnd w:id="53"/>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年“三公”经费财政拨款支出决算为0万元，完成预算100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54" w:name="_Toc145509210"/>
      <w:bookmarkStart w:id="55" w:name="_Toc15377217"/>
      <w:r>
        <w:rPr>
          <w:rFonts w:hint="eastAsia" w:ascii="仿宋" w:hAnsi="仿宋" w:eastAsia="仿宋"/>
          <w:b/>
          <w:sz w:val="32"/>
          <w:szCs w:val="32"/>
        </w:rPr>
        <w:t>（二）“三公”经费财政拨款支出决算具体情况说明</w:t>
      </w:r>
      <w:bookmarkEnd w:id="54"/>
      <w:bookmarkEnd w:id="55"/>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pStyle w:val="6"/>
        <w:spacing w:before="93"/>
        <w:jc w:val="center"/>
      </w:pPr>
      <w:r>
        <w:drawing>
          <wp:inline distT="0" distB="0" distL="0" distR="0">
            <wp:extent cx="4572000" cy="1666875"/>
            <wp:effectExtent l="19050" t="0" r="1905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hint="eastAsia" w:ascii="仿宋_GB2312" w:eastAsia="仿宋_GB2312"/>
          <w:sz w:val="32"/>
          <w:szCs w:val="32"/>
          <w:lang w:eastAsia="zh-CN"/>
        </w:rPr>
        <w:t>2022</w:t>
      </w:r>
      <w:r>
        <w:rPr>
          <w:rFonts w:hint="eastAsia" w:ascii="仿宋_GB2312" w:eastAsia="仿宋_GB2312"/>
          <w:sz w:val="32"/>
          <w:szCs w:val="32"/>
        </w:rPr>
        <w:t>年持平</w:t>
      </w:r>
      <w:r>
        <w:rPr>
          <w:rFonts w:hint="eastAsia" w:ascii="仿宋_GB2312" w:eastAsia="仿宋_GB2312"/>
          <w:sz w:val="32"/>
          <w:szCs w:val="32"/>
          <w:lang w:eastAsia="zh-CN"/>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hint="eastAsia" w:ascii="仿宋_GB2312" w:eastAsia="仿宋_GB2312"/>
          <w:sz w:val="32"/>
          <w:szCs w:val="32"/>
          <w:lang w:eastAsia="zh-CN"/>
        </w:rPr>
        <w:t>2022年持平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公务接待费支出决算与</w:t>
      </w:r>
      <w:r>
        <w:rPr>
          <w:rFonts w:hint="eastAsia" w:ascii="仿宋_GB2312" w:eastAsia="仿宋_GB2312"/>
          <w:sz w:val="32"/>
          <w:szCs w:val="32"/>
          <w:lang w:eastAsia="zh-CN"/>
        </w:rPr>
        <w:t>2022</w:t>
      </w:r>
      <w:r>
        <w:rPr>
          <w:rFonts w:hint="eastAsia" w:ascii="仿宋_GB2312" w:eastAsia="仿宋_GB2312"/>
          <w:sz w:val="32"/>
          <w:szCs w:val="32"/>
        </w:rPr>
        <w:t>年持平</w:t>
      </w:r>
      <w:r>
        <w:rPr>
          <w:rFonts w:hint="eastAsia" w:ascii="仿宋_GB2312" w:eastAsia="仿宋_GB2312"/>
          <w:sz w:val="32"/>
          <w:szCs w:val="32"/>
          <w:lang w:eastAsia="zh-CN"/>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56" w:name="_Toc15377218"/>
      <w:bookmarkStart w:id="57" w:name="_Toc15396610"/>
    </w:p>
    <w:p>
      <w:pPr>
        <w:spacing w:line="600" w:lineRule="exact"/>
        <w:ind w:firstLine="640"/>
        <w:outlineLvl w:val="1"/>
        <w:rPr>
          <w:rStyle w:val="27"/>
          <w:rFonts w:ascii="黑体" w:hAnsi="黑体" w:eastAsia="黑体"/>
        </w:rPr>
      </w:pPr>
      <w:bookmarkStart w:id="58" w:name="_Toc145509211"/>
      <w:r>
        <w:rPr>
          <w:rFonts w:hint="eastAsia" w:ascii="黑体" w:eastAsia="黑体"/>
          <w:sz w:val="32"/>
          <w:szCs w:val="32"/>
        </w:rPr>
        <w:t>八、</w:t>
      </w:r>
      <w:r>
        <w:rPr>
          <w:rStyle w:val="27"/>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年政府性基金预算财政拨款支出0万元。</w:t>
      </w:r>
    </w:p>
    <w:p>
      <w:pPr>
        <w:numPr>
          <w:ilvl w:val="0"/>
          <w:numId w:val="4"/>
        </w:numPr>
        <w:spacing w:line="600" w:lineRule="exact"/>
        <w:ind w:firstLine="640"/>
        <w:outlineLvl w:val="1"/>
        <w:rPr>
          <w:rStyle w:val="27"/>
          <w:rFonts w:ascii="黑体" w:hAnsi="黑体" w:eastAsia="黑体"/>
          <w:b w:val="0"/>
        </w:rPr>
      </w:pPr>
      <w:bookmarkStart w:id="59" w:name="_Toc145509212"/>
      <w:bookmarkStart w:id="60" w:name="_Toc15377219"/>
      <w:bookmarkStart w:id="61" w:name="_Toc15396611"/>
      <w:r>
        <w:rPr>
          <w:rStyle w:val="27"/>
          <w:rFonts w:hint="eastAsia" w:ascii="黑体" w:hAnsi="黑体" w:eastAsia="黑体"/>
          <w:b w:val="0"/>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pPr>
        <w:numPr>
          <w:ilvl w:val="0"/>
          <w:numId w:val="4"/>
        </w:numPr>
        <w:spacing w:line="600" w:lineRule="exact"/>
        <w:ind w:firstLine="640"/>
        <w:outlineLvl w:val="1"/>
        <w:rPr>
          <w:rStyle w:val="27"/>
          <w:rFonts w:ascii="黑体" w:hAnsi="黑体" w:eastAsia="黑体"/>
          <w:b w:val="0"/>
        </w:rPr>
      </w:pPr>
      <w:bookmarkStart w:id="62" w:name="_Toc15396612"/>
      <w:bookmarkStart w:id="63" w:name="_Toc145509213"/>
      <w:bookmarkStart w:id="64" w:name="_Toc15377221"/>
      <w:r>
        <w:rPr>
          <w:rStyle w:val="27"/>
          <w:rFonts w:hint="eastAsia" w:ascii="黑体" w:hAnsi="黑体" w:eastAsia="黑体"/>
          <w:b w:val="0"/>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5377222"/>
      <w:bookmarkStart w:id="66" w:name="_Toc145509214"/>
      <w:r>
        <w:rPr>
          <w:rFonts w:hint="eastAsia" w:ascii="仿宋" w:hAnsi="仿宋" w:eastAsia="仿宋"/>
          <w:b/>
          <w:sz w:val="32"/>
          <w:szCs w:val="32"/>
        </w:rPr>
        <w:t>（一）机关运行经费支出情况</w:t>
      </w:r>
      <w:bookmarkEnd w:id="65"/>
      <w:bookmarkEnd w:id="66"/>
    </w:p>
    <w:p>
      <w:pPr>
        <w:ind w:firstLine="640" w:firstLineChars="200"/>
        <w:rPr>
          <w:rFonts w:ascii="仿宋" w:hAnsi="仿宋" w:eastAsia="仿宋"/>
          <w:b/>
          <w:sz w:val="32"/>
          <w:szCs w:val="32"/>
        </w:rPr>
      </w:pPr>
      <w:bookmarkStart w:id="67" w:name="OLE_LINK3"/>
      <w:bookmarkStart w:id="68" w:name="OLE_LINK2"/>
      <w:bookmarkStart w:id="69" w:name="OLE_LINK4"/>
      <w:r>
        <w:rPr>
          <w:rFonts w:hint="eastAsia" w:ascii="仿宋_GB2312" w:eastAsia="仿宋_GB2312" w:cs="Times New Roman"/>
          <w:color w:val="auto"/>
          <w:sz w:val="32"/>
          <w:szCs w:val="32"/>
          <w:highlight w:val="none"/>
          <w:lang w:val="en-US" w:eastAsia="zh-CN"/>
        </w:rPr>
        <w:t>本单位是全额拨款事业单位，没有预算机关运行经费</w:t>
      </w:r>
      <w:bookmarkEnd w:id="67"/>
      <w:bookmarkEnd w:id="68"/>
      <w:bookmarkEnd w:id="69"/>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0" w:name="_Toc145509215"/>
      <w:bookmarkStart w:id="71" w:name="_Toc15377223"/>
      <w:r>
        <w:rPr>
          <w:rFonts w:hint="eastAsia" w:ascii="仿宋" w:hAnsi="仿宋" w:eastAsia="仿宋"/>
          <w:b/>
          <w:sz w:val="32"/>
          <w:szCs w:val="32"/>
        </w:rPr>
        <w:t>（二）政府采购支出情况</w:t>
      </w:r>
      <w:bookmarkEnd w:id="70"/>
      <w:bookmarkEnd w:id="71"/>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万元、政府采购工程支出0万元、政府采购服务支出0万元。授予中小企业合同金额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45509216"/>
      <w:bookmarkStart w:id="73" w:name="_Toc15377224"/>
      <w:r>
        <w:rPr>
          <w:rFonts w:hint="eastAsia" w:ascii="仿宋" w:hAnsi="仿宋" w:eastAsia="仿宋"/>
          <w:b/>
          <w:sz w:val="32"/>
          <w:szCs w:val="32"/>
        </w:rPr>
        <w:t>（三）国有资产占有使用情况</w:t>
      </w:r>
      <w:bookmarkEnd w:id="72"/>
      <w:bookmarkEnd w:id="7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45509217"/>
      <w:r>
        <w:rPr>
          <w:rFonts w:hint="eastAsia" w:ascii="仿宋" w:hAnsi="仿宋" w:eastAsia="仿宋"/>
          <w:b/>
          <w:sz w:val="32"/>
          <w:szCs w:val="32"/>
        </w:rPr>
        <w:t>（四）预算绩效管理情况</w:t>
      </w:r>
      <w:bookmarkEnd w:id="74"/>
    </w:p>
    <w:p>
      <w:pPr>
        <w:pStyle w:val="6"/>
        <w:spacing w:before="93"/>
        <w:ind w:firstLine="640" w:firstLineChars="200"/>
        <w:rPr>
          <w:rFonts w:hAnsi="仿宋_GB2312" w:cs="仿宋_GB2312"/>
          <w:sz w:val="32"/>
          <w:szCs w:val="32"/>
        </w:rPr>
      </w:pPr>
      <w:r>
        <w:rPr>
          <w:rFonts w:hint="eastAsia" w:hAnsi="仿宋_GB2312" w:cs="仿宋_GB2312"/>
          <w:sz w:val="32"/>
          <w:szCs w:val="32"/>
          <w:lang w:val="en-US" w:eastAsia="zh-CN"/>
        </w:rPr>
        <w:t>根据预算绩效管理要求，本单位在2023年度预算编制阶段，没有需要做预算事前绩效评估项目，故未开展预算绩效评估，组织对人员类、运转类、特定目标等24个项目编制了绩效目标，预算执行过程中，选取了1个项目开展绩效监控，组织对学前教育保教费（收费）项目等1个项目开展绩效自评，绩效自评表详见第四部分附件。</w:t>
      </w:r>
    </w:p>
    <w:p>
      <w:pPr>
        <w:pStyle w:val="6"/>
        <w:spacing w:before="93"/>
        <w:ind w:firstLine="640" w:firstLineChars="200"/>
        <w:rPr>
          <w:rFonts w:hAnsi="仿宋_GB2312" w:cs="仿宋_GB2312"/>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75" w:name="_Toc145509218"/>
      <w:bookmarkStart w:id="76" w:name="_Toc15396613"/>
      <w:bookmarkStart w:id="77" w:name="_Toc15377225"/>
      <w:r>
        <w:rPr>
          <w:rFonts w:hint="eastAsia" w:ascii="黑体" w:hAnsi="黑体" w:eastAsia="黑体"/>
          <w:sz w:val="44"/>
          <w:szCs w:val="44"/>
        </w:rPr>
        <w:t>名</w:t>
      </w:r>
      <w:r>
        <w:rPr>
          <w:rStyle w:val="26"/>
          <w:rFonts w:hint="eastAsia" w:ascii="黑体" w:hAnsi="黑体" w:eastAsia="黑体"/>
          <w:b w:val="0"/>
        </w:rPr>
        <w:t>词解释</w:t>
      </w:r>
      <w:bookmarkEnd w:id="75"/>
      <w:bookmarkEnd w:id="76"/>
      <w:bookmarkEnd w:id="77"/>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使用非财政拨款结余：指事业单位使用以前年度积累的非财政拨款结余弥补当年收支差额的金额。 </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年初结转和结余：指以前年度尚未完成、结转到本年按有关规定继续使用的资金。 </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教育（类）普通教育（款）学前教育（项）: 指反映各部门举办的学前教育支出。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社会保障和就业（类）行政事业单位养老（款）机关  行政单位离退休（项）:除上述项目以外其他用于普通教育方面的支出。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社会保障和就业（类）行政事业单位养老支出（款）行政单位离退休（项）: 指反映行政单位（包括实行公务员管理的事业单位）开支的离退休经费.</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社会保障和就业（类）行政事业单位养老（款）机关事业单位基本养老保险缴费支出（项）:指反映机关事业单位实施养老保险制度由单位缴纳的基本养老保险费支出。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社会保障和就业（类）残疾人事业（款）残疾人就业（项）：反映残疾人联合会用于残疾人就业方面的支出。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社会保障和就业（类）其他社会保障和就业（款）其他社会保障和就业支出（项）:指反映上述项目以外其他</w:t>
      </w:r>
      <w:r>
        <w:rPr>
          <w:rFonts w:hint="eastAsia" w:ascii="仿宋_GB2312" w:eastAsia="仿宋_GB2312"/>
          <w:color w:val="auto"/>
          <w:sz w:val="32"/>
          <w:szCs w:val="32"/>
          <w:lang w:eastAsia="zh-CN"/>
        </w:rPr>
        <w:t>用于社会保障</w:t>
      </w:r>
      <w:r>
        <w:rPr>
          <w:rFonts w:hint="eastAsia" w:ascii="仿宋_GB2312" w:eastAsia="仿宋_GB2312"/>
          <w:color w:val="auto"/>
          <w:sz w:val="32"/>
          <w:szCs w:val="32"/>
        </w:rPr>
        <w:t>和就业方面的支出。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卫生健康（类）行政事业单位医疗（款）事业单位医疗（项）:指反映财政部门集中安排的事业单位基本医疗保险缴费经费，未参加医疗保险的事业单位的公费医疗经费，按国家规定享受离休人员待遇的医疗经费。</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卫生健康（类）行政事业单位医疗（款）公务员医疗补助（项）：指反映财政部门集中安排的公务员医疗补助经费。</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住房保障（类）住房改革（款）住房公积金（项）：指反映行政事业单位按人力资源和社会保障部、财政部规定的基本工资和津贴补贴以及规定比例为职工缴纳的住房公积金。</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基本支出：指为保障机构正常运转、完成日常工作任务而发生的人员支出和公用支出。</w:t>
      </w:r>
    </w:p>
    <w:p>
      <w:pPr>
        <w:pStyle w:val="24"/>
        <w:numPr>
          <w:ilvl w:val="0"/>
          <w:numId w:val="6"/>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项目支出：指在基本支出之外为完成特定行政任务和事业发展目标所发生的支出。 </w:t>
      </w:r>
    </w:p>
    <w:p>
      <w:pPr>
        <w:spacing w:line="600" w:lineRule="exact"/>
        <w:jc w:val="center"/>
        <w:outlineLvl w:val="0"/>
        <w:rPr>
          <w:rFonts w:ascii="黑体" w:hAnsi="黑体" w:eastAsia="黑体"/>
          <w:sz w:val="44"/>
          <w:szCs w:val="44"/>
        </w:rPr>
      </w:pPr>
    </w:p>
    <w:p>
      <w:pPr>
        <w:spacing w:line="600" w:lineRule="exact"/>
        <w:jc w:val="left"/>
        <w:rPr>
          <w:rFonts w:ascii="宋体"/>
          <w:b/>
          <w:sz w:val="44"/>
          <w:szCs w:val="44"/>
        </w:rPr>
      </w:pPr>
    </w:p>
    <w:p>
      <w:pPr>
        <w:spacing w:line="600" w:lineRule="exact"/>
        <w:jc w:val="center"/>
        <w:outlineLvl w:val="0"/>
        <w:rPr>
          <w:rFonts w:hint="eastAsia" w:ascii="黑体" w:hAnsi="黑体" w:eastAsia="黑体"/>
          <w:sz w:val="44"/>
          <w:szCs w:val="44"/>
        </w:rPr>
      </w:pPr>
      <w:bookmarkStart w:id="78" w:name="_Toc15396614"/>
      <w:bookmarkStart w:id="79" w:name="_Toc145509219"/>
      <w:bookmarkStart w:id="80"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78"/>
      <w:bookmarkEnd w:id="79"/>
    </w:p>
    <w:p>
      <w:pPr>
        <w:spacing w:line="572" w:lineRule="exact"/>
        <w:jc w:val="left"/>
        <w:outlineLvl w:val="0"/>
        <w:rPr>
          <w:rFonts w:ascii="仿宋_GB2312" w:hAnsi="仿宋_GB2312" w:eastAsia="仿宋_GB2312" w:cs="仿宋_GB2312"/>
          <w:sz w:val="32"/>
          <w:szCs w:val="32"/>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2"/>
        <w:gridCol w:w="934"/>
        <w:gridCol w:w="1238"/>
        <w:gridCol w:w="399"/>
        <w:gridCol w:w="872"/>
        <w:gridCol w:w="759"/>
        <w:gridCol w:w="853"/>
        <w:gridCol w:w="486"/>
        <w:gridCol w:w="396"/>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81"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6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四川省遂宁市船山区老池镇幼儿园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2023年保教费11600元，</w:t>
            </w:r>
            <w:r>
              <w:rPr>
                <w:rFonts w:hint="eastAsia" w:ascii="宋体" w:hAnsi="宋体" w:cs="宋体"/>
                <w:i w:val="0"/>
                <w:iCs w:val="0"/>
                <w:color w:val="000000"/>
                <w:kern w:val="0"/>
                <w:sz w:val="18"/>
                <w:szCs w:val="18"/>
                <w:u w:val="none"/>
                <w:lang w:val="en-US" w:eastAsia="zh-CN" w:bidi="ar"/>
              </w:rPr>
              <w:t>将全部</w:t>
            </w:r>
            <w:bookmarkStart w:id="109" w:name="_GoBack"/>
            <w:bookmarkEnd w:id="109"/>
            <w:r>
              <w:rPr>
                <w:rFonts w:ascii="宋体" w:hAnsi="宋体" w:eastAsia="宋体" w:cs="宋体"/>
                <w:i w:val="0"/>
                <w:iCs w:val="0"/>
                <w:color w:val="000000"/>
                <w:kern w:val="0"/>
                <w:sz w:val="18"/>
                <w:szCs w:val="18"/>
                <w:u w:val="none"/>
                <w:lang w:val="en-US" w:eastAsia="zh-CN" w:bidi="ar"/>
              </w:rPr>
              <w:t>用于学校水电办公费及聘用人员等日常经费运转</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在年度内较好地完成了年度目标任务，保障了学校的正常运行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我园教育教学工作日常运转，包含水电气、购买文具及资料册、幼儿读物、购买绘本资料打印等支出，并保障了我园各项活动的正常开展。为幼儿的健康成长提供良好的学习环境，引发幼儿对书籍、阅读和书写的兴趣，培养学前阅读和学前书写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w:t>
            </w: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w:t>
            </w: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提高学生的综合能力</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经费管理机制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110每人每月</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zh-CN" w:eastAsia="zh-CN" w:bidi="ar"/>
              </w:rPr>
              <w:t>为确保项目评价工作顺利开展，牢固树立绩效理念，切实提高资金使用效益，我</w:t>
            </w:r>
            <w:r>
              <w:rPr>
                <w:rFonts w:hint="eastAsia" w:ascii="宋体" w:hAnsi="宋体" w:eastAsia="宋体" w:cs="宋体"/>
                <w:i w:val="0"/>
                <w:iCs w:val="0"/>
                <w:color w:val="000000"/>
                <w:kern w:val="0"/>
                <w:sz w:val="18"/>
                <w:szCs w:val="18"/>
                <w:u w:val="none"/>
                <w:lang w:val="en-US" w:eastAsia="zh-CN" w:bidi="ar"/>
              </w:rPr>
              <w:t>园按照设定的绩效目标，运用合理的评价方法、对照标准，对项目涉及的各个方面进行客观、公正地评价，总分97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在绩效考评指标的设计上流于形式，项目事前绩效评估、绩效目标指标设置还不够完整、合理。特别是效益指标、满意度指标不易准确获取，导致指标科学性不足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建议加强年初预算编制工作，增强年初预算的科学性和预见性，充分发挥支出标准在预算编制和管理中的</w:t>
            </w:r>
          </w:p>
          <w:p>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sz w:val="18"/>
                <w:szCs w:val="18"/>
                <w:u w:val="none"/>
                <w:lang w:val="en-US" w:eastAsia="zh-CN"/>
              </w:rPr>
              <w:t>基础支撑作用，同时加强对本部门预算绩效管理的组织领导，加强预算绩效管理力量。</w:t>
            </w:r>
          </w:p>
        </w:tc>
      </w:tr>
    </w:tbl>
    <w:p>
      <w:pPr>
        <w:pStyle w:val="6"/>
        <w:spacing w:before="93"/>
        <w:ind w:firstLine="640" w:firstLineChars="200"/>
        <w:jc w:val="center"/>
        <w:rPr>
          <w:rFonts w:hAnsi="仿宋_GB2312" w:cs="仿宋_GB2312"/>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int="eastAsia" w:hAnsi="Calibri" w:cs="仿宋"/>
          <w:sz w:val="32"/>
          <w:szCs w:val="32"/>
        </w:rPr>
      </w:pPr>
    </w:p>
    <w:p>
      <w:pPr>
        <w:pStyle w:val="6"/>
        <w:spacing w:before="93"/>
        <w:rPr>
          <w:rFonts w:hint="eastAsia" w:hAnsi="Calibri" w:cs="仿宋"/>
          <w:sz w:val="32"/>
          <w:szCs w:val="32"/>
        </w:rPr>
      </w:pPr>
    </w:p>
    <w:p>
      <w:pPr>
        <w:pStyle w:val="6"/>
        <w:spacing w:before="93"/>
        <w:rPr>
          <w:rFonts w:hAnsi="Calibri" w:cs="仿宋"/>
          <w:sz w:val="32"/>
          <w:szCs w:val="32"/>
        </w:rPr>
      </w:pPr>
    </w:p>
    <w:p>
      <w:pPr>
        <w:spacing w:line="600" w:lineRule="exact"/>
        <w:jc w:val="center"/>
        <w:outlineLvl w:val="0"/>
        <w:rPr>
          <w:rFonts w:ascii="仿宋" w:hAnsi="仿宋" w:eastAsia="仿宋"/>
        </w:rPr>
      </w:pPr>
      <w:bookmarkStart w:id="82" w:name="_Toc145509221"/>
      <w:r>
        <w:rPr>
          <w:rFonts w:hint="eastAsia" w:ascii="黑体" w:hAnsi="黑体" w:eastAsia="黑体"/>
          <w:sz w:val="44"/>
          <w:szCs w:val="44"/>
        </w:rPr>
        <w:t>第</w:t>
      </w:r>
      <w:r>
        <w:rPr>
          <w:rStyle w:val="26"/>
          <w:rFonts w:hint="eastAsia" w:ascii="黑体" w:hAnsi="黑体" w:eastAsia="黑体"/>
          <w:b w:val="0"/>
        </w:rPr>
        <w:t>五部分 附表</w:t>
      </w:r>
      <w:bookmarkEnd w:id="80"/>
      <w:bookmarkEnd w:id="81"/>
      <w:bookmarkEnd w:id="82"/>
      <w:bookmarkStart w:id="83" w:name="_Toc15396619"/>
    </w:p>
    <w:p>
      <w:pPr>
        <w:pStyle w:val="3"/>
        <w:rPr>
          <w:rFonts w:ascii="仿宋" w:hAnsi="仿宋" w:eastAsia="仿宋"/>
        </w:rPr>
      </w:pPr>
      <w:bookmarkStart w:id="84" w:name="_Toc145509222"/>
      <w:r>
        <w:rPr>
          <w:rFonts w:hint="eastAsia" w:ascii="仿宋" w:hAnsi="仿宋" w:eastAsia="仿宋"/>
          <w:b w:val="0"/>
        </w:rPr>
        <w:t>一、收</w:t>
      </w:r>
      <w:r>
        <w:rPr>
          <w:rStyle w:val="27"/>
          <w:rFonts w:hint="eastAsia" w:ascii="仿宋" w:hAnsi="仿宋" w:eastAsia="仿宋"/>
          <w:b w:val="0"/>
          <w:bCs w:val="0"/>
        </w:rPr>
        <w:t>入支出决算总表</w:t>
      </w:r>
      <w:bookmarkEnd w:id="83"/>
      <w:bookmarkEnd w:id="84"/>
    </w:p>
    <w:p>
      <w:pPr>
        <w:pStyle w:val="3"/>
        <w:rPr>
          <w:rFonts w:ascii="仿宋" w:hAnsi="仿宋" w:eastAsia="仿宋"/>
        </w:rPr>
      </w:pPr>
      <w:bookmarkStart w:id="85" w:name="_Toc15396620"/>
      <w:bookmarkStart w:id="86" w:name="_Toc145509223"/>
      <w:r>
        <w:rPr>
          <w:rFonts w:hint="eastAsia" w:ascii="仿宋" w:hAnsi="仿宋" w:eastAsia="仿宋"/>
          <w:b w:val="0"/>
        </w:rPr>
        <w:t>二、收</w:t>
      </w:r>
      <w:r>
        <w:rPr>
          <w:rStyle w:val="27"/>
          <w:rFonts w:hint="eastAsia" w:ascii="仿宋" w:hAnsi="仿宋" w:eastAsia="仿宋"/>
          <w:b w:val="0"/>
          <w:bCs w:val="0"/>
        </w:rPr>
        <w:t>入决算表</w:t>
      </w:r>
      <w:bookmarkEnd w:id="85"/>
      <w:bookmarkEnd w:id="86"/>
    </w:p>
    <w:p>
      <w:pPr>
        <w:pStyle w:val="3"/>
        <w:rPr>
          <w:rFonts w:ascii="仿宋" w:hAnsi="仿宋" w:eastAsia="仿宋"/>
        </w:rPr>
      </w:pPr>
      <w:bookmarkStart w:id="87" w:name="_Toc15396621"/>
      <w:bookmarkStart w:id="88" w:name="_Toc145509224"/>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87"/>
      <w:bookmarkEnd w:id="88"/>
    </w:p>
    <w:p>
      <w:pPr>
        <w:pStyle w:val="3"/>
        <w:rPr>
          <w:rFonts w:ascii="仿宋" w:hAnsi="仿宋" w:eastAsia="仿宋"/>
          <w:b w:val="0"/>
        </w:rPr>
      </w:pPr>
      <w:bookmarkStart w:id="89" w:name="_Toc15396622"/>
      <w:bookmarkStart w:id="90" w:name="_Toc145509225"/>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89"/>
      <w:bookmarkEnd w:id="90"/>
    </w:p>
    <w:p>
      <w:pPr>
        <w:pStyle w:val="3"/>
        <w:rPr>
          <w:rStyle w:val="27"/>
          <w:rFonts w:ascii="仿宋" w:hAnsi="仿宋" w:eastAsia="仿宋"/>
          <w:b w:val="0"/>
          <w:bCs w:val="0"/>
        </w:rPr>
      </w:pPr>
      <w:bookmarkStart w:id="91" w:name="_Toc145509226"/>
      <w:bookmarkStart w:id="92"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91"/>
      <w:bookmarkEnd w:id="92"/>
      <w:bookmarkStart w:id="93" w:name="_Toc15396624"/>
    </w:p>
    <w:p>
      <w:pPr>
        <w:pStyle w:val="3"/>
        <w:rPr>
          <w:rFonts w:ascii="仿宋" w:hAnsi="仿宋" w:eastAsia="仿宋"/>
        </w:rPr>
      </w:pPr>
      <w:bookmarkStart w:id="94" w:name="_Toc145509227"/>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93"/>
      <w:bookmarkEnd w:id="94"/>
    </w:p>
    <w:p>
      <w:pPr>
        <w:pStyle w:val="3"/>
        <w:rPr>
          <w:rFonts w:ascii="仿宋" w:hAnsi="仿宋" w:eastAsia="仿宋"/>
        </w:rPr>
      </w:pPr>
      <w:bookmarkStart w:id="95" w:name="_Toc15396625"/>
      <w:bookmarkStart w:id="96" w:name="_Toc145509228"/>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95"/>
      <w:bookmarkEnd w:id="96"/>
    </w:p>
    <w:p>
      <w:pPr>
        <w:pStyle w:val="3"/>
        <w:rPr>
          <w:rFonts w:ascii="仿宋" w:hAnsi="仿宋" w:eastAsia="仿宋"/>
        </w:rPr>
      </w:pPr>
      <w:bookmarkStart w:id="97" w:name="_Toc145509229"/>
      <w:bookmarkStart w:id="98"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97"/>
      <w:bookmarkEnd w:id="98"/>
    </w:p>
    <w:p>
      <w:pPr>
        <w:pStyle w:val="3"/>
        <w:rPr>
          <w:rFonts w:ascii="仿宋" w:hAnsi="仿宋" w:eastAsia="仿宋"/>
        </w:rPr>
      </w:pPr>
      <w:bookmarkStart w:id="99" w:name="_Toc15396627"/>
      <w:bookmarkStart w:id="100" w:name="_Toc145509230"/>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99"/>
      <w:bookmarkEnd w:id="100"/>
    </w:p>
    <w:p>
      <w:pPr>
        <w:pStyle w:val="3"/>
        <w:rPr>
          <w:rFonts w:ascii="仿宋" w:hAnsi="仿宋" w:eastAsia="仿宋"/>
        </w:rPr>
      </w:pPr>
      <w:bookmarkStart w:id="101" w:name="_Toc15396628"/>
      <w:bookmarkStart w:id="102" w:name="_Toc145509231"/>
      <w:r>
        <w:rPr>
          <w:rStyle w:val="27"/>
          <w:rFonts w:hint="eastAsia" w:ascii="仿宋" w:hAnsi="仿宋" w:eastAsia="仿宋"/>
          <w:b w:val="0"/>
          <w:bCs w:val="0"/>
        </w:rPr>
        <w:t>十、</w:t>
      </w:r>
      <w:bookmarkEnd w:id="101"/>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102"/>
    </w:p>
    <w:p>
      <w:pPr>
        <w:pStyle w:val="3"/>
        <w:rPr>
          <w:rFonts w:ascii="仿宋" w:hAnsi="仿宋" w:eastAsia="仿宋"/>
        </w:rPr>
      </w:pPr>
      <w:bookmarkStart w:id="103" w:name="_Toc15396629"/>
      <w:bookmarkStart w:id="104" w:name="_Toc145509232"/>
      <w:r>
        <w:rPr>
          <w:rStyle w:val="27"/>
          <w:rFonts w:hint="eastAsia" w:ascii="仿宋" w:hAnsi="仿宋" w:eastAsia="仿宋"/>
          <w:b w:val="0"/>
          <w:bCs w:val="0"/>
        </w:rPr>
        <w:t>十一、</w:t>
      </w:r>
      <w:bookmarkEnd w:id="103"/>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104"/>
    </w:p>
    <w:p>
      <w:pPr>
        <w:pStyle w:val="3"/>
        <w:rPr>
          <w:rFonts w:ascii="仿宋" w:hAnsi="仿宋" w:eastAsia="仿宋"/>
        </w:rPr>
      </w:pPr>
      <w:bookmarkStart w:id="105" w:name="_Toc15396630"/>
      <w:bookmarkStart w:id="106" w:name="_Toc145509233"/>
      <w:r>
        <w:rPr>
          <w:rStyle w:val="27"/>
          <w:rFonts w:hint="eastAsia" w:ascii="仿宋" w:hAnsi="仿宋" w:eastAsia="仿宋"/>
          <w:b w:val="0"/>
          <w:bCs w:val="0"/>
        </w:rPr>
        <w:t>十二、</w:t>
      </w:r>
      <w:bookmarkEnd w:id="105"/>
      <w:r>
        <w:rPr>
          <w:rStyle w:val="27"/>
          <w:rFonts w:hint="eastAsia" w:ascii="仿宋" w:hAnsi="仿宋" w:eastAsia="仿宋"/>
          <w:b w:val="0"/>
          <w:bCs w:val="0"/>
        </w:rPr>
        <w:t>国有资本经营预算财政拨款支出决算表</w:t>
      </w:r>
      <w:bookmarkEnd w:id="106"/>
    </w:p>
    <w:p>
      <w:pPr>
        <w:pStyle w:val="3"/>
        <w:rPr>
          <w:rFonts w:eastAsia="仿宋"/>
        </w:rPr>
      </w:pPr>
      <w:bookmarkStart w:id="107" w:name="_Toc15396631"/>
      <w:bookmarkStart w:id="108" w:name="_Toc145509234"/>
      <w:r>
        <w:rPr>
          <w:rStyle w:val="27"/>
          <w:rFonts w:hint="eastAsia" w:ascii="仿宋" w:hAnsi="仿宋" w:eastAsia="仿宋"/>
          <w:b w:val="0"/>
          <w:bCs w:val="0"/>
        </w:rPr>
        <w:t>十三、</w:t>
      </w:r>
      <w:bookmarkEnd w:id="107"/>
      <w:r>
        <w:rPr>
          <w:rStyle w:val="27"/>
          <w:rFonts w:hint="eastAsia" w:ascii="仿宋" w:hAnsi="仿宋" w:eastAsia="仿宋"/>
          <w:b w:val="0"/>
          <w:bCs w:val="0"/>
        </w:rPr>
        <w:t>财政拨款“三公”经费支出决算表</w:t>
      </w:r>
      <w:bookmarkEnd w:id="108"/>
    </w:p>
    <w:sectPr>
      <w:footerReference r:id="rId5" w:type="first"/>
      <w:headerReference r:id="rId3" w:type="default"/>
      <w:footerReference r:id="rId4" w:type="default"/>
      <w:pgSz w:w="11906" w:h="16838"/>
      <w:pgMar w:top="1134" w:right="1531" w:bottom="1985"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953858"/>
    </w:sdtPr>
    <w:sdtContent>
      <w:p>
        <w:pPr>
          <w:pStyle w:val="9"/>
          <w:jc w:val="center"/>
        </w:pPr>
        <w:r>
          <w:fldChar w:fldCharType="begin"/>
        </w:r>
        <w:r>
          <w:instrText xml:space="preserve">PAGE   \* MERGEFORMAT</w:instrText>
        </w:r>
        <w:r>
          <w:fldChar w:fldCharType="separate"/>
        </w:r>
        <w:r>
          <w:rPr>
            <w:lang w:val="zh-CN"/>
          </w:rPr>
          <w:t>11</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953859"/>
      <w:docPartObj>
        <w:docPartGallery w:val="autotext"/>
      </w:docPartObj>
    </w:sdtPr>
    <w:sdtContent>
      <w:p>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A0C6D"/>
    <w:multiLevelType w:val="singleLevel"/>
    <w:tmpl w:val="B9EA0C6D"/>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97629E5"/>
    <w:multiLevelType w:val="multilevel"/>
    <w:tmpl w:val="097629E5"/>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3NTM3NGMzYzk5OWQ0YzYwMmE4NTI3ODY2ODYx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45AF"/>
    <w:rsid w:val="001D7531"/>
    <w:rsid w:val="001E737D"/>
    <w:rsid w:val="001F0592"/>
    <w:rsid w:val="001F7506"/>
    <w:rsid w:val="002006CD"/>
    <w:rsid w:val="00202B36"/>
    <w:rsid w:val="00204B7A"/>
    <w:rsid w:val="00204CDE"/>
    <w:rsid w:val="0021101A"/>
    <w:rsid w:val="00220536"/>
    <w:rsid w:val="002245B8"/>
    <w:rsid w:val="00235629"/>
    <w:rsid w:val="002357EA"/>
    <w:rsid w:val="00255635"/>
    <w:rsid w:val="00260C38"/>
    <w:rsid w:val="002616C0"/>
    <w:rsid w:val="00265372"/>
    <w:rsid w:val="002662AA"/>
    <w:rsid w:val="00280496"/>
    <w:rsid w:val="00294DC9"/>
    <w:rsid w:val="00295495"/>
    <w:rsid w:val="002A31DE"/>
    <w:rsid w:val="002B2613"/>
    <w:rsid w:val="002B495A"/>
    <w:rsid w:val="002C15DD"/>
    <w:rsid w:val="002D6D05"/>
    <w:rsid w:val="002F1818"/>
    <w:rsid w:val="002F567B"/>
    <w:rsid w:val="00302BE0"/>
    <w:rsid w:val="003216A9"/>
    <w:rsid w:val="00335A74"/>
    <w:rsid w:val="003504BA"/>
    <w:rsid w:val="0036561B"/>
    <w:rsid w:val="0037013F"/>
    <w:rsid w:val="00380C92"/>
    <w:rsid w:val="00392AD1"/>
    <w:rsid w:val="00397E06"/>
    <w:rsid w:val="003A484F"/>
    <w:rsid w:val="003A4883"/>
    <w:rsid w:val="003B0BE0"/>
    <w:rsid w:val="003B0C1B"/>
    <w:rsid w:val="003B54D3"/>
    <w:rsid w:val="003B688C"/>
    <w:rsid w:val="003B72EA"/>
    <w:rsid w:val="003C0291"/>
    <w:rsid w:val="003C39AE"/>
    <w:rsid w:val="003C7B60"/>
    <w:rsid w:val="003D0C0F"/>
    <w:rsid w:val="003D1FB2"/>
    <w:rsid w:val="003D24FE"/>
    <w:rsid w:val="003D66DA"/>
    <w:rsid w:val="003E068A"/>
    <w:rsid w:val="003E1310"/>
    <w:rsid w:val="003E6F55"/>
    <w:rsid w:val="0040202D"/>
    <w:rsid w:val="00406254"/>
    <w:rsid w:val="004223DE"/>
    <w:rsid w:val="004233B4"/>
    <w:rsid w:val="00434489"/>
    <w:rsid w:val="00437085"/>
    <w:rsid w:val="0044379C"/>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25BB"/>
    <w:rsid w:val="005B0BE4"/>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0A12"/>
    <w:rsid w:val="0083706E"/>
    <w:rsid w:val="008408F6"/>
    <w:rsid w:val="008423A5"/>
    <w:rsid w:val="00850625"/>
    <w:rsid w:val="00853718"/>
    <w:rsid w:val="00855221"/>
    <w:rsid w:val="00860645"/>
    <w:rsid w:val="00871F71"/>
    <w:rsid w:val="00872FD8"/>
    <w:rsid w:val="00874C44"/>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4B5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32BA"/>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3059"/>
    <w:rsid w:val="00B34847"/>
    <w:rsid w:val="00B35F3F"/>
    <w:rsid w:val="00B36CBB"/>
    <w:rsid w:val="00B425E0"/>
    <w:rsid w:val="00B440AA"/>
    <w:rsid w:val="00B44B70"/>
    <w:rsid w:val="00B53C56"/>
    <w:rsid w:val="00B54A06"/>
    <w:rsid w:val="00B55C6F"/>
    <w:rsid w:val="00B57DAF"/>
    <w:rsid w:val="00B77EA6"/>
    <w:rsid w:val="00B81598"/>
    <w:rsid w:val="00B841F1"/>
    <w:rsid w:val="00B944D6"/>
    <w:rsid w:val="00BB4DF0"/>
    <w:rsid w:val="00BC289F"/>
    <w:rsid w:val="00BC2D50"/>
    <w:rsid w:val="00BC5361"/>
    <w:rsid w:val="00BC5460"/>
    <w:rsid w:val="00BC6B50"/>
    <w:rsid w:val="00BD0E25"/>
    <w:rsid w:val="00BF5BD6"/>
    <w:rsid w:val="00C02B18"/>
    <w:rsid w:val="00C03E31"/>
    <w:rsid w:val="00C276C0"/>
    <w:rsid w:val="00C33E72"/>
    <w:rsid w:val="00C354B2"/>
    <w:rsid w:val="00C35554"/>
    <w:rsid w:val="00C42709"/>
    <w:rsid w:val="00C533CC"/>
    <w:rsid w:val="00C5751C"/>
    <w:rsid w:val="00C60A5D"/>
    <w:rsid w:val="00C61BFC"/>
    <w:rsid w:val="00C62B85"/>
    <w:rsid w:val="00C65438"/>
    <w:rsid w:val="00C87FD8"/>
    <w:rsid w:val="00C91381"/>
    <w:rsid w:val="00C91CBB"/>
    <w:rsid w:val="00CB4E70"/>
    <w:rsid w:val="00CC09B6"/>
    <w:rsid w:val="00CC666F"/>
    <w:rsid w:val="00CD1E3F"/>
    <w:rsid w:val="00CD3858"/>
    <w:rsid w:val="00CD6C55"/>
    <w:rsid w:val="00CE44F6"/>
    <w:rsid w:val="00CE49DA"/>
    <w:rsid w:val="00CE7B61"/>
    <w:rsid w:val="00CF64EC"/>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254B"/>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37B"/>
    <w:rsid w:val="00F45853"/>
    <w:rsid w:val="00F602DF"/>
    <w:rsid w:val="00F70D95"/>
    <w:rsid w:val="00F754A1"/>
    <w:rsid w:val="00F81FD9"/>
    <w:rsid w:val="00F841AA"/>
    <w:rsid w:val="00F84249"/>
    <w:rsid w:val="00F84A94"/>
    <w:rsid w:val="00F87E96"/>
    <w:rsid w:val="00FA23E8"/>
    <w:rsid w:val="00FD3CC1"/>
    <w:rsid w:val="00FF1E02"/>
    <w:rsid w:val="00FF30B4"/>
    <w:rsid w:val="053A62B5"/>
    <w:rsid w:val="06091513"/>
    <w:rsid w:val="0A2032A3"/>
    <w:rsid w:val="0B8A37D8"/>
    <w:rsid w:val="0DDD4FE0"/>
    <w:rsid w:val="10C055FF"/>
    <w:rsid w:val="118107EC"/>
    <w:rsid w:val="11DD6519"/>
    <w:rsid w:val="16BB723D"/>
    <w:rsid w:val="17D83B10"/>
    <w:rsid w:val="18015F3F"/>
    <w:rsid w:val="1A4D5F60"/>
    <w:rsid w:val="1BE8440E"/>
    <w:rsid w:val="1C58199B"/>
    <w:rsid w:val="1D155CEE"/>
    <w:rsid w:val="1E8C1CA4"/>
    <w:rsid w:val="20F57F95"/>
    <w:rsid w:val="240371BF"/>
    <w:rsid w:val="25711CC6"/>
    <w:rsid w:val="25C741E6"/>
    <w:rsid w:val="27842671"/>
    <w:rsid w:val="29FD04D3"/>
    <w:rsid w:val="2A143A23"/>
    <w:rsid w:val="2ABE7A3E"/>
    <w:rsid w:val="2C0F44F2"/>
    <w:rsid w:val="2CA234A8"/>
    <w:rsid w:val="2EB35338"/>
    <w:rsid w:val="2EFA178C"/>
    <w:rsid w:val="2FB614B6"/>
    <w:rsid w:val="2FBC1655"/>
    <w:rsid w:val="30B46D73"/>
    <w:rsid w:val="319F7F4E"/>
    <w:rsid w:val="374F53D7"/>
    <w:rsid w:val="37707273"/>
    <w:rsid w:val="383D272C"/>
    <w:rsid w:val="39AE70AB"/>
    <w:rsid w:val="3B3C5FAA"/>
    <w:rsid w:val="3C0C0783"/>
    <w:rsid w:val="3DA46DF1"/>
    <w:rsid w:val="3E2450C9"/>
    <w:rsid w:val="3F9F3A96"/>
    <w:rsid w:val="413A3544"/>
    <w:rsid w:val="46FD59CC"/>
    <w:rsid w:val="48BF60AB"/>
    <w:rsid w:val="493C27E9"/>
    <w:rsid w:val="496F39ED"/>
    <w:rsid w:val="49FF41D3"/>
    <w:rsid w:val="4A4B5A93"/>
    <w:rsid w:val="4AA712B2"/>
    <w:rsid w:val="4B9E001A"/>
    <w:rsid w:val="4BE068DB"/>
    <w:rsid w:val="4BF6002B"/>
    <w:rsid w:val="4D286C8E"/>
    <w:rsid w:val="4EB66E42"/>
    <w:rsid w:val="4ECE2238"/>
    <w:rsid w:val="501B46D5"/>
    <w:rsid w:val="51DB4B86"/>
    <w:rsid w:val="55333C3E"/>
    <w:rsid w:val="5BFC7A31"/>
    <w:rsid w:val="5D8F0C1D"/>
    <w:rsid w:val="5F9C6A7A"/>
    <w:rsid w:val="64CA39A1"/>
    <w:rsid w:val="67D47D1C"/>
    <w:rsid w:val="69630ADE"/>
    <w:rsid w:val="6C4A05C8"/>
    <w:rsid w:val="6D3B1A89"/>
    <w:rsid w:val="6E5762A1"/>
    <w:rsid w:val="6E884309"/>
    <w:rsid w:val="71BF4EC2"/>
    <w:rsid w:val="72734D90"/>
    <w:rsid w:val="7412278C"/>
    <w:rsid w:val="765A2188"/>
    <w:rsid w:val="776B1BDC"/>
    <w:rsid w:val="780910F8"/>
    <w:rsid w:val="789C1686"/>
    <w:rsid w:val="79E7B28D"/>
    <w:rsid w:val="7C597B13"/>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paragraph" w:customStyle="1" w:styleId="17">
    <w:name w:val="_Style 1"/>
    <w:qFormat/>
    <w:uiPriority w:val="0"/>
    <w:pPr>
      <w:widowControl w:val="0"/>
      <w:jc w:val="both"/>
    </w:pPr>
    <w:rPr>
      <w:rFonts w:ascii="仿宋" w:hAnsi="仿宋" w:eastAsia="仿宋" w:cs="Times New Roman"/>
      <w:kern w:val="2"/>
      <w:sz w:val="21"/>
      <w:szCs w:val="22"/>
      <w:lang w:val="en-US" w:eastAsia="zh-CN" w:bidi="ar-SA"/>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5-&#32769;&#27744;&#38215;&#24188;&#20799;&#22253;2023&#24180;&#20915;&#31639;&#20844;&#24320;\&#22270;&#24418;&#21270;2023-&#32769;&#27744;&#24188;&#20799;&#2225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5991;&#20214;&#22841;\&#22270;&#24418;&#21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'[图形化2023-老池幼儿园.xlsx]Sheet1'!$B$1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'[图形化2023-老池幼儿园.xlsx]Sheet1'!$A$2:$A$3</c:f>
              <c:strCache>
                <c:ptCount val="2"/>
                <c:pt idx="0">
                  <c:v>2022年</c:v>
                </c:pt>
                <c:pt idx="1">
                  <c:v>2023年</c:v>
                </c:pt>
              </c:strCache>
            </c:strRef>
          </c:cat>
          <c:val>
            <c:numRef>
              <c:f>'[图形化2023-老池幼儿园.xlsx]Sheet1'!$B$2:$B$3</c:f>
              <c:numCache>
                <c:formatCode>General</c:formatCode>
                <c:ptCount val="2"/>
                <c:pt idx="0">
                  <c:v>278.2</c:v>
                </c:pt>
                <c:pt idx="1">
                  <c:v>198.29</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'[图形化2023-老池幼儿园.xlsx]Sheet1'!$E$1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'[图形化2023-老池幼儿园.xlsx]Sheet1'!$D$2:$D$4</c:f>
              <c:strCache>
                <c:ptCount val="3"/>
                <c:pt idx="0">
                  <c:v>一般公共预算财政拨款收入</c:v>
                </c:pt>
                <c:pt idx="1">
                  <c:v>其他收入</c:v>
                </c:pt>
              </c:strCache>
            </c:strRef>
          </c:cat>
          <c:val>
            <c:numRef>
              <c:f>'[图形化2023-老池幼儿园.xlsx]Sheet1'!$E$2:$E$4</c:f>
              <c:numCache>
                <c:formatCode>General</c:formatCode>
                <c:ptCount val="3"/>
                <c:pt idx="0">
                  <c:v>179.74</c:v>
                </c:pt>
                <c:pt idx="1">
                  <c:v>8.58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'[图形化2023-老池幼儿园.xlsx]Sheet1'!$I$1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'[图形化2023-老池幼儿园.xlsx]Sheet1'!$H$2:$H$3</c:f>
              <c:strCache>
                <c:ptCount val="2"/>
                <c:pt idx="0">
                  <c:v>基本支出</c:v>
                </c:pt>
                <c:pt idx="1">
                  <c:v>项目支出</c:v>
                </c:pt>
              </c:strCache>
            </c:strRef>
          </c:cat>
          <c:val>
            <c:numRef>
              <c:f>'[图形化2023-老池幼儿园.xlsx]Sheet1'!$I$2:$I$3</c:f>
              <c:numCache>
                <c:formatCode>0.00_ </c:formatCode>
                <c:ptCount val="2"/>
                <c:pt idx="0">
                  <c:v>161.13</c:v>
                </c:pt>
                <c:pt idx="1" c:formatCode="General">
                  <c:v>34.59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'[图形化2023-老池幼儿园.xlsx]Sheet1'!$M$1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'[图形化2023-老池幼儿园.xlsx]Sheet1'!$L$2:$L$3</c:f>
              <c:strCache>
                <c:ptCount val="2"/>
                <c:pt idx="0">
                  <c:v>2022年</c:v>
                </c:pt>
                <c:pt idx="1">
                  <c:v>2023年</c:v>
                </c:pt>
              </c:strCache>
            </c:strRef>
          </c:cat>
          <c:val>
            <c:numRef>
              <c:f>'[图形化2023-老池幼儿园.xlsx]Sheet1'!$M$2:$M$3</c:f>
              <c:numCache>
                <c:formatCode>General</c:formatCode>
                <c:ptCount val="2"/>
                <c:pt idx="0">
                  <c:v>263.53</c:v>
                </c:pt>
                <c:pt idx="1" c:formatCode="#,##0.00">
                  <c:v>179.74</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一般公共预算财政拨款支出决算总体情况（万元）</a:t>
            </a:r>
            <a:endParaRPr lang="zh-CN" altLang="en-US" sz="1200"/>
          </a:p>
        </c:rich>
      </c:tx>
      <c:layout>
        <c:manualLayout>
          <c:xMode val="edge"/>
          <c:yMode val="edge"/>
          <c:x val="0.113316954695044"/>
          <c:y val="0.0153188535039171"/>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'[图形化2023-老池幼儿园.xlsx]Sheet1'!$B$20</c:f>
              <c:strCache>
                <c:ptCount val="1"/>
                <c:pt idx="0">
                  <c:v>一般公共预算财政拨款支出决算总体情况（万元）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'[图形化2023-老池幼儿园.xlsx]Sheet1'!$A$21:$A$22</c:f>
              <c:strCache>
                <c:ptCount val="2"/>
                <c:pt idx="0">
                  <c:v>2022年</c:v>
                </c:pt>
                <c:pt idx="1">
                  <c:v>2023年</c:v>
                </c:pt>
              </c:strCache>
            </c:strRef>
          </c:cat>
          <c:val>
            <c:numRef>
              <c:f>'[图形化2023-老池幼儿园.xlsx]Sheet1'!$B$21:$B$22</c:f>
              <c:numCache>
                <c:formatCode>General</c:formatCode>
                <c:ptCount val="2"/>
                <c:pt idx="0">
                  <c:v>263.53</c:v>
                </c:pt>
                <c:pt idx="1" c:formatCode="#,##0.00">
                  <c:v>179.74</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'[图形化2023-老池幼儿园.xlsx]Sheet1'!$B$47</c:f>
              <c:strCache>
                <c:ptCount val="1"/>
                <c:pt idx="0">
                  <c:v>（二）一般公共预算财政拨款支出决算结构情况(万元)</c:v>
                </c:pt>
              </c:strCache>
            </c:strRef>
          </c:tx>
          <c:explosion val="14"/>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'[图形化2023-老池幼儿园.xlsx]Sheet1'!$A$48:$A$51</c:f>
              <c:strCache>
                <c:ptCount val="4"/>
                <c:pt idx="0">
                  <c:v>教育支出</c:v>
                </c:pt>
                <c:pt idx="1">
                  <c:v>社会保障和就业支出</c:v>
                </c:pt>
                <c:pt idx="2">
                  <c:v>卫生健康支出</c:v>
                </c:pt>
                <c:pt idx="3">
                  <c:v>住房保障支出</c:v>
                </c:pt>
              </c:strCache>
            </c:strRef>
          </c:cat>
          <c:val>
            <c:numRef>
              <c:f>'[图形化2023-老池幼儿园.xlsx]Sheet1'!$B$48:$B$51</c:f>
              <c:numCache>
                <c:formatCode>General</c:formatCode>
                <c:ptCount val="4"/>
                <c:pt idx="0">
                  <c:v>151.69</c:v>
                </c:pt>
                <c:pt idx="1">
                  <c:v>12.77</c:v>
                </c:pt>
                <c:pt idx="2">
                  <c:v>5.65</c:v>
                </c:pt>
                <c:pt idx="3">
                  <c:v>9.63</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10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“三公”经费支出决算表（万元）</a:t>
            </a:r>
            <a:endParaRPr lang="zh-CN" altLang="en-US" sz="1600"/>
          </a:p>
        </c:rich>
      </c:tx>
      <c:layout/>
      <c:overlay val="0"/>
    </c:title>
    <c:autoTitleDeleted val="0"/>
    <c:plotArea>
      <c:layout>
        <c:manualLayout>
          <c:layoutTarget val="inner"/>
          <c:xMode val="edge"/>
          <c:yMode val="edge"/>
          <c:x val="0.146271434820647"/>
          <c:y val="0.199564270152505"/>
          <c:w val="0.42138888888889"/>
          <c:h val="0.661002178649238"/>
        </c:manualLayout>
      </c:layout>
      <c:pieChart>
        <c:varyColors val="1"/>
        <c:ser>
          <c:idx val="0"/>
          <c:order val="0"/>
          <c:tx>
            <c:strRef>
              <c:f>Sheet1!$E$32</c:f>
              <c:strCache>
                <c:ptCount val="1"/>
                <c:pt idx="0">
                  <c:v>“三公”经费支出决算表（单位：万元）</c:v>
                </c:pt>
              </c:strCache>
            </c:strRef>
          </c:tx>
          <c:explosion val="0"/>
          <c:dPt>
            <c:idx val="0"/>
            <c:bubble3D val="0"/>
          </c:dPt>
          <c:dPt>
            <c:idx val="1"/>
            <c:bubble3D val="0"/>
          </c:dPt>
          <c:dPt>
            <c:idx val="2"/>
            <c:bubble3D val="0"/>
          </c:dPt>
          <c:dPt>
            <c:idx val="3"/>
            <c:bubble3D val="0"/>
          </c:dPt>
          <c:dLbls>
            <c:delete val="1"/>
          </c:dLbls>
          <c:cat>
            <c:strRef>
              <c:f>Sheet1!$D$33:$D$36</c:f>
              <c:strCache>
                <c:ptCount val="4"/>
                <c:pt idx="0">
                  <c:v>因公出国（境）费</c:v>
                </c:pt>
                <c:pt idx="1">
                  <c:v>公务用车购置费</c:v>
                </c:pt>
                <c:pt idx="2">
                  <c:v>公务用车运行费</c:v>
                </c:pt>
                <c:pt idx="3">
                  <c:v>公务接待费</c:v>
                </c:pt>
              </c:strCache>
            </c:strRef>
          </c:cat>
          <c:val>
            <c:numRef>
              <c:f>Sheet1!$E$33:$E$36</c:f>
              <c:numCache>
                <c:formatCode>General</c:formatCode>
                <c:ptCount val="4"/>
                <c:pt idx="0">
                  <c:v>0</c:v>
                </c:pt>
                <c:pt idx="1" c:formatCode="#,##0.00">
                  <c:v>0</c:v>
                </c:pt>
                <c:pt idx="2" c:formatCode="#,##0.00_ ">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613F3-5EE9-4B66-8298-40761596270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4920</Words>
  <Characters>5374</Characters>
  <Lines>51</Lines>
  <Paragraphs>14</Paragraphs>
  <TotalTime>5</TotalTime>
  <ScaleCrop>false</ScaleCrop>
  <LinksUpToDate>false</LinksUpToDate>
  <CharactersWithSpaces>5490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2024-09-26T07:16:15Z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7E173E5EADFF4B50B2B546F3E8C479ED_12</vt:lpwstr>
  </property>
</Properties>
</file>