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1" w:name="_Toc15377193"/>
      <w:bookmarkStart w:id="2" w:name="_Toc15396475"/>
      <w:bookmarkStart w:id="3" w:name="_Toc15377425"/>
      <w:bookmarkStart w:id="4" w:name="_Toc15378441"/>
      <w:bookmarkStart w:id="5" w:name="_Toc15396597"/>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23</w:t>
      </w:r>
      <w:r>
        <w:rPr>
          <w:rFonts w:hint="eastAsia" w:ascii="黑体" w:hAnsi="黑体" w:eastAsia="黑体" w:cs="黑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s="黑体"/>
          <w:color w:val="auto"/>
          <w:sz w:val="72"/>
          <w:szCs w:val="72"/>
          <w:highlight w:val="none"/>
          <w:lang w:val="en-US" w:eastAsia="zh-CN"/>
        </w:rPr>
      </w:pPr>
      <w:bookmarkStart w:id="6" w:name="_Toc15396598"/>
      <w:bookmarkStart w:id="7" w:name="_Toc15377194"/>
      <w:bookmarkStart w:id="8" w:name="_Toc15377426"/>
      <w:bookmarkStart w:id="9" w:name="_Toc15396476"/>
      <w:bookmarkStart w:id="10" w:name="_Toc15378442"/>
      <w:r>
        <w:rPr>
          <w:rFonts w:hint="eastAsia" w:ascii="黑体" w:hAnsi="黑体" w:eastAsia="黑体" w:cs="黑体"/>
          <w:color w:val="auto"/>
          <w:sz w:val="72"/>
          <w:szCs w:val="72"/>
          <w:highlight w:val="none"/>
        </w:rPr>
        <w:t>四川省</w:t>
      </w:r>
      <w:bookmarkEnd w:id="0"/>
      <w:bookmarkStart w:id="11" w:name="_Toc15306268"/>
      <w:r>
        <w:rPr>
          <w:rFonts w:hint="eastAsia" w:ascii="黑体" w:hAnsi="黑体" w:eastAsia="黑体" w:cs="黑体"/>
          <w:color w:val="auto"/>
          <w:sz w:val="72"/>
          <w:szCs w:val="72"/>
          <w:highlight w:val="none"/>
          <w:lang w:val="en-US" w:eastAsia="zh-CN"/>
        </w:rPr>
        <w:t>遂宁市第六中学</w:t>
      </w:r>
    </w:p>
    <w:p>
      <w:pPr>
        <w:adjustRightInd w:val="0"/>
        <w:snapToGrid w:val="0"/>
        <w:spacing w:line="360" w:lineRule="auto"/>
        <w:jc w:val="center"/>
        <w:outlineLvl w:val="0"/>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lang w:eastAsia="zh-CN"/>
        </w:rPr>
        <w:t>单位</w:t>
      </w:r>
      <w:r>
        <w:rPr>
          <w:rFonts w:hint="eastAsia" w:ascii="黑体" w:hAnsi="黑体" w:eastAsia="黑体" w:cs="黑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bookmarkStart w:id="12" w:name="_Toc15396599"/>
      <w:bookmarkStart w:id="13" w:name="_Toc15377196"/>
      <w:r>
        <w:rPr>
          <w:rFonts w:hint="eastAsia" w:ascii="黑体" w:hAnsi="黑体" w:eastAsia="黑体"/>
          <w:color w:val="auto"/>
          <w:sz w:val="48"/>
          <w:szCs w:val="48"/>
          <w:highlight w:val="none"/>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rPr>
          <w:color w:val="auto"/>
          <w:highlight w:val="none"/>
        </w:rPr>
      </w:pPr>
    </w:p>
    <w:p>
      <w:pPr>
        <w:pStyle w:val="6"/>
      </w:pPr>
    </w:p>
    <w:p>
      <w:pPr>
        <w:spacing w:line="600" w:lineRule="exact"/>
        <w:jc w:val="left"/>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第一部分 单位概况</w:t>
      </w:r>
      <w:r>
        <w:rPr>
          <w:rFonts w:hint="eastAsia" w:ascii="仿宋" w:hAnsi="仿宋" w:eastAsia="仿宋" w:cs="仿宋"/>
          <w:color w:val="auto"/>
          <w:sz w:val="32"/>
          <w:szCs w:val="32"/>
          <w:highlight w:val="none"/>
          <w:lang w:val="en-US" w:eastAsia="zh-CN"/>
        </w:rPr>
        <w:t>................................. 4</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一、主要职责</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4</w:t>
      </w:r>
    </w:p>
    <w:p>
      <w:pPr>
        <w:spacing w:line="600" w:lineRule="exact"/>
        <w:jc w:val="left"/>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第二部分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年度单位决算情况说明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6</w:t>
      </w:r>
    </w:p>
    <w:p>
      <w:pPr>
        <w:spacing w:line="600" w:lineRule="exact"/>
        <w:jc w:val="left"/>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一、收入支出决算总体情况说明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......................6</w:t>
      </w:r>
    </w:p>
    <w:p>
      <w:pPr>
        <w:spacing w:line="600" w:lineRule="exact"/>
        <w:jc w:val="left"/>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二、收入决算情况说明</w:t>
      </w:r>
      <w:r>
        <w:rPr>
          <w:rFonts w:hint="eastAsia" w:ascii="仿宋" w:hAnsi="仿宋" w:eastAsia="仿宋" w:cs="仿宋"/>
          <w:color w:val="auto"/>
          <w:sz w:val="32"/>
          <w:szCs w:val="32"/>
          <w:highlight w:val="none"/>
          <w:lang w:val="en-US" w:eastAsia="zh-CN"/>
        </w:rPr>
        <w:t>.............................. 6</w:t>
      </w:r>
    </w:p>
    <w:p>
      <w:pPr>
        <w:spacing w:line="600" w:lineRule="exact"/>
        <w:jc w:val="left"/>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三、支出决算情况说明</w:t>
      </w:r>
      <w:r>
        <w:rPr>
          <w:rFonts w:hint="eastAsia" w:ascii="仿宋" w:hAnsi="仿宋" w:eastAsia="仿宋" w:cs="仿宋"/>
          <w:color w:val="auto"/>
          <w:sz w:val="32"/>
          <w:szCs w:val="32"/>
          <w:highlight w:val="none"/>
          <w:lang w:val="en-US" w:eastAsia="zh-CN"/>
        </w:rPr>
        <w:t>............................... 7</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四、财政拨款收入支出决算总体情况说明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7</w:t>
      </w:r>
    </w:p>
    <w:p>
      <w:pPr>
        <w:spacing w:line="600" w:lineRule="exact"/>
        <w:jc w:val="left"/>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五、一般公共预算财政拨款支出决算情况说明</w:t>
      </w:r>
      <w:r>
        <w:rPr>
          <w:rFonts w:hint="eastAsia" w:ascii="仿宋" w:hAnsi="仿宋" w:eastAsia="仿宋" w:cs="仿宋"/>
          <w:color w:val="auto"/>
          <w:sz w:val="32"/>
          <w:szCs w:val="32"/>
          <w:highlight w:val="none"/>
          <w:lang w:val="en-US" w:eastAsia="zh-CN"/>
        </w:rPr>
        <w:t>...........8</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10</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七、财政拨款“三公”经费支出决算情况说明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11</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八、政府性基金预算支出决算情况说明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12</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九、国有资本经营预算支出决算情况说明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12</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 其他重要事项的情况说明</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12</w:t>
      </w:r>
    </w:p>
    <w:p>
      <w:pPr>
        <w:spacing w:line="600" w:lineRule="exact"/>
        <w:jc w:val="left"/>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名词解释</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14</w:t>
      </w:r>
    </w:p>
    <w:p>
      <w:pPr>
        <w:spacing w:line="600" w:lineRule="exact"/>
        <w:jc w:val="left"/>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第四部分 附件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第五部分 附表</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23</w:t>
      </w:r>
    </w:p>
    <w:p>
      <w:pPr>
        <w:spacing w:line="600" w:lineRule="exact"/>
        <w:jc w:val="left"/>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一、收入支出决算总表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二、收入决算表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三、支出决算表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四、财政拨款收入支出决算总表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五、财政拨款支出决算明细表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 23</w:t>
      </w:r>
      <w:r>
        <w:rPr>
          <w:rFonts w:hint="eastAsia" w:ascii="仿宋" w:hAnsi="仿宋" w:eastAsia="仿宋" w:cs="仿宋"/>
          <w:color w:val="auto"/>
          <w:sz w:val="32"/>
          <w:szCs w:val="32"/>
          <w:highlight w:val="none"/>
        </w:rPr>
        <w:t>七、一般公共预算财政拨款支出决算明细表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八、一般公共预算财政拨款基本支出决算表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九、一般公共预算财政拨款项目支出决算表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十、政府性基金预算财政拨款收入支出决算表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十一、国有资本经营预算财政拨款收入支出决算表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十二、国有资本经营预算财政拨款支出决算表</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十三、财政拨款“三公”经费支出决算表</w:t>
      </w:r>
      <w:r>
        <w:rPr>
          <w:rFonts w:hint="eastAsia" w:ascii="仿宋" w:hAnsi="仿宋" w:eastAsia="仿宋" w:cs="仿宋"/>
          <w:color w:val="auto"/>
          <w:sz w:val="32"/>
          <w:szCs w:val="32"/>
          <w:highlight w:val="none"/>
          <w:lang w:val="en-US" w:eastAsia="zh-CN"/>
        </w:rPr>
        <w:t xml:space="preserve">..............23              </w:t>
      </w:r>
    </w:p>
    <w:p>
      <w:pPr>
        <w:spacing w:line="600" w:lineRule="exact"/>
        <w:jc w:val="left"/>
        <w:outlineLvl w:val="0"/>
        <w:rPr>
          <w:rFonts w:hint="eastAsia" w:ascii="仿宋" w:hAnsi="仿宋" w:eastAsia="仿宋" w:cs="仿宋"/>
          <w:color w:val="auto"/>
          <w:sz w:val="32"/>
          <w:szCs w:val="32"/>
          <w:highlight w:val="none"/>
          <w:lang w:val="en-US" w:eastAsia="zh-CN"/>
        </w:rPr>
      </w:pPr>
    </w:p>
    <w:p>
      <w:pPr>
        <w:spacing w:line="600" w:lineRule="exact"/>
        <w:jc w:val="left"/>
        <w:outlineLvl w:val="0"/>
        <w:rPr>
          <w:rFonts w:hint="eastAsia" w:ascii="仿宋" w:hAnsi="仿宋" w:eastAsia="仿宋" w:cs="仿宋"/>
          <w:color w:val="auto"/>
          <w:sz w:val="32"/>
          <w:szCs w:val="32"/>
          <w:highlight w:val="none"/>
          <w:lang w:val="en-US" w:eastAsia="zh-CN"/>
        </w:rPr>
      </w:pPr>
    </w:p>
    <w:p>
      <w:pPr>
        <w:spacing w:line="600" w:lineRule="exact"/>
        <w:jc w:val="left"/>
        <w:outlineLvl w:val="0"/>
        <w:rPr>
          <w:rFonts w:hint="eastAsia" w:ascii="仿宋" w:hAnsi="仿宋" w:eastAsia="仿宋" w:cs="仿宋"/>
          <w:color w:val="auto"/>
          <w:sz w:val="32"/>
          <w:szCs w:val="32"/>
          <w:highlight w:val="none"/>
          <w:lang w:val="en-US" w:eastAsia="zh-CN"/>
        </w:rPr>
      </w:pPr>
    </w:p>
    <w:p>
      <w:pPr>
        <w:widowControl/>
        <w:spacing w:line="440" w:lineRule="exact"/>
        <w:jc w:val="left"/>
        <w:rPr>
          <w:rFonts w:ascii="仿宋" w:hAnsi="仿宋" w:eastAsia="仿宋"/>
          <w:bCs/>
          <w:color w:val="auto"/>
          <w:kern w:val="44"/>
          <w:sz w:val="24"/>
          <w:highlight w:val="none"/>
        </w:rPr>
      </w:pPr>
    </w:p>
    <w:p>
      <w:pPr>
        <w:pStyle w:val="2"/>
        <w:jc w:val="center"/>
        <w:rPr>
          <w:rFonts w:hint="eastAsia" w:ascii="黑体" w:hAnsi="黑体" w:eastAsia="黑体"/>
          <w:b w:val="0"/>
          <w:color w:val="auto"/>
          <w:highlight w:val="none"/>
        </w:rPr>
      </w:pPr>
    </w:p>
    <w:p>
      <w:pPr>
        <w:pStyle w:val="2"/>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2"/>
        <w:pageBreakBefore w:val="0"/>
        <w:kinsoku/>
        <w:wordWrap/>
        <w:overflowPunct/>
        <w:topLinePunct w:val="0"/>
        <w:bidi w:val="0"/>
        <w:spacing w:line="560" w:lineRule="exact"/>
        <w:jc w:val="left"/>
        <w:textAlignment w:val="auto"/>
        <w:rPr>
          <w:rFonts w:hint="eastAsia" w:ascii="仿宋" w:hAnsi="仿宋" w:eastAsia="仿宋" w:cs="仿宋"/>
          <w:color w:val="000000"/>
          <w:sz w:val="28"/>
          <w:szCs w:val="28"/>
        </w:rPr>
      </w:pPr>
      <w:bookmarkStart w:id="14" w:name="_Toc15377197"/>
      <w:bookmarkStart w:id="15" w:name="_Toc15396600"/>
      <w:r>
        <w:rPr>
          <w:rStyle w:val="26"/>
          <w:rFonts w:hint="eastAsia" w:ascii="黑体" w:hAnsi="黑体" w:eastAsia="黑体"/>
          <w:b w:val="0"/>
          <w:bCs w:val="0"/>
          <w:color w:val="auto"/>
          <w:highlight w:val="none"/>
          <w:lang w:val="en-US" w:eastAsia="zh-CN"/>
        </w:rPr>
        <w:t>一、</w:t>
      </w:r>
      <w:r>
        <w:rPr>
          <w:rStyle w:val="26"/>
          <w:rFonts w:hint="eastAsia" w:ascii="黑体" w:hAnsi="黑体" w:eastAsia="黑体"/>
          <w:b w:val="0"/>
          <w:bCs w:val="0"/>
          <w:color w:val="auto"/>
          <w:highlight w:val="none"/>
          <w:lang w:eastAsia="zh-CN"/>
        </w:rPr>
        <w:t>主要职责</w:t>
      </w:r>
    </w:p>
    <w:p>
      <w:pPr>
        <w:pStyle w:val="24"/>
        <w:widowControl/>
        <w:shd w:val="clear" w:color="auto" w:fill="FFFFFF"/>
        <w:ind w:left="660" w:firstLine="0" w:firstLineChars="0"/>
        <w:jc w:val="left"/>
        <w:rPr>
          <w:rFonts w:ascii="仿宋" w:hAnsi="仿宋" w:eastAsia="仿宋" w:cs="华文楷体"/>
          <w:kern w:val="0"/>
          <w:sz w:val="32"/>
          <w:szCs w:val="32"/>
          <w:highlight w:val="none"/>
          <w:shd w:val="clear" w:color="auto" w:fill="FFFFFF"/>
        </w:rPr>
      </w:pPr>
      <w:bookmarkStart w:id="16" w:name="_Toc15396601"/>
      <w:bookmarkStart w:id="17" w:name="_Toc15377200"/>
      <w:r>
        <w:rPr>
          <w:rFonts w:hint="eastAsia" w:ascii="仿宋" w:hAnsi="仿宋" w:eastAsia="仿宋" w:cs="华文楷体"/>
          <w:kern w:val="0"/>
          <w:sz w:val="32"/>
          <w:szCs w:val="32"/>
          <w:highlight w:val="none"/>
          <w:shd w:val="clear" w:color="auto" w:fill="FFFFFF"/>
        </w:rPr>
        <w:t>1.负责贯彻党的教育方针，正确执行上级主管部门的决</w:t>
      </w:r>
    </w:p>
    <w:p>
      <w:pPr>
        <w:widowControl/>
        <w:shd w:val="clear" w:color="auto" w:fill="FFFFFF"/>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议和指示，全面实施素质教育，培养德、智、体、美等方面全面发展的社会主义事业的建设者和接班人。</w:t>
      </w:r>
    </w:p>
    <w:p>
      <w:pPr>
        <w:pStyle w:val="24"/>
        <w:widowControl/>
        <w:shd w:val="clear" w:color="auto" w:fill="FFFFFF"/>
        <w:ind w:left="660" w:firstLine="0" w:firstLineChars="0"/>
        <w:jc w:val="left"/>
        <w:rPr>
          <w:rFonts w:ascii="仿宋" w:hAnsi="仿宋" w:eastAsia="仿宋" w:cs="华文楷体"/>
          <w:kern w:val="0"/>
          <w:sz w:val="32"/>
          <w:szCs w:val="32"/>
          <w:highlight w:val="none"/>
          <w:shd w:val="clear" w:color="auto" w:fill="FFFFFF"/>
        </w:rPr>
      </w:pPr>
      <w:r>
        <w:rPr>
          <w:rFonts w:hint="eastAsia" w:ascii="仿宋" w:hAnsi="仿宋" w:eastAsia="仿宋" w:cs="华文楷体"/>
          <w:kern w:val="0"/>
          <w:sz w:val="32"/>
          <w:szCs w:val="32"/>
          <w:highlight w:val="none"/>
          <w:shd w:val="clear" w:color="auto" w:fill="FFFFFF"/>
        </w:rPr>
        <w:t>2.根据教育规律、社会要求和学校实际，组织制定学校</w:t>
      </w:r>
    </w:p>
    <w:p>
      <w:pPr>
        <w:widowControl/>
        <w:shd w:val="clear" w:color="auto" w:fill="FFFFFF"/>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发展的远景规划、近期目标、学年和学期各项工作计划以及各项工作指标并组织实施。</w:t>
      </w:r>
    </w:p>
    <w:p>
      <w:pPr>
        <w:widowControl/>
        <w:shd w:val="clear" w:color="auto" w:fill="FFFFFF"/>
        <w:ind w:firstLine="800" w:firstLineChars="250"/>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3.负责领导和组织学校的教学工作，坚持以教学为中心，保证教学计划的贯彻执行。大力推进学校改革，加强科研工作的组织领导。</w:t>
      </w:r>
    </w:p>
    <w:p>
      <w:pPr>
        <w:widowControl/>
        <w:shd w:val="clear" w:color="auto" w:fill="FFFFFF"/>
        <w:ind w:firstLine="800" w:firstLineChars="250"/>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4.加强学校的科学化管理，制定和健全各项规章制度，规范办学行为，培养良好校风，逐步实现管理决策的科学化，管理方法的定量化和管理手段的现代化。</w:t>
      </w:r>
    </w:p>
    <w:p>
      <w:pPr>
        <w:widowControl/>
        <w:shd w:val="clear" w:color="auto" w:fill="FFFFFF"/>
        <w:ind w:firstLine="640" w:firstLineChars="200"/>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5.负责教师队伍建设工作，制定教师队伍建设计划，不断提高他们的政治素质、文化业务水平和科研水平。</w:t>
      </w:r>
    </w:p>
    <w:p>
      <w:pPr>
        <w:widowControl/>
        <w:shd w:val="clear" w:color="auto" w:fill="FFFFFF"/>
        <w:ind w:firstLine="640" w:firstLineChars="200"/>
        <w:jc w:val="left"/>
        <w:rPr>
          <w:rFonts w:ascii="仿宋" w:hAnsi="仿宋" w:eastAsia="仿宋" w:cs="华文楷体"/>
          <w:sz w:val="32"/>
          <w:szCs w:val="32"/>
          <w:highlight w:val="none"/>
        </w:rPr>
      </w:pPr>
      <w:r>
        <w:rPr>
          <w:rFonts w:hint="eastAsia" w:ascii="仿宋" w:hAnsi="仿宋" w:eastAsia="仿宋" w:cs="华文楷体"/>
          <w:kern w:val="0"/>
          <w:sz w:val="32"/>
          <w:szCs w:val="32"/>
          <w:highlight w:val="none"/>
          <w:shd w:val="clear" w:color="auto" w:fill="FFFFFF"/>
        </w:rPr>
        <w:t>6.领导和组织学校的思想政治工作，把德育放在首位。教育全体教职工做到教书育人、管理育人、服务育人、搞好学校、社会、家庭三结合教育。</w:t>
      </w:r>
    </w:p>
    <w:p>
      <w:pPr>
        <w:widowControl/>
        <w:shd w:val="clear" w:color="auto" w:fill="FFFFFF"/>
        <w:ind w:firstLine="640" w:firstLineChars="200"/>
        <w:jc w:val="left"/>
        <w:rPr>
          <w:rFonts w:ascii="仿宋" w:hAnsi="仿宋" w:eastAsia="仿宋" w:cs="华文楷体"/>
          <w:kern w:val="0"/>
          <w:sz w:val="32"/>
          <w:szCs w:val="32"/>
          <w:highlight w:val="none"/>
          <w:shd w:val="clear" w:color="auto" w:fill="FFFFFF"/>
        </w:rPr>
      </w:pPr>
      <w:r>
        <w:rPr>
          <w:rFonts w:hint="eastAsia" w:ascii="仿宋" w:hAnsi="仿宋" w:eastAsia="仿宋" w:cs="华文楷体"/>
          <w:kern w:val="0"/>
          <w:sz w:val="32"/>
          <w:szCs w:val="32"/>
          <w:highlight w:val="none"/>
          <w:shd w:val="clear" w:color="auto" w:fill="FFFFFF"/>
        </w:rPr>
        <w:t>7.组织制定和实施校舍建设和校园建设规划，加强对财务工作的领导，正确使用各项经费，不断改善办学条件，强化安全管理工作及安全保卫工作，创造良好的育人环境。</w:t>
      </w:r>
    </w:p>
    <w:p>
      <w:pPr>
        <w:pStyle w:val="3"/>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16"/>
      <w:bookmarkEnd w:id="17"/>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四川省遂宁市第六中学属遂宁市船山区教育和体育局下属二级单位，本单位无下属预算单位。</w:t>
      </w:r>
    </w:p>
    <w:bookmarkEnd w:id="14"/>
    <w:bookmarkEnd w:id="15"/>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br w:type="page"/>
      </w:r>
    </w:p>
    <w:p>
      <w:pPr>
        <w:pStyle w:val="2"/>
        <w:ind w:right="440"/>
        <w:jc w:val="center"/>
        <w:rPr>
          <w:color w:val="auto"/>
          <w:highlight w:val="none"/>
        </w:rPr>
      </w:pPr>
      <w:bookmarkStart w:id="18" w:name="_Toc15377204"/>
      <w:bookmarkStart w:id="19"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8"/>
      <w:bookmarkEnd w:id="19"/>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0" w:name="_Toc15377205"/>
      <w:bookmarkStart w:id="21"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0"/>
      <w:bookmarkEnd w:id="21"/>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8144.55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减少293.09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下降3.47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r>
        <w:rPr>
          <w:rFonts w:hint="eastAsia" w:ascii="仿宋" w:hAnsi="仿宋" w:eastAsia="仿宋"/>
          <w:color w:val="auto"/>
          <w:sz w:val="32"/>
          <w:szCs w:val="32"/>
          <w:highlight w:val="none"/>
          <w:lang w:eastAsia="zh-CN"/>
        </w:rPr>
        <w:t>。</w:t>
      </w:r>
    </w:p>
    <w:p>
      <w:pPr>
        <w:rPr>
          <w:rFonts w:hint="eastAsia" w:ascii="仿宋" w:hAnsi="仿宋" w:eastAsia="仿宋"/>
          <w:color w:val="auto"/>
          <w:sz w:val="32"/>
          <w:szCs w:val="32"/>
          <w:highlight w:val="none"/>
          <w:lang w:eastAsia="zh-CN"/>
        </w:rPr>
      </w:pPr>
      <w:r>
        <w:drawing>
          <wp:inline distT="0" distB="0" distL="114300" distR="114300">
            <wp:extent cx="3001645" cy="1999615"/>
            <wp:effectExtent l="4445" t="4445" r="2286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2" w:name="_Toc15396604"/>
      <w:bookmarkStart w:id="23"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7927.46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7001.81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88.32</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485.9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439.76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rPr>
          <w:rFonts w:hint="eastAsia"/>
        </w:rPr>
      </w:pPr>
      <w:r>
        <w:drawing>
          <wp:inline distT="0" distB="0" distL="114300" distR="114300">
            <wp:extent cx="3021965" cy="2305050"/>
            <wp:effectExtent l="4445" t="4445" r="21590" b="14605"/>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4" w:name="_Toc15377207"/>
      <w:bookmarkStart w:id="25"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4"/>
      <w:bookmarkEnd w:id="25"/>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7966.99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6760.78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84.86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1206.21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15.14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5"/>
        <w:rPr>
          <w:rFonts w:hint="eastAsia" w:ascii="仿宋" w:hAnsi="仿宋" w:eastAsia="仿宋"/>
          <w:color w:val="auto"/>
          <w:sz w:val="32"/>
          <w:szCs w:val="32"/>
          <w:highlight w:val="none"/>
        </w:rPr>
      </w:pPr>
      <w:r>
        <w:drawing>
          <wp:inline distT="0" distB="0" distL="114300" distR="114300">
            <wp:extent cx="2991485" cy="2447925"/>
            <wp:effectExtent l="4445" t="4445" r="1397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6"/>
          <w:rFonts w:ascii="黑体" w:hAnsi="黑体" w:eastAsia="黑体"/>
          <w:b w:val="0"/>
          <w:color w:val="auto"/>
          <w:highlight w:val="none"/>
        </w:rPr>
      </w:pPr>
      <w:bookmarkStart w:id="26" w:name="_Toc15396606"/>
      <w:bookmarkStart w:id="27"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6"/>
      <w:bookmarkEnd w:id="2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年财政拨款收、支总计7</w:t>
      </w:r>
      <w:r>
        <w:rPr>
          <w:rFonts w:hint="eastAsia" w:ascii="仿宋" w:hAnsi="仿宋" w:eastAsia="仿宋"/>
          <w:color w:val="auto"/>
          <w:sz w:val="32"/>
          <w:szCs w:val="32"/>
          <w:highlight w:val="none"/>
          <w:lang w:val="en-US" w:eastAsia="zh-CN"/>
        </w:rPr>
        <w:t>001.81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减少612.66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下降8.05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p>
    <w:p>
      <w:pPr>
        <w:pStyle w:val="5"/>
        <w:rPr>
          <w:rFonts w:ascii="仿宋" w:hAnsi="仿宋" w:eastAsia="仿宋"/>
          <w:color w:val="auto"/>
          <w:sz w:val="32"/>
          <w:szCs w:val="32"/>
          <w:highlight w:val="none"/>
        </w:rPr>
      </w:pPr>
      <w:r>
        <w:drawing>
          <wp:inline distT="0" distB="0" distL="114300" distR="114300">
            <wp:extent cx="2839085" cy="2276475"/>
            <wp:effectExtent l="4445" t="4445" r="1397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6"/>
          <w:rFonts w:ascii="黑体" w:hAnsi="黑体" w:eastAsia="黑体"/>
          <w:b w:val="0"/>
          <w:color w:val="auto"/>
          <w:highlight w:val="none"/>
        </w:rPr>
      </w:pPr>
      <w:bookmarkStart w:id="28" w:name="_Toc15396607"/>
      <w:bookmarkStart w:id="29"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8"/>
      <w:bookmarkEnd w:id="29"/>
    </w:p>
    <w:p>
      <w:pPr>
        <w:spacing w:line="600" w:lineRule="exact"/>
        <w:ind w:firstLine="643" w:firstLineChars="200"/>
        <w:outlineLvl w:val="2"/>
        <w:rPr>
          <w:rFonts w:ascii="仿宋" w:hAnsi="仿宋" w:eastAsia="仿宋"/>
          <w:b/>
          <w:color w:val="auto"/>
          <w:sz w:val="32"/>
          <w:szCs w:val="32"/>
          <w:highlight w:val="none"/>
        </w:rPr>
      </w:pPr>
      <w:bookmarkStart w:id="30" w:name="_Toc15377210"/>
      <w:r>
        <w:rPr>
          <w:rFonts w:hint="eastAsia" w:ascii="仿宋" w:hAnsi="仿宋" w:eastAsia="仿宋"/>
          <w:b/>
          <w:color w:val="auto"/>
          <w:sz w:val="32"/>
          <w:szCs w:val="32"/>
          <w:highlight w:val="none"/>
        </w:rPr>
        <w:t>（一）一般公共预算财政拨款支出决算总体情况</w:t>
      </w:r>
      <w:bookmarkEnd w:id="30"/>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年一般公共预算财政拨款支出7</w:t>
      </w:r>
      <w:r>
        <w:rPr>
          <w:rFonts w:hint="eastAsia" w:ascii="仿宋" w:hAnsi="仿宋" w:eastAsia="仿宋"/>
          <w:color w:val="auto"/>
          <w:sz w:val="32"/>
          <w:szCs w:val="32"/>
          <w:highlight w:val="none"/>
          <w:lang w:val="en-US" w:eastAsia="zh-CN"/>
        </w:rPr>
        <w:t>001.81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减少612.66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下降8.05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人员减少，相关人员经费减少。</w:t>
      </w:r>
    </w:p>
    <w:p>
      <w:pPr>
        <w:pStyle w:val="5"/>
        <w:rPr>
          <w:rFonts w:hint="eastAsia" w:ascii="仿宋" w:hAnsi="仿宋" w:eastAsia="仿宋"/>
          <w:color w:val="auto"/>
          <w:sz w:val="32"/>
          <w:szCs w:val="32"/>
          <w:highlight w:val="none"/>
        </w:rPr>
      </w:pPr>
      <w:r>
        <w:drawing>
          <wp:inline distT="0" distB="0" distL="114300" distR="114300">
            <wp:extent cx="2848610" cy="2143125"/>
            <wp:effectExtent l="4445" t="4445" r="2349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31" w:name="_Toc15377211"/>
      <w:r>
        <w:rPr>
          <w:rFonts w:hint="eastAsia" w:ascii="仿宋" w:hAnsi="仿宋" w:eastAsia="仿宋"/>
          <w:b/>
          <w:color w:val="auto"/>
          <w:sz w:val="32"/>
          <w:szCs w:val="32"/>
          <w:highlight w:val="none"/>
        </w:rPr>
        <w:t>（二）一般公共预算财政拨款支出决算结构情况</w:t>
      </w:r>
      <w:bookmarkEnd w:id="3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7001.81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农林水支出</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31.99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5331.73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787.44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300.15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495.49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7.08</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lang w:val="en-US" w:eastAsia="zh-CN"/>
        </w:rPr>
        <w:t>城乡社区</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55.01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pPr>
      <w:r>
        <w:drawing>
          <wp:inline distT="0" distB="0" distL="114300" distR="114300">
            <wp:extent cx="3494405" cy="2628900"/>
            <wp:effectExtent l="4445" t="4445" r="6350"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2" w:name="_Toc15377212"/>
      <w:r>
        <w:rPr>
          <w:rFonts w:hint="eastAsia" w:ascii="仿宋" w:hAnsi="仿宋" w:eastAsia="仿宋"/>
          <w:b/>
          <w:color w:val="auto"/>
          <w:sz w:val="32"/>
          <w:szCs w:val="32"/>
          <w:highlight w:val="none"/>
        </w:rPr>
        <w:t>（三）一般公共预算财政拨款支出决算具体情况</w:t>
      </w:r>
      <w:bookmarkEnd w:id="32"/>
    </w:p>
    <w:p>
      <w:pPr>
        <w:spacing w:line="600" w:lineRule="exact"/>
        <w:ind w:firstLine="640" w:firstLineChars="200"/>
        <w:outlineLvl w:val="2"/>
        <w:rPr>
          <w:rFonts w:ascii="仿宋" w:hAnsi="仿宋" w:eastAsia="仿宋"/>
          <w:b w:val="0"/>
          <w:bCs/>
          <w:color w:val="auto"/>
          <w:sz w:val="32"/>
          <w:szCs w:val="32"/>
          <w:highlight w:val="none"/>
        </w:rPr>
      </w:pPr>
      <w:bookmarkStart w:id="33" w:name="_Toc15377444"/>
      <w:bookmarkStart w:id="34" w:name="_Toc15378460"/>
      <w:bookmarkStart w:id="35" w:name="_Toc15377213"/>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7001.81万元</w:t>
      </w:r>
      <w:r>
        <w:rPr>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。其中：</w:t>
      </w:r>
      <w:bookmarkEnd w:id="33"/>
      <w:bookmarkEnd w:id="34"/>
      <w:bookmarkEnd w:id="35"/>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教育（类）</w:t>
      </w:r>
      <w:r>
        <w:rPr>
          <w:rStyle w:val="15"/>
          <w:rFonts w:hint="eastAsia" w:ascii="仿宋" w:hAnsi="仿宋" w:eastAsia="仿宋"/>
          <w:b w:val="0"/>
          <w:bCs/>
          <w:color w:val="auto"/>
          <w:sz w:val="32"/>
          <w:szCs w:val="32"/>
          <w:highlight w:val="none"/>
          <w:lang w:eastAsia="zh-CN"/>
        </w:rPr>
        <w:t>普通教育</w:t>
      </w:r>
      <w:r>
        <w:rPr>
          <w:rStyle w:val="15"/>
          <w:rFonts w:hint="eastAsia" w:ascii="仿宋" w:hAnsi="仿宋" w:eastAsia="仿宋"/>
          <w:b w:val="0"/>
          <w:bCs/>
          <w:color w:val="auto"/>
          <w:sz w:val="32"/>
          <w:szCs w:val="32"/>
          <w:highlight w:val="none"/>
        </w:rPr>
        <w:t>（款）</w:t>
      </w:r>
      <w:r>
        <w:rPr>
          <w:rStyle w:val="15"/>
          <w:rFonts w:hint="eastAsia" w:ascii="仿宋" w:hAnsi="仿宋" w:eastAsia="仿宋"/>
          <w:b w:val="0"/>
          <w:bCs/>
          <w:color w:val="auto"/>
          <w:sz w:val="32"/>
          <w:szCs w:val="32"/>
          <w:highlight w:val="none"/>
          <w:lang w:eastAsia="zh-CN"/>
        </w:rPr>
        <w:t>初中教育</w:t>
      </w:r>
      <w:r>
        <w:rPr>
          <w:rStyle w:val="15"/>
          <w:rFonts w:hint="eastAsia" w:ascii="仿宋" w:hAnsi="仿宋" w:eastAsia="仿宋"/>
          <w:b w:val="0"/>
          <w:bCs/>
          <w:color w:val="auto"/>
          <w:sz w:val="32"/>
          <w:szCs w:val="32"/>
          <w:highlight w:val="none"/>
        </w:rPr>
        <w:t>（项）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2785.27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pStyle w:val="5"/>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教育（类）</w:t>
      </w:r>
      <w:r>
        <w:rPr>
          <w:rStyle w:val="15"/>
          <w:rFonts w:hint="eastAsia" w:ascii="仿宋" w:hAnsi="仿宋" w:eastAsia="仿宋"/>
          <w:b w:val="0"/>
          <w:bCs/>
          <w:color w:val="auto"/>
          <w:sz w:val="32"/>
          <w:szCs w:val="32"/>
          <w:highlight w:val="none"/>
          <w:lang w:eastAsia="zh-CN"/>
        </w:rPr>
        <w:t>普通教育</w:t>
      </w:r>
      <w:r>
        <w:rPr>
          <w:rStyle w:val="15"/>
          <w:rFonts w:hint="eastAsia" w:ascii="仿宋" w:hAnsi="仿宋" w:eastAsia="仿宋"/>
          <w:b w:val="0"/>
          <w:bCs/>
          <w:color w:val="auto"/>
          <w:sz w:val="32"/>
          <w:szCs w:val="32"/>
          <w:highlight w:val="none"/>
        </w:rPr>
        <w:t>（款）</w:t>
      </w:r>
      <w:r>
        <w:rPr>
          <w:rStyle w:val="15"/>
          <w:rFonts w:hint="eastAsia" w:ascii="仿宋" w:hAnsi="仿宋" w:eastAsia="仿宋"/>
          <w:b w:val="0"/>
          <w:bCs/>
          <w:color w:val="auto"/>
          <w:sz w:val="32"/>
          <w:szCs w:val="32"/>
          <w:highlight w:val="none"/>
          <w:lang w:eastAsia="zh-CN"/>
        </w:rPr>
        <w:t>高中教育</w:t>
      </w:r>
      <w:r>
        <w:rPr>
          <w:rStyle w:val="15"/>
          <w:rFonts w:hint="eastAsia" w:ascii="仿宋" w:hAnsi="仿宋" w:eastAsia="仿宋"/>
          <w:b w:val="0"/>
          <w:bCs/>
          <w:color w:val="auto"/>
          <w:sz w:val="32"/>
          <w:szCs w:val="32"/>
          <w:highlight w:val="none"/>
        </w:rPr>
        <w:t>（项）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支出决算为2546.45万元，完成预算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3</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社会保障和就业（类）行政事业单位养老支出（款）行政单位离退休（项）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4.75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4.</w:t>
      </w:r>
      <w:r>
        <w:rPr>
          <w:rStyle w:val="15"/>
          <w:rFonts w:hint="eastAsia" w:ascii="仿宋" w:hAnsi="仿宋" w:eastAsia="仿宋"/>
          <w:b w:val="0"/>
          <w:bCs/>
          <w:color w:val="auto"/>
          <w:sz w:val="32"/>
          <w:szCs w:val="32"/>
          <w:highlight w:val="none"/>
        </w:rPr>
        <w:t>社会保障和就业（类）行政事业单位养老支出（款）机关事业单位基本养老保险缴费支出（项）</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580.01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pStyle w:val="6"/>
        <w:ind w:firstLine="640" w:firstLineChars="200"/>
        <w:rPr>
          <w:rFonts w:hint="eastAsia"/>
        </w:rPr>
      </w:pPr>
      <w:r>
        <w:rPr>
          <w:rStyle w:val="15"/>
          <w:rFonts w:hint="eastAsia" w:ascii="仿宋" w:hAnsi="仿宋" w:eastAsia="仿宋"/>
          <w:b w:val="0"/>
          <w:bCs/>
          <w:color w:val="auto"/>
          <w:sz w:val="32"/>
          <w:szCs w:val="32"/>
          <w:highlight w:val="none"/>
          <w:lang w:val="en-US" w:eastAsia="zh-CN"/>
        </w:rPr>
        <w:t>5</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社会保障和就业（类）行政事业单位养老支出（款）机关事业单位</w:t>
      </w:r>
      <w:r>
        <w:rPr>
          <w:rStyle w:val="15"/>
          <w:rFonts w:hint="eastAsia" w:ascii="仿宋" w:hAnsi="仿宋" w:eastAsia="仿宋"/>
          <w:b w:val="0"/>
          <w:bCs/>
          <w:color w:val="auto"/>
          <w:sz w:val="32"/>
          <w:szCs w:val="32"/>
          <w:highlight w:val="none"/>
          <w:lang w:val="en-US" w:eastAsia="zh-CN"/>
        </w:rPr>
        <w:t>职业年金</w:t>
      </w:r>
      <w:r>
        <w:rPr>
          <w:rStyle w:val="15"/>
          <w:rFonts w:hint="eastAsia" w:ascii="仿宋" w:hAnsi="仿宋" w:eastAsia="仿宋"/>
          <w:b w:val="0"/>
          <w:bCs/>
          <w:color w:val="auto"/>
          <w:sz w:val="32"/>
          <w:szCs w:val="32"/>
          <w:highlight w:val="none"/>
        </w:rPr>
        <w:t>缴费支出（项）</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118.42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6.</w:t>
      </w:r>
      <w:r>
        <w:rPr>
          <w:rStyle w:val="15"/>
          <w:rFonts w:hint="eastAsia" w:ascii="仿宋" w:hAnsi="仿宋" w:eastAsia="仿宋"/>
          <w:b w:val="0"/>
          <w:bCs/>
          <w:color w:val="auto"/>
          <w:sz w:val="32"/>
          <w:szCs w:val="32"/>
          <w:highlight w:val="none"/>
        </w:rPr>
        <w:t>社会保障和就业（类）抚恤（款）死亡抚恤（项）</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18.75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7.</w:t>
      </w:r>
      <w:r>
        <w:rPr>
          <w:rStyle w:val="15"/>
          <w:rFonts w:hint="eastAsia" w:ascii="仿宋" w:hAnsi="仿宋" w:eastAsia="仿宋"/>
          <w:b w:val="0"/>
          <w:bCs/>
          <w:color w:val="auto"/>
          <w:sz w:val="32"/>
          <w:szCs w:val="32"/>
          <w:highlight w:val="none"/>
        </w:rPr>
        <w:t>社会保障和就业（类）残疾人事业（款）残疾人就业（项）</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40.76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Fonts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8.</w:t>
      </w:r>
      <w:r>
        <w:rPr>
          <w:rStyle w:val="15"/>
          <w:rFonts w:hint="eastAsia" w:ascii="仿宋" w:hAnsi="仿宋" w:eastAsia="仿宋"/>
          <w:b w:val="0"/>
          <w:bCs/>
          <w:color w:val="auto"/>
          <w:sz w:val="32"/>
          <w:szCs w:val="32"/>
          <w:highlight w:val="none"/>
        </w:rPr>
        <w:t>社会保障和就业（类）其他社会保障和就业支出（款）其他社会保障和就业支出（项）</w:t>
      </w:r>
      <w:r>
        <w:rPr>
          <w:rStyle w:val="15"/>
          <w:rFonts w:hint="eastAsia" w:ascii="仿宋" w:hAnsi="仿宋" w:eastAsia="仿宋"/>
          <w:b w:val="0"/>
          <w:bCs/>
          <w:color w:val="auto"/>
          <w:sz w:val="32"/>
          <w:szCs w:val="32"/>
          <w:highlight w:val="none"/>
          <w:lang w:eastAsia="zh-CN"/>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24.74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9</w:t>
      </w:r>
      <w:r>
        <w:rPr>
          <w:rStyle w:val="15"/>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w:t>
      </w:r>
      <w:r>
        <w:rPr>
          <w:rStyle w:val="15"/>
          <w:rFonts w:hint="eastAsia" w:ascii="仿宋" w:hAnsi="仿宋" w:eastAsia="仿宋"/>
          <w:b w:val="0"/>
          <w:bCs/>
          <w:color w:val="auto"/>
          <w:sz w:val="32"/>
          <w:szCs w:val="32"/>
          <w:highlight w:val="none"/>
        </w:rPr>
        <w:t>（类）行政事业单位医疗（款）事业单位医疗（项）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231.60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10</w:t>
      </w:r>
      <w:r>
        <w:rPr>
          <w:rStyle w:val="15"/>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w:t>
      </w:r>
      <w:r>
        <w:rPr>
          <w:rStyle w:val="15"/>
          <w:rFonts w:hint="eastAsia" w:ascii="仿宋" w:hAnsi="仿宋" w:eastAsia="仿宋"/>
          <w:b w:val="0"/>
          <w:bCs/>
          <w:color w:val="auto"/>
          <w:sz w:val="32"/>
          <w:szCs w:val="32"/>
          <w:highlight w:val="none"/>
        </w:rPr>
        <w:t>（类）行政事业单位医疗（款）公务员医疗补助（项）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68.55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11</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val="en-US" w:eastAsia="zh-CN"/>
        </w:rPr>
        <w:t>城乡社区（类）其他城乡社区（款）其他城乡社区（项）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55.01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12</w:t>
      </w:r>
      <w:r>
        <w:rPr>
          <w:rStyle w:val="15"/>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w:t>
      </w:r>
      <w:r>
        <w:rPr>
          <w:rStyle w:val="15"/>
          <w:rFonts w:hint="eastAsia" w:ascii="仿宋" w:hAnsi="仿宋" w:eastAsia="仿宋"/>
          <w:b w:val="0"/>
          <w:bCs/>
          <w:color w:val="auto"/>
          <w:sz w:val="32"/>
          <w:szCs w:val="32"/>
          <w:highlight w:val="none"/>
        </w:rPr>
        <w:t>（类）住房改革（款）住房公积金（项）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495.49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color w:val="auto"/>
          <w:sz w:val="32"/>
          <w:szCs w:val="32"/>
          <w:highlight w:val="none"/>
          <w:lang w:val="en-US" w:eastAsia="zh-CN"/>
        </w:rPr>
        <w:t>13.农林水（类）巩固拓展脱贫攻坚成果衔接乡村振兴（款）其他巩固拓展脱贫攻坚成果衔接乡村振兴（项）</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31.99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tabs>
          <w:tab w:val="right" w:pos="8306"/>
        </w:tabs>
        <w:spacing w:line="600" w:lineRule="exact"/>
        <w:ind w:firstLine="640" w:firstLineChars="200"/>
        <w:outlineLvl w:val="1"/>
        <w:rPr>
          <w:rStyle w:val="26"/>
          <w:color w:val="auto"/>
          <w:highlight w:val="none"/>
        </w:rPr>
      </w:pPr>
      <w:bookmarkStart w:id="36" w:name="_Toc15396608"/>
      <w:bookmarkStart w:id="3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6"/>
      <w:bookmarkEnd w:id="37"/>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6260.62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5848.73</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val="en-US" w:eastAsia="zh-CN"/>
        </w:rPr>
        <w:t>职业年金缴费、</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eastAsia="zh-CN"/>
        </w:rPr>
        <w:t>、抚恤金、其他对个人和家庭的补助</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411.09</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、印刷费、物业管理费、</w:t>
      </w:r>
      <w:r>
        <w:rPr>
          <w:rFonts w:hint="eastAsia" w:ascii="仿宋" w:hAnsi="仿宋" w:eastAsia="仿宋"/>
          <w:color w:val="auto"/>
          <w:sz w:val="32"/>
          <w:szCs w:val="32"/>
          <w:highlight w:val="none"/>
        </w:rPr>
        <w:t>水费、电费、差旅费</w:t>
      </w:r>
      <w:r>
        <w:rPr>
          <w:rFonts w:hint="eastAsia" w:ascii="仿宋" w:hAnsi="仿宋" w:eastAsia="仿宋"/>
          <w:color w:val="auto"/>
          <w:sz w:val="32"/>
          <w:szCs w:val="32"/>
          <w:highlight w:val="none"/>
          <w:lang w:eastAsia="zh-CN"/>
        </w:rPr>
        <w:t>、维修（护）费、</w:t>
      </w:r>
      <w:r>
        <w:rPr>
          <w:rFonts w:hint="eastAsia" w:ascii="仿宋" w:hAnsi="仿宋" w:eastAsia="仿宋"/>
          <w:color w:val="auto"/>
          <w:sz w:val="32"/>
          <w:szCs w:val="32"/>
          <w:highlight w:val="none"/>
          <w:lang w:val="en-US" w:eastAsia="zh-CN"/>
        </w:rPr>
        <w:t>租赁费、</w:t>
      </w:r>
      <w:r>
        <w:rPr>
          <w:rFonts w:hint="eastAsia" w:ascii="仿宋" w:hAnsi="仿宋" w:eastAsia="仿宋"/>
          <w:color w:val="auto"/>
          <w:sz w:val="32"/>
          <w:szCs w:val="32"/>
          <w:highlight w:val="none"/>
          <w:lang w:eastAsia="zh-CN"/>
        </w:rPr>
        <w:t>培训费、专用材料费、劳务费、</w:t>
      </w:r>
      <w:r>
        <w:rPr>
          <w:rFonts w:hint="eastAsia" w:ascii="仿宋" w:hAnsi="仿宋" w:eastAsia="仿宋"/>
          <w:color w:val="auto"/>
          <w:sz w:val="32"/>
          <w:szCs w:val="32"/>
          <w:highlight w:val="none"/>
        </w:rPr>
        <w:t>福利费、其他交通费用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其他商品和服务支出等。</w:t>
      </w:r>
    </w:p>
    <w:p>
      <w:pPr>
        <w:spacing w:line="600" w:lineRule="exact"/>
        <w:ind w:firstLine="640"/>
        <w:outlineLvl w:val="1"/>
        <w:rPr>
          <w:rStyle w:val="26"/>
          <w:rFonts w:ascii="黑体" w:hAnsi="黑体" w:eastAsia="黑体"/>
          <w:b w:val="0"/>
          <w:color w:val="auto"/>
          <w:highlight w:val="none"/>
        </w:rPr>
      </w:pPr>
      <w:bookmarkStart w:id="38" w:name="_Toc15396609"/>
      <w:bookmarkStart w:id="39" w:name="_Toc1537721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38"/>
      <w:bookmarkEnd w:id="39"/>
    </w:p>
    <w:p>
      <w:pPr>
        <w:spacing w:line="600" w:lineRule="exact"/>
        <w:ind w:firstLine="640"/>
        <w:outlineLvl w:val="2"/>
        <w:rPr>
          <w:rFonts w:ascii="仿宋" w:hAnsi="仿宋" w:eastAsia="仿宋"/>
          <w:b/>
          <w:color w:val="auto"/>
          <w:sz w:val="32"/>
          <w:szCs w:val="32"/>
          <w:highlight w:val="none"/>
        </w:rPr>
      </w:pPr>
      <w:bookmarkStart w:id="40" w:name="_Toc15377216"/>
      <w:r>
        <w:rPr>
          <w:rFonts w:hint="eastAsia" w:ascii="仿宋" w:hAnsi="仿宋" w:eastAsia="仿宋"/>
          <w:b/>
          <w:color w:val="auto"/>
          <w:sz w:val="32"/>
          <w:szCs w:val="32"/>
          <w:highlight w:val="none"/>
        </w:rPr>
        <w:t>（一）“三公”经费财政拨款支出决算总体情况说明</w:t>
      </w:r>
      <w:bookmarkEnd w:id="4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 w:hAnsi="仿宋" w:eastAsia="仿宋"/>
          <w:color w:val="auto"/>
          <w:sz w:val="32"/>
          <w:szCs w:val="32"/>
          <w:highlight w:val="none"/>
        </w:rPr>
        <w:t>因公出国（境）支出决算比20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年增加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学校2022年、2023年均未安排人员出国（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。公务用车购置及运行维护费支出决算比20</w:t>
      </w:r>
      <w:r>
        <w:rPr>
          <w:rStyle w:val="15"/>
          <w:rFonts w:hint="eastAsia" w:ascii="仿宋" w:hAnsi="仿宋" w:eastAsia="仿宋"/>
          <w:b w:val="0"/>
          <w:bCs/>
          <w:color w:val="auto"/>
          <w:sz w:val="32"/>
          <w:szCs w:val="32"/>
          <w:highlight w:val="none"/>
          <w:lang w:val="en-US" w:eastAsia="zh-CN"/>
        </w:rPr>
        <w:t>22</w:t>
      </w:r>
      <w:r>
        <w:rPr>
          <w:rStyle w:val="15"/>
          <w:rFonts w:hint="eastAsia" w:ascii="仿宋" w:hAnsi="仿宋" w:eastAsia="仿宋"/>
          <w:b w:val="0"/>
          <w:bCs/>
          <w:color w:val="auto"/>
          <w:sz w:val="32"/>
          <w:szCs w:val="32"/>
          <w:highlight w:val="none"/>
        </w:rPr>
        <w:t>年增加</w:t>
      </w:r>
      <w:r>
        <w:rPr>
          <w:rStyle w:val="15"/>
          <w:rFonts w:hint="eastAsia" w:ascii="仿宋" w:hAnsi="仿宋" w:eastAsia="仿宋"/>
          <w:b w:val="0"/>
          <w:bCs/>
          <w:color w:val="auto"/>
          <w:sz w:val="32"/>
          <w:szCs w:val="32"/>
          <w:highlight w:val="none"/>
          <w:lang w:val="en-US" w:eastAsia="zh-CN"/>
        </w:rPr>
        <w:t>0</w:t>
      </w:r>
      <w:r>
        <w:rPr>
          <w:rStyle w:val="15"/>
          <w:rFonts w:hint="eastAsia" w:ascii="仿宋" w:hAnsi="仿宋" w:eastAsia="仿宋"/>
          <w:b w:val="0"/>
          <w:bCs/>
          <w:color w:val="auto"/>
          <w:sz w:val="32"/>
          <w:szCs w:val="32"/>
          <w:highlight w:val="none"/>
        </w:rPr>
        <w:t>万元，增长</w:t>
      </w:r>
      <w:r>
        <w:rPr>
          <w:rStyle w:val="15"/>
          <w:rFonts w:hint="eastAsia" w:ascii="仿宋" w:hAnsi="仿宋" w:eastAsia="仿宋"/>
          <w:b w:val="0"/>
          <w:bCs/>
          <w:color w:val="auto"/>
          <w:sz w:val="32"/>
          <w:szCs w:val="32"/>
          <w:highlight w:val="none"/>
          <w:lang w:val="en-US" w:eastAsia="zh-CN"/>
        </w:rPr>
        <w:t>0</w:t>
      </w:r>
      <w:r>
        <w:rPr>
          <w:rStyle w:val="15"/>
          <w:rFonts w:hint="eastAsia" w:ascii="仿宋" w:hAnsi="仿宋" w:eastAsia="仿宋"/>
          <w:b w:val="0"/>
          <w:bCs/>
          <w:color w:val="auto"/>
          <w:sz w:val="32"/>
          <w:szCs w:val="32"/>
          <w:highlight w:val="none"/>
        </w:rPr>
        <w:t>%。主要原因是</w:t>
      </w:r>
      <w:r>
        <w:rPr>
          <w:rStyle w:val="15"/>
          <w:rFonts w:hint="eastAsia" w:ascii="仿宋" w:hAnsi="仿宋" w:eastAsia="仿宋"/>
          <w:b w:val="0"/>
          <w:bCs/>
          <w:color w:val="auto"/>
          <w:sz w:val="32"/>
          <w:szCs w:val="32"/>
          <w:highlight w:val="none"/>
          <w:lang w:val="en-US" w:eastAsia="zh-CN"/>
        </w:rPr>
        <w:t>学校未购置公务车</w:t>
      </w:r>
      <w:r>
        <w:rPr>
          <w:rStyle w:val="15"/>
          <w:rFonts w:hint="eastAsia" w:ascii="仿宋" w:hAnsi="仿宋" w:eastAsia="仿宋"/>
          <w:b w:val="0"/>
          <w:bCs/>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pacing w:line="560" w:lineRule="exact"/>
        <w:ind w:firstLine="640"/>
        <w:textAlignment w:val="auto"/>
        <w:rPr>
          <w:rStyle w:val="15"/>
          <w:rFonts w:hint="eastAsia" w:ascii="仿宋" w:hAnsi="仿宋" w:eastAsia="仿宋"/>
          <w:b w:val="0"/>
          <w:bCs/>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。公务接待费支出决算比20</w:t>
      </w:r>
      <w:r>
        <w:rPr>
          <w:rStyle w:val="15"/>
          <w:rFonts w:hint="eastAsia" w:ascii="仿宋" w:hAnsi="仿宋" w:eastAsia="仿宋"/>
          <w:b w:val="0"/>
          <w:bCs/>
          <w:color w:val="auto"/>
          <w:sz w:val="32"/>
          <w:szCs w:val="32"/>
          <w:highlight w:val="none"/>
          <w:lang w:val="en-US" w:eastAsia="zh-CN"/>
        </w:rPr>
        <w:t>22</w:t>
      </w:r>
      <w:r>
        <w:rPr>
          <w:rStyle w:val="15"/>
          <w:rFonts w:hint="eastAsia" w:ascii="仿宋" w:hAnsi="仿宋" w:eastAsia="仿宋"/>
          <w:b w:val="0"/>
          <w:bCs/>
          <w:color w:val="auto"/>
          <w:sz w:val="32"/>
          <w:szCs w:val="32"/>
          <w:highlight w:val="none"/>
        </w:rPr>
        <w:t>年增加</w:t>
      </w:r>
      <w:r>
        <w:rPr>
          <w:rStyle w:val="15"/>
          <w:rFonts w:hint="eastAsia" w:ascii="仿宋" w:hAnsi="仿宋" w:eastAsia="仿宋"/>
          <w:b w:val="0"/>
          <w:bCs/>
          <w:color w:val="auto"/>
          <w:sz w:val="32"/>
          <w:szCs w:val="32"/>
          <w:highlight w:val="none"/>
          <w:lang w:val="en-US" w:eastAsia="zh-CN"/>
        </w:rPr>
        <w:t>0</w:t>
      </w:r>
      <w:r>
        <w:rPr>
          <w:rStyle w:val="15"/>
          <w:rFonts w:hint="eastAsia" w:ascii="仿宋" w:hAnsi="仿宋" w:eastAsia="仿宋"/>
          <w:b w:val="0"/>
          <w:bCs/>
          <w:color w:val="auto"/>
          <w:sz w:val="32"/>
          <w:szCs w:val="32"/>
          <w:highlight w:val="none"/>
        </w:rPr>
        <w:t>万元，增长</w:t>
      </w:r>
      <w:r>
        <w:rPr>
          <w:rStyle w:val="15"/>
          <w:rFonts w:hint="eastAsia" w:ascii="仿宋" w:hAnsi="仿宋" w:eastAsia="仿宋"/>
          <w:b w:val="0"/>
          <w:bCs/>
          <w:color w:val="auto"/>
          <w:sz w:val="32"/>
          <w:szCs w:val="32"/>
          <w:highlight w:val="none"/>
          <w:lang w:val="en-US" w:eastAsia="zh-CN"/>
        </w:rPr>
        <w:t>0</w:t>
      </w:r>
      <w:r>
        <w:rPr>
          <w:rStyle w:val="15"/>
          <w:rFonts w:hint="eastAsia" w:ascii="仿宋" w:hAnsi="仿宋" w:eastAsia="仿宋"/>
          <w:b w:val="0"/>
          <w:bCs/>
          <w:color w:val="auto"/>
          <w:sz w:val="32"/>
          <w:szCs w:val="32"/>
          <w:highlight w:val="none"/>
        </w:rPr>
        <w:t>%。主要原因是</w:t>
      </w:r>
      <w:r>
        <w:rPr>
          <w:rStyle w:val="15"/>
          <w:rFonts w:hint="eastAsia" w:ascii="仿宋" w:hAnsi="仿宋" w:eastAsia="仿宋"/>
          <w:b w:val="0"/>
          <w:bCs/>
          <w:color w:val="auto"/>
          <w:sz w:val="32"/>
          <w:szCs w:val="32"/>
          <w:highlight w:val="none"/>
          <w:lang w:val="en-US" w:eastAsia="zh-CN"/>
        </w:rPr>
        <w:t>厉行节约，本单位未安排相关经费</w:t>
      </w:r>
      <w:r>
        <w:rPr>
          <w:rStyle w:val="15"/>
          <w:rFonts w:hint="eastAsia" w:ascii="仿宋" w:hAnsi="仿宋" w:eastAsia="仿宋"/>
          <w:b w:val="0"/>
          <w:bCs/>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2" w:name="_Toc15396610"/>
      <w:bookmarkStart w:id="43"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ascii="黑体" w:hAnsi="黑体" w:eastAsia="黑体"/>
          <w:b w:val="0"/>
          <w:color w:val="auto"/>
          <w:highlight w:val="none"/>
        </w:rPr>
      </w:pPr>
      <w:bookmarkStart w:id="44" w:name="_Toc15396611"/>
      <w:bookmarkStart w:id="45" w:name="_Toc15377219"/>
      <w:r>
        <w:rPr>
          <w:rStyle w:val="26"/>
          <w:rFonts w:hint="eastAsia" w:ascii="黑体" w:hAnsi="黑体" w:eastAsia="黑体"/>
          <w:b w:val="0"/>
          <w:color w:val="auto"/>
          <w:highlight w:val="none"/>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6"/>
          <w:rFonts w:hint="eastAsia" w:ascii="黑体" w:hAnsi="黑体" w:eastAsia="黑体"/>
          <w:b w:val="0"/>
          <w:color w:val="auto"/>
          <w:highlight w:val="none"/>
        </w:rPr>
      </w:pPr>
      <w:bookmarkStart w:id="46" w:name="_Toc15396612"/>
      <w:bookmarkStart w:id="47" w:name="_Toc15377221"/>
      <w:r>
        <w:rPr>
          <w:rStyle w:val="26"/>
          <w:rFonts w:hint="eastAsia" w:ascii="黑体" w:hAnsi="黑体" w:eastAsia="黑体"/>
          <w:b w:val="0"/>
          <w:color w:val="auto"/>
          <w:highlight w:val="none"/>
        </w:rPr>
        <w:t>其他重要事项的情况说明</w:t>
      </w:r>
      <w:bookmarkEnd w:id="46"/>
      <w:bookmarkEnd w:id="47"/>
    </w:p>
    <w:p>
      <w:pPr>
        <w:spacing w:line="600" w:lineRule="exact"/>
        <w:ind w:firstLine="643" w:firstLineChars="200"/>
        <w:outlineLvl w:val="2"/>
        <w:rPr>
          <w:rFonts w:ascii="仿宋" w:hAnsi="仿宋" w:eastAsia="仿宋"/>
          <w:color w:val="auto"/>
          <w:sz w:val="32"/>
          <w:szCs w:val="32"/>
          <w:highlight w:val="none"/>
        </w:rPr>
      </w:pPr>
      <w:bookmarkStart w:id="48" w:name="_Toc15377222"/>
      <w:r>
        <w:rPr>
          <w:rFonts w:hint="eastAsia" w:ascii="仿宋" w:hAnsi="仿宋" w:eastAsia="仿宋"/>
          <w:b/>
          <w:color w:val="auto"/>
          <w:sz w:val="32"/>
          <w:szCs w:val="32"/>
          <w:highlight w:val="none"/>
        </w:rPr>
        <w:t>（一）机关运行经费支出情况</w:t>
      </w:r>
      <w:bookmarkEnd w:id="48"/>
    </w:p>
    <w:p>
      <w:pPr>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9" w:name="OLE_LINK12"/>
      <w:bookmarkStart w:id="50" w:name="OLE_LINK1"/>
      <w:bookmarkStart w:id="51" w:name="OLE_LINK11"/>
      <w:bookmarkStart w:id="52" w:name="OLE_LINK2"/>
      <w:bookmarkStart w:id="53" w:name="OLE_LINK7"/>
      <w:bookmarkStart w:id="54" w:name="OLE_LINK3"/>
      <w:bookmarkStart w:id="55" w:name="OLE_LINK8"/>
      <w:bookmarkStart w:id="56" w:name="OLE_LINK10"/>
      <w:bookmarkStart w:id="57" w:name="OLE_LINK9"/>
      <w:bookmarkStart w:id="58" w:name="OLE_LINK6"/>
      <w:bookmarkStart w:id="59" w:name="OLE_LINK4"/>
      <w:bookmarkStart w:id="60" w:name="OLE_LINK5"/>
      <w:r>
        <w:rPr>
          <w:rFonts w:hint="eastAsia" w:ascii="仿宋_GB2312" w:eastAsia="仿宋_GB2312" w:cs="Times New Roman"/>
          <w:color w:val="auto"/>
          <w:sz w:val="32"/>
          <w:szCs w:val="32"/>
          <w:highlight w:val="none"/>
          <w:lang w:val="en-US" w:eastAsia="zh-CN"/>
        </w:rPr>
        <w:t>本单位是全额拨款事业单位，没有预算机关运行经费</w:t>
      </w:r>
      <w:bookmarkEnd w:id="49"/>
      <w:bookmarkEnd w:id="50"/>
      <w:bookmarkEnd w:id="51"/>
      <w:bookmarkEnd w:id="52"/>
      <w:bookmarkEnd w:id="53"/>
      <w:bookmarkEnd w:id="54"/>
      <w:bookmarkEnd w:id="55"/>
      <w:bookmarkEnd w:id="56"/>
      <w:bookmarkEnd w:id="57"/>
      <w:bookmarkEnd w:id="58"/>
      <w:bookmarkEnd w:id="59"/>
      <w:bookmarkEnd w:id="60"/>
      <w:r>
        <w:rPr>
          <w:rFonts w:hint="eastAsia" w:ascii="仿宋_GB2312" w:eastAsia="仿宋_GB2312"/>
          <w:color w:val="auto"/>
          <w:sz w:val="32"/>
          <w:szCs w:val="32"/>
          <w:highlight w:val="none"/>
          <w:lang w:val="en-US" w:eastAsia="zh-CN"/>
        </w:rPr>
        <w:t>。</w:t>
      </w:r>
      <w:bookmarkStart w:id="61" w:name="_Toc15377223"/>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四川省遂宁市第六中学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166.85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166.85</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校园道路改造工程</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166.85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166.85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四川省遂宁市第六中学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sz w:val="32"/>
          <w:szCs w:val="32"/>
        </w:rPr>
        <w:t>其他用车主要是用于</w:t>
      </w:r>
      <w:r>
        <w:rPr>
          <w:rFonts w:hint="eastAsia" w:ascii="仿宋_GB2312" w:eastAsia="仿宋_GB2312"/>
          <w:sz w:val="32"/>
          <w:szCs w:val="32"/>
          <w:lang w:eastAsia="zh-CN"/>
        </w:rPr>
        <w:t>教师</w:t>
      </w:r>
      <w:r>
        <w:rPr>
          <w:rFonts w:hint="eastAsia" w:ascii="仿宋_GB2312" w:eastAsia="仿宋_GB2312"/>
          <w:sz w:val="32"/>
          <w:szCs w:val="32"/>
        </w:rPr>
        <w:t>交通通勤</w:t>
      </w:r>
      <w:r>
        <w:rPr>
          <w:rFonts w:hint="eastAsia" w:ascii="仿宋_GB2312" w:eastAsia="仿宋_GB2312"/>
          <w:sz w:val="32"/>
          <w:szCs w:val="32"/>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w:t>
      </w:r>
      <w:r>
        <w:rPr>
          <w:rFonts w:hint="eastAsia" w:hAnsi="仿宋_GB2312" w:cs="仿宋_GB2312"/>
          <w:color w:val="auto"/>
          <w:sz w:val="32"/>
          <w:szCs w:val="32"/>
          <w:highlight w:val="none"/>
          <w:lang w:val="en-US" w:eastAsia="zh-CN"/>
        </w:rPr>
        <w:t>没有需要</w:t>
      </w:r>
      <w:r>
        <w:rPr>
          <w:rFonts w:hint="eastAsia" w:ascii="仿宋_GB2312" w:hAnsi="仿宋_GB2312" w:eastAsia="仿宋_GB2312" w:cs="仿宋_GB2312"/>
          <w:color w:val="auto"/>
          <w:sz w:val="32"/>
          <w:szCs w:val="32"/>
          <w:highlight w:val="none"/>
        </w:rPr>
        <w:t>开展事前绩效评估</w:t>
      </w:r>
      <w:r>
        <w:rPr>
          <w:rFonts w:hint="eastAsia" w:hAnsi="仿宋_GB2312" w:cs="仿宋_GB2312"/>
          <w:color w:val="auto"/>
          <w:sz w:val="32"/>
          <w:szCs w:val="32"/>
          <w:highlight w:val="none"/>
          <w:lang w:val="en-US" w:eastAsia="zh-CN"/>
        </w:rPr>
        <w:t>的项目</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故未开展预算绩效评估。组织对人员类、运转类、特定目标类等61个</w:t>
      </w:r>
      <w:r>
        <w:rPr>
          <w:rFonts w:hint="eastAsia" w:ascii="仿宋_GB2312" w:hAnsi="仿宋_GB2312" w:eastAsia="仿宋_GB2312" w:cs="仿宋_GB2312"/>
          <w:color w:val="auto"/>
          <w:sz w:val="32"/>
          <w:szCs w:val="32"/>
          <w:highlight w:val="none"/>
        </w:rPr>
        <w:t>项目编制了绩效目标</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63" w:name="_Toc15377225"/>
      <w:bookmarkStart w:id="64"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3"/>
      <w:bookmarkEnd w:id="64"/>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8、教育（类）普通教育（款）初中教育（项）: 指初中教育。</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9、教育（类）普通教育（款）高中教育（项）: 指高中教育</w:t>
      </w:r>
    </w:p>
    <w:p>
      <w:pPr>
        <w:pStyle w:val="23"/>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Style w:val="15"/>
          <w:rFonts w:hint="eastAsia" w:hAnsi="仿宋"/>
          <w:b w:val="0"/>
          <w:bCs/>
          <w:color w:val="auto"/>
          <w:sz w:val="32"/>
          <w:szCs w:val="32"/>
          <w:highlight w:val="none"/>
          <w:lang w:val="en-US" w:eastAsia="zh-CN"/>
        </w:rPr>
        <w:t>10</w:t>
      </w:r>
      <w:r>
        <w:rPr>
          <w:rStyle w:val="15"/>
          <w:rFonts w:hAnsi="仿宋"/>
          <w:b w:val="0"/>
          <w:bCs/>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教育（类）其他教育支出（款）其他教育支出（项）: 指反映除上述项目以外的用于教育方面的支出。</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11、社会保障和就业（类）行政事业单位养老（款）机关事业单位基本养老保险缴费支出（项）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机关事业单位实施养老保险制度由单位缴纳的养老保险费的支出。</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12、社会保障和就业（类）其他社会保障和就业（款）其他社会保障和就业支出（项）:指除上述项目以外其他用于社会保障和就业方面的支出。</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13、社会保障和就业（类）抚恤（款）死亡抚恤（项）:社会保障和就业（类）抚恤（款）死亡抚恤（项）: 反映按规定用于烈士和牺牲、病故人员家属的一次性和定期抚恤金以及丧葬补助费。</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14、卫生健康（类）行政事业单位医疗（款）事业单位医疗（项）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pStyle w:val="23"/>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15、卫生健康（类）行政事业单位医疗（款）公务员医疗补助（项）：指财政部门安排的公务员医疗补助经费。</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16、住房保障（类）住房改革（款）住房公积金（项）：反映行政事业单位按人力资源和社会保障部、财政部规定的基本工资和津贴补贴以及规定比例为职工缴纳的住房公积金。</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color w:val="auto"/>
          <w:highlight w:val="none"/>
        </w:rPr>
      </w:pPr>
      <w:bookmarkStart w:id="65" w:name="_Toc15377226"/>
      <w:r>
        <w:rPr>
          <w:rFonts w:ascii="宋体"/>
          <w:b/>
          <w:color w:val="auto"/>
          <w:sz w:val="44"/>
          <w:szCs w:val="44"/>
          <w:highlight w:val="none"/>
        </w:rPr>
        <w:br w:type="page"/>
      </w:r>
      <w:bookmarkStart w:id="66"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66"/>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tbl>
      <w:tblPr>
        <w:tblStyle w:val="13"/>
        <w:tblpPr w:leftFromText="180" w:rightFromText="180" w:vertAnchor="text" w:horzAnchor="page" w:tblpX="1504" w:tblpY="264"/>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6"/>
        <w:gridCol w:w="1367"/>
        <w:gridCol w:w="1184"/>
        <w:gridCol w:w="1508"/>
        <w:gridCol w:w="347"/>
        <w:gridCol w:w="1119"/>
        <w:gridCol w:w="346"/>
        <w:gridCol w:w="728"/>
        <w:gridCol w:w="337"/>
        <w:gridCol w:w="30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7" w:hRule="atLeast"/>
        </w:trPr>
        <w:tc>
          <w:tcPr>
            <w:tcW w:w="94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67" w:name="_Toc15396618"/>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7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51090322T000005897025-四类学生课后服务补助经费（乡村振兴）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8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四川省遂宁市船山区教育体育局部门</w:t>
            </w:r>
          </w:p>
        </w:tc>
        <w:tc>
          <w:tcPr>
            <w:tcW w:w="72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四类学生课后服务补助经费年度目标顺利完成。精准覆盖目标学生群体，确保他们能平等享受课后服务。资金发放及时、准确，有效减轻了家庭经济负担，为学生成长提供了有力支持。</w:t>
            </w:r>
          </w:p>
        </w:tc>
        <w:tc>
          <w:tcPr>
            <w:tcW w:w="30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四类学生课后服务补助有效落实。完成了对脱贫家庭、残疾等四类学生的课后服务覆盖。学生积极参与，提升了学习效果。经费使用规范，切实为这些学生提供了更好的教育资源和成长环境，促进了教育公平。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7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先确定符合条件的四类学生，学生申请后学校审核。经公示无异议后，按规定标准发放补助。全程严格管理，确保补助精准落实，助力学生享受课后服务，促进其全面发展。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30.31</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30.31</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30.31</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人均享受补助</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810</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可支助人数</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382</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课服质量</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使用时效</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社会影响面</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节约经济成本</w:t>
            </w:r>
          </w:p>
        </w:tc>
        <w:tc>
          <w:tcPr>
            <w:tcW w:w="3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30.312</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70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94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按进度正确使用四类学生课后服务补助经费，认真制定课后服务实施方案，确保所有学生正常参与课后服务活动，并取得良好效果。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4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课后服务实施方案有待进一步完善。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94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按进度正确使用四类学生课后服务补助经费，不断完善课后服务实施方案，确保所有学生正常参与课后服务活动，力争取得更好的效果。</w:t>
            </w:r>
          </w:p>
        </w:tc>
      </w:tr>
    </w:tbl>
    <w:tbl>
      <w:tblPr>
        <w:tblStyle w:val="13"/>
        <w:tblpPr w:leftFromText="180" w:rightFromText="180" w:vertAnchor="text" w:horzAnchor="page" w:tblpX="1519" w:tblpY="680"/>
        <w:tblOverlap w:val="never"/>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5"/>
        <w:gridCol w:w="1364"/>
        <w:gridCol w:w="1181"/>
        <w:gridCol w:w="1505"/>
        <w:gridCol w:w="346"/>
        <w:gridCol w:w="1116"/>
        <w:gridCol w:w="346"/>
        <w:gridCol w:w="727"/>
        <w:gridCol w:w="336"/>
        <w:gridCol w:w="304"/>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6" w:hRule="atLeast"/>
        </w:trPr>
        <w:tc>
          <w:tcPr>
            <w:tcW w:w="93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51090323T000008247220-高中学生免学费区级预算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4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四川省遂宁市船山区教育体育局部门</w:t>
            </w:r>
          </w:p>
        </w:tc>
        <w:tc>
          <w:tcPr>
            <w:tcW w:w="72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4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6"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4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高中免学费年度目标圆满完成。确保了家庭经济困难学生无需承担学费，减轻了经济压力。政策执行到位，资金拨付及时，有力地保障了学生受教育权利，促进了教育公平与高中教育的稳定发展。</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高中免学费目标顺利达成。精准覆盖符合条件的学生，切实减轻家庭经济负担。学校严格执行政策，资金落实到位，让学生安心学习，为推动高中教育公平和质量提升发挥了积极作用。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8"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6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首先确定免学费对象标准，学生申请后学校审核资格。经公示无异议后，对符合条件的学生直接免除学费。全程严格监督，确保政策准确落实，让家庭经济困难学生顺利完成高中学业。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24.08</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高中免学费人数覆盖录</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免学费人群覆盖准确性</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使用时限</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教学质量</w:t>
            </w:r>
            <w:r>
              <w:rPr>
                <w:rFonts w:hint="eastAsia" w:ascii="宋体" w:hAnsi="宋体" w:eastAsia="宋体" w:cs="宋体"/>
                <w:i w:val="0"/>
                <w:color w:val="000000"/>
                <w:kern w:val="0"/>
                <w:sz w:val="18"/>
                <w:szCs w:val="18"/>
                <w:u w:val="none"/>
                <w:lang w:val="en-US" w:eastAsia="zh-CN" w:bidi="ar"/>
              </w:rPr>
              <w:t>上升率</w:t>
            </w:r>
            <w:bookmarkStart w:id="81" w:name="_GoBack"/>
            <w:bookmarkEnd w:id="81"/>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节约经济成本</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223992</w:t>
            </w:r>
          </w:p>
        </w:tc>
        <w:tc>
          <w:tcPr>
            <w:tcW w:w="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704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9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普通高中学生免学费专项资金，绩效目标合理且清晰明确；项目管理机制健全、措施保障有力，全面、按时完成各项绩效指标；相关政</w:t>
            </w:r>
            <w:r>
              <w:rPr>
                <w:rFonts w:hint="eastAsia" w:ascii="微软雅黑" w:hAnsi="微软雅黑" w:eastAsia="微软雅黑" w:cs="微软雅黑"/>
                <w:i/>
                <w:color w:val="000000"/>
                <w:kern w:val="0"/>
                <w:sz w:val="16"/>
                <w:szCs w:val="16"/>
                <w:u w:val="none"/>
                <w:lang w:val="en-US" w:eastAsia="zh-CN" w:bidi="ar"/>
              </w:rPr>
              <w:br w:type="textWrapping"/>
            </w:r>
            <w:r>
              <w:rPr>
                <w:rFonts w:hint="eastAsia" w:ascii="微软雅黑" w:hAnsi="微软雅黑" w:eastAsia="微软雅黑" w:cs="微软雅黑"/>
                <w:i/>
                <w:color w:val="000000"/>
                <w:kern w:val="0"/>
                <w:sz w:val="16"/>
                <w:szCs w:val="16"/>
                <w:u w:val="none"/>
                <w:lang w:val="en-US" w:eastAsia="zh-CN" w:bidi="ar"/>
              </w:rPr>
              <w:t>策落实到位，项目资金及时、全额拨付到位；资金使用合规，财务控制有效；项目社会效益显著，有效推进我校的正常运行，获得社会、家长与学生的好评。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8"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普通高中学生免学费实施方案有待进一步完善。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9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加大贫苦学生的资助标准，进一步减轻贫苦家庭经济负担。</w:t>
            </w:r>
          </w:p>
        </w:tc>
      </w:tr>
    </w:tbl>
    <w:tbl>
      <w:tblPr>
        <w:tblStyle w:val="13"/>
        <w:tblpPr w:leftFromText="180" w:rightFromText="180" w:vertAnchor="text" w:horzAnchor="page" w:tblpX="1549" w:tblpY="927"/>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9"/>
        <w:gridCol w:w="1372"/>
        <w:gridCol w:w="1189"/>
        <w:gridCol w:w="1515"/>
        <w:gridCol w:w="349"/>
        <w:gridCol w:w="1122"/>
        <w:gridCol w:w="349"/>
        <w:gridCol w:w="730"/>
        <w:gridCol w:w="338"/>
        <w:gridCol w:w="305"/>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94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60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51090322T000005882803-高中国家助学金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四川省遂宁市船山区教育体育局部门</w:t>
            </w:r>
          </w:p>
        </w:tc>
        <w:tc>
          <w:tcPr>
            <w:tcW w:w="7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7"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合理利用好高中国家助学金，解决贫困高中生学习生活困难。</w:t>
            </w:r>
          </w:p>
        </w:tc>
        <w:tc>
          <w:tcPr>
            <w:tcW w:w="30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高中国家助学金年度任务目标顺利完成。确保了家庭经济困难学生得到资助，减轻了他们的经济负担，让他们能够安心学习。助学金发放准确、及时，有力地促进了教育公平和学生的成长发展。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60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高中国家助学金实施过程包括学生申请、学校审核、公示名单。确定受助学生后，按标准发放助学金。全程严格监管，确保资金准确发放给家庭经济困难学生，助力其顺利完成高中学业。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8.26</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提高教学质量</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使用时间</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社会影响面</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可持续影响时间</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服务对象满意率</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节约成本</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58560</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70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98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中国家助学金专项资金，绩效目标合理且清晰明确；项目管理机制健全、措施保障有力，全面、按时完成各项绩效指标；相关政策落实到位，项目资金及时、全额拨付到位；资金使用合规，财务控制有效；项目社会效益显著，有效推进我校的正常运行，获得社会、家长与学生的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98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高中国家助学金实施方案有待进一步完善。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98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加大贫苦学生的资助标准，进一步减轻贫苦家庭经济负担。</w:t>
            </w:r>
          </w:p>
        </w:tc>
      </w:tr>
    </w:tbl>
    <w:p>
      <w:pPr>
        <w:spacing w:line="600" w:lineRule="exact"/>
        <w:jc w:val="center"/>
        <w:outlineLvl w:val="0"/>
        <w:rPr>
          <w:rFonts w:hint="eastAsia" w:ascii="宋体" w:hAnsi="宋体" w:eastAsia="宋体" w:cs="宋体"/>
          <w:color w:val="auto"/>
          <w:kern w:val="0"/>
          <w:sz w:val="32"/>
          <w:szCs w:val="32"/>
          <w:highlight w:val="none"/>
          <w:lang w:val="en-US" w:eastAsia="zh-CN" w:bidi="ar-SA"/>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黑体" w:hAnsi="黑体" w:eastAsia="黑体"/>
          <w:color w:val="auto"/>
          <w:sz w:val="44"/>
          <w:szCs w:val="44"/>
          <w:highlight w:val="none"/>
        </w:rPr>
      </w:pPr>
    </w:p>
    <w:p>
      <w:pPr>
        <w:spacing w:line="600" w:lineRule="exact"/>
        <w:ind w:firstLine="3080" w:firstLineChars="7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bookmarkEnd w:id="65"/>
      <w:bookmarkEnd w:id="67"/>
      <w:bookmarkStart w:id="68" w:name="_Toc15396619"/>
      <w:r>
        <w:rPr>
          <w:rStyle w:val="25"/>
          <w:rFonts w:hint="eastAsia" w:ascii="黑体" w:hAnsi="黑体" w:eastAsia="黑体"/>
          <w:b w:val="0"/>
          <w:color w:val="auto"/>
          <w:highlight w:val="none"/>
        </w:rPr>
        <w:t>五部分 附表</w:t>
      </w:r>
    </w:p>
    <w:p>
      <w:pPr>
        <w:pStyle w:val="3"/>
        <w:rPr>
          <w:rFonts w:hint="eastAsia" w:ascii="仿宋" w:hAnsi="仿宋" w:eastAsia="仿宋"/>
          <w:b w:val="0"/>
          <w:color w:val="auto"/>
          <w:highlight w:val="none"/>
        </w:rPr>
      </w:pPr>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68"/>
    </w:p>
    <w:p>
      <w:pPr>
        <w:pStyle w:val="3"/>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69"/>
    </w:p>
    <w:p>
      <w:pPr>
        <w:pStyle w:val="3"/>
        <w:rPr>
          <w:rFonts w:ascii="仿宋" w:hAnsi="仿宋" w:eastAsia="仿宋"/>
          <w:color w:val="auto"/>
          <w:highlight w:val="none"/>
        </w:rPr>
      </w:pPr>
      <w:bookmarkStart w:id="70"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70"/>
    </w:p>
    <w:p>
      <w:pPr>
        <w:pStyle w:val="3"/>
        <w:rPr>
          <w:rFonts w:ascii="仿宋" w:hAnsi="仿宋" w:eastAsia="仿宋"/>
          <w:b w:val="0"/>
          <w:color w:val="auto"/>
          <w:highlight w:val="none"/>
        </w:rPr>
      </w:pPr>
      <w:bookmarkStart w:id="71"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71"/>
    </w:p>
    <w:p>
      <w:pPr>
        <w:pStyle w:val="3"/>
        <w:rPr>
          <w:rStyle w:val="26"/>
          <w:rFonts w:ascii="仿宋" w:hAnsi="仿宋" w:eastAsia="仿宋"/>
          <w:b w:val="0"/>
          <w:bCs w:val="0"/>
          <w:color w:val="auto"/>
          <w:highlight w:val="none"/>
        </w:rPr>
      </w:pPr>
      <w:bookmarkStart w:id="72"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72"/>
      <w:bookmarkStart w:id="73" w:name="_Toc15396624"/>
    </w:p>
    <w:p>
      <w:pPr>
        <w:pStyle w:val="3"/>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73"/>
    </w:p>
    <w:p>
      <w:pPr>
        <w:pStyle w:val="3"/>
        <w:rPr>
          <w:rFonts w:ascii="仿宋" w:hAnsi="仿宋" w:eastAsia="仿宋"/>
          <w:color w:val="auto"/>
          <w:highlight w:val="none"/>
        </w:rPr>
      </w:pPr>
      <w:bookmarkStart w:id="74"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74"/>
    </w:p>
    <w:p>
      <w:pPr>
        <w:pStyle w:val="3"/>
        <w:rPr>
          <w:rFonts w:ascii="仿宋" w:hAnsi="仿宋" w:eastAsia="仿宋"/>
          <w:color w:val="auto"/>
          <w:highlight w:val="none"/>
        </w:rPr>
      </w:pPr>
      <w:bookmarkStart w:id="75"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75"/>
    </w:p>
    <w:p>
      <w:pPr>
        <w:pStyle w:val="3"/>
        <w:rPr>
          <w:rFonts w:ascii="仿宋" w:hAnsi="仿宋" w:eastAsia="仿宋"/>
          <w:color w:val="auto"/>
          <w:highlight w:val="none"/>
        </w:rPr>
      </w:pPr>
      <w:bookmarkStart w:id="76"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76"/>
    </w:p>
    <w:p>
      <w:pPr>
        <w:pStyle w:val="3"/>
        <w:rPr>
          <w:rFonts w:ascii="仿宋" w:hAnsi="仿宋" w:eastAsia="仿宋"/>
          <w:color w:val="auto"/>
          <w:highlight w:val="none"/>
        </w:rPr>
      </w:pPr>
      <w:bookmarkStart w:id="77" w:name="_Toc15396628"/>
      <w:r>
        <w:rPr>
          <w:rStyle w:val="26"/>
          <w:rFonts w:hint="eastAsia" w:ascii="仿宋" w:hAnsi="仿宋" w:eastAsia="仿宋"/>
          <w:b w:val="0"/>
          <w:bCs w:val="0"/>
          <w:color w:val="auto"/>
          <w:highlight w:val="none"/>
        </w:rPr>
        <w:t>十、</w:t>
      </w:r>
      <w:bookmarkEnd w:id="77"/>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78" w:name="_Toc15396629"/>
      <w:r>
        <w:rPr>
          <w:rStyle w:val="26"/>
          <w:rFonts w:hint="eastAsia" w:ascii="仿宋" w:hAnsi="仿宋" w:eastAsia="仿宋"/>
          <w:b w:val="0"/>
          <w:bCs w:val="0"/>
          <w:color w:val="auto"/>
          <w:highlight w:val="none"/>
        </w:rPr>
        <w:t>十一、</w:t>
      </w:r>
      <w:bookmarkEnd w:id="78"/>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79" w:name="_Toc15396630"/>
      <w:r>
        <w:rPr>
          <w:rStyle w:val="26"/>
          <w:rFonts w:hint="eastAsia" w:ascii="仿宋" w:hAnsi="仿宋" w:eastAsia="仿宋"/>
          <w:b w:val="0"/>
          <w:bCs w:val="0"/>
          <w:color w:val="auto"/>
          <w:highlight w:val="none"/>
        </w:rPr>
        <w:t>十二、</w:t>
      </w:r>
      <w:bookmarkEnd w:id="79"/>
      <w:r>
        <w:rPr>
          <w:rStyle w:val="26"/>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80" w:name="_Toc15396631"/>
      <w:r>
        <w:rPr>
          <w:rStyle w:val="26"/>
          <w:rFonts w:hint="eastAsia" w:ascii="仿宋" w:hAnsi="仿宋" w:eastAsia="仿宋"/>
          <w:b w:val="0"/>
          <w:bCs w:val="0"/>
          <w:color w:val="auto"/>
          <w:highlight w:val="none"/>
        </w:rPr>
        <w:t>十三、</w:t>
      </w:r>
      <w:bookmarkEnd w:id="80"/>
      <w:r>
        <w:rPr>
          <w:rStyle w:val="26"/>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M3NGMzYzk5OWQ0YzYwMmE4NTI3ODY2ODYx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3B91"/>
    <w:rsid w:val="013A6A35"/>
    <w:rsid w:val="02434610"/>
    <w:rsid w:val="02A76009"/>
    <w:rsid w:val="045F0922"/>
    <w:rsid w:val="053A62B5"/>
    <w:rsid w:val="05F8677B"/>
    <w:rsid w:val="060065BE"/>
    <w:rsid w:val="069518B9"/>
    <w:rsid w:val="06DB483C"/>
    <w:rsid w:val="06ED4F2D"/>
    <w:rsid w:val="08D8516E"/>
    <w:rsid w:val="0A2032A3"/>
    <w:rsid w:val="0AF56EA2"/>
    <w:rsid w:val="0B2F432C"/>
    <w:rsid w:val="0B8A37D8"/>
    <w:rsid w:val="0B9D0BAD"/>
    <w:rsid w:val="0C43385C"/>
    <w:rsid w:val="0E9F66A2"/>
    <w:rsid w:val="100965AF"/>
    <w:rsid w:val="10C055FF"/>
    <w:rsid w:val="118107EC"/>
    <w:rsid w:val="11CE3652"/>
    <w:rsid w:val="11DD6519"/>
    <w:rsid w:val="13BC3943"/>
    <w:rsid w:val="16984AFB"/>
    <w:rsid w:val="16BB723D"/>
    <w:rsid w:val="17240CF2"/>
    <w:rsid w:val="179606CE"/>
    <w:rsid w:val="18015F3F"/>
    <w:rsid w:val="180D4CCB"/>
    <w:rsid w:val="1A0472A0"/>
    <w:rsid w:val="1A6B6099"/>
    <w:rsid w:val="1A825338"/>
    <w:rsid w:val="1BE8440E"/>
    <w:rsid w:val="1D155CEE"/>
    <w:rsid w:val="1D940595"/>
    <w:rsid w:val="1DDA2A09"/>
    <w:rsid w:val="1EEF2F89"/>
    <w:rsid w:val="1F0F17FF"/>
    <w:rsid w:val="1F8524A6"/>
    <w:rsid w:val="20A122B2"/>
    <w:rsid w:val="20F57F95"/>
    <w:rsid w:val="223053A9"/>
    <w:rsid w:val="240371BF"/>
    <w:rsid w:val="25670902"/>
    <w:rsid w:val="25711CC6"/>
    <w:rsid w:val="25C741E6"/>
    <w:rsid w:val="2661612E"/>
    <w:rsid w:val="270B5352"/>
    <w:rsid w:val="27842671"/>
    <w:rsid w:val="28B36A71"/>
    <w:rsid w:val="28E943DE"/>
    <w:rsid w:val="29FD04D3"/>
    <w:rsid w:val="2A3D2694"/>
    <w:rsid w:val="2ABE7A3E"/>
    <w:rsid w:val="2CA234A8"/>
    <w:rsid w:val="2EFA178C"/>
    <w:rsid w:val="30B46D73"/>
    <w:rsid w:val="319F7F4E"/>
    <w:rsid w:val="31E57B5F"/>
    <w:rsid w:val="341C3B60"/>
    <w:rsid w:val="365E46DB"/>
    <w:rsid w:val="376C3A58"/>
    <w:rsid w:val="37906A90"/>
    <w:rsid w:val="383D272C"/>
    <w:rsid w:val="39A057E6"/>
    <w:rsid w:val="39AE70AB"/>
    <w:rsid w:val="3A1B7313"/>
    <w:rsid w:val="3ACE2DD6"/>
    <w:rsid w:val="3C0C0783"/>
    <w:rsid w:val="3D09356D"/>
    <w:rsid w:val="3F5D451D"/>
    <w:rsid w:val="3F9F3A96"/>
    <w:rsid w:val="3FE75A71"/>
    <w:rsid w:val="4012138D"/>
    <w:rsid w:val="401E75A6"/>
    <w:rsid w:val="4058220A"/>
    <w:rsid w:val="40590DBA"/>
    <w:rsid w:val="420F320A"/>
    <w:rsid w:val="443609BF"/>
    <w:rsid w:val="44EC309C"/>
    <w:rsid w:val="45041D71"/>
    <w:rsid w:val="463A6F44"/>
    <w:rsid w:val="46D4147C"/>
    <w:rsid w:val="48BF60AB"/>
    <w:rsid w:val="493C27E9"/>
    <w:rsid w:val="496F39ED"/>
    <w:rsid w:val="49716293"/>
    <w:rsid w:val="49993842"/>
    <w:rsid w:val="49FF41D3"/>
    <w:rsid w:val="4B3154D7"/>
    <w:rsid w:val="4B90066D"/>
    <w:rsid w:val="4BE068DB"/>
    <w:rsid w:val="4BF6002B"/>
    <w:rsid w:val="4D7F7C6E"/>
    <w:rsid w:val="4E552280"/>
    <w:rsid w:val="4ECE2238"/>
    <w:rsid w:val="4F93274D"/>
    <w:rsid w:val="50214439"/>
    <w:rsid w:val="506961B2"/>
    <w:rsid w:val="507867C8"/>
    <w:rsid w:val="51DB4B86"/>
    <w:rsid w:val="536B095D"/>
    <w:rsid w:val="543B051A"/>
    <w:rsid w:val="55333C3E"/>
    <w:rsid w:val="55943C77"/>
    <w:rsid w:val="56744EA5"/>
    <w:rsid w:val="57DA0972"/>
    <w:rsid w:val="5809221B"/>
    <w:rsid w:val="582057D5"/>
    <w:rsid w:val="597A3F73"/>
    <w:rsid w:val="5A5C0D28"/>
    <w:rsid w:val="5C9D4B94"/>
    <w:rsid w:val="5CCB4554"/>
    <w:rsid w:val="5DBA78B8"/>
    <w:rsid w:val="5E1D4C7A"/>
    <w:rsid w:val="5F47713D"/>
    <w:rsid w:val="5FF06E33"/>
    <w:rsid w:val="60D33282"/>
    <w:rsid w:val="616437B4"/>
    <w:rsid w:val="622E3FA0"/>
    <w:rsid w:val="62624A53"/>
    <w:rsid w:val="63EC4099"/>
    <w:rsid w:val="63F6223F"/>
    <w:rsid w:val="64CA39A1"/>
    <w:rsid w:val="64F1206D"/>
    <w:rsid w:val="651D3DD3"/>
    <w:rsid w:val="65DA548D"/>
    <w:rsid w:val="65FA0687"/>
    <w:rsid w:val="666E27FE"/>
    <w:rsid w:val="678100BD"/>
    <w:rsid w:val="68BD4743"/>
    <w:rsid w:val="68EF37E9"/>
    <w:rsid w:val="69390486"/>
    <w:rsid w:val="695A13D6"/>
    <w:rsid w:val="69630ADE"/>
    <w:rsid w:val="6A7A551A"/>
    <w:rsid w:val="6A8255D7"/>
    <w:rsid w:val="6AC946B6"/>
    <w:rsid w:val="6C4A05C8"/>
    <w:rsid w:val="6CAE54A5"/>
    <w:rsid w:val="6D35260A"/>
    <w:rsid w:val="6D3B1A89"/>
    <w:rsid w:val="70253C38"/>
    <w:rsid w:val="71BF4EC2"/>
    <w:rsid w:val="71D379D6"/>
    <w:rsid w:val="72734D90"/>
    <w:rsid w:val="73841655"/>
    <w:rsid w:val="7412278C"/>
    <w:rsid w:val="745D4CA2"/>
    <w:rsid w:val="74E9042F"/>
    <w:rsid w:val="74FD69AC"/>
    <w:rsid w:val="767D162C"/>
    <w:rsid w:val="793A5E02"/>
    <w:rsid w:val="79E7B28D"/>
    <w:rsid w:val="7BEB798A"/>
    <w:rsid w:val="7C6064DA"/>
    <w:rsid w:val="7D480A4B"/>
    <w:rsid w:val="7DD15C5F"/>
    <w:rsid w:val="7E5262B4"/>
    <w:rsid w:val="7F1846F9"/>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 Char Char6"/>
    <w:basedOn w:val="14"/>
    <w:link w:val="2"/>
    <w:qFormat/>
    <w:locked/>
    <w:uiPriority w:val="9"/>
    <w:rPr>
      <w:rFonts w:ascii="Times New Roman" w:hAnsi="Times New Roman" w:cs="Times New Roman"/>
      <w:b/>
      <w:bCs/>
      <w:kern w:val="44"/>
      <w:sz w:val="44"/>
      <w:szCs w:val="44"/>
    </w:rPr>
  </w:style>
  <w:style w:type="character" w:customStyle="1" w:styleId="32">
    <w:name w:val=" Char Char5"/>
    <w:basedOn w:val="14"/>
    <w:link w:val="3"/>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169954621447337"/>
          <c:y val="0.228691476590636"/>
          <c:w val="0.732123238595653"/>
          <c:h val="0.62617046818727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[图表.xlsx]Sheet1!$A$4:$A$5</c:f>
              <c:strCache>
                <c:ptCount val="2"/>
                <c:pt idx="0">
                  <c:v>2022年</c:v>
                </c:pt>
                <c:pt idx="1">
                  <c:v>2023年</c:v>
                </c:pt>
              </c:strCache>
            </c:strRef>
          </c:cat>
          <c:val>
            <c:numRef>
              <c:f>[图表.xlsx]Sheet1!$B$4:$B$5</c:f>
              <c:numCache>
                <c:formatCode>#,##0.00</c:formatCode>
                <c:ptCount val="2"/>
                <c:pt idx="0">
                  <c:v>8437.64</c:v>
                </c:pt>
                <c:pt idx="1">
                  <c:v>8144.55</c:v>
                </c:pt>
              </c:numCache>
            </c:numRef>
          </c:val>
        </c:ser>
        <c:dLbls>
          <c:showLegendKey val="0"/>
          <c:showVal val="1"/>
          <c:showCatName val="0"/>
          <c:showSerName val="0"/>
          <c:showPercent val="0"/>
          <c:showBubbleSize val="0"/>
        </c:dLbls>
        <c:gapWidth val="219"/>
        <c:overlap val="-27"/>
        <c:axId val="297112799"/>
        <c:axId val="843793812"/>
      </c:barChart>
      <c:catAx>
        <c:axId val="297112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793812"/>
        <c:crosses val="autoZero"/>
        <c:auto val="1"/>
        <c:lblAlgn val="ctr"/>
        <c:lblOffset val="100"/>
        <c:noMultiLvlLbl val="0"/>
      </c:catAx>
      <c:valAx>
        <c:axId val="8437938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112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37253086644039"/>
                  <c:y val="-0.12258113543487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84575948078755"/>
                  <c:y val="0.08051398264718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1863511799619"/>
                  <c:y val="-0.0063452451854500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[图表.xlsx]Sheet1!$A$15:$A$17</c:f>
              <c:strCache>
                <c:ptCount val="3"/>
                <c:pt idx="0">
                  <c:v>一般公共预算财政拨款收入</c:v>
                </c:pt>
                <c:pt idx="1">
                  <c:v>事业收入</c:v>
                </c:pt>
                <c:pt idx="2">
                  <c:v>其他收入</c:v>
                </c:pt>
              </c:strCache>
            </c:strRef>
          </c:cat>
          <c:val>
            <c:numRef>
              <c:f>[图表.xlsx]Sheet1!$B$15:$B$17</c:f>
              <c:numCache>
                <c:formatCode>#,##0.00</c:formatCode>
                <c:ptCount val="3"/>
                <c:pt idx="0">
                  <c:v>7001.81</c:v>
                </c:pt>
                <c:pt idx="1">
                  <c:v>485.9</c:v>
                </c:pt>
                <c:pt idx="2">
                  <c:v>439.76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191283010049077"/>
          <c:y val="0.181015452538631"/>
          <c:w val="0.617433979901846"/>
          <c:h val="0.648025508952661"/>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267530116747"/>
                  <c:y val="-0.1590880647594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31539072331852"/>
                  <c:y val="0.1339834674156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[图表.xlsx]Sheet1!$A$30:$B$30</c:f>
              <c:strCache>
                <c:ptCount val="2"/>
                <c:pt idx="0">
                  <c:v>基本支出</c:v>
                </c:pt>
                <c:pt idx="1">
                  <c:v>项目支出</c:v>
                </c:pt>
              </c:strCache>
            </c:strRef>
          </c:cat>
          <c:val>
            <c:numRef>
              <c:f>[图表.xlsx]Sheet1!$A$31:$B$31</c:f>
              <c:numCache>
                <c:formatCode>#,##0.00</c:formatCode>
                <c:ptCount val="2"/>
                <c:pt idx="0">
                  <c:v>6760.78</c:v>
                </c:pt>
                <c:pt idx="1" c:formatCode="General">
                  <c:v>1206.21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[图表.xlsx]Sheet1!$A$44:$A$45</c:f>
              <c:strCache>
                <c:ptCount val="2"/>
                <c:pt idx="0">
                  <c:v>2023年</c:v>
                </c:pt>
                <c:pt idx="1">
                  <c:v>2022年</c:v>
                </c:pt>
              </c:strCache>
            </c:strRef>
          </c:cat>
          <c:val>
            <c:numRef>
              <c:f>[图表.xlsx]Sheet1!$B$44:$B$45</c:f>
              <c:numCache>
                <c:formatCode>#,##0.00</c:formatCode>
                <c:ptCount val="2"/>
                <c:pt idx="0">
                  <c:v>7001.81</c:v>
                </c:pt>
                <c:pt idx="1">
                  <c:v>7614.47</c:v>
                </c:pt>
              </c:numCache>
            </c:numRef>
          </c:val>
        </c:ser>
        <c:dLbls>
          <c:showLegendKey val="0"/>
          <c:showVal val="1"/>
          <c:showCatName val="0"/>
          <c:showSerName val="0"/>
          <c:showPercent val="0"/>
          <c:showBubbleSize val="0"/>
        </c:dLbls>
        <c:gapWidth val="219"/>
        <c:overlap val="-27"/>
        <c:axId val="576782678"/>
        <c:axId val="85901569"/>
      </c:barChart>
      <c:catAx>
        <c:axId val="5767826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01569"/>
        <c:crosses val="autoZero"/>
        <c:auto val="1"/>
        <c:lblAlgn val="ctr"/>
        <c:lblOffset val="100"/>
        <c:noMultiLvlLbl val="0"/>
      </c:catAx>
      <c:valAx>
        <c:axId val="8590156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7826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[图表.xlsx]Sheet1!$A$58:$A$59</c:f>
              <c:strCache>
                <c:ptCount val="2"/>
                <c:pt idx="0">
                  <c:v>2023年</c:v>
                </c:pt>
                <c:pt idx="1">
                  <c:v>2022年</c:v>
                </c:pt>
              </c:strCache>
            </c:strRef>
          </c:cat>
          <c:val>
            <c:numRef>
              <c:f>[图表.xlsx]Sheet1!$B$58:$B$59</c:f>
              <c:numCache>
                <c:formatCode>#,##0.00</c:formatCode>
                <c:ptCount val="2"/>
                <c:pt idx="0">
                  <c:v>7001.81</c:v>
                </c:pt>
                <c:pt idx="1">
                  <c:v>7614.47</c:v>
                </c:pt>
              </c:numCache>
            </c:numRef>
          </c:val>
        </c:ser>
        <c:dLbls>
          <c:showLegendKey val="0"/>
          <c:showVal val="1"/>
          <c:showCatName val="0"/>
          <c:showSerName val="0"/>
          <c:showPercent val="0"/>
          <c:showBubbleSize val="0"/>
        </c:dLbls>
        <c:gapWidth val="219"/>
        <c:overlap val="-27"/>
        <c:axId val="941656073"/>
        <c:axId val="563187504"/>
      </c:barChart>
      <c:catAx>
        <c:axId val="9416560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87504"/>
        <c:crosses val="autoZero"/>
        <c:auto val="1"/>
        <c:lblAlgn val="ctr"/>
        <c:lblOffset val="100"/>
        <c:noMultiLvlLbl val="0"/>
      </c:catAx>
      <c:valAx>
        <c:axId val="563187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560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[图表.xlsx]Sheet1!$A$75:$A$80</c:f>
              <c:strCache>
                <c:ptCount val="6"/>
                <c:pt idx="0">
                  <c:v>教育支出</c:v>
                </c:pt>
                <c:pt idx="1">
                  <c:v>社会保障和就业支出</c:v>
                </c:pt>
                <c:pt idx="2">
                  <c:v>卫生健康支出</c:v>
                </c:pt>
                <c:pt idx="3">
                  <c:v>住房保障支出</c:v>
                </c:pt>
                <c:pt idx="4">
                  <c:v>农林水支出</c:v>
                </c:pt>
                <c:pt idx="5">
                  <c:v>城乡社区支出</c:v>
                </c:pt>
              </c:strCache>
            </c:strRef>
          </c:cat>
          <c:val>
            <c:numRef>
              <c:f>[图表.xlsx]Sheet1!$B$75:$B$80</c:f>
              <c:numCache>
                <c:formatCode>#,##0.00</c:formatCode>
                <c:ptCount val="6"/>
                <c:pt idx="0">
                  <c:v>5331.73</c:v>
                </c:pt>
                <c:pt idx="1" c:formatCode="General">
                  <c:v>787.44</c:v>
                </c:pt>
                <c:pt idx="2" c:formatCode="General">
                  <c:v>300.15</c:v>
                </c:pt>
                <c:pt idx="3" c:formatCode="General">
                  <c:v>495.49</c:v>
                </c:pt>
                <c:pt idx="4" c:formatCode="General">
                  <c:v>31.99</c:v>
                </c:pt>
                <c:pt idx="5" c:formatCode="General">
                  <c:v>495.49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7867</Words>
  <Characters>9331</Characters>
  <Lines>61</Lines>
  <Paragraphs>17</Paragraphs>
  <TotalTime>3</TotalTime>
  <ScaleCrop>false</ScaleCrop>
  <LinksUpToDate>false</LinksUpToDate>
  <CharactersWithSpaces>9385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2023-09-14T02:27:00Z</cp:lastPrinted>
  <dcterms:modified xsi:type="dcterms:W3CDTF">2024-09-25T02:28:31Z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8AE3B8EC2FEF49888D59AB8A427A46EF_12</vt:lpwstr>
  </property>
</Properties>
</file>