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8441"/>
      <w:bookmarkStart w:id="4" w:name="_Toc15377425"/>
      <w:bookmarkStart w:id="5" w:name="_Toc15396475"/>
      <w:r>
        <w:rPr>
          <w:rFonts w:hint="eastAsia" w:ascii="方正小标宋简体" w:hAnsi="方正小标宋简体" w:eastAsia="方正小标宋简体" w:cs="方正小标宋简体"/>
          <w:color w:val="auto"/>
          <w:sz w:val="72"/>
          <w:szCs w:val="72"/>
          <w:highlight w:val="none"/>
          <w:lang w:eastAsia="zh-CN"/>
        </w:rPr>
        <w:t>2023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77426"/>
      <w:bookmarkStart w:id="9" w:name="_Toc1539647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遂宁市船山区燕山小学校</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rPr>
          <w:color w:val="auto"/>
          <w:highlight w:val="none"/>
        </w:rPr>
      </w:pPr>
    </w:p>
    <w:p>
      <w:pPr>
        <w:pStyle w:val="5"/>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pPr>
        <w:pStyle w:val="11"/>
        <w:adjustRightInd w:val="0"/>
        <w:snapToGrid w:val="0"/>
        <w:spacing w:line="440" w:lineRule="exact"/>
        <w:jc w:val="left"/>
        <w:rPr>
          <w:rFonts w:hint="default"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5</w:t>
      </w:r>
    </w:p>
    <w:p>
      <w:pPr>
        <w:pStyle w:val="10"/>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8</w:t>
      </w:r>
    </w:p>
    <w:p>
      <w:pPr>
        <w:pStyle w:val="11"/>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13</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13</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14</w:t>
      </w:r>
    </w:p>
    <w:p>
      <w:pPr>
        <w:pStyle w:val="10"/>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17</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19</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21</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2"/>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napToGrid w:val="0"/>
        <w:spacing w:line="520" w:lineRule="exact"/>
        <w:rPr>
          <w:rFonts w:hint="eastAsia" w:ascii="仿宋_GB2312" w:hAnsi="Calibri" w:eastAsia="仿宋_GB2312"/>
          <w:sz w:val="30"/>
          <w:szCs w:val="30"/>
        </w:rPr>
      </w:pPr>
      <w:bookmarkStart w:id="16" w:name="_Toc15378446"/>
      <w:bookmarkStart w:id="17" w:name="_Toc15377199"/>
      <w:r>
        <w:rPr>
          <w:rFonts w:hint="eastAsia" w:ascii="Calibri" w:hAnsi="Calibri" w:eastAsia="仿宋_GB2312"/>
          <w:sz w:val="30"/>
          <w:szCs w:val="30"/>
        </w:rPr>
        <w:t>（一）</w:t>
      </w:r>
      <w:r>
        <w:rPr>
          <w:rFonts w:hint="eastAsia" w:ascii="仿宋_GB2312" w:hAnsi="Calibri" w:eastAsia="仿宋_GB2312"/>
          <w:sz w:val="30"/>
          <w:szCs w:val="30"/>
        </w:rPr>
        <w:t>基本职能：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（7）做好安全防范，保证学生的人身安全。</w:t>
      </w:r>
    </w:p>
    <w:p>
      <w:pPr>
        <w:pStyle w:val="5"/>
        <w:spacing w:before="93"/>
        <w:rPr>
          <w:rFonts w:hint="eastAsia" w:ascii="仿宋" w:hAnsi="仿宋" w:eastAsia="仿宋"/>
          <w:bCs/>
          <w:color w:val="000000"/>
          <w:sz w:val="32"/>
          <w:szCs w:val="32"/>
          <w:lang w:eastAsia="zh-CN"/>
        </w:rPr>
      </w:pPr>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2023</w:t>
      </w:r>
      <w:r>
        <w:rPr>
          <w:rFonts w:hint="eastAsia" w:ascii="仿宋" w:hAnsi="仿宋" w:eastAsia="仿宋"/>
          <w:bCs/>
          <w:color w:val="000000"/>
          <w:sz w:val="32"/>
          <w:szCs w:val="32"/>
        </w:rPr>
        <w:t>年重点工作完成情况。</w:t>
      </w:r>
      <w:bookmarkEnd w:id="16"/>
      <w:bookmarkEnd w:id="17"/>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在区局的正确领导下，认真贯彻党的十八大及</w:t>
      </w:r>
      <w:r>
        <w:rPr>
          <w:rFonts w:hint="eastAsia" w:ascii="仿宋_GB2312" w:hAnsi="仿宋" w:eastAsia="仿宋_GB2312"/>
          <w:sz w:val="32"/>
          <w:szCs w:val="32"/>
          <w:lang w:eastAsia="zh-CN"/>
        </w:rPr>
        <w:t>中共十九大精神</w:t>
      </w:r>
      <w:r>
        <w:rPr>
          <w:rFonts w:hint="eastAsia" w:ascii="仿宋_GB2312" w:hAnsi="仿宋" w:eastAsia="仿宋_GB2312"/>
          <w:sz w:val="32"/>
          <w:szCs w:val="32"/>
        </w:rPr>
        <w:t>，以“办让人民满意的教育、打造让人民满意的教师、培养让人民满意的学生”为宗旨，坚持我校的“把常规做到极致、把创新做成常规”的工作方略，以扎实推进素质教育，强化学生思想道德建设，深化课堂教学改革，提高教育教学质量为重点，踏实工作，锐意进取，圆满地完成了阶段教育教学任务，实现了预期目标，学校教育教学工作得到全面、协调、可持续发展。并逐步形成‘致真课程’及“致真评价”体系，全体员工积极参与读书分享交流会和“致真讲坛”等，使学校氛围更加和谐、更加稳定，更加奋发向上，办学效益更加突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1.加强教师队伍建设，提高教师整体水平</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（1）培训有新举措，强化教师培训。</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（2）透明化管理，全面启动“致真”评价。</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2.增强德育实效，扎实做好德育工作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（1）强化养成教育、推进德育工作。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（2）充分发挥班主任在德育工作中的主力军作用。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3.推进素质教育，全面提升教学质量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（1）规范教学活动管理，营造科学育人环境。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（2）教研教改、校本研修持续开展，促进了教学水平的提升。</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4.加强安全工作，关爱学生身心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5.加强后勤管理，为教育教学做好坚强的后盾。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6.学生研学旅行全面展开。</w:t>
      </w:r>
    </w:p>
    <w:p>
      <w:pPr>
        <w:snapToGrid w:val="0"/>
        <w:spacing w:line="520" w:lineRule="exact"/>
        <w:ind w:firstLine="640" w:firstLineChars="200"/>
        <w:rPr>
          <w:rFonts w:hint="eastAsia" w:ascii="仿宋_GB2312" w:hAnsi="仿宋" w:eastAsia="仿宋_GB2312"/>
          <w:sz w:val="32"/>
          <w:szCs w:val="32"/>
        </w:rPr>
      </w:pPr>
    </w:p>
    <w:p>
      <w:pPr>
        <w:ind w:firstLine="643" w:firstLineChars="200"/>
        <w:rPr>
          <w:rStyle w:val="25"/>
        </w:rPr>
      </w:pPr>
      <w:bookmarkStart w:id="18" w:name="_Toc15396601"/>
      <w:bookmarkStart w:id="19" w:name="_Toc15377200"/>
      <w:r>
        <w:rPr>
          <w:rFonts w:hint="eastAsia" w:ascii="黑体" w:eastAsia="黑体"/>
          <w:b/>
          <w:color w:val="000000"/>
          <w:sz w:val="32"/>
          <w:szCs w:val="32"/>
        </w:rPr>
        <w:t>二、</w:t>
      </w:r>
      <w:r>
        <w:rPr>
          <w:rFonts w:hint="eastAsia" w:ascii="黑体" w:hAnsi="黑体" w:eastAsia="黑体"/>
          <w:b/>
          <w:color w:val="000000"/>
          <w:sz w:val="32"/>
          <w:szCs w:val="32"/>
        </w:rPr>
        <w:t>机</w:t>
      </w:r>
      <w:r>
        <w:rPr>
          <w:rStyle w:val="25"/>
          <w:rFonts w:hint="eastAsia" w:ascii="黑体" w:hAnsi="黑体" w:eastAsia="黑体"/>
        </w:rPr>
        <w:t>构设置</w:t>
      </w:r>
      <w:bookmarkEnd w:id="18"/>
      <w:bookmarkEnd w:id="19"/>
    </w:p>
    <w:p>
      <w:pPr>
        <w:ind w:firstLine="800" w:firstLineChars="250"/>
        <w:rPr>
          <w:rFonts w:hint="eastAsia" w:ascii="仿宋" w:hAnsi="仿宋" w:eastAsia="仿宋"/>
          <w:kern w:val="2"/>
          <w:sz w:val="32"/>
          <w:szCs w:val="32"/>
          <w:lang w:val="en-US" w:eastAsia="zh-CN" w:bidi="ar-SA"/>
        </w:rPr>
      </w:pPr>
      <w:r>
        <w:rPr>
          <w:rFonts w:ascii="仿宋" w:hAnsi="仿宋" w:eastAsia="仿宋"/>
          <w:color w:val="000000"/>
          <w:kern w:val="0"/>
          <w:sz w:val="32"/>
          <w:szCs w:val="32"/>
        </w:rPr>
        <w:t>我</w:t>
      </w:r>
      <w:r>
        <w:rPr>
          <w:rFonts w:hint="eastAsia" w:ascii="仿宋_GB2312" w:hAnsi="仿宋" w:eastAsia="仿宋_GB2312" w:cs="仿宋"/>
          <w:bCs/>
          <w:sz w:val="32"/>
          <w:szCs w:val="32"/>
        </w:rPr>
        <w:t>单位</w:t>
      </w:r>
      <w:r>
        <w:rPr>
          <w:rFonts w:hint="eastAsia" w:ascii="仿宋" w:hAnsi="仿宋" w:eastAsia="仿宋"/>
          <w:sz w:val="32"/>
          <w:szCs w:val="32"/>
          <w:lang w:eastAsia="zh-CN"/>
        </w:rPr>
        <w:t>属于</w:t>
      </w:r>
      <w:r>
        <w:rPr>
          <w:rFonts w:hint="eastAsia" w:ascii="仿宋" w:hAnsi="仿宋" w:eastAsia="仿宋"/>
          <w:sz w:val="32"/>
          <w:szCs w:val="32"/>
          <w:lang w:val="en-US" w:eastAsia="zh-CN"/>
        </w:rPr>
        <w:t>遂宁市船山</w:t>
      </w:r>
      <w:r>
        <w:rPr>
          <w:rFonts w:hint="eastAsia" w:ascii="仿宋" w:hAnsi="仿宋" w:eastAsia="仿宋"/>
          <w:sz w:val="32"/>
          <w:szCs w:val="32"/>
          <w:lang w:eastAsia="zh-CN"/>
        </w:rPr>
        <w:t>区教育和体育局下属单位，无下属预算单位。</w:t>
      </w:r>
    </w:p>
    <w:p>
      <w:pPr>
        <w:widowControl/>
        <w:ind w:firstLine="640" w:firstLineChars="200"/>
        <w:jc w:val="left"/>
        <w:rPr>
          <w:rFonts w:hint="eastAsia" w:ascii="仿宋_GB2312" w:hAnsi="仿宋" w:eastAsia="仿宋_GB2312" w:cs="仿宋"/>
          <w:bCs/>
          <w:sz w:val="32"/>
          <w:szCs w:val="32"/>
          <w:u w:val="single"/>
        </w:rPr>
      </w:pPr>
    </w:p>
    <w:p>
      <w:pPr>
        <w:widowControl/>
        <w:ind w:firstLine="640" w:firstLineChars="200"/>
        <w:jc w:val="left"/>
        <w:rPr>
          <w:rFonts w:hint="eastAsia" w:ascii="仿宋_GB2312" w:hAnsi="仿宋" w:eastAsia="仿宋_GB2312" w:cs="仿宋"/>
          <w:bCs/>
          <w:sz w:val="32"/>
          <w:szCs w:val="32"/>
          <w:u w:val="single"/>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4"/>
          <w:rFonts w:ascii="黑体" w:hAnsi="黑体" w:eastAsia="黑体"/>
          <w:b w:val="0"/>
          <w:bCs/>
          <w:color w:val="auto"/>
          <w:highlight w:val="none"/>
        </w:rPr>
      </w:pPr>
      <w:bookmarkStart w:id="20" w:name="_Toc15396602"/>
      <w:bookmarkStart w:id="21"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0"/>
      <w:bookmarkEnd w:id="21"/>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2" w:name="_Toc15396603"/>
      <w:bookmarkStart w:id="23"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年度收、支总计1702.93万元。与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211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根据教学实际需要，更换一批老旧教学设备。</w:t>
      </w:r>
    </w:p>
    <w:p>
      <w:pPr>
        <w:pStyle w:val="5"/>
        <w:rPr>
          <w:rFonts w:hint="eastAsia" w:ascii="仿宋" w:hAnsi="仿宋" w:eastAsia="仿宋"/>
          <w:color w:val="auto"/>
          <w:sz w:val="32"/>
          <w:szCs w:val="32"/>
          <w:highlight w:val="none"/>
          <w:lang w:eastAsia="zh-CN"/>
        </w:rPr>
      </w:pPr>
      <w:r>
        <w:drawing>
          <wp:inline distT="0" distB="0" distL="114300" distR="114300">
            <wp:extent cx="5293995" cy="2855595"/>
            <wp:effectExtent l="0" t="0" r="190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293995" cy="285559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4"/>
      <w:bookmarkStart w:id="25"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年本年收入合计1821.56万元，其中：一般公共预算财政拨款收入1587.26万元，占</w:t>
      </w:r>
      <w:r>
        <w:rPr>
          <w:rFonts w:hint="eastAsia" w:ascii="仿宋" w:hAnsi="仿宋" w:eastAsia="仿宋"/>
          <w:color w:val="auto"/>
          <w:sz w:val="32"/>
          <w:szCs w:val="32"/>
          <w:highlight w:val="none"/>
          <w:lang w:val="en-US" w:eastAsia="zh-CN"/>
        </w:rPr>
        <w:t>87.14</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；其他收入234.3万元，占</w:t>
      </w:r>
      <w:r>
        <w:rPr>
          <w:rFonts w:hint="eastAsia" w:ascii="仿宋" w:hAnsi="仿宋" w:eastAsia="仿宋"/>
          <w:color w:val="auto"/>
          <w:sz w:val="32"/>
          <w:szCs w:val="32"/>
          <w:highlight w:val="none"/>
          <w:lang w:val="en-US" w:eastAsia="zh-CN"/>
        </w:rPr>
        <w:t>12.86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r>
        <w:drawing>
          <wp:inline distT="0" distB="0" distL="114300" distR="114300">
            <wp:extent cx="5018405" cy="3402965"/>
            <wp:effectExtent l="0" t="0" r="10795"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018405" cy="340296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6" w:name="_Toc15396605"/>
      <w:bookmarkStart w:id="27"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年本年支出合计1807.12万元，其中：基本支出1342.33万元，占</w:t>
      </w:r>
      <w:r>
        <w:rPr>
          <w:rFonts w:hint="eastAsia" w:ascii="仿宋" w:hAnsi="仿宋" w:eastAsia="仿宋"/>
          <w:color w:val="auto"/>
          <w:sz w:val="32"/>
          <w:szCs w:val="32"/>
          <w:highlight w:val="none"/>
          <w:lang w:val="en-US" w:eastAsia="zh-CN"/>
        </w:rPr>
        <w:t>74.28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；项目支出464.79万元，占</w:t>
      </w:r>
      <w:r>
        <w:rPr>
          <w:rFonts w:hint="eastAsia" w:ascii="仿宋" w:hAnsi="仿宋" w:eastAsia="仿宋"/>
          <w:color w:val="auto"/>
          <w:sz w:val="32"/>
          <w:szCs w:val="32"/>
          <w:highlight w:val="none"/>
          <w:lang w:val="en-US" w:eastAsia="zh-CN"/>
        </w:rPr>
        <w:t>25.72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r>
        <w:drawing>
          <wp:inline distT="0" distB="0" distL="114300" distR="114300">
            <wp:extent cx="5043170" cy="3315970"/>
            <wp:effectExtent l="0" t="0" r="1143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043170" cy="331597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5"/>
          <w:rFonts w:ascii="黑体" w:hAnsi="黑体" w:eastAsia="黑体"/>
          <w:b w:val="0"/>
          <w:color w:val="auto"/>
          <w:highlight w:val="none"/>
        </w:rPr>
      </w:pPr>
      <w:bookmarkStart w:id="28" w:name="_Toc15396606"/>
      <w:bookmarkStart w:id="29"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8"/>
      <w:bookmarkEnd w:id="29"/>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年财政拨款收、支总计1587.26万元。与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53.17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根据教学实际需要，更换一批老旧教学设备。</w:t>
      </w:r>
    </w:p>
    <w:p>
      <w:pPr>
        <w:spacing w:line="600" w:lineRule="exact"/>
        <w:ind w:firstLine="640"/>
        <w:rPr>
          <w:rFonts w:hint="default" w:ascii="仿宋" w:hAnsi="仿宋" w:eastAsia="仿宋"/>
          <w:b/>
          <w:color w:val="auto"/>
          <w:sz w:val="32"/>
          <w:szCs w:val="32"/>
          <w:highlight w:val="none"/>
          <w:lang w:val="en-US" w:eastAsia="zh-CN"/>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p>
    <w:p>
      <w:pPr>
        <w:pStyle w:val="5"/>
        <w:rPr>
          <w:rFonts w:hint="eastAsia" w:ascii="仿宋" w:hAnsi="仿宋" w:eastAsia="仿宋"/>
          <w:b/>
          <w:color w:val="auto"/>
          <w:sz w:val="32"/>
          <w:szCs w:val="32"/>
          <w:highlight w:val="none"/>
        </w:rPr>
      </w:pPr>
      <w:r>
        <w:drawing>
          <wp:inline distT="0" distB="0" distL="114300" distR="114300">
            <wp:extent cx="5400040" cy="3190240"/>
            <wp:effectExtent l="0" t="0" r="10160" b="1016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5400040" cy="319024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5"/>
          <w:rFonts w:ascii="黑体" w:hAnsi="黑体" w:eastAsia="黑体"/>
          <w:b w:val="0"/>
          <w:color w:val="auto"/>
          <w:highlight w:val="none"/>
        </w:rPr>
      </w:pPr>
      <w:bookmarkStart w:id="30" w:name="_Toc15377209"/>
      <w:bookmarkStart w:id="3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年一般公共预算财政拨款支出1587.26万元，占本年支出合计的</w:t>
      </w:r>
      <w:r>
        <w:rPr>
          <w:rFonts w:hint="eastAsia" w:ascii="仿宋" w:hAnsi="仿宋" w:eastAsia="仿宋"/>
          <w:color w:val="auto"/>
          <w:sz w:val="32"/>
          <w:szCs w:val="32"/>
          <w:highlight w:val="none"/>
          <w:lang w:val="en-US" w:eastAsia="zh-CN"/>
        </w:rPr>
        <w:t>87.83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53.17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根据教学实际需要，更换一批老旧教学设备。</w:t>
      </w: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r>
        <w:drawing>
          <wp:inline distT="0" distB="0" distL="114300" distR="114300">
            <wp:extent cx="5388610" cy="3300095"/>
            <wp:effectExtent l="0" t="0" r="8890" b="190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5"/>
                    <a:stretch>
                      <a:fillRect/>
                    </a:stretch>
                  </pic:blipFill>
                  <pic:spPr>
                    <a:xfrm>
                      <a:off x="0" y="0"/>
                      <a:ext cx="5388610" cy="330009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年一般公共预算财政拨款支出1587.26万元，主要用于以下方面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rPr>
        <w:t>1212.7万元，占</w:t>
      </w:r>
      <w:r>
        <w:rPr>
          <w:rFonts w:hint="eastAsia" w:ascii="仿宋" w:hAnsi="仿宋" w:eastAsia="仿宋"/>
          <w:color w:val="auto"/>
          <w:sz w:val="32"/>
          <w:szCs w:val="32"/>
          <w:highlight w:val="none"/>
          <w:lang w:val="en-US" w:eastAsia="zh-CN"/>
        </w:rPr>
        <w:t>76.40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217.4万元，占</w:t>
      </w:r>
      <w:r>
        <w:rPr>
          <w:rFonts w:hint="eastAsia" w:ascii="仿宋" w:hAnsi="仿宋" w:eastAsia="仿宋"/>
          <w:color w:val="auto"/>
          <w:sz w:val="32"/>
          <w:szCs w:val="32"/>
          <w:highlight w:val="none"/>
          <w:lang w:val="en-US" w:eastAsia="zh-CN"/>
        </w:rPr>
        <w:t>13.70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60.86万元，占</w:t>
      </w:r>
      <w:r>
        <w:rPr>
          <w:rFonts w:hint="eastAsia" w:ascii="仿宋" w:hAnsi="仿宋" w:eastAsia="仿宋"/>
          <w:color w:val="auto"/>
          <w:sz w:val="32"/>
          <w:szCs w:val="32"/>
          <w:highlight w:val="none"/>
          <w:lang w:val="en-US" w:eastAsia="zh-CN"/>
        </w:rPr>
        <w:t>3.83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96.29万元，占</w:t>
      </w:r>
      <w:r>
        <w:rPr>
          <w:rFonts w:hint="eastAsia" w:ascii="仿宋" w:hAnsi="仿宋" w:eastAsia="仿宋"/>
          <w:color w:val="auto"/>
          <w:sz w:val="32"/>
          <w:szCs w:val="32"/>
          <w:highlight w:val="none"/>
          <w:lang w:val="en-US" w:eastAsia="zh-CN"/>
        </w:rPr>
        <w:t>6.07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r>
        <w:drawing>
          <wp:inline distT="0" distB="0" distL="114300" distR="114300">
            <wp:extent cx="5322570" cy="3362960"/>
            <wp:effectExtent l="0" t="0" r="11430" b="254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6"/>
                    <a:stretch>
                      <a:fillRect/>
                    </a:stretch>
                  </pic:blipFill>
                  <pic:spPr>
                    <a:xfrm>
                      <a:off x="0" y="0"/>
                      <a:ext cx="5322570" cy="3362960"/>
                    </a:xfrm>
                    <a:prstGeom prst="rect">
                      <a:avLst/>
                    </a:prstGeom>
                    <a:noFill/>
                    <a:ln>
                      <a:noFill/>
                    </a:ln>
                  </pic:spPr>
                </pic:pic>
              </a:graphicData>
            </a:graphic>
          </wp:inline>
        </w:drawing>
      </w:r>
    </w:p>
    <w:p>
      <w:pPr>
        <w:spacing w:line="600" w:lineRule="exact"/>
        <w:ind w:firstLine="640" w:firstLineChars="200"/>
        <w:outlineLvl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bookmarkStart w:id="34" w:name="_Toc15377212"/>
    </w:p>
    <w:p>
      <w:pPr>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color w:val="auto"/>
          <w:sz w:val="32"/>
          <w:szCs w:val="32"/>
          <w:highlight w:val="none"/>
        </w:rPr>
      </w:pPr>
      <w:bookmarkStart w:id="35" w:name="_Toc15377213"/>
      <w:bookmarkStart w:id="36" w:name="_Toc15377444"/>
      <w:bookmarkStart w:id="37"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1587.26万元，</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5"/>
      <w:bookmarkEnd w:id="36"/>
      <w:bookmarkEnd w:id="37"/>
    </w:p>
    <w:p>
      <w:pPr>
        <w:pStyle w:val="5"/>
        <w:spacing w:before="93"/>
        <w:ind w:firstLine="643" w:firstLineChars="200"/>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.教育支出</w:t>
      </w:r>
      <w:r>
        <w:rPr>
          <w:rFonts w:hint="eastAsia" w:ascii="仿宋" w:hAnsi="仿宋" w:eastAsia="仿宋"/>
          <w:b/>
          <w:sz w:val="32"/>
          <w:szCs w:val="32"/>
        </w:rPr>
        <w:t>（类）</w:t>
      </w:r>
      <w:r>
        <w:rPr>
          <w:rStyle w:val="14"/>
          <w:rFonts w:hint="eastAsia" w:ascii="仿宋" w:hAnsi="仿宋" w:eastAsia="仿宋"/>
          <w:bCs/>
          <w:sz w:val="32"/>
          <w:szCs w:val="32"/>
        </w:rPr>
        <w:t>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支出决算为1212.7</w:t>
      </w:r>
      <w:r>
        <w:rPr>
          <w:rStyle w:val="14"/>
          <w:rFonts w:hint="eastAsia" w:ascii="仿宋" w:hAnsi="仿宋" w:eastAsia="仿宋"/>
          <w:b w:val="0"/>
          <w:bCs/>
          <w:sz w:val="32"/>
          <w:szCs w:val="32"/>
          <w:lang w:val="en-US" w:eastAsia="zh-CN"/>
        </w:rPr>
        <w:t>0</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支出决算为114.58万元，完成预算100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支出决算为53.45万元，完成预算100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行政事业单位养老支出（款）行政单位离退休（项）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支出决算为5.59万元，完成预算100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5.</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抚恤（款）死亡抚恤（项）</w:t>
      </w:r>
      <w:r>
        <w:rPr>
          <w:rStyle w:val="14"/>
          <w:rFonts w:ascii="仿宋" w:hAnsi="仿宋" w:eastAsia="仿宋"/>
          <w:bCs/>
          <w:sz w:val="32"/>
          <w:szCs w:val="32"/>
        </w:rPr>
        <w:t>:</w:t>
      </w:r>
      <w:r>
        <w:rPr>
          <w:rStyle w:val="14"/>
          <w:rFonts w:hint="eastAsia" w:ascii="仿宋" w:hAnsi="仿宋" w:eastAsia="仿宋"/>
          <w:b w:val="0"/>
          <w:bCs/>
          <w:sz w:val="32"/>
          <w:szCs w:val="32"/>
        </w:rPr>
        <w:t>支出决算为28.07万元，完成预算100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残疾人事业（款）残疾人就业（项）</w:t>
      </w:r>
      <w:r>
        <w:rPr>
          <w:rStyle w:val="14"/>
          <w:rFonts w:ascii="仿宋" w:hAnsi="仿宋" w:eastAsia="仿宋"/>
          <w:bCs/>
          <w:sz w:val="32"/>
          <w:szCs w:val="32"/>
        </w:rPr>
        <w:t>:</w:t>
      </w:r>
      <w:r>
        <w:rPr>
          <w:rStyle w:val="14"/>
          <w:rFonts w:hint="eastAsia" w:ascii="仿宋" w:hAnsi="仿宋" w:eastAsia="仿宋"/>
          <w:b w:val="0"/>
          <w:bCs/>
          <w:sz w:val="32"/>
          <w:szCs w:val="32"/>
        </w:rPr>
        <w:t>支出决算为9.11万元，完成预算100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7</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Fonts w:hint="eastAsia" w:ascii="仿宋" w:hAnsi="仿宋" w:eastAsia="仿宋"/>
          <w:b/>
          <w:sz w:val="32"/>
          <w:szCs w:val="32"/>
        </w:rPr>
        <w:t>（类）</w:t>
      </w:r>
      <w:r>
        <w:rPr>
          <w:rStyle w:val="14"/>
          <w:rFonts w:hint="eastAsia" w:ascii="仿宋" w:hAnsi="仿宋" w:eastAsia="仿宋"/>
          <w:bCs/>
          <w:sz w:val="32"/>
          <w:szCs w:val="32"/>
        </w:rPr>
        <w:t>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Cs/>
          <w:sz w:val="32"/>
          <w:szCs w:val="32"/>
          <w:lang w:val="en-US" w:eastAsia="zh-CN"/>
        </w:rPr>
        <w:t>6.6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8</w:t>
      </w:r>
      <w:r>
        <w:rPr>
          <w:rStyle w:val="14"/>
          <w:rFonts w:ascii="仿宋" w:hAnsi="仿宋" w:eastAsia="仿宋"/>
          <w:bCs/>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Style w:val="14"/>
          <w:rFonts w:hint="eastAsia" w:ascii="仿宋" w:hAnsi="仿宋" w:eastAsia="仿宋"/>
          <w:bCs/>
          <w:sz w:val="32"/>
          <w:szCs w:val="32"/>
        </w:rPr>
        <w:t>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支出决算为41.39万元，完成预算100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9</w:t>
      </w:r>
      <w:r>
        <w:rPr>
          <w:rStyle w:val="14"/>
          <w:rFonts w:ascii="仿宋" w:hAnsi="仿宋" w:eastAsia="仿宋"/>
          <w:bCs/>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Style w:val="14"/>
          <w:rFonts w:hint="eastAsia" w:ascii="仿宋" w:hAnsi="仿宋" w:eastAsia="仿宋"/>
          <w:bCs/>
          <w:sz w:val="32"/>
          <w:szCs w:val="32"/>
        </w:rPr>
        <w:t>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支出决算为19.47万元，完成预算100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10</w:t>
      </w:r>
      <w:r>
        <w:rPr>
          <w:rStyle w:val="14"/>
          <w:rFonts w:ascii="仿宋" w:hAnsi="仿宋" w:eastAsia="仿宋"/>
          <w:bCs/>
          <w:sz w:val="32"/>
          <w:szCs w:val="32"/>
        </w:rPr>
        <w:t>.</w:t>
      </w:r>
      <w:r>
        <w:rPr>
          <w:rFonts w:hint="eastAsia" w:ascii="仿宋" w:hAnsi="仿宋" w:eastAsia="仿宋"/>
          <w:b/>
          <w:bCs/>
          <w:sz w:val="32"/>
          <w:szCs w:val="32"/>
        </w:rPr>
        <w:t>住房保障支出</w:t>
      </w:r>
      <w:r>
        <w:rPr>
          <w:rFonts w:hint="eastAsia" w:ascii="仿宋" w:hAnsi="仿宋" w:eastAsia="仿宋"/>
          <w:b/>
          <w:sz w:val="32"/>
          <w:szCs w:val="32"/>
        </w:rPr>
        <w:t>（类）</w:t>
      </w:r>
      <w:r>
        <w:rPr>
          <w:rStyle w:val="14"/>
          <w:rFonts w:hint="eastAsia" w:ascii="仿宋" w:hAnsi="仿宋" w:eastAsia="仿宋"/>
          <w:bCs/>
          <w:sz w:val="32"/>
          <w:szCs w:val="32"/>
        </w:rPr>
        <w:t>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支出决算为96.29万元，完成预算100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8"/>
      <w:bookmarkEnd w:id="39"/>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年一般公共预算财政拨款基本支出1342.32万元，其中：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人员经费1295.74万元，主要包括：基本工资、津贴补贴、奖金、伙食补助费、绩效工资、机关事业单位基本养老保险缴费、职业年金缴费、其他社会保障缴费、其他工资福利支出、抚恤金、生活补助、医疗费补助</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住房公积金、其他对个人和家庭的补助支出等。</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公用经费46.58万元，主要包括：办公费、印刷费、咨询费、电费、邮电费、、差旅费、维修（护）费、公务接待费、劳务费、福利费、其他交通费、其他商品和服务支出等。</w:t>
      </w:r>
    </w:p>
    <w:p>
      <w:pPr>
        <w:pStyle w:val="5"/>
      </w:pPr>
    </w:p>
    <w:p>
      <w:pPr>
        <w:spacing w:line="600" w:lineRule="exact"/>
        <w:ind w:firstLine="640"/>
        <w:outlineLvl w:val="1"/>
        <w:rPr>
          <w:rStyle w:val="25"/>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40"/>
      <w:bookmarkEnd w:id="41"/>
    </w:p>
    <w:p>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pPr>
        <w:spacing w:line="600" w:lineRule="exact"/>
        <w:ind w:firstLine="640"/>
        <w:rPr>
          <w:rFonts w:ascii="仿宋" w:hAnsi="仿宋" w:eastAsia="仿宋"/>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sz w:val="32"/>
          <w:szCs w:val="32"/>
        </w:rPr>
        <w:t>三公”经费财政拨款支出决算为0万元，完成预算0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hint="eastAsia" w:ascii="仿宋" w:hAnsi="仿宋" w:eastAsia="仿宋"/>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sz w:val="32"/>
          <w:szCs w:val="32"/>
        </w:rPr>
        <w:t>“三公”经费财政拨款支出决算中，因公出国（境）费支出决算0万元，占0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rPr>
      </w:pPr>
      <w:r>
        <w:drawing>
          <wp:inline distT="0" distB="0" distL="0" distR="0">
            <wp:extent cx="5019675" cy="2743200"/>
            <wp:effectExtent l="4445" t="4445" r="5080" b="5080"/>
            <wp:docPr id="18"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sz w:val="32"/>
          <w:szCs w:val="32"/>
        </w:rPr>
      </w:pPr>
      <w:bookmarkStart w:id="44" w:name="_Toc15396610"/>
      <w:bookmarkStart w:id="45"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bookmarkStart w:id="90" w:name="_GoBack"/>
      <w:bookmarkEnd w:id="90"/>
      <w:r>
        <w:rPr>
          <w:rFonts w:hint="eastAsia" w:ascii="仿宋_GB2312" w:eastAsia="仿宋_GB2312"/>
          <w:sz w:val="32"/>
          <w:szCs w:val="32"/>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年基本持平。其中：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ascii="黑体" w:hAnsi="黑体" w:eastAsia="黑体"/>
          <w:b w:val="0"/>
          <w:color w:val="auto"/>
          <w:highlight w:val="none"/>
        </w:rPr>
      </w:pPr>
      <w:bookmarkStart w:id="46" w:name="_Toc15377219"/>
      <w:bookmarkStart w:id="47" w:name="_Toc15396611"/>
      <w:r>
        <w:rPr>
          <w:rStyle w:val="25"/>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48" w:name="_Toc15396612"/>
      <w:bookmarkStart w:id="49" w:name="_Toc15377221"/>
      <w:r>
        <w:rPr>
          <w:rStyle w:val="25"/>
          <w:rFonts w:hint="eastAsia" w:ascii="黑体" w:hAnsi="黑体" w:eastAsia="黑体"/>
          <w:b w:val="0"/>
          <w:color w:val="auto"/>
          <w:highlight w:val="none"/>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sz w:val="32"/>
          <w:szCs w:val="32"/>
        </w:rPr>
        <w:t>学校</w:t>
      </w:r>
      <w:r>
        <w:rPr>
          <w:rFonts w:hint="eastAsia" w:ascii="仿宋_GB2312" w:eastAsia="仿宋_GB2312"/>
          <w:sz w:val="32"/>
          <w:szCs w:val="32"/>
        </w:rPr>
        <w:t>机关运行经费支出0万元，</w:t>
      </w:r>
      <w:bookmarkStart w:id="51" w:name="OLE_LINK3"/>
      <w:bookmarkStart w:id="52" w:name="OLE_LINK13"/>
      <w:bookmarkStart w:id="53" w:name="OLE_LINK6"/>
      <w:bookmarkStart w:id="54" w:name="OLE_LINK8"/>
      <w:bookmarkStart w:id="55" w:name="OLE_LINK14"/>
      <w:bookmarkStart w:id="56" w:name="OLE_LINK12"/>
      <w:bookmarkStart w:id="57" w:name="OLE_LINK18"/>
      <w:bookmarkStart w:id="58" w:name="OLE_LINK16"/>
      <w:bookmarkStart w:id="59" w:name="OLE_LINK11"/>
      <w:bookmarkStart w:id="60" w:name="OLE_LINK9"/>
      <w:bookmarkStart w:id="61" w:name="OLE_LINK7"/>
      <w:bookmarkStart w:id="62" w:name="OLE_LINK17"/>
      <w:bookmarkStart w:id="63" w:name="OLE_LINK5"/>
      <w:bookmarkStart w:id="64" w:name="OLE_LINK10"/>
      <w:bookmarkStart w:id="65" w:name="OLE_LINK4"/>
      <w:bookmarkStart w:id="66" w:name="OLE_LINK15"/>
      <w:bookmarkStart w:id="67" w:name="OLE_LINK1"/>
      <w:bookmarkStart w:id="68" w:name="OLE_LINK2"/>
      <w:r>
        <w:rPr>
          <w:rFonts w:hint="eastAsia" w:ascii="仿宋_GB2312" w:eastAsia="仿宋_GB2312" w:cs="Times New Roman"/>
          <w:color w:val="auto"/>
          <w:sz w:val="32"/>
          <w:szCs w:val="32"/>
          <w:highlight w:val="none"/>
          <w:lang w:val="en-US" w:eastAsia="zh-CN"/>
        </w:rPr>
        <w:t>本单位是全额拨款事业单位，没有预算机关运行经费</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sz w:val="32"/>
          <w:szCs w:val="32"/>
        </w:rPr>
        <w:t>学校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5"/>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年度预算编制阶段，没有需要做预算事前绩效评估项目，故未开展预算绩效评估</w:t>
      </w:r>
      <w:r>
        <w:rPr>
          <w:rFonts w:hint="eastAsia" w:hAnsi="仿宋_GB2312" w:cs="仿宋_GB2312"/>
          <w:color w:val="auto"/>
          <w:sz w:val="32"/>
          <w:szCs w:val="32"/>
          <w:highlight w:val="none"/>
          <w:lang w:eastAsia="zh-CN"/>
        </w:rPr>
        <w:t>。</w:t>
      </w:r>
      <w:r>
        <w:rPr>
          <w:rFonts w:hint="eastAsia" w:ascii="仿宋" w:hAnsi="仿宋" w:eastAsia="仿宋" w:cs="仿宋"/>
          <w:sz w:val="32"/>
          <w:szCs w:val="32"/>
          <w:highlight w:val="none"/>
        </w:rPr>
        <w:t>组织对人员类、运转类、特定目标类等</w:t>
      </w:r>
      <w:r>
        <w:rPr>
          <w:rFonts w:hint="eastAsia" w:hAnsi="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val="en-US" w:eastAsia="zh-CN"/>
        </w:rPr>
        <w:t>四类学生课后服务保障经费（城市）</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5"/>
        <w:spacing w:before="93"/>
      </w:pPr>
      <w:bookmarkStart w:id="71" w:name="_Toc15377226"/>
    </w:p>
    <w:p>
      <w:pPr>
        <w:numPr>
          <w:ilvl w:val="0"/>
          <w:numId w:val="3"/>
        </w:numPr>
        <w:spacing w:line="600" w:lineRule="exact"/>
        <w:ind w:firstLine="660" w:firstLineChars="150"/>
        <w:jc w:val="center"/>
        <w:outlineLvl w:val="0"/>
        <w:rPr>
          <w:rStyle w:val="24"/>
          <w:rFonts w:ascii="黑体" w:hAnsi="黑体" w:eastAsia="黑体"/>
          <w:b w:val="0"/>
        </w:rPr>
      </w:pPr>
      <w:bookmarkStart w:id="72" w:name="_Toc15377225"/>
      <w:bookmarkStart w:id="73" w:name="_Toc15396613"/>
      <w:bookmarkStart w:id="74" w:name="_Toc9937"/>
      <w:r>
        <w:rPr>
          <w:rFonts w:hint="eastAsia" w:ascii="黑体" w:hAnsi="黑体" w:eastAsia="黑体"/>
          <w:sz w:val="44"/>
          <w:szCs w:val="44"/>
        </w:rPr>
        <w:t>名</w:t>
      </w:r>
      <w:r>
        <w:rPr>
          <w:rStyle w:val="24"/>
          <w:rFonts w:hint="eastAsia" w:ascii="黑体" w:hAnsi="黑体" w:eastAsia="黑体"/>
          <w:b w:val="0"/>
        </w:rPr>
        <w:t>词解释</w:t>
      </w:r>
      <w:bookmarkEnd w:id="72"/>
      <w:bookmarkEnd w:id="73"/>
      <w:bookmarkEnd w:id="74"/>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left="638" w:leftChars="304"/>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教育支出（类）普通教育（款）小学教育（项）</w:t>
      </w:r>
      <w:r>
        <w:rPr>
          <w:rFonts w:ascii="仿宋_GB2312" w:eastAsia="仿宋_GB2312"/>
          <w:sz w:val="32"/>
          <w:szCs w:val="32"/>
        </w:rPr>
        <w:t xml:space="preserve">: </w:t>
      </w:r>
      <w:r>
        <w:rPr>
          <w:rFonts w:hint="eastAsia" w:ascii="仿宋_GB2312" w:eastAsia="仿宋_GB2312"/>
          <w:sz w:val="32"/>
          <w:szCs w:val="32"/>
        </w:rPr>
        <w:t>反映各部门举办的小学教育支出。政府各部门对社会中介组织等举办的小学的资助，如各类捐赠、补贴等，也在本科目中反映。</w:t>
      </w:r>
    </w:p>
    <w:p>
      <w:pPr>
        <w:pStyle w:val="22"/>
        <w:spacing w:line="560" w:lineRule="exact"/>
        <w:ind w:firstLine="640" w:firstLineChars="200"/>
        <w:rPr>
          <w:rFonts w:ascii="仿宋_GB2312" w:eastAsia="仿宋_GB2312"/>
          <w:sz w:val="32"/>
          <w:szCs w:val="32"/>
        </w:rPr>
      </w:pPr>
      <w:r>
        <w:rPr>
          <w:rFonts w:hint="eastAsia" w:hAnsi="仿宋"/>
          <w:sz w:val="32"/>
          <w:szCs w:val="32"/>
          <w:lang w:val="en-US" w:eastAsia="zh-CN"/>
        </w:rPr>
        <w:t>9</w:t>
      </w:r>
      <w:r>
        <w:rPr>
          <w:rFonts w:hAnsi="仿宋"/>
          <w:sz w:val="32"/>
          <w:szCs w:val="32"/>
        </w:rPr>
        <w:t>.</w:t>
      </w:r>
      <w:r>
        <w:rPr>
          <w:rFonts w:hint="eastAsia" w:hAnsi="仿宋"/>
          <w:sz w:val="32"/>
          <w:szCs w:val="32"/>
        </w:rPr>
        <w:t>教育（类）普通教育（款）其他普通教育支出（项）</w:t>
      </w:r>
      <w:r>
        <w:rPr>
          <w:rFonts w:hAnsi="仿宋"/>
          <w:sz w:val="32"/>
          <w:szCs w:val="32"/>
        </w:rPr>
        <w:t xml:space="preserve">: </w:t>
      </w:r>
      <w:r>
        <w:rPr>
          <w:rFonts w:hint="eastAsia" w:hAnsi="仿宋"/>
          <w:sz w:val="32"/>
          <w:szCs w:val="32"/>
        </w:rPr>
        <w:t>反映除上述项目以外其它用于普通教育方面的支出。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反映机关事业单位实施养老保险制度由单位缴纳的基本养老保险费支出。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反映机关事业单位实施养老保险制度由单位缴纳的职业年金缴费支出。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社会保障和就业（类）抚恤（款）死亡抚恤（项）</w:t>
      </w:r>
      <w:r>
        <w:rPr>
          <w:rFonts w:ascii="仿宋_GB2312" w:eastAsia="仿宋_GB2312"/>
          <w:sz w:val="32"/>
          <w:szCs w:val="32"/>
        </w:rPr>
        <w:t xml:space="preserve">: </w:t>
      </w:r>
      <w:r>
        <w:rPr>
          <w:rFonts w:hint="eastAsia" w:ascii="仿宋_GB2312" w:eastAsia="仿宋_GB2312"/>
          <w:sz w:val="32"/>
          <w:szCs w:val="32"/>
        </w:rPr>
        <w:t>反映按规定用于烈士和牺牲、病故人员家属的一次性和定期抚恤金以及丧葬补助费。</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社会保障和就业（类）其他社会保障和就业支出（款）其他社会保障和就业支出（项）</w:t>
      </w:r>
      <w:r>
        <w:rPr>
          <w:rFonts w:ascii="仿宋_GB2312" w:eastAsia="仿宋_GB2312"/>
          <w:sz w:val="32"/>
          <w:szCs w:val="32"/>
        </w:rPr>
        <w:t xml:space="preserve">: </w:t>
      </w:r>
      <w:r>
        <w:rPr>
          <w:rFonts w:hint="eastAsia" w:ascii="仿宋_GB2312" w:eastAsia="仿宋_GB2312"/>
          <w:sz w:val="32"/>
          <w:szCs w:val="32"/>
        </w:rPr>
        <w:t>反映上述项目以外其他用于社会保障和就业方面的支出。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医疗卫生与计划生育（类）行政事业单位医疗（款）事业单位医疗（项）</w:t>
      </w:r>
      <w:r>
        <w:rPr>
          <w:rFonts w:ascii="仿宋_GB2312" w:eastAsia="仿宋_GB2312"/>
          <w:sz w:val="32"/>
          <w:szCs w:val="32"/>
        </w:rPr>
        <w:t>:</w:t>
      </w:r>
      <w:r>
        <w:rPr>
          <w:rFonts w:hint="eastAsia" w:ascii="仿宋_GB2312" w:eastAsia="仿宋_GB2312"/>
          <w:sz w:val="32"/>
          <w:szCs w:val="32"/>
        </w:rPr>
        <w:t>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医疗卫生与计划生育（类）行政事业单位医疗（款）公务员医疗补助（项）</w:t>
      </w:r>
      <w:r>
        <w:rPr>
          <w:rFonts w:ascii="仿宋_GB2312" w:eastAsia="仿宋_GB2312"/>
          <w:sz w:val="32"/>
          <w:szCs w:val="32"/>
        </w:rPr>
        <w:t>:</w:t>
      </w:r>
      <w:r>
        <w:rPr>
          <w:rFonts w:hint="eastAsia" w:ascii="仿宋_GB2312" w:eastAsia="仿宋_GB2312"/>
          <w:sz w:val="32"/>
          <w:szCs w:val="32"/>
        </w:rPr>
        <w:t>反映财政部门集中安排的公务员医疗补助经费。</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olor w:val="auto"/>
          <w:sz w:val="32"/>
          <w:szCs w:val="32"/>
        </w:rPr>
      </w:pPr>
    </w:p>
    <w:p>
      <w:pPr>
        <w:spacing w:line="600" w:lineRule="exact"/>
        <w:jc w:val="both"/>
        <w:outlineLvl w:val="0"/>
        <w:rPr>
          <w:rFonts w:ascii="宋体"/>
          <w:b/>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75" w:name="_Toc15396614"/>
    </w:p>
    <w:p>
      <w:pPr>
        <w:numPr>
          <w:ilvl w:val="0"/>
          <w:numId w:val="3"/>
        </w:numPr>
        <w:spacing w:line="600" w:lineRule="exact"/>
        <w:ind w:left="0" w:leftChars="0" w:firstLine="660" w:firstLineChars="150"/>
        <w:jc w:val="center"/>
        <w:outlineLvl w:val="0"/>
        <w:rPr>
          <w:rStyle w:val="24"/>
          <w:rFonts w:hint="eastAsia" w:ascii="黑体" w:hAnsi="黑体" w:eastAsia="黑体"/>
          <w:b w:val="0"/>
          <w:color w:val="auto"/>
          <w:highlight w:val="none"/>
        </w:rPr>
      </w:pPr>
      <w:r>
        <w:rPr>
          <w:rStyle w:val="24"/>
          <w:rFonts w:hint="eastAsia" w:ascii="黑体" w:hAnsi="黑体" w:eastAsia="黑体"/>
          <w:b w:val="0"/>
          <w:color w:val="auto"/>
          <w:highlight w:val="none"/>
        </w:rPr>
        <w:t>附件</w:t>
      </w:r>
      <w:bookmarkEnd w:id="75"/>
    </w:p>
    <w:tbl>
      <w:tblPr>
        <w:tblStyle w:val="12"/>
        <w:tblpPr w:leftFromText="180" w:rightFromText="180" w:vertAnchor="text" w:horzAnchor="page" w:tblpXSpec="center" w:tblpY="92"/>
        <w:tblOverlap w:val="never"/>
        <w:tblW w:w="11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668"/>
        <w:gridCol w:w="1437"/>
        <w:gridCol w:w="1838"/>
        <w:gridCol w:w="430"/>
        <w:gridCol w:w="1366"/>
        <w:gridCol w:w="433"/>
        <w:gridCol w:w="897"/>
        <w:gridCol w:w="486"/>
        <w:gridCol w:w="396"/>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11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89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四川省遂宁市船山区燕山小学校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对四类学生课后服务实行全免费</w:t>
            </w:r>
          </w:p>
        </w:tc>
        <w:tc>
          <w:tcPr>
            <w:tcW w:w="3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学年初做好四类学生的摸底工作，接下来收集相应的资料保存归档。根据相应人数申报四类学生课后服务保障经费，减免四类学生课后服务费。然后将每期的保障经费运用到位，保证四类学生课后服务顺利开展。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根据实际需要年中调整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义务教育阶段家庭经济困难学生生活补助受益人数</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安全程度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6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cs="宋体"/>
                <w:i w:val="0"/>
                <w:iCs w:val="0"/>
                <w:color w:val="000000"/>
                <w:kern w:val="0"/>
                <w:sz w:val="18"/>
                <w:szCs w:val="18"/>
                <w:u w:val="none"/>
                <w:lang w:val="en-US" w:eastAsia="zh-CN" w:bidi="ar"/>
              </w:rPr>
              <w:t>充分利用该项目经费，</w:t>
            </w:r>
            <w:r>
              <w:rPr>
                <w:rFonts w:ascii="宋体" w:hAnsi="宋体" w:eastAsia="宋体" w:cs="宋体"/>
                <w:i w:val="0"/>
                <w:iCs w:val="0"/>
                <w:color w:val="000000"/>
                <w:kern w:val="0"/>
                <w:sz w:val="18"/>
                <w:szCs w:val="18"/>
                <w:u w:val="none"/>
                <w:lang w:val="en-US" w:eastAsia="zh-CN" w:bidi="ar"/>
              </w:rPr>
              <w:t>保证四类学生课后服务顺利开展</w:t>
            </w:r>
            <w:r>
              <w:rPr>
                <w:rFonts w:hint="eastAsia" w:ascii="宋体" w:hAnsi="宋体" w:cs="宋体"/>
                <w:i w:val="0"/>
                <w:iCs w:val="0"/>
                <w:color w:val="000000"/>
                <w:kern w:val="0"/>
                <w:sz w:val="18"/>
                <w:szCs w:val="18"/>
                <w:u w:val="none"/>
                <w:lang w:val="en-US" w:eastAsia="zh-CN" w:bidi="ar"/>
              </w:rPr>
              <w:t>。各项指标基本都能达到要求。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服务对象受益面还不够，有待扩展受益面。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进一步摸排</w:t>
            </w:r>
            <w:r>
              <w:rPr>
                <w:rFonts w:ascii="宋体" w:hAnsi="宋体" w:eastAsia="宋体" w:cs="宋体"/>
                <w:i w:val="0"/>
                <w:iCs w:val="0"/>
                <w:color w:val="000000"/>
                <w:kern w:val="0"/>
                <w:sz w:val="18"/>
                <w:szCs w:val="18"/>
                <w:u w:val="none"/>
                <w:lang w:val="en-US" w:eastAsia="zh-CN" w:bidi="ar"/>
              </w:rPr>
              <w:t>家庭经济困难学生</w:t>
            </w:r>
            <w:r>
              <w:rPr>
                <w:rFonts w:hint="eastAsia" w:ascii="宋体" w:hAnsi="宋体" w:cs="宋体"/>
                <w:i w:val="0"/>
                <w:iCs w:val="0"/>
                <w:color w:val="000000"/>
                <w:kern w:val="0"/>
                <w:sz w:val="18"/>
                <w:szCs w:val="18"/>
                <w:u w:val="none"/>
                <w:lang w:val="en-US" w:eastAsia="zh-CN" w:bidi="ar"/>
              </w:rPr>
              <w:t>家庭情况，争取扩大受益面。</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pStyle w:val="5"/>
        <w:jc w:val="both"/>
        <w:sectPr>
          <w:footerReference r:id="rId7" w:type="first"/>
          <w:footerReference r:id="rId6" w:type="default"/>
          <w:pgSz w:w="16838" w:h="11906" w:orient="landscape"/>
          <w:pgMar w:top="1800" w:right="1440" w:bottom="1800" w:left="1440" w:header="851" w:footer="992" w:gutter="0"/>
          <w:pgNumType w:fmt="decimal" w:start="19"/>
          <w:cols w:space="425" w:num="1"/>
          <w:titlePg/>
          <w:docGrid w:type="lines" w:linePitch="312" w:charSpace="0"/>
        </w:sectPr>
      </w:pPr>
    </w:p>
    <w:p>
      <w:pPr>
        <w:pStyle w:val="5"/>
        <w:rPr>
          <w:rFonts w:hint="eastAsia" w:ascii="仿宋_GB2312" w:hAnsi="Calibri" w:eastAsia="仿宋_GB2312" w:cs="仿宋"/>
          <w:color w:val="auto"/>
          <w:kern w:val="0"/>
          <w:sz w:val="32"/>
          <w:szCs w:val="32"/>
          <w:highlight w:val="none"/>
          <w:lang w:val="en-US" w:eastAsia="zh-CN" w:bidi="ar-SA"/>
        </w:rPr>
      </w:pPr>
      <w:bookmarkStart w:id="76" w:name="_Toc15396618"/>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6"/>
      <w:bookmarkStart w:id="77" w:name="_Toc15396619"/>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p>
    <w:p>
      <w:pPr>
        <w:pStyle w:val="3"/>
        <w:rPr>
          <w:rFonts w:ascii="仿宋" w:hAnsi="仿宋" w:eastAsia="仿宋"/>
          <w:color w:val="auto"/>
          <w:highlight w:val="none"/>
        </w:rPr>
      </w:pPr>
      <w:bookmarkStart w:id="78"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8"/>
    </w:p>
    <w:p>
      <w:pPr>
        <w:pStyle w:val="3"/>
        <w:rPr>
          <w:rFonts w:ascii="仿宋" w:hAnsi="仿宋" w:eastAsia="仿宋"/>
          <w:color w:val="auto"/>
          <w:highlight w:val="none"/>
        </w:rPr>
      </w:pPr>
      <w:bookmarkStart w:id="79"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79"/>
    </w:p>
    <w:p>
      <w:pPr>
        <w:pStyle w:val="3"/>
        <w:rPr>
          <w:rFonts w:ascii="仿宋" w:hAnsi="仿宋" w:eastAsia="仿宋"/>
          <w:b w:val="0"/>
          <w:color w:val="auto"/>
          <w:highlight w:val="none"/>
        </w:rPr>
      </w:pPr>
      <w:bookmarkStart w:id="80"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0"/>
    </w:p>
    <w:p>
      <w:pPr>
        <w:pStyle w:val="3"/>
        <w:rPr>
          <w:rStyle w:val="25"/>
          <w:rFonts w:ascii="仿宋" w:hAnsi="仿宋" w:eastAsia="仿宋"/>
          <w:b w:val="0"/>
          <w:bCs w:val="0"/>
          <w:color w:val="auto"/>
          <w:highlight w:val="none"/>
        </w:rPr>
      </w:pPr>
      <w:bookmarkStart w:id="81"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1"/>
      <w:bookmarkStart w:id="82" w:name="_Toc15396624"/>
    </w:p>
    <w:p>
      <w:pPr>
        <w:pStyle w:val="3"/>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2"/>
    </w:p>
    <w:p>
      <w:pPr>
        <w:pStyle w:val="3"/>
        <w:rPr>
          <w:rFonts w:ascii="仿宋" w:hAnsi="仿宋" w:eastAsia="仿宋"/>
          <w:color w:val="auto"/>
          <w:highlight w:val="none"/>
        </w:rPr>
      </w:pPr>
      <w:bookmarkStart w:id="83"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3"/>
    </w:p>
    <w:p>
      <w:pPr>
        <w:pStyle w:val="3"/>
        <w:rPr>
          <w:rFonts w:ascii="仿宋" w:hAnsi="仿宋" w:eastAsia="仿宋"/>
          <w:color w:val="auto"/>
          <w:highlight w:val="none"/>
        </w:rPr>
      </w:pPr>
      <w:bookmarkStart w:id="84"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84"/>
    </w:p>
    <w:p>
      <w:pPr>
        <w:pStyle w:val="3"/>
        <w:rPr>
          <w:rFonts w:ascii="仿宋" w:hAnsi="仿宋" w:eastAsia="仿宋"/>
          <w:color w:val="auto"/>
          <w:highlight w:val="none"/>
        </w:rPr>
      </w:pPr>
      <w:bookmarkStart w:id="85"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85"/>
    </w:p>
    <w:p>
      <w:pPr>
        <w:pStyle w:val="3"/>
        <w:rPr>
          <w:rFonts w:ascii="仿宋" w:hAnsi="仿宋" w:eastAsia="仿宋"/>
          <w:color w:val="auto"/>
          <w:highlight w:val="none"/>
        </w:rPr>
      </w:pPr>
      <w:bookmarkStart w:id="86" w:name="_Toc15396628"/>
      <w:r>
        <w:rPr>
          <w:rStyle w:val="25"/>
          <w:rFonts w:hint="eastAsia" w:ascii="仿宋" w:hAnsi="仿宋" w:eastAsia="仿宋"/>
          <w:b w:val="0"/>
          <w:bCs w:val="0"/>
          <w:color w:val="auto"/>
          <w:highlight w:val="none"/>
        </w:rPr>
        <w:t>十、</w:t>
      </w:r>
      <w:bookmarkEnd w:id="86"/>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87" w:name="_Toc15396629"/>
      <w:r>
        <w:rPr>
          <w:rStyle w:val="25"/>
          <w:rFonts w:hint="eastAsia" w:ascii="仿宋" w:hAnsi="仿宋" w:eastAsia="仿宋"/>
          <w:b w:val="0"/>
          <w:bCs w:val="0"/>
          <w:color w:val="auto"/>
          <w:highlight w:val="none"/>
        </w:rPr>
        <w:t>十一、</w:t>
      </w:r>
      <w:bookmarkEnd w:id="87"/>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88" w:name="_Toc15396630"/>
      <w:r>
        <w:rPr>
          <w:rStyle w:val="25"/>
          <w:rFonts w:hint="eastAsia" w:ascii="仿宋" w:hAnsi="仿宋" w:eastAsia="仿宋"/>
          <w:b w:val="0"/>
          <w:bCs w:val="0"/>
          <w:color w:val="auto"/>
          <w:highlight w:val="none"/>
        </w:rPr>
        <w:t>十二、</w:t>
      </w:r>
      <w:bookmarkEnd w:id="88"/>
      <w:r>
        <w:rPr>
          <w:rStyle w:val="25"/>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89" w:name="_Toc15396631"/>
      <w:r>
        <w:rPr>
          <w:rStyle w:val="25"/>
          <w:rFonts w:hint="eastAsia" w:ascii="仿宋" w:hAnsi="仿宋" w:eastAsia="仿宋"/>
          <w:b w:val="0"/>
          <w:bCs w:val="0"/>
          <w:color w:val="auto"/>
          <w:highlight w:val="none"/>
        </w:rPr>
        <w:t>十三、</w:t>
      </w:r>
      <w:bookmarkEnd w:id="89"/>
      <w:r>
        <w:rPr>
          <w:rStyle w:val="25"/>
          <w:rFonts w:hint="eastAsia" w:ascii="仿宋" w:hAnsi="仿宋" w:eastAsia="仿宋"/>
          <w:b w:val="0"/>
          <w:bCs w:val="0"/>
          <w:color w:val="auto"/>
          <w:highlight w:val="none"/>
          <w:lang w:eastAsia="zh-CN"/>
        </w:rPr>
        <w:t>财政拨款“三公”经费支出决算表</w:t>
      </w:r>
    </w:p>
    <w:sectPr>
      <w:footerReference r:id="rId9" w:type="first"/>
      <w:footerReference r:id="rId8" w:type="default"/>
      <w:pgSz w:w="11906" w:h="16838"/>
      <w:pgMar w:top="1440" w:right="1800" w:bottom="1440" w:left="1800" w:header="851" w:footer="992" w:gutter="0"/>
      <w:pgNumType w:fmt="decimal" w:start="2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755"/>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70755"/>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243"/>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51243"/>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NjQ1ZjZlYTdkYTE1NTkzZDc0YTZhNzJlNDM4MmIifQ=="/>
    <w:docVar w:name="KSO_WPS_MARK_KEY" w:val="0af1cbfb-3a7c-42d5-bd9a-3b26b2d49a47"/>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645148"/>
    <w:rsid w:val="053A62B5"/>
    <w:rsid w:val="09A05A7D"/>
    <w:rsid w:val="0A2032A3"/>
    <w:rsid w:val="0A775B94"/>
    <w:rsid w:val="0AF3645A"/>
    <w:rsid w:val="0B8A37D8"/>
    <w:rsid w:val="10C055FF"/>
    <w:rsid w:val="118107EC"/>
    <w:rsid w:val="11DD6519"/>
    <w:rsid w:val="153842EC"/>
    <w:rsid w:val="15A86742"/>
    <w:rsid w:val="16BB723D"/>
    <w:rsid w:val="18015F3F"/>
    <w:rsid w:val="193D1332"/>
    <w:rsid w:val="1BCF2340"/>
    <w:rsid w:val="1BE8440E"/>
    <w:rsid w:val="1D155CEE"/>
    <w:rsid w:val="1D2D13E6"/>
    <w:rsid w:val="1E990577"/>
    <w:rsid w:val="1F6F49FE"/>
    <w:rsid w:val="20F57F95"/>
    <w:rsid w:val="240371BF"/>
    <w:rsid w:val="25711CC6"/>
    <w:rsid w:val="25C741E6"/>
    <w:rsid w:val="27842671"/>
    <w:rsid w:val="29D10D2B"/>
    <w:rsid w:val="29FD04D3"/>
    <w:rsid w:val="2ABE7A3E"/>
    <w:rsid w:val="2BC94244"/>
    <w:rsid w:val="2C09190D"/>
    <w:rsid w:val="2CA234A8"/>
    <w:rsid w:val="2DEE77C3"/>
    <w:rsid w:val="2E5A1FFE"/>
    <w:rsid w:val="2EFA178C"/>
    <w:rsid w:val="2FE51D9B"/>
    <w:rsid w:val="30B46D73"/>
    <w:rsid w:val="319F7F4E"/>
    <w:rsid w:val="33495110"/>
    <w:rsid w:val="36525CB0"/>
    <w:rsid w:val="383D272C"/>
    <w:rsid w:val="39AE70AB"/>
    <w:rsid w:val="3C0C0783"/>
    <w:rsid w:val="3E5A3FB1"/>
    <w:rsid w:val="3E66054B"/>
    <w:rsid w:val="3F6031EC"/>
    <w:rsid w:val="3F9F3A96"/>
    <w:rsid w:val="3FEE3B71"/>
    <w:rsid w:val="402D5D8C"/>
    <w:rsid w:val="46281B09"/>
    <w:rsid w:val="48BF60AB"/>
    <w:rsid w:val="493C27E9"/>
    <w:rsid w:val="496F39ED"/>
    <w:rsid w:val="49FF41D3"/>
    <w:rsid w:val="4B8646B9"/>
    <w:rsid w:val="4B893ACB"/>
    <w:rsid w:val="4BE068DB"/>
    <w:rsid w:val="4BF6002B"/>
    <w:rsid w:val="4ECE2238"/>
    <w:rsid w:val="5095460C"/>
    <w:rsid w:val="51DB4B86"/>
    <w:rsid w:val="55333C3E"/>
    <w:rsid w:val="57E14F24"/>
    <w:rsid w:val="58403B13"/>
    <w:rsid w:val="58BB5FAE"/>
    <w:rsid w:val="5C68717F"/>
    <w:rsid w:val="5F4A37DC"/>
    <w:rsid w:val="62D961CD"/>
    <w:rsid w:val="64CA39A1"/>
    <w:rsid w:val="69630ADE"/>
    <w:rsid w:val="6C4A05C8"/>
    <w:rsid w:val="6D3B1A89"/>
    <w:rsid w:val="71BF4EC2"/>
    <w:rsid w:val="72734D90"/>
    <w:rsid w:val="7412278C"/>
    <w:rsid w:val="741B7106"/>
    <w:rsid w:val="748420D5"/>
    <w:rsid w:val="756A544E"/>
    <w:rsid w:val="77B47332"/>
    <w:rsid w:val="79E7B28D"/>
    <w:rsid w:val="7CE11CD0"/>
    <w:rsid w:val="7D2F59D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22270;&#24418;&#21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Sheet1!$E$32</c:f>
              <c:strCache>
                <c:ptCount val="1"/>
                <c:pt idx="0">
                  <c:v>“三公”经费支出决算表（单位：万元）</c:v>
                </c:pt>
              </c:strCache>
            </c:strRef>
          </c:tx>
          <c:explosion val="0"/>
          <c:dPt>
            <c:idx val="0"/>
            <c:bubble3D val="0"/>
          </c:dPt>
          <c:dPt>
            <c:idx val="1"/>
            <c:bubble3D val="0"/>
          </c:dPt>
          <c:dPt>
            <c:idx val="2"/>
            <c:bubble3D val="0"/>
          </c:dPt>
          <c:dPt>
            <c:idx val="3"/>
            <c:bubble3D val="0"/>
          </c:dPt>
          <c:dLbls>
            <c:delete val="1"/>
          </c:dLbls>
          <c:cat>
            <c:strRef>
              <c:f>Sheet1!$D$33:$D$36</c:f>
              <c:strCache>
                <c:ptCount val="4"/>
                <c:pt idx="0">
                  <c:v>因公出国（境）费</c:v>
                </c:pt>
                <c:pt idx="1">
                  <c:v>公务用车购置费</c:v>
                </c:pt>
                <c:pt idx="2">
                  <c:v>公务用车运行费</c:v>
                </c:pt>
                <c:pt idx="3">
                  <c:v>公务接待费</c:v>
                </c:pt>
              </c:strCache>
            </c:strRef>
          </c:cat>
          <c:val>
            <c:numRef>
              <c:f>Sheet1!$E$33:$E$36</c:f>
              <c:numCache>
                <c:formatCode>General</c:formatCode>
                <c:ptCount val="4"/>
                <c:pt idx="0">
                  <c:v>0</c:v>
                </c:pt>
                <c:pt idx="1" c:formatCode="#,##0.00">
                  <c:v>0</c:v>
                </c:pt>
                <c:pt idx="2" c:formatCode="#,##0.00_ ">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6061</Words>
  <Characters>6563</Characters>
  <Lines>61</Lines>
  <Paragraphs>17</Paragraphs>
  <TotalTime>18</TotalTime>
  <ScaleCrop>false</ScaleCrop>
  <LinksUpToDate>false</LinksUpToDate>
  <CharactersWithSpaces>6579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2024-09-25T03:02:15Z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DDF4349A0DE04AD789799B80EE670A37</vt:lpwstr>
  </property>
</Properties>
</file>