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Theme="minorEastAsia" w:hAnsiTheme="minorEastAsia" w:eastAsiaTheme="minorEastAsia" w:cstheme="minorEastAsia"/>
          <w:b/>
          <w:bCs/>
          <w:color w:val="auto"/>
          <w:sz w:val="72"/>
          <w:szCs w:val="72"/>
          <w:highlight w:val="none"/>
        </w:rPr>
      </w:pPr>
      <w:bookmarkStart w:id="1" w:name="_Toc15378441"/>
      <w:bookmarkStart w:id="2" w:name="_Toc15396597"/>
      <w:bookmarkStart w:id="3" w:name="_Toc15396475"/>
      <w:bookmarkStart w:id="4" w:name="_Toc11238"/>
      <w:bookmarkStart w:id="5" w:name="_Toc15377425"/>
      <w:bookmarkStart w:id="6" w:name="_Toc15377193"/>
      <w:r>
        <w:rPr>
          <w:rFonts w:hint="eastAsia" w:asciiTheme="minorEastAsia" w:hAnsiTheme="minorEastAsia" w:eastAsiaTheme="minorEastAsia" w:cstheme="minorEastAsia"/>
          <w:b/>
          <w:bCs/>
          <w:color w:val="auto"/>
          <w:sz w:val="72"/>
          <w:szCs w:val="72"/>
          <w:highlight w:val="none"/>
          <w:lang w:eastAsia="zh-CN"/>
        </w:rPr>
        <w:t>2023</w:t>
      </w:r>
      <w:r>
        <w:rPr>
          <w:rFonts w:hint="eastAsia" w:asciiTheme="minorEastAsia" w:hAnsiTheme="minorEastAsia" w:eastAsiaTheme="minorEastAsia" w:cstheme="minorEastAsia"/>
          <w:b/>
          <w:bCs/>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Theme="minorEastAsia" w:hAnsiTheme="minorEastAsia" w:eastAsiaTheme="minorEastAsia" w:cstheme="minorEastAsia"/>
          <w:b/>
          <w:bCs/>
          <w:color w:val="auto"/>
          <w:sz w:val="72"/>
          <w:szCs w:val="72"/>
          <w:highlight w:val="none"/>
          <w:lang w:val="en-US" w:eastAsia="zh-CN"/>
        </w:rPr>
      </w:pPr>
      <w:bookmarkStart w:id="7" w:name="_Toc15377194"/>
      <w:bookmarkStart w:id="8" w:name="_Toc15396476"/>
      <w:bookmarkStart w:id="9" w:name="_Toc15378442"/>
      <w:bookmarkStart w:id="10" w:name="_Toc15377426"/>
      <w:bookmarkStart w:id="11" w:name="_Toc19360"/>
      <w:bookmarkStart w:id="12" w:name="_Toc15396598"/>
      <w:r>
        <w:rPr>
          <w:rFonts w:hint="eastAsia" w:asciiTheme="minorEastAsia" w:hAnsiTheme="minorEastAsia" w:eastAsiaTheme="minorEastAsia" w:cstheme="minorEastAsia"/>
          <w:b/>
          <w:bCs/>
          <w:color w:val="auto"/>
          <w:sz w:val="72"/>
          <w:szCs w:val="72"/>
          <w:highlight w:val="none"/>
        </w:rPr>
        <w:t>四川省</w:t>
      </w:r>
      <w:bookmarkEnd w:id="0"/>
      <w:bookmarkStart w:id="13" w:name="_Toc15306268"/>
      <w:r>
        <w:rPr>
          <w:rFonts w:hint="eastAsia" w:asciiTheme="minorEastAsia" w:hAnsiTheme="minorEastAsia" w:eastAsiaTheme="minorEastAsia" w:cstheme="minorEastAsia"/>
          <w:b/>
          <w:bCs/>
          <w:color w:val="auto"/>
          <w:sz w:val="72"/>
          <w:szCs w:val="72"/>
          <w:highlight w:val="none"/>
          <w:lang w:val="en-US" w:eastAsia="zh-CN"/>
        </w:rPr>
        <w:t>遂宁市船山区</w:t>
      </w:r>
    </w:p>
    <w:p>
      <w:pPr>
        <w:adjustRightInd w:val="0"/>
        <w:snapToGrid w:val="0"/>
        <w:spacing w:line="360" w:lineRule="auto"/>
        <w:jc w:val="center"/>
        <w:outlineLvl w:val="0"/>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lang w:val="en-US" w:eastAsia="zh-CN"/>
        </w:rPr>
        <w:t>永兴镇小学校</w:t>
      </w:r>
      <w:r>
        <w:rPr>
          <w:rFonts w:hint="eastAsia" w:asciiTheme="minorEastAsia" w:hAnsiTheme="minorEastAsia" w:eastAsiaTheme="minorEastAsia" w:cstheme="minorEastAsia"/>
          <w:b/>
          <w:bCs/>
          <w:color w:val="auto"/>
          <w:sz w:val="72"/>
          <w:szCs w:val="72"/>
          <w:highlight w:val="none"/>
          <w:lang w:eastAsia="zh-CN"/>
        </w:rPr>
        <w:t>单位</w:t>
      </w:r>
      <w:r>
        <w:rPr>
          <w:rFonts w:hint="eastAsia" w:asciiTheme="minorEastAsia" w:hAnsiTheme="minorEastAsia" w:eastAsiaTheme="minorEastAsia" w:cstheme="minorEastAsia"/>
          <w:b/>
          <w:bCs/>
          <w:color w:val="auto"/>
          <w:sz w:val="72"/>
          <w:szCs w:val="72"/>
          <w:highlight w:val="none"/>
        </w:rPr>
        <w:t>决算</w:t>
      </w:r>
      <w:bookmarkEnd w:id="7"/>
      <w:bookmarkEnd w:id="8"/>
      <w:bookmarkEnd w:id="9"/>
      <w:bookmarkEnd w:id="10"/>
      <w:bookmarkEnd w:id="11"/>
      <w:bookmarkEnd w:id="12"/>
      <w:bookmarkEnd w:id="13"/>
    </w:p>
    <w:p>
      <w:pPr>
        <w:widowControl/>
        <w:jc w:val="center"/>
        <w:rPr>
          <w:rFonts w:ascii="黑体" w:hAnsi="黑体" w:eastAsia="黑体"/>
          <w:color w:val="auto"/>
          <w:sz w:val="48"/>
          <w:szCs w:val="48"/>
          <w:highlight w:val="none"/>
        </w:rPr>
      </w:pPr>
      <w:r>
        <w:rPr>
          <w:rFonts w:hint="eastAsia" w:asciiTheme="minorEastAsia" w:hAnsiTheme="minorEastAsia" w:eastAsiaTheme="minorEastAsia" w:cstheme="minorEastAsia"/>
          <w:b/>
          <w:bCs/>
          <w:color w:val="auto"/>
          <w:sz w:val="36"/>
          <w:szCs w:val="36"/>
          <w:highlight w:val="none"/>
        </w:rPr>
        <w:br w:type="page"/>
      </w:r>
      <w:r>
        <w:rPr>
          <w:rFonts w:hint="eastAsia" w:ascii="黑体" w:hAnsi="黑体" w:eastAsia="黑体"/>
          <w:color w:val="auto"/>
          <w:sz w:val="48"/>
          <w:szCs w:val="48"/>
          <w:highlight w:val="none"/>
        </w:rPr>
        <w:t>目录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pStyle w:val="6"/>
      </w:pPr>
    </w:p>
    <w:sdt>
      <w:sdtPr>
        <w:rPr>
          <w:rFonts w:ascii="宋体" w:hAnsi="宋体" w:eastAsia="宋体" w:cs="Times New Roman"/>
          <w:kern w:val="2"/>
          <w:sz w:val="21"/>
          <w:szCs w:val="24"/>
          <w:lang w:val="en-US" w:eastAsia="zh-CN" w:bidi="ar-SA"/>
        </w:rPr>
        <w:id w:val="147469575"/>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6"/>
              <w:szCs w:val="44"/>
            </w:rPr>
          </w:pPr>
        </w:p>
        <w:p>
          <w:pPr>
            <w:pStyle w:val="32"/>
            <w:tabs>
              <w:tab w:val="right" w:leader="dot" w:pos="8306"/>
            </w:tabs>
            <w:rPr>
              <w:b/>
            </w:rPr>
          </w:pPr>
          <w:r>
            <w:fldChar w:fldCharType="begin"/>
          </w:r>
          <w:r>
            <w:instrText xml:space="preserve">TOC \o "1-2" \h \u </w:instrText>
          </w:r>
          <w:r>
            <w:fldChar w:fldCharType="separate"/>
          </w:r>
        </w:p>
        <w:p>
          <w:pPr>
            <w:pStyle w:val="32"/>
            <w:tabs>
              <w:tab w:val="right" w:leader="dot" w:pos="8306"/>
            </w:tabs>
            <w:rPr>
              <w:b/>
            </w:rPr>
          </w:pPr>
          <w:r>
            <w:rPr>
              <w:b/>
            </w:rPr>
            <w:fldChar w:fldCharType="begin"/>
          </w:r>
          <w:r>
            <w:rPr>
              <w:b/>
            </w:rPr>
            <w:instrText xml:space="preserve"> HYPERLINK \l _Toc22451 </w:instrText>
          </w:r>
          <w:r>
            <w:rPr>
              <w:b/>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_Toc22451 \h </w:instrText>
          </w:r>
          <w:r>
            <w:rPr>
              <w:b/>
            </w:rPr>
            <w:fldChar w:fldCharType="separate"/>
          </w:r>
          <w:r>
            <w:rPr>
              <w:b/>
            </w:rPr>
            <w:t>3</w:t>
          </w:r>
          <w:r>
            <w:rPr>
              <w:b/>
            </w:rPr>
            <w:fldChar w:fldCharType="end"/>
          </w:r>
          <w:r>
            <w:rPr>
              <w:b/>
            </w:rPr>
            <w:fldChar w:fldCharType="end"/>
          </w:r>
        </w:p>
        <w:p>
          <w:pPr>
            <w:pStyle w:val="33"/>
            <w:tabs>
              <w:tab w:val="right" w:leader="dot" w:pos="8306"/>
            </w:tabs>
          </w:pPr>
          <w:r>
            <w:fldChar w:fldCharType="begin"/>
          </w:r>
          <w:r>
            <w:instrText xml:space="preserve"> HYPERLINK \l _Toc9003 </w:instrText>
          </w:r>
          <w:r>
            <w:fldChar w:fldCharType="separate"/>
          </w:r>
          <w:r>
            <w:rPr>
              <w:rFonts w:hint="eastAsia" w:ascii="黑体" w:hAnsi="黑体" w:eastAsia="黑体"/>
              <w:bCs w:val="0"/>
              <w:lang w:eastAsia="zh-CN"/>
            </w:rPr>
            <w:t xml:space="preserve">一、 </w:t>
          </w:r>
          <w:r>
            <w:rPr>
              <w:rFonts w:hint="eastAsia" w:ascii="黑体" w:hAnsi="黑体" w:eastAsia="黑体"/>
              <w:bCs w:val="0"/>
              <w:highlight w:val="none"/>
              <w:lang w:eastAsia="zh-CN"/>
            </w:rPr>
            <w:t>主要职责</w:t>
          </w:r>
          <w:r>
            <w:tab/>
          </w:r>
          <w:r>
            <w:fldChar w:fldCharType="begin"/>
          </w:r>
          <w:r>
            <w:instrText xml:space="preserve"> PAGEREF _Toc9003 \h </w:instrText>
          </w:r>
          <w:r>
            <w:fldChar w:fldCharType="separate"/>
          </w:r>
          <w:r>
            <w:t>3</w:t>
          </w:r>
          <w:r>
            <w:fldChar w:fldCharType="end"/>
          </w:r>
          <w:r>
            <w:fldChar w:fldCharType="end"/>
          </w:r>
        </w:p>
        <w:p>
          <w:pPr>
            <w:pStyle w:val="33"/>
            <w:tabs>
              <w:tab w:val="right" w:leader="dot" w:pos="8306"/>
            </w:tabs>
          </w:pPr>
          <w:r>
            <w:fldChar w:fldCharType="begin"/>
          </w:r>
          <w:r>
            <w:instrText xml:space="preserve"> HYPERLINK \l _Toc9294 </w:instrText>
          </w:r>
          <w:r>
            <w:fldChar w:fldCharType="separate"/>
          </w:r>
          <w:r>
            <w:rPr>
              <w:rFonts w:hint="eastAsia" w:ascii="黑体" w:hAnsi="黑体" w:eastAsia="黑体"/>
              <w:lang w:val="en-US" w:eastAsia="zh-CN"/>
            </w:rPr>
            <w:t xml:space="preserve">二、 </w:t>
          </w:r>
          <w:r>
            <w:rPr>
              <w:rFonts w:hint="eastAsia" w:ascii="黑体" w:hAnsi="黑体" w:eastAsia="黑体"/>
              <w:highlight w:val="none"/>
              <w:lang w:val="en-US" w:eastAsia="zh-CN"/>
            </w:rPr>
            <w:t>机构设置：</w:t>
          </w:r>
          <w:r>
            <w:tab/>
          </w:r>
          <w:r>
            <w:fldChar w:fldCharType="begin"/>
          </w:r>
          <w:r>
            <w:instrText xml:space="preserve"> PAGEREF _Toc9294 \h </w:instrText>
          </w:r>
          <w:r>
            <w:fldChar w:fldCharType="separate"/>
          </w:r>
          <w:r>
            <w:t>3</w:t>
          </w:r>
          <w:r>
            <w:fldChar w:fldCharType="end"/>
          </w:r>
          <w:r>
            <w:fldChar w:fldCharType="end"/>
          </w:r>
        </w:p>
        <w:p>
          <w:pPr>
            <w:pStyle w:val="32"/>
            <w:tabs>
              <w:tab w:val="right" w:leader="dot" w:pos="8306"/>
            </w:tabs>
            <w:rPr>
              <w:b/>
            </w:rPr>
          </w:pPr>
          <w:r>
            <w:rPr>
              <w:b/>
            </w:rPr>
            <w:fldChar w:fldCharType="begin"/>
          </w:r>
          <w:r>
            <w:rPr>
              <w:b/>
            </w:rPr>
            <w:instrText xml:space="preserve"> HYPERLINK \l _Toc8403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_Toc8403 \h </w:instrText>
          </w:r>
          <w:r>
            <w:rPr>
              <w:b/>
            </w:rPr>
            <w:fldChar w:fldCharType="separate"/>
          </w:r>
          <w:r>
            <w:rPr>
              <w:b/>
            </w:rPr>
            <w:t>4</w:t>
          </w:r>
          <w:r>
            <w:rPr>
              <w:b/>
            </w:rPr>
            <w:fldChar w:fldCharType="end"/>
          </w:r>
          <w:r>
            <w:rPr>
              <w:b/>
            </w:rPr>
            <w:fldChar w:fldCharType="end"/>
          </w:r>
        </w:p>
        <w:p>
          <w:pPr>
            <w:pStyle w:val="33"/>
            <w:tabs>
              <w:tab w:val="right" w:leader="dot" w:pos="8306"/>
            </w:tabs>
          </w:pPr>
          <w:r>
            <w:fldChar w:fldCharType="begin"/>
          </w:r>
          <w:r>
            <w:instrText xml:space="preserve"> HYPERLINK \l _Toc30580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_Toc30580 \h </w:instrText>
          </w:r>
          <w:r>
            <w:fldChar w:fldCharType="separate"/>
          </w:r>
          <w:r>
            <w:t>4</w:t>
          </w:r>
          <w:r>
            <w:fldChar w:fldCharType="end"/>
          </w:r>
          <w:r>
            <w:fldChar w:fldCharType="end"/>
          </w:r>
        </w:p>
        <w:p>
          <w:pPr>
            <w:pStyle w:val="33"/>
            <w:tabs>
              <w:tab w:val="right" w:leader="dot" w:pos="8306"/>
            </w:tabs>
          </w:pPr>
          <w:r>
            <w:fldChar w:fldCharType="begin"/>
          </w:r>
          <w:r>
            <w:instrText xml:space="preserve"> HYPERLINK \l _Toc2481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_Toc2481 \h </w:instrText>
          </w:r>
          <w:r>
            <w:fldChar w:fldCharType="separate"/>
          </w:r>
          <w:r>
            <w:t>4</w:t>
          </w:r>
          <w:r>
            <w:fldChar w:fldCharType="end"/>
          </w:r>
          <w:r>
            <w:fldChar w:fldCharType="end"/>
          </w:r>
        </w:p>
        <w:p>
          <w:pPr>
            <w:pStyle w:val="33"/>
            <w:tabs>
              <w:tab w:val="right" w:leader="dot" w:pos="8306"/>
            </w:tabs>
          </w:pPr>
          <w:r>
            <w:fldChar w:fldCharType="begin"/>
          </w:r>
          <w:r>
            <w:instrText xml:space="preserve"> HYPERLINK \l _Toc2928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_Toc2928 \h </w:instrText>
          </w:r>
          <w:r>
            <w:fldChar w:fldCharType="separate"/>
          </w:r>
          <w:r>
            <w:t>5</w:t>
          </w:r>
          <w:r>
            <w:fldChar w:fldCharType="end"/>
          </w:r>
          <w:r>
            <w:fldChar w:fldCharType="end"/>
          </w:r>
        </w:p>
        <w:p>
          <w:pPr>
            <w:pStyle w:val="33"/>
            <w:tabs>
              <w:tab w:val="right" w:leader="dot" w:pos="8306"/>
            </w:tabs>
          </w:pPr>
          <w:r>
            <w:fldChar w:fldCharType="begin"/>
          </w:r>
          <w:r>
            <w:instrText xml:space="preserve"> HYPERLINK \l _Toc18747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rPr>
              <w:rFonts w:hint="eastAsia"/>
              <w:lang w:val="en-US" w:eastAsia="zh-CN"/>
            </w:rPr>
            <w:t>6</w:t>
          </w:r>
          <w:r>
            <w:fldChar w:fldCharType="end"/>
          </w:r>
        </w:p>
        <w:p>
          <w:pPr>
            <w:pStyle w:val="33"/>
            <w:tabs>
              <w:tab w:val="right" w:leader="dot" w:pos="8306"/>
            </w:tabs>
          </w:pPr>
          <w:r>
            <w:fldChar w:fldCharType="begin"/>
          </w:r>
          <w:r>
            <w:instrText xml:space="preserve"> HYPERLINK \l _Toc16710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rPr>
              <w:rFonts w:hint="eastAsia"/>
              <w:lang w:val="en-US" w:eastAsia="zh-CN"/>
            </w:rPr>
            <w:t>7</w:t>
          </w:r>
          <w:r>
            <w:fldChar w:fldCharType="end"/>
          </w:r>
        </w:p>
        <w:p>
          <w:pPr>
            <w:pStyle w:val="33"/>
            <w:tabs>
              <w:tab w:val="right" w:leader="dot" w:pos="8306"/>
            </w:tabs>
            <w:rPr>
              <w:rFonts w:hint="eastAsia" w:eastAsia="宋体"/>
              <w:lang w:val="en-US" w:eastAsia="zh-CN"/>
            </w:rPr>
          </w:pPr>
          <w:r>
            <w:fldChar w:fldCharType="begin"/>
          </w:r>
          <w:r>
            <w:instrText xml:space="preserve"> HYPERLINK \l _Toc8747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rPr>
              <w:rFonts w:hint="eastAsia"/>
              <w:lang w:val="en-US" w:eastAsia="zh-CN"/>
            </w:rPr>
            <w:t>1</w:t>
          </w:r>
          <w:r>
            <w:fldChar w:fldCharType="end"/>
          </w:r>
          <w:r>
            <w:rPr>
              <w:rFonts w:hint="eastAsia"/>
              <w:lang w:val="en-US" w:eastAsia="zh-CN"/>
            </w:rPr>
            <w:t>1</w:t>
          </w:r>
        </w:p>
        <w:p>
          <w:pPr>
            <w:pStyle w:val="33"/>
            <w:tabs>
              <w:tab w:val="right" w:leader="dot" w:pos="8306"/>
            </w:tabs>
            <w:rPr>
              <w:rFonts w:hint="eastAsia" w:eastAsia="宋体"/>
              <w:lang w:val="en-US" w:eastAsia="zh-CN"/>
            </w:rPr>
          </w:pPr>
          <w:r>
            <w:fldChar w:fldCharType="begin"/>
          </w:r>
          <w:r>
            <w:instrText xml:space="preserve"> HYPERLINK \l _Toc5832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rPr>
              <w:rFonts w:hint="eastAsia"/>
              <w:lang w:val="en-US" w:eastAsia="zh-CN"/>
            </w:rPr>
            <w:t>1</w:t>
          </w:r>
          <w:r>
            <w:fldChar w:fldCharType="end"/>
          </w:r>
          <w:r>
            <w:rPr>
              <w:rFonts w:hint="eastAsia"/>
              <w:lang w:val="en-US" w:eastAsia="zh-CN"/>
            </w:rPr>
            <w:t>1</w:t>
          </w:r>
        </w:p>
        <w:p>
          <w:pPr>
            <w:pStyle w:val="33"/>
            <w:tabs>
              <w:tab w:val="right" w:leader="dot" w:pos="8306"/>
            </w:tabs>
            <w:rPr>
              <w:rFonts w:hint="eastAsia" w:eastAsia="宋体"/>
              <w:lang w:val="en-US" w:eastAsia="zh-CN"/>
            </w:rPr>
          </w:pPr>
          <w:r>
            <w:fldChar w:fldCharType="begin"/>
          </w:r>
          <w:r>
            <w:instrText xml:space="preserve"> HYPERLINK \l _Toc1304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_Toc1304 \h </w:instrText>
          </w:r>
          <w:r>
            <w:fldChar w:fldCharType="separate"/>
          </w:r>
          <w:r>
            <w:t>1</w:t>
          </w:r>
          <w:r>
            <w:fldChar w:fldCharType="end"/>
          </w:r>
          <w:r>
            <w:fldChar w:fldCharType="end"/>
          </w:r>
          <w:r>
            <w:rPr>
              <w:rFonts w:hint="eastAsia"/>
              <w:lang w:val="en-US" w:eastAsia="zh-CN"/>
            </w:rPr>
            <w:t>2</w:t>
          </w:r>
        </w:p>
        <w:p>
          <w:pPr>
            <w:pStyle w:val="33"/>
            <w:tabs>
              <w:tab w:val="right" w:leader="dot" w:pos="8306"/>
            </w:tabs>
            <w:rPr>
              <w:rFonts w:hint="eastAsia" w:eastAsia="宋体"/>
              <w:lang w:val="en-US" w:eastAsia="zh-CN"/>
            </w:rPr>
          </w:pPr>
          <w:r>
            <w:fldChar w:fldCharType="begin"/>
          </w:r>
          <w:r>
            <w:instrText xml:space="preserve"> HYPERLINK \l _Toc14052 </w:instrText>
          </w:r>
          <w:r>
            <w:fldChar w:fldCharType="separate"/>
          </w:r>
          <w:r>
            <w:rPr>
              <w:rFonts w:hint="eastAsia" w:ascii="黑体" w:hAnsi="黑体" w:eastAsia="黑体"/>
              <w:highlight w:val="none"/>
              <w:lang w:val="en-US" w:eastAsia="zh-CN"/>
            </w:rPr>
            <w:t>九、</w:t>
          </w:r>
          <w:r>
            <w:rPr>
              <w:rFonts w:hint="eastAsia" w:ascii="黑体" w:hAnsi="黑体" w:eastAsia="黑体"/>
              <w:highlight w:val="none"/>
            </w:rPr>
            <w:t>国有资本经营预算支出决算情况说明</w:t>
          </w:r>
          <w:r>
            <w:tab/>
          </w:r>
          <w:r>
            <w:fldChar w:fldCharType="begin"/>
          </w:r>
          <w:r>
            <w:instrText xml:space="preserve"> PAGEREF _Toc14052 \h </w:instrText>
          </w:r>
          <w:r>
            <w:fldChar w:fldCharType="separate"/>
          </w:r>
          <w:r>
            <w:t>1</w:t>
          </w:r>
          <w:r>
            <w:fldChar w:fldCharType="end"/>
          </w:r>
          <w:r>
            <w:fldChar w:fldCharType="end"/>
          </w:r>
          <w:r>
            <w:rPr>
              <w:rFonts w:hint="eastAsia"/>
              <w:lang w:val="en-US" w:eastAsia="zh-CN"/>
            </w:rPr>
            <w:t>2</w:t>
          </w:r>
        </w:p>
        <w:p>
          <w:pPr>
            <w:pStyle w:val="33"/>
            <w:tabs>
              <w:tab w:val="right" w:leader="dot" w:pos="8306"/>
            </w:tabs>
            <w:rPr>
              <w:rFonts w:hint="eastAsia" w:eastAsia="宋体"/>
              <w:lang w:val="en-US" w:eastAsia="zh-CN"/>
            </w:rPr>
          </w:pPr>
          <w:r>
            <w:fldChar w:fldCharType="begin"/>
          </w:r>
          <w:r>
            <w:instrText xml:space="preserve"> HYPERLINK \l _Toc18361 </w:instrText>
          </w:r>
          <w:r>
            <w:fldChar w:fldCharType="separate"/>
          </w:r>
          <w:r>
            <w:rPr>
              <w:rFonts w:hint="eastAsia" w:ascii="黑体" w:hAnsi="黑体" w:eastAsia="黑体"/>
              <w:highlight w:val="none"/>
              <w:lang w:val="en-US" w:eastAsia="zh-CN"/>
            </w:rPr>
            <w:t>十、</w:t>
          </w:r>
          <w:r>
            <w:rPr>
              <w:rFonts w:hint="eastAsia" w:ascii="黑体" w:hAnsi="黑体" w:eastAsia="黑体"/>
              <w:highlight w:val="none"/>
            </w:rPr>
            <w:t>其他重要事项的情况说明</w:t>
          </w:r>
          <w:r>
            <w:tab/>
          </w:r>
          <w:r>
            <w:fldChar w:fldCharType="begin"/>
          </w:r>
          <w:r>
            <w:instrText xml:space="preserve"> PAGEREF _Toc18361 \h </w:instrText>
          </w:r>
          <w:r>
            <w:fldChar w:fldCharType="separate"/>
          </w:r>
          <w:r>
            <w:t>1</w:t>
          </w:r>
          <w:r>
            <w:fldChar w:fldCharType="end"/>
          </w:r>
          <w:r>
            <w:fldChar w:fldCharType="end"/>
          </w:r>
          <w:r>
            <w:rPr>
              <w:rFonts w:hint="eastAsia"/>
              <w:lang w:val="en-US" w:eastAsia="zh-CN"/>
            </w:rPr>
            <w:t>2</w:t>
          </w:r>
        </w:p>
        <w:p>
          <w:pPr>
            <w:pStyle w:val="32"/>
            <w:tabs>
              <w:tab w:val="right" w:leader="dot" w:pos="8306"/>
            </w:tabs>
            <w:rPr>
              <w:rFonts w:hint="eastAsia" w:eastAsia="宋体"/>
              <w:b/>
              <w:lang w:val="en-US" w:eastAsia="zh-CN"/>
            </w:rPr>
          </w:pPr>
          <w:r>
            <w:rPr>
              <w:b/>
            </w:rPr>
            <w:fldChar w:fldCharType="begin"/>
          </w:r>
          <w:r>
            <w:rPr>
              <w:b/>
            </w:rPr>
            <w:instrText xml:space="preserve"> HYPERLINK \l _Toc3385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_Toc3385 \h </w:instrText>
          </w:r>
          <w:r>
            <w:rPr>
              <w:b/>
            </w:rPr>
            <w:fldChar w:fldCharType="separate"/>
          </w:r>
          <w:r>
            <w:rPr>
              <w:b/>
            </w:rPr>
            <w:t>1</w:t>
          </w:r>
          <w:r>
            <w:rPr>
              <w:b/>
            </w:rPr>
            <w:fldChar w:fldCharType="end"/>
          </w:r>
          <w:r>
            <w:rPr>
              <w:b/>
            </w:rPr>
            <w:fldChar w:fldCharType="end"/>
          </w:r>
          <w:r>
            <w:rPr>
              <w:rFonts w:hint="eastAsia"/>
              <w:b/>
              <w:lang w:val="en-US" w:eastAsia="zh-CN"/>
            </w:rPr>
            <w:t>4</w:t>
          </w:r>
        </w:p>
        <w:p>
          <w:pPr>
            <w:pStyle w:val="32"/>
            <w:tabs>
              <w:tab w:val="right" w:leader="dot" w:pos="8306"/>
            </w:tabs>
            <w:rPr>
              <w:rFonts w:hint="eastAsia" w:eastAsia="宋体"/>
              <w:lang w:val="en-US" w:eastAsia="zh-CN"/>
            </w:rPr>
          </w:pPr>
          <w:r>
            <w:rPr>
              <w:b/>
            </w:rPr>
            <w:fldChar w:fldCharType="begin"/>
          </w:r>
          <w:r>
            <w:rPr>
              <w:b/>
            </w:rPr>
            <w:instrText xml:space="preserve"> HYPERLINK \l _Toc21676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rFonts w:hint="eastAsia"/>
              <w:b/>
              <w:lang w:val="en-US" w:eastAsia="zh-CN"/>
            </w:rPr>
            <w:t>1</w:t>
          </w:r>
          <w:r>
            <w:rPr>
              <w:b/>
            </w:rPr>
            <w:fldChar w:fldCharType="end"/>
          </w:r>
          <w:r>
            <w:rPr>
              <w:rFonts w:hint="eastAsia"/>
              <w:b/>
              <w:lang w:val="en-US" w:eastAsia="zh-CN"/>
            </w:rPr>
            <w:t>7</w:t>
          </w:r>
        </w:p>
        <w:p>
          <w:pPr>
            <w:pStyle w:val="32"/>
            <w:tabs>
              <w:tab w:val="right" w:leader="dot" w:pos="8306"/>
            </w:tabs>
            <w:rPr>
              <w:rFonts w:hint="eastAsia" w:eastAsia="宋体"/>
              <w:b/>
              <w:lang w:val="en-US" w:eastAsia="zh-CN"/>
            </w:rPr>
          </w:pPr>
          <w:r>
            <w:rPr>
              <w:b/>
            </w:rPr>
            <w:fldChar w:fldCharType="begin"/>
          </w:r>
          <w:r>
            <w:rPr>
              <w:b/>
            </w:rPr>
            <w:instrText xml:space="preserve"> HYPERLINK \l _Toc9998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rFonts w:hint="eastAsia"/>
              <w:b/>
              <w:lang w:val="en-US" w:eastAsia="zh-CN"/>
            </w:rPr>
            <w:t>2</w:t>
          </w:r>
          <w:r>
            <w:rPr>
              <w:b/>
            </w:rPr>
            <w:fldChar w:fldCharType="end"/>
          </w:r>
          <w:r>
            <w:rPr>
              <w:rFonts w:hint="eastAsia"/>
              <w:b/>
              <w:lang w:val="en-US" w:eastAsia="zh-CN"/>
            </w:rPr>
            <w:t>2</w:t>
          </w:r>
        </w:p>
        <w:p>
          <w:pPr>
            <w:pStyle w:val="33"/>
            <w:tabs>
              <w:tab w:val="right" w:leader="dot" w:pos="8306"/>
            </w:tabs>
            <w:rPr>
              <w:rFonts w:hint="eastAsia" w:eastAsia="宋体"/>
              <w:lang w:val="en-US" w:eastAsia="zh-CN"/>
            </w:rPr>
          </w:pPr>
          <w:r>
            <w:fldChar w:fldCharType="begin"/>
          </w:r>
          <w:r>
            <w:instrText xml:space="preserve"> HYPERLINK \l _Toc5228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rPr>
              <w:rFonts w:hint="eastAsia"/>
              <w:lang w:val="en-US" w:eastAsia="zh-CN"/>
            </w:rPr>
            <w:t>2</w:t>
          </w:r>
          <w:r>
            <w:fldChar w:fldCharType="end"/>
          </w:r>
          <w:r>
            <w:rPr>
              <w:rFonts w:hint="eastAsia"/>
              <w:lang w:val="en-US" w:eastAsia="zh-CN"/>
            </w:rPr>
            <w:t>2</w:t>
          </w:r>
        </w:p>
        <w:p>
          <w:pPr>
            <w:pStyle w:val="33"/>
            <w:tabs>
              <w:tab w:val="right" w:leader="dot" w:pos="8306"/>
            </w:tabs>
            <w:rPr>
              <w:rFonts w:hint="eastAsia" w:eastAsia="宋体"/>
              <w:lang w:val="en-US" w:eastAsia="zh-CN"/>
            </w:rPr>
          </w:pPr>
          <w:r>
            <w:fldChar w:fldCharType="begin"/>
          </w:r>
          <w:r>
            <w:instrText xml:space="preserve"> HYPERLINK \l _Toc19389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rPr>
              <w:rFonts w:hint="eastAsia"/>
              <w:lang w:val="en-US" w:eastAsia="zh-CN"/>
            </w:rPr>
            <w:t>2</w:t>
          </w:r>
          <w:r>
            <w:fldChar w:fldCharType="end"/>
          </w:r>
          <w:r>
            <w:rPr>
              <w:rFonts w:hint="eastAsia"/>
              <w:lang w:val="en-US" w:eastAsia="zh-CN"/>
            </w:rPr>
            <w:t>2</w:t>
          </w:r>
        </w:p>
        <w:p>
          <w:pPr>
            <w:pStyle w:val="33"/>
            <w:tabs>
              <w:tab w:val="right" w:leader="dot" w:pos="8306"/>
            </w:tabs>
            <w:rPr>
              <w:rFonts w:hint="default" w:eastAsia="宋体"/>
              <w:lang w:val="en-US" w:eastAsia="zh-CN"/>
            </w:rPr>
          </w:pPr>
          <w:r>
            <w:fldChar w:fldCharType="begin"/>
          </w:r>
          <w:r>
            <w:instrText xml:space="preserve"> HYPERLINK \l _Toc30397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_Toc30397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_Toc21846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_Toc21846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_Toc25452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_Toc25452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_Toc8570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_Toc8570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_Toc15510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_Toc15510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_Toc221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_Toc221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_Toc29412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_Toc29412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_Toc8491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_Toc8491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_Toc1646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_Toc1646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_Toc20177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_Toc20177 \h </w:instrText>
          </w:r>
          <w:r>
            <w:fldChar w:fldCharType="separate"/>
          </w:r>
          <w:r>
            <w:fldChar w:fldCharType="end"/>
          </w:r>
          <w:r>
            <w:fldChar w:fldCharType="end"/>
          </w:r>
          <w:r>
            <w:rPr>
              <w:rFonts w:hint="eastAsia"/>
              <w:lang w:val="en-US" w:eastAsia="zh-CN"/>
            </w:rPr>
            <w:t>22</w:t>
          </w:r>
        </w:p>
        <w:p>
          <w:pPr>
            <w:pStyle w:val="33"/>
            <w:tabs>
              <w:tab w:val="right" w:leader="dot" w:pos="8306"/>
            </w:tabs>
            <w:rPr>
              <w:rFonts w:hint="default" w:eastAsia="宋体"/>
              <w:lang w:val="en-US" w:eastAsia="zh-CN"/>
            </w:rPr>
          </w:pPr>
          <w:r>
            <w:fldChar w:fldCharType="begin"/>
          </w:r>
          <w:r>
            <w:instrText xml:space="preserve"> HYPERLINK \l _Toc29658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_Toc29658 \h </w:instrText>
          </w:r>
          <w:r>
            <w:fldChar w:fldCharType="separate"/>
          </w:r>
          <w:r>
            <w:fldChar w:fldCharType="end"/>
          </w:r>
          <w:r>
            <w:fldChar w:fldCharType="end"/>
          </w:r>
          <w:r>
            <w:rPr>
              <w:rFonts w:hint="eastAsia"/>
              <w:lang w:val="en-US" w:eastAsia="zh-CN"/>
            </w:rPr>
            <w:t>22</w:t>
          </w:r>
        </w:p>
        <w:p>
          <w:r>
            <w:rPr>
              <w:b/>
            </w:rPr>
            <w:fldChar w:fldCharType="end"/>
          </w:r>
        </w:p>
      </w:sdtContent>
    </w:sdt>
    <w:p>
      <w:pPr>
        <w:pStyle w:val="2"/>
        <w:jc w:val="center"/>
        <w:rPr>
          <w:rStyle w:val="26"/>
          <w:rFonts w:ascii="黑体" w:hAnsi="黑体" w:eastAsia="黑体"/>
          <w:b/>
          <w:bCs w:val="0"/>
          <w:color w:val="auto"/>
          <w:highlight w:val="none"/>
        </w:rPr>
      </w:pPr>
      <w:bookmarkStart w:id="14" w:name="_Toc15377196"/>
      <w:bookmarkStart w:id="15" w:name="_Toc15396599"/>
      <w:bookmarkStart w:id="16" w:name="_Toc22451"/>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3"/>
        <w:numPr>
          <w:ilvl w:val="0"/>
          <w:numId w:val="1"/>
        </w:numPr>
        <w:rPr>
          <w:rStyle w:val="27"/>
          <w:rFonts w:hint="eastAsia" w:ascii="黑体" w:hAnsi="黑体" w:eastAsia="黑体"/>
          <w:b w:val="0"/>
          <w:bCs w:val="0"/>
          <w:color w:val="auto"/>
          <w:highlight w:val="none"/>
          <w:lang w:eastAsia="zh-CN"/>
        </w:rPr>
      </w:pPr>
      <w:bookmarkStart w:id="17" w:name="_Toc9003"/>
      <w:bookmarkStart w:id="18" w:name="_Toc15377197"/>
      <w:bookmarkStart w:id="19" w:name="_Toc15396600"/>
      <w:r>
        <w:rPr>
          <w:rStyle w:val="27"/>
          <w:rFonts w:hint="eastAsia" w:ascii="黑体" w:hAnsi="黑体" w:eastAsia="黑体"/>
          <w:b w:val="0"/>
          <w:bCs w:val="0"/>
          <w:color w:val="auto"/>
          <w:highlight w:val="none"/>
          <w:lang w:eastAsia="zh-CN"/>
        </w:rPr>
        <w:t>主要职责</w:t>
      </w:r>
      <w:bookmarkEnd w:id="17"/>
    </w:p>
    <w:p>
      <w:pPr>
        <w:pStyle w:val="3"/>
        <w:numPr>
          <w:ilvl w:val="0"/>
          <w:numId w:val="0"/>
        </w:numPr>
        <w:ind w:leftChars="0" w:firstLine="640" w:firstLineChars="200"/>
        <w:outlineLvl w:val="0"/>
        <w:rPr>
          <w:rFonts w:hint="eastAsia" w:ascii="华文仿宋" w:hAnsi="华文仿宋" w:eastAsia="华文仿宋" w:cs="华文仿宋"/>
          <w:b w:val="0"/>
          <w:color w:val="auto"/>
          <w:highlight w:val="none"/>
          <w:lang w:val="en-US" w:eastAsia="zh-CN"/>
        </w:rPr>
      </w:pPr>
      <w:bookmarkStart w:id="20" w:name="_Toc9294"/>
      <w:r>
        <w:rPr>
          <w:rFonts w:hint="eastAsia" w:ascii="华文仿宋" w:hAnsi="华文仿宋" w:eastAsia="华文仿宋" w:cs="华文仿宋"/>
          <w:b w:val="0"/>
          <w:color w:val="auto"/>
          <w:highlight w:val="none"/>
          <w:lang w:val="en-US" w:eastAsia="zh-CN"/>
        </w:rPr>
        <w:t>学校坚持全面贯彻党的教育方针、政策,按照区教育体育局提出的各项工作任务，进一步解放思想，深化改革，凝心聚力，攻坚克难，按照稳中求进的工作总基调，着力转变工作作风，实施素质教育，深化课程改革，以均衡发展、优质发展、特色发展、内涵发展为主线，创优管理，完善机制，从而实现了小学义务教育规范、和谐、快速、科学的发展。</w:t>
      </w:r>
    </w:p>
    <w:p>
      <w:pPr>
        <w:pStyle w:val="3"/>
        <w:numPr>
          <w:ilvl w:val="0"/>
          <w:numId w:val="1"/>
        </w:numPr>
        <w:ind w:left="0" w:leftChars="0" w:firstLine="0" w:firstLine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机构设置：</w:t>
      </w:r>
      <w:bookmarkEnd w:id="20"/>
    </w:p>
    <w:p>
      <w:pPr>
        <w:pStyle w:val="3"/>
        <w:numPr>
          <w:ilvl w:val="0"/>
          <w:numId w:val="0"/>
        </w:numPr>
        <w:ind w:leftChars="0" w:firstLine="640" w:firstLineChars="200"/>
        <w:outlineLvl w:val="0"/>
        <w:rPr>
          <w:rFonts w:hint="eastAsia" w:ascii="华文仿宋" w:hAnsi="华文仿宋" w:eastAsia="华文仿宋" w:cs="华文仿宋"/>
          <w:b w:val="0"/>
          <w:color w:val="auto"/>
          <w:highlight w:val="none"/>
          <w:lang w:val="en-US" w:eastAsia="zh-CN"/>
        </w:rPr>
      </w:pPr>
      <w:bookmarkStart w:id="21" w:name="_Toc27186"/>
      <w:r>
        <w:rPr>
          <w:rFonts w:hint="eastAsia" w:ascii="华文仿宋" w:hAnsi="华文仿宋" w:eastAsia="华文仿宋" w:cs="华文仿宋"/>
          <w:b w:val="0"/>
          <w:color w:val="auto"/>
          <w:highlight w:val="none"/>
          <w:lang w:val="en-US" w:eastAsia="zh-CN"/>
        </w:rPr>
        <w:t>永兴镇小学校是船山区教育和体育局下属单位，无下属二级单位。</w:t>
      </w:r>
      <w:bookmarkEnd w:id="21"/>
    </w:p>
    <w:bookmarkEnd w:id="18"/>
    <w:bookmarkEnd w:id="19"/>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2"/>
        <w:ind w:right="440"/>
        <w:jc w:val="center"/>
        <w:rPr>
          <w:rStyle w:val="26"/>
          <w:rFonts w:ascii="黑体" w:hAnsi="黑体" w:eastAsia="黑体"/>
          <w:b w:val="0"/>
          <w:bCs/>
          <w:color w:val="auto"/>
          <w:highlight w:val="none"/>
        </w:rPr>
      </w:pPr>
      <w:bookmarkStart w:id="22" w:name="_Toc15396602"/>
      <w:bookmarkStart w:id="23" w:name="_Toc15377204"/>
      <w:bookmarkStart w:id="24" w:name="_Toc8403"/>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22"/>
      <w:bookmarkEnd w:id="23"/>
      <w:bookmarkEnd w:id="24"/>
    </w:p>
    <w:p>
      <w:pPr>
        <w:rPr>
          <w:color w:val="auto"/>
          <w:highlight w:val="none"/>
        </w:rPr>
      </w:pP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5" w:name="_Toc15377205"/>
      <w:bookmarkStart w:id="26" w:name="_Toc30580"/>
      <w:bookmarkStart w:id="27"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5"/>
      <w:bookmarkEnd w:id="26"/>
      <w:bookmarkEnd w:id="27"/>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年度收、支总计2,031.42万元。与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167.47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本年度其他收入较上年度增加104.22万元。</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6"/>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850890" cy="3124200"/>
            <wp:effectExtent l="0" t="0" r="3810" b="0"/>
            <wp:docPr id="2" name="图片 2" descr="172592489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5924894112"/>
                    <pic:cNvPicPr>
                      <a:picLocks noChangeAspect="1"/>
                    </pic:cNvPicPr>
                  </pic:nvPicPr>
                  <pic:blipFill>
                    <a:blip r:embed="rId7"/>
                    <a:stretch>
                      <a:fillRect/>
                    </a:stretch>
                  </pic:blipFill>
                  <pic:spPr>
                    <a:xfrm>
                      <a:off x="0" y="0"/>
                      <a:ext cx="5850890" cy="3124200"/>
                    </a:xfrm>
                    <a:prstGeom prst="rect">
                      <a:avLst/>
                    </a:prstGeom>
                  </pic:spPr>
                </pic:pic>
              </a:graphicData>
            </a:graphic>
          </wp:inline>
        </w:drawing>
      </w:r>
    </w:p>
    <w:p>
      <w:pPr>
        <w:pStyle w:val="6"/>
        <w:rPr>
          <w:rFonts w:ascii="仿宋_GB2312" w:eastAsia="仿宋_GB2312"/>
          <w:color w:val="auto"/>
          <w:sz w:val="32"/>
          <w:szCs w:val="32"/>
          <w:highlight w:val="none"/>
        </w:rPr>
      </w:pP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8" w:name="_Toc15396604"/>
      <w:bookmarkStart w:id="29" w:name="_Toc2481"/>
      <w:bookmarkStart w:id="30"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ascii="仿宋" w:hAnsi="仿宋" w:eastAsia="仿宋"/>
          <w:color w:val="auto"/>
          <w:sz w:val="32"/>
          <w:szCs w:val="32"/>
          <w:highlight w:val="none"/>
        </w:rPr>
      </w:pPr>
      <w:bookmarkStart w:id="31" w:name="_Toc16269"/>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年本年收入合计1,761.30万元，其中：一般公共预算财政拨款收入1,753.82万元，占</w:t>
      </w:r>
      <w:r>
        <w:rPr>
          <w:rFonts w:hint="eastAsia" w:ascii="仿宋" w:hAnsi="仿宋" w:eastAsia="仿宋"/>
          <w:color w:val="auto"/>
          <w:sz w:val="32"/>
          <w:szCs w:val="32"/>
          <w:highlight w:val="none"/>
          <w:lang w:val="en-US" w:eastAsia="zh-CN"/>
        </w:rPr>
        <w:t>89.24</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；其他收入212.47万元，占</w:t>
      </w:r>
      <w:r>
        <w:rPr>
          <w:rFonts w:hint="eastAsia" w:ascii="仿宋" w:hAnsi="仿宋" w:eastAsia="仿宋"/>
          <w:color w:val="auto"/>
          <w:sz w:val="32"/>
          <w:szCs w:val="32"/>
          <w:highlight w:val="none"/>
          <w:lang w:val="en-US" w:eastAsia="zh-CN"/>
        </w:rPr>
        <w:t>10.76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1"/>
    </w:p>
    <w:p>
      <w:pPr>
        <w:spacing w:line="600" w:lineRule="exact"/>
        <w:ind w:firstLine="643" w:firstLineChars="200"/>
        <w:outlineLvl w:val="9"/>
        <w:rPr>
          <w:rFonts w:ascii="仿宋" w:hAnsi="仿宋" w:eastAsia="仿宋"/>
          <w:b/>
          <w:color w:val="auto"/>
          <w:sz w:val="32"/>
          <w:szCs w:val="32"/>
          <w:highlight w:val="none"/>
        </w:rPr>
      </w:pPr>
    </w:p>
    <w:p>
      <w:pPr>
        <w:pStyle w:val="6"/>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262245" cy="3545205"/>
            <wp:effectExtent l="0" t="0" r="8255" b="10795"/>
            <wp:docPr id="3" name="图片 3" descr="1725925008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5925008609"/>
                    <pic:cNvPicPr>
                      <a:picLocks noChangeAspect="1"/>
                    </pic:cNvPicPr>
                  </pic:nvPicPr>
                  <pic:blipFill>
                    <a:blip r:embed="rId8"/>
                    <a:stretch>
                      <a:fillRect/>
                    </a:stretch>
                  </pic:blipFill>
                  <pic:spPr>
                    <a:xfrm>
                      <a:off x="0" y="0"/>
                      <a:ext cx="5262245" cy="3545205"/>
                    </a:xfrm>
                    <a:prstGeom prst="rect">
                      <a:avLst/>
                    </a:prstGeom>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32" w:name="_Toc15396605"/>
      <w:bookmarkStart w:id="33" w:name="_Toc15377207"/>
      <w:bookmarkStart w:id="34" w:name="_Toc2928"/>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32"/>
      <w:bookmarkEnd w:id="33"/>
      <w:bookmarkEnd w:id="34"/>
    </w:p>
    <w:p>
      <w:pPr>
        <w:spacing w:line="600" w:lineRule="exact"/>
        <w:ind w:firstLine="640" w:firstLineChars="200"/>
        <w:outlineLvl w:val="1"/>
        <w:rPr>
          <w:rFonts w:ascii="仿宋" w:hAnsi="仿宋" w:eastAsia="仿宋"/>
          <w:color w:val="auto"/>
          <w:sz w:val="32"/>
          <w:szCs w:val="32"/>
          <w:highlight w:val="none"/>
        </w:rPr>
      </w:pPr>
      <w:bookmarkStart w:id="35" w:name="_Toc1490"/>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年本年支出合计1,983.91万元，其中：基本支出1614.3万元，占</w:t>
      </w:r>
      <w:r>
        <w:rPr>
          <w:rFonts w:hint="eastAsia" w:ascii="仿宋" w:hAnsi="仿宋" w:eastAsia="仿宋"/>
          <w:color w:val="auto"/>
          <w:sz w:val="32"/>
          <w:szCs w:val="32"/>
          <w:highlight w:val="none"/>
          <w:lang w:val="en-US" w:eastAsia="zh-CN"/>
        </w:rPr>
        <w:t>81.37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；项目支出369.61万元，占</w:t>
      </w:r>
      <w:r>
        <w:rPr>
          <w:rFonts w:hint="eastAsia" w:ascii="仿宋" w:hAnsi="仿宋" w:eastAsia="仿宋"/>
          <w:color w:val="auto"/>
          <w:sz w:val="32"/>
          <w:szCs w:val="32"/>
          <w:highlight w:val="none"/>
          <w:lang w:val="en-US" w:eastAsia="zh-CN"/>
        </w:rPr>
        <w:t>18.63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pPr>
        <w:pStyle w:val="6"/>
        <w:rPr>
          <w:rFonts w:hint="eastAsia" w:ascii="仿宋" w:hAnsi="仿宋" w:eastAsia="仿宋"/>
          <w:b/>
          <w:color w:val="auto"/>
          <w:sz w:val="32"/>
          <w:szCs w:val="32"/>
          <w:highlight w:val="none"/>
        </w:rPr>
      </w:pPr>
    </w:p>
    <w:p>
      <w:pPr>
        <w:pStyle w:val="6"/>
        <w:rPr>
          <w:rFonts w:hint="eastAsia" w:ascii="仿宋" w:hAnsi="仿宋" w:eastAsia="仿宋"/>
          <w:b/>
          <w:color w:val="auto"/>
          <w:sz w:val="32"/>
          <w:szCs w:val="32"/>
          <w:highlight w:val="none"/>
        </w:rPr>
      </w:pPr>
    </w:p>
    <w:p>
      <w:pPr>
        <w:pStyle w:val="6"/>
        <w:rPr>
          <w:rFonts w:hint="eastAsia" w:ascii="仿宋" w:hAnsi="仿宋" w:eastAsia="仿宋"/>
          <w:b/>
          <w:color w:val="auto"/>
          <w:sz w:val="32"/>
          <w:szCs w:val="32"/>
          <w:highlight w:val="none"/>
        </w:rPr>
      </w:pPr>
    </w:p>
    <w:p>
      <w:pPr>
        <w:pStyle w:val="6"/>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209540" cy="3408680"/>
            <wp:effectExtent l="0" t="0" r="10160" b="7620"/>
            <wp:docPr id="4" name="图片 4" descr="172592518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5925184816"/>
                    <pic:cNvPicPr>
                      <a:picLocks noChangeAspect="1"/>
                    </pic:cNvPicPr>
                  </pic:nvPicPr>
                  <pic:blipFill>
                    <a:blip r:embed="rId9"/>
                    <a:stretch>
                      <a:fillRect/>
                    </a:stretch>
                  </pic:blipFill>
                  <pic:spPr>
                    <a:xfrm>
                      <a:off x="0" y="0"/>
                      <a:ext cx="5209540" cy="3408680"/>
                    </a:xfrm>
                    <a:prstGeom prst="rect">
                      <a:avLst/>
                    </a:prstGeom>
                  </pic:spPr>
                </pic:pic>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7"/>
          <w:rFonts w:ascii="黑体" w:hAnsi="黑体" w:eastAsia="黑体"/>
          <w:b w:val="0"/>
          <w:color w:val="auto"/>
          <w:highlight w:val="none"/>
        </w:rPr>
      </w:pPr>
      <w:bookmarkStart w:id="36" w:name="_Toc18747"/>
      <w:bookmarkStart w:id="37" w:name="_Toc15396606"/>
      <w:bookmarkStart w:id="38"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36"/>
      <w:bookmarkEnd w:id="37"/>
      <w:bookmarkEnd w:id="38"/>
    </w:p>
    <w:p>
      <w:pPr>
        <w:spacing w:line="600" w:lineRule="exact"/>
        <w:ind w:firstLine="640"/>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1,761.30</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7.48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0.43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人员政策性增支。</w:t>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00650" cy="3105150"/>
            <wp:effectExtent l="0" t="0" r="6350" b="6350"/>
            <wp:docPr id="5" name="图片 5" descr="172592542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5925425744"/>
                    <pic:cNvPicPr>
                      <a:picLocks noChangeAspect="1"/>
                    </pic:cNvPicPr>
                  </pic:nvPicPr>
                  <pic:blipFill>
                    <a:blip r:embed="rId10"/>
                    <a:stretch>
                      <a:fillRect/>
                    </a:stretch>
                  </pic:blipFill>
                  <pic:spPr>
                    <a:xfrm>
                      <a:off x="0" y="0"/>
                      <a:ext cx="5200650" cy="3105150"/>
                    </a:xfrm>
                    <a:prstGeom prst="rect">
                      <a:avLst/>
                    </a:prstGeom>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7"/>
          <w:rFonts w:ascii="黑体" w:hAnsi="黑体" w:eastAsia="黑体"/>
          <w:b w:val="0"/>
          <w:color w:val="auto"/>
          <w:highlight w:val="none"/>
        </w:rPr>
      </w:pPr>
      <w:bookmarkStart w:id="39" w:name="_Toc15396607"/>
      <w:bookmarkStart w:id="40" w:name="_Toc15377209"/>
      <w:bookmarkStart w:id="41" w:name="_Toc1671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spacing w:line="600" w:lineRule="exact"/>
        <w:ind w:firstLine="640"/>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年一般公共预算财政拨款支出1761.3万元，占本年支出合计的</w:t>
      </w:r>
      <w:r>
        <w:rPr>
          <w:rFonts w:hint="eastAsia" w:ascii="仿宋" w:hAnsi="仿宋" w:eastAsia="仿宋"/>
          <w:color w:val="auto"/>
          <w:sz w:val="32"/>
          <w:szCs w:val="32"/>
          <w:highlight w:val="none"/>
          <w:lang w:val="en-US" w:eastAsia="zh-CN"/>
        </w:rPr>
        <w:t>88.78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7.48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0.43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人员政策性增支。</w:t>
      </w:r>
    </w:p>
    <w:p>
      <w:pPr>
        <w:spacing w:line="600" w:lineRule="exact"/>
        <w:ind w:firstLine="640" w:firstLineChars="200"/>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612765" cy="3438525"/>
            <wp:effectExtent l="0" t="0" r="635" b="3175"/>
            <wp:docPr id="6" name="图片 6" descr="172592560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25925601447"/>
                    <pic:cNvPicPr>
                      <a:picLocks noChangeAspect="1"/>
                    </pic:cNvPicPr>
                  </pic:nvPicPr>
                  <pic:blipFill>
                    <a:blip r:embed="rId11"/>
                    <a:stretch>
                      <a:fillRect/>
                    </a:stretch>
                  </pic:blipFill>
                  <pic:spPr>
                    <a:xfrm>
                      <a:off x="0" y="0"/>
                      <a:ext cx="5612765" cy="3438525"/>
                    </a:xfrm>
                    <a:prstGeom prst="rect">
                      <a:avLst/>
                    </a:prstGeom>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年一般公共预算财政拨款支出1761.3万元，主要用于以下方面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rPr>
        <w:t>1305.9</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243.78万元，占</w:t>
      </w:r>
      <w:r>
        <w:rPr>
          <w:rFonts w:hint="eastAsia" w:ascii="仿宋" w:hAnsi="仿宋" w:eastAsia="仿宋"/>
          <w:color w:val="auto"/>
          <w:sz w:val="32"/>
          <w:szCs w:val="32"/>
          <w:highlight w:val="none"/>
          <w:lang w:val="en-US" w:eastAsia="zh-CN"/>
        </w:rPr>
        <w:t>13.84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81.84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4.65</w:t>
      </w:r>
      <w:r>
        <w:rPr>
          <w:rFonts w:ascii="仿宋" w:hAnsi="仿宋" w:eastAsia="仿宋"/>
          <w:color w:val="auto"/>
          <w:sz w:val="32"/>
          <w:szCs w:val="32"/>
          <w:highlight w:val="none"/>
        </w:rPr>
        <w:t>%</w:t>
      </w:r>
      <w:r>
        <w:rPr>
          <w:rFonts w:hint="eastAsia" w:ascii="仿宋" w:hAnsi="仿宋" w:eastAsia="仿宋"/>
          <w:color w:val="auto"/>
          <w:sz w:val="32"/>
          <w:szCs w:val="32"/>
          <w:highlight w:val="none"/>
        </w:rPr>
        <w:t>；农林水支出8.06</w:t>
      </w:r>
      <w:r>
        <w:rPr>
          <w:rFonts w:hint="eastAsia" w:ascii="仿宋" w:hAnsi="仿宋" w:eastAsia="仿宋"/>
          <w:color w:val="auto"/>
          <w:sz w:val="32"/>
          <w:szCs w:val="32"/>
          <w:highlight w:val="none"/>
          <w:lang w:val="en-US" w:eastAsia="zh-CN"/>
        </w:rPr>
        <w:t>万元，占0.46%，</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121.64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hint="eastAsia" w:ascii="仿宋" w:hAnsi="仿宋" w:eastAsia="仿宋"/>
          <w:color w:val="auto"/>
          <w:sz w:val="32"/>
          <w:szCs w:val="32"/>
          <w:highlight w:val="none"/>
          <w:lang w:eastAsia="zh-CN"/>
        </w:rPr>
      </w:pPr>
    </w:p>
    <w:p>
      <w:pPr>
        <w:pStyle w:val="6"/>
        <w:rPr>
          <w:rFonts w:hint="eastAsia" w:ascii="仿宋" w:hAnsi="仿宋" w:eastAsia="仿宋"/>
          <w:color w:val="auto"/>
          <w:sz w:val="32"/>
          <w:szCs w:val="32"/>
          <w:highlight w:val="none"/>
          <w:lang w:eastAsia="zh-CN"/>
        </w:rPr>
      </w:pPr>
    </w:p>
    <w:p>
      <w:pPr>
        <w:pStyle w:val="6"/>
        <w:rPr>
          <w:rFonts w:hint="eastAsia" w:ascii="仿宋" w:hAnsi="仿宋" w:eastAsia="仿宋"/>
          <w:color w:val="auto"/>
          <w:sz w:val="32"/>
          <w:szCs w:val="32"/>
          <w:highlight w:val="none"/>
          <w:lang w:eastAsia="zh-CN"/>
        </w:rPr>
      </w:pPr>
      <w:r>
        <w:drawing>
          <wp:inline distT="0" distB="0" distL="114300" distR="114300">
            <wp:extent cx="5483860" cy="34639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483860" cy="3463925"/>
                    </a:xfrm>
                    <a:prstGeom prst="rect">
                      <a:avLst/>
                    </a:prstGeom>
                    <a:noFill/>
                    <a:ln>
                      <a:noFill/>
                    </a:ln>
                  </pic:spPr>
                </pic:pic>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spacing w:line="600" w:lineRule="exact"/>
        <w:ind w:firstLine="643" w:firstLineChars="200"/>
        <w:outlineLvl w:val="1"/>
        <w:rPr>
          <w:rFonts w:ascii="仿宋" w:hAnsi="仿宋" w:eastAsia="仿宋"/>
          <w:color w:val="auto"/>
          <w:sz w:val="32"/>
          <w:szCs w:val="32"/>
          <w:highlight w:val="none"/>
        </w:rPr>
      </w:pPr>
      <w:bookmarkStart w:id="45" w:name="_Toc17538"/>
      <w:bookmarkStart w:id="46" w:name="_Toc15377213"/>
      <w:bookmarkStart w:id="47" w:name="_Toc15377444"/>
      <w:bookmarkStart w:id="48"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般公共预算支出决算数为1761.3</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45"/>
      <w:bookmarkEnd w:id="46"/>
      <w:bookmarkEnd w:id="47"/>
      <w:bookmarkEnd w:id="48"/>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1.</w:t>
      </w:r>
      <w:r>
        <w:rPr>
          <w:rStyle w:val="16"/>
          <w:rFonts w:hint="eastAsia" w:ascii="仿宋" w:hAnsi="仿宋" w:eastAsia="仿宋"/>
          <w:bCs/>
          <w:color w:val="auto"/>
          <w:sz w:val="32"/>
          <w:szCs w:val="32"/>
          <w:highlight w:val="none"/>
        </w:rPr>
        <w:t>教育（类）普通教育（款）小学教育（项）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支出决算为1305.9</w:t>
      </w:r>
      <w:r>
        <w:rPr>
          <w:rStyle w:val="16"/>
          <w:rFonts w:hint="eastAsia" w:ascii="仿宋" w:hAnsi="仿宋" w:eastAsia="仿宋"/>
          <w:b w:val="0"/>
          <w:bCs/>
          <w:color w:val="auto"/>
          <w:sz w:val="32"/>
          <w:szCs w:val="32"/>
          <w:highlight w:val="none"/>
          <w:lang w:val="en-US" w:eastAsia="zh-CN"/>
        </w:rPr>
        <w:t>7</w:t>
      </w:r>
      <w:r>
        <w:rPr>
          <w:rStyle w:val="16"/>
          <w:rFonts w:hint="eastAsia" w:ascii="仿宋" w:hAnsi="仿宋" w:eastAsia="仿宋"/>
          <w:b w:val="0"/>
          <w:bCs/>
          <w:color w:val="auto"/>
          <w:sz w:val="32"/>
          <w:szCs w:val="32"/>
          <w:highlight w:val="none"/>
        </w:rPr>
        <w:t>万元，完成预算100%，决算数等于预算数。</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社会保障和就业支出（类）行政事业单位养老支出（款）行政单位离退休（项）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5.86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社会保障和就业支出（类）行政事业单位养老支出（款）  机关事业单位基本养老保险缴费支出（项）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145.12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pStyle w:val="6"/>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社会保障和就业支出（类）行政事业单位养老支出（款）  机关事业单位职业年金缴费支出（项）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Fonts w:hint="eastAsia"/>
        </w:rPr>
        <w:t>47.48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5</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社会保障和就业支出（类）抚恤（款） 死亡抚恤（项）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17.22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6</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社会保障和就业支出（类）残疾人事业（款） 残疾人就业（项）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10.51</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pStyle w:val="6"/>
        <w:ind w:firstLine="643" w:firstLineChars="200"/>
        <w:rPr>
          <w:rFonts w:hint="eastAsia" w:eastAsia="仿宋"/>
          <w:lang w:val="en-US" w:eastAsia="zh-CN"/>
        </w:rPr>
      </w:pPr>
      <w:r>
        <w:rPr>
          <w:rStyle w:val="16"/>
          <w:rFonts w:hint="eastAsia" w:ascii="仿宋" w:hAnsi="仿宋" w:eastAsia="仿宋"/>
          <w:bCs/>
          <w:color w:val="auto"/>
          <w:sz w:val="32"/>
          <w:szCs w:val="32"/>
          <w:highlight w:val="none"/>
          <w:lang w:val="en-US" w:eastAsia="zh-CN"/>
        </w:rPr>
        <w:t>7</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社会保障和就业支出（类）其他社会保障和就业支出（款） 其他社会保障和就业支出（项）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17.58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eastAsia="zh-CN"/>
        </w:rPr>
        <w:t>。</w:t>
      </w:r>
    </w:p>
    <w:p>
      <w:pPr>
        <w:pStyle w:val="6"/>
        <w:ind w:firstLine="643" w:firstLineChars="200"/>
        <w:rPr>
          <w:rStyle w:val="16"/>
          <w:rFonts w:hint="eastAsia" w:ascii="仿宋" w:hAnsi="仿宋" w:eastAsia="仿宋"/>
          <w:b w:val="0"/>
          <w:bCs/>
          <w:color w:val="auto"/>
          <w:sz w:val="32"/>
          <w:szCs w:val="32"/>
          <w:highlight w:val="none"/>
          <w:lang w:val="en-US" w:eastAsia="zh-CN"/>
        </w:rPr>
      </w:pPr>
      <w:r>
        <w:rPr>
          <w:rStyle w:val="16"/>
          <w:rFonts w:hint="eastAsia" w:ascii="仿宋" w:hAnsi="仿宋" w:eastAsia="仿宋"/>
          <w:bCs/>
          <w:color w:val="auto"/>
          <w:sz w:val="32"/>
          <w:szCs w:val="32"/>
          <w:highlight w:val="none"/>
          <w:lang w:val="en-US" w:eastAsia="zh-CN"/>
        </w:rPr>
        <w:t>8</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卫生健康支出（类）行政事业单位医疗（款） 事业单位医疗（项）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59.91</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eastAsia="zh-CN"/>
        </w:rPr>
        <w:t>。</w:t>
      </w:r>
    </w:p>
    <w:p>
      <w:pPr>
        <w:pStyle w:val="6"/>
        <w:ind w:firstLine="643" w:firstLineChars="200"/>
        <w:rPr>
          <w:rStyle w:val="16"/>
          <w:rFonts w:hint="eastAsia" w:ascii="仿宋" w:hAnsi="仿宋" w:eastAsia="仿宋"/>
          <w:b w:val="0"/>
          <w:bCs/>
          <w:color w:val="auto"/>
          <w:sz w:val="32"/>
          <w:szCs w:val="32"/>
          <w:highlight w:val="none"/>
          <w:lang w:eastAsia="zh-CN"/>
        </w:rPr>
      </w:pPr>
      <w:r>
        <w:rPr>
          <w:rStyle w:val="16"/>
          <w:rFonts w:hint="eastAsia" w:ascii="仿宋" w:hAnsi="仿宋" w:eastAsia="仿宋"/>
          <w:bCs/>
          <w:color w:val="auto"/>
          <w:sz w:val="32"/>
          <w:szCs w:val="32"/>
          <w:highlight w:val="none"/>
          <w:lang w:val="en-US" w:eastAsia="zh-CN"/>
        </w:rPr>
        <w:t>9</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卫生健康支出（类）行政事业单位医疗（款） 公务员医疗补助（项）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21.93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eastAsia="zh-CN"/>
        </w:rPr>
        <w:t>。</w:t>
      </w:r>
    </w:p>
    <w:p>
      <w:pPr>
        <w:pStyle w:val="6"/>
        <w:ind w:firstLine="643" w:firstLineChars="200"/>
        <w:rPr>
          <w:rStyle w:val="16"/>
          <w:rFonts w:hint="eastAsia" w:ascii="仿宋" w:hAnsi="仿宋" w:eastAsia="仿宋"/>
          <w:b w:val="0"/>
          <w:bCs/>
          <w:color w:val="auto"/>
          <w:sz w:val="32"/>
          <w:szCs w:val="32"/>
          <w:highlight w:val="none"/>
          <w:lang w:val="en-US" w:eastAsia="zh-CN"/>
        </w:rPr>
      </w:pPr>
      <w:r>
        <w:rPr>
          <w:rStyle w:val="16"/>
          <w:rFonts w:hint="eastAsia" w:ascii="仿宋" w:hAnsi="仿宋" w:eastAsia="仿宋"/>
          <w:bCs/>
          <w:color w:val="auto"/>
          <w:sz w:val="32"/>
          <w:szCs w:val="32"/>
          <w:highlight w:val="none"/>
          <w:lang w:val="en-US" w:eastAsia="zh-CN"/>
        </w:rPr>
        <w:t>10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农林水支出（类）巩固脱贫衔接乡村振兴（款） 其他巩固脱贫衔接乡村振兴支出（项）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8.06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eastAsia="zh-CN"/>
        </w:rPr>
        <w:t>。</w:t>
      </w:r>
    </w:p>
    <w:p>
      <w:pPr>
        <w:pStyle w:val="6"/>
        <w:ind w:firstLine="643" w:firstLineChars="200"/>
        <w:rPr>
          <w:rStyle w:val="16"/>
          <w:rFonts w:hint="eastAsia" w:ascii="仿宋" w:hAnsi="仿宋" w:eastAsia="仿宋"/>
          <w:b w:val="0"/>
          <w:bCs/>
          <w:color w:val="auto"/>
          <w:sz w:val="32"/>
          <w:szCs w:val="32"/>
          <w:highlight w:val="none"/>
          <w:lang w:val="en-US" w:eastAsia="zh-CN"/>
        </w:rPr>
      </w:pPr>
      <w:r>
        <w:rPr>
          <w:rStyle w:val="16"/>
          <w:rFonts w:hint="eastAsia" w:ascii="仿宋" w:hAnsi="仿宋" w:eastAsia="仿宋"/>
          <w:bCs/>
          <w:color w:val="auto"/>
          <w:sz w:val="32"/>
          <w:szCs w:val="32"/>
          <w:highlight w:val="none"/>
          <w:lang w:val="en-US" w:eastAsia="zh-CN"/>
        </w:rPr>
        <w:t>11</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住房保障支出（类）住房改革支出（款） 住房公积金（项）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121.64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eastAsia="zh-CN"/>
        </w:rPr>
        <w:t>。</w:t>
      </w:r>
    </w:p>
    <w:p>
      <w:pPr>
        <w:tabs>
          <w:tab w:val="right" w:pos="8306"/>
        </w:tabs>
        <w:spacing w:line="600" w:lineRule="exact"/>
        <w:ind w:firstLine="640"/>
        <w:outlineLvl w:val="1"/>
        <w:rPr>
          <w:rStyle w:val="27"/>
          <w:color w:val="auto"/>
          <w:highlight w:val="none"/>
        </w:rPr>
      </w:pPr>
      <w:bookmarkStart w:id="49" w:name="_Toc15396608"/>
      <w:bookmarkStart w:id="50" w:name="_Toc8747"/>
      <w:bookmarkStart w:id="5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49"/>
      <w:bookmarkEnd w:id="50"/>
      <w:bookmarkEnd w:id="51"/>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年一般公共预算财政拨款基本支出16</w:t>
      </w:r>
      <w:r>
        <w:rPr>
          <w:rFonts w:hint="eastAsia" w:ascii="仿宋" w:hAnsi="仿宋" w:eastAsia="仿宋"/>
          <w:color w:val="auto"/>
          <w:sz w:val="32"/>
          <w:szCs w:val="32"/>
          <w:highlight w:val="none"/>
          <w:lang w:val="en-US" w:eastAsia="zh-CN"/>
        </w:rPr>
        <w:t>14.15</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人员经费1566.81万元，主要包括：基本工资、津贴补贴、绩效工资、机关事业单位基本养老保险缴费、 职业年金缴费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其他社会保障缴费、其他工资福利支出、抚恤金、生活补助、职工基本医疗保险缴费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47.34</w:t>
      </w:r>
      <w:r>
        <w:rPr>
          <w:rFonts w:hint="eastAsia" w:ascii="仿宋" w:hAnsi="仿宋" w:eastAsia="仿宋"/>
          <w:color w:val="auto"/>
          <w:sz w:val="32"/>
          <w:szCs w:val="32"/>
          <w:highlight w:val="none"/>
        </w:rPr>
        <w:t>万元，主要包括： 维修（护）费</w:t>
      </w:r>
      <w:r>
        <w:rPr>
          <w:rFonts w:hint="eastAsia" w:ascii="仿宋" w:hAnsi="仿宋" w:eastAsia="仿宋"/>
          <w:color w:val="auto"/>
          <w:sz w:val="32"/>
          <w:szCs w:val="32"/>
          <w:highlight w:val="none"/>
          <w:lang w:eastAsia="zh-CN"/>
        </w:rPr>
        <w:t>、其他交通费用</w:t>
      </w:r>
      <w:r>
        <w:rPr>
          <w:rFonts w:hint="eastAsia" w:ascii="仿宋" w:hAnsi="仿宋" w:eastAsia="仿宋"/>
          <w:color w:val="auto"/>
          <w:sz w:val="32"/>
          <w:szCs w:val="32"/>
          <w:highlight w:val="none"/>
        </w:rPr>
        <w:t>、福利费、其他商品和服务支出等。</w:t>
      </w:r>
    </w:p>
    <w:p>
      <w:pPr>
        <w:spacing w:line="600" w:lineRule="exact"/>
        <w:ind w:firstLine="640"/>
        <w:outlineLvl w:val="1"/>
        <w:rPr>
          <w:rStyle w:val="27"/>
          <w:rFonts w:ascii="黑体" w:hAnsi="黑体" w:eastAsia="黑体"/>
          <w:b w:val="0"/>
          <w:color w:val="auto"/>
          <w:highlight w:val="none"/>
        </w:rPr>
      </w:pPr>
      <w:bookmarkStart w:id="52" w:name="_Toc15377215"/>
      <w:bookmarkStart w:id="53" w:name="_Toc15396609"/>
      <w:bookmarkStart w:id="54" w:name="_Toc5832"/>
      <w:r>
        <w:rPr>
          <w:rFonts w:hint="eastAsia" w:ascii="黑体" w:eastAsia="黑体"/>
          <w:color w:val="auto"/>
          <w:sz w:val="32"/>
          <w:szCs w:val="32"/>
          <w:highlight w:val="none"/>
        </w:rPr>
        <w:t>七、</w:t>
      </w:r>
      <w:r>
        <w:rPr>
          <w:rStyle w:val="27"/>
          <w:rFonts w:hint="eastAsia" w:ascii="黑体" w:hAnsi="黑体" w:eastAsia="黑体"/>
          <w:b w:val="0"/>
          <w:color w:val="auto"/>
          <w:highlight w:val="none"/>
        </w:rPr>
        <w:t>财政拨款</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15377216"/>
      <w:r>
        <w:rPr>
          <w:rFonts w:hint="eastAsia" w:ascii="仿宋" w:hAnsi="仿宋" w:eastAsia="仿宋"/>
          <w:b/>
          <w:color w:val="auto"/>
          <w:sz w:val="32"/>
          <w:szCs w:val="32"/>
          <w:highlight w:val="none"/>
        </w:rPr>
        <w:t>（一）“三公”经费财政拨款支出决算总体情况说明</w:t>
      </w:r>
      <w:bookmarkEnd w:id="55"/>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6" w:name="_Toc15377217"/>
      <w:r>
        <w:rPr>
          <w:rFonts w:hint="eastAsia" w:ascii="仿宋" w:hAnsi="仿宋" w:eastAsia="仿宋"/>
          <w:b/>
          <w:color w:val="auto"/>
          <w:sz w:val="32"/>
          <w:szCs w:val="32"/>
          <w:highlight w:val="none"/>
        </w:rPr>
        <w:t>（二）“三公”经费财政拨款支出决算具体情况说明</w:t>
      </w:r>
      <w:bookmarkEnd w:id="56"/>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万元。具体情况如下：</w:t>
      </w:r>
    </w:p>
    <w:p>
      <w:pPr>
        <w:spacing w:line="600" w:lineRule="exact"/>
        <w:ind w:firstLine="640"/>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0</w:t>
      </w:r>
    </w:p>
    <w:p>
      <w:pPr>
        <w:spacing w:line="600" w:lineRule="exact"/>
        <w:ind w:firstLine="640"/>
        <w:rPr>
          <w:rFonts w:hint="eastAsia" w:ascii="仿宋_GB2312" w:eastAsia="仿宋"/>
          <w:b/>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outlineLvl w:val="1"/>
        <w:rPr>
          <w:rStyle w:val="27"/>
          <w:rFonts w:ascii="黑体" w:hAnsi="黑体" w:eastAsia="黑体"/>
          <w:color w:val="auto"/>
          <w:highlight w:val="none"/>
        </w:rPr>
      </w:pPr>
      <w:bookmarkStart w:id="57" w:name="_Toc1304"/>
      <w:bookmarkStart w:id="58" w:name="_Toc15396610"/>
      <w:bookmarkStart w:id="59" w:name="_Toc15377218"/>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27"/>
          <w:rFonts w:ascii="黑体" w:hAnsi="黑体" w:eastAsia="黑体"/>
          <w:b w:val="0"/>
          <w:color w:val="auto"/>
          <w:highlight w:val="none"/>
        </w:rPr>
      </w:pPr>
      <w:bookmarkStart w:id="60" w:name="_Toc15377219"/>
      <w:bookmarkStart w:id="61" w:name="_Toc15396611"/>
      <w:bookmarkStart w:id="62" w:name="_Toc14052"/>
      <w:r>
        <w:rPr>
          <w:rStyle w:val="27"/>
          <w:rFonts w:hint="eastAsia" w:ascii="黑体" w:hAnsi="黑体" w:eastAsia="黑体"/>
          <w:b w:val="0"/>
          <w:color w:val="auto"/>
          <w:highlight w:val="none"/>
          <w:lang w:val="en-US" w:eastAsia="zh-CN"/>
        </w:rPr>
        <w:t>九、</w:t>
      </w:r>
      <w:r>
        <w:rPr>
          <w:rStyle w:val="27"/>
          <w:rFonts w:hint="eastAsia" w:ascii="黑体" w:hAnsi="黑体" w:eastAsia="黑体"/>
          <w:b w:val="0"/>
          <w:color w:val="auto"/>
          <w:highlight w:val="none"/>
        </w:rPr>
        <w:t>国有资本经营预算支出决算情况说明</w:t>
      </w:r>
      <w:bookmarkEnd w:id="60"/>
      <w:bookmarkEnd w:id="61"/>
      <w:bookmarkEnd w:id="62"/>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27"/>
          <w:rFonts w:hint="eastAsia" w:ascii="黑体" w:hAnsi="黑体" w:eastAsia="黑体"/>
          <w:b w:val="0"/>
          <w:color w:val="auto"/>
          <w:highlight w:val="none"/>
        </w:rPr>
      </w:pPr>
      <w:bookmarkStart w:id="63" w:name="_Toc18361"/>
      <w:bookmarkStart w:id="64" w:name="_Toc15396612"/>
      <w:bookmarkStart w:id="65" w:name="_Toc15377221"/>
      <w:r>
        <w:rPr>
          <w:rStyle w:val="27"/>
          <w:rFonts w:hint="eastAsia" w:ascii="黑体" w:hAnsi="黑体" w:eastAsia="黑体"/>
          <w:b w:val="0"/>
          <w:color w:val="auto"/>
          <w:highlight w:val="none"/>
          <w:lang w:val="en-US" w:eastAsia="zh-CN"/>
        </w:rPr>
        <w:t>十、</w:t>
      </w:r>
      <w:r>
        <w:rPr>
          <w:rStyle w:val="27"/>
          <w:rFonts w:hint="eastAsia" w:ascii="黑体" w:hAnsi="黑体" w:eastAsia="黑体"/>
          <w:b w:val="0"/>
          <w:color w:val="auto"/>
          <w:highlight w:val="none"/>
        </w:rPr>
        <w:t>其他重要事项的情况说明</w:t>
      </w:r>
      <w:bookmarkEnd w:id="63"/>
      <w:bookmarkEnd w:id="64"/>
      <w:bookmarkEnd w:id="65"/>
    </w:p>
    <w:p>
      <w:pPr>
        <w:spacing w:line="600" w:lineRule="exact"/>
        <w:ind w:firstLine="643" w:firstLineChars="200"/>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67" w:name="OLE_LINK14"/>
      <w:bookmarkStart w:id="68" w:name="OLE_LINK15"/>
      <w:bookmarkStart w:id="69" w:name="OLE_LINK7"/>
      <w:bookmarkStart w:id="70" w:name="OLE_LINK3"/>
      <w:bookmarkStart w:id="71" w:name="OLE_LINK13"/>
      <w:bookmarkStart w:id="72" w:name="OLE_LINK5"/>
      <w:bookmarkStart w:id="73" w:name="OLE_LINK11"/>
      <w:bookmarkStart w:id="74" w:name="OLE_LINK17"/>
      <w:bookmarkStart w:id="75" w:name="OLE_LINK10"/>
      <w:bookmarkStart w:id="76" w:name="OLE_LINK1"/>
      <w:bookmarkStart w:id="77" w:name="OLE_LINK8"/>
      <w:bookmarkStart w:id="78" w:name="OLE_LINK6"/>
      <w:bookmarkStart w:id="79" w:name="OLE_LINK18"/>
      <w:bookmarkStart w:id="80" w:name="OLE_LINK9"/>
      <w:bookmarkStart w:id="81" w:name="OLE_LINK12"/>
      <w:bookmarkStart w:id="82" w:name="OLE_LINK4"/>
      <w:bookmarkStart w:id="83" w:name="OLE_LINK2"/>
      <w:bookmarkStart w:id="84" w:name="OLE_LINK16"/>
      <w:r>
        <w:rPr>
          <w:rFonts w:hint="eastAsia" w:ascii="仿宋_GB2312" w:eastAsia="仿宋_GB2312" w:cs="Times New Roman"/>
          <w:color w:val="auto"/>
          <w:sz w:val="32"/>
          <w:szCs w:val="32"/>
          <w:highlight w:val="none"/>
          <w:lang w:val="en-US" w:eastAsia="zh-CN"/>
        </w:rPr>
        <w:t>本单位是全额拨款事业单位，没有预算机关运行经费</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5" w:name="_Toc15377223"/>
      <w:r>
        <w:rPr>
          <w:rFonts w:hint="eastAsia" w:ascii="仿宋" w:hAnsi="仿宋" w:eastAsia="仿宋"/>
          <w:b/>
          <w:color w:val="auto"/>
          <w:sz w:val="32"/>
          <w:szCs w:val="32"/>
          <w:highlight w:val="none"/>
        </w:rPr>
        <w:t>（二）政府采购支出情况</w:t>
      </w:r>
      <w:bookmarkEnd w:id="85"/>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永兴小学</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6" w:name="_Toc15377224"/>
      <w:r>
        <w:rPr>
          <w:rFonts w:hint="eastAsia" w:ascii="仿宋" w:hAnsi="仿宋" w:eastAsia="仿宋"/>
          <w:b/>
          <w:color w:val="auto"/>
          <w:sz w:val="32"/>
          <w:szCs w:val="32"/>
          <w:highlight w:val="none"/>
        </w:rPr>
        <w:t>（三）国有资产占有使用情况</w:t>
      </w:r>
      <w:bookmarkEnd w:id="86"/>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永兴镇小学</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6"/>
        <w:ind w:firstLine="640" w:firstLineChars="200"/>
        <w:rPr>
          <w:rFonts w:hint="default" w:eastAsia="仿宋_GB2312"/>
          <w:color w:val="auto"/>
          <w:highlight w:val="yellow"/>
          <w:lang w:val="en-US" w:eastAsia="zh-CN"/>
        </w:rPr>
      </w:pPr>
      <w:r>
        <w:rPr>
          <w:rFonts w:hint="eastAsia" w:ascii="仿宋_GB2312" w:hAnsi="仿宋_GB2312" w:eastAsia="仿宋_GB2312" w:cs="仿宋_GB2312"/>
          <w:color w:val="auto"/>
          <w:sz w:val="32"/>
          <w:szCs w:val="32"/>
          <w:highlight w:val="none"/>
        </w:rPr>
        <w:t>根据预算绩效管理要求，本单位在</w:t>
      </w:r>
      <w:r>
        <w:rPr>
          <w:rFonts w:hint="eastAsia"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年度预算编制阶段，</w:t>
      </w:r>
      <w:r>
        <w:rPr>
          <w:rFonts w:hint="eastAsia" w:hAnsi="仿宋_GB2312" w:cs="仿宋_GB2312"/>
          <w:color w:val="auto"/>
          <w:sz w:val="32"/>
          <w:szCs w:val="32"/>
          <w:highlight w:val="none"/>
          <w:lang w:val="en-US" w:eastAsia="zh-CN"/>
        </w:rPr>
        <w:t>没有需要开展事前评估的项目，故未开展预算绩效评估，</w:t>
      </w:r>
      <w:r>
        <w:rPr>
          <w:rFonts w:hint="eastAsia" w:ascii="仿宋_GB2312" w:hAnsi="仿宋_GB2312" w:eastAsia="仿宋_GB2312" w:cs="仿宋_GB2312"/>
          <w:color w:val="auto"/>
          <w:sz w:val="32"/>
          <w:szCs w:val="32"/>
          <w:highlight w:val="none"/>
        </w:rPr>
        <w:t>组织对</w:t>
      </w:r>
      <w:r>
        <w:rPr>
          <w:rFonts w:hint="eastAsia" w:hAnsi="仿宋_GB2312" w:cs="仿宋_GB2312"/>
          <w:color w:val="auto"/>
          <w:sz w:val="32"/>
          <w:szCs w:val="32"/>
          <w:highlight w:val="none"/>
          <w:lang w:val="en-US" w:eastAsia="zh-CN"/>
        </w:rPr>
        <w:t>人员类、运转类、特定目标类</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87" w:name="_Toc15396613"/>
      <w:bookmarkStart w:id="88" w:name="_Toc15377225"/>
      <w:bookmarkStart w:id="89" w:name="_Toc338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87"/>
      <w:bookmarkEnd w:id="88"/>
      <w:bookmarkEnd w:id="89"/>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color w:val="auto"/>
          <w:sz w:val="32"/>
          <w:szCs w:val="32"/>
          <w:highlight w:val="none"/>
        </w:rPr>
      </w:pPr>
      <w:bookmarkStart w:id="90" w:name="_Toc15396614"/>
      <w:bookmarkStart w:id="91"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伙食团收入、利息收入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初中教育</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初中教育</w:t>
      </w:r>
      <w:r>
        <w:rPr>
          <w:rFonts w:hint="eastAsia" w:ascii="仿宋_GB2312" w:eastAsia="仿宋_GB2312"/>
          <w:color w:val="auto"/>
          <w:sz w:val="32"/>
          <w:szCs w:val="32"/>
          <w:highlight w:val="none"/>
        </w:rPr>
        <w:t>。</w:t>
      </w:r>
    </w:p>
    <w:p>
      <w:pPr>
        <w:ind w:left="0" w:leftChars="0"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社会保障和就业（类）行政事业单位养老支出（款）机关事业单位基本养老保险缴费支出（项）：指机关事业单位基本养老保险缴费支出</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社会保障和就业（类）行政事业单位养老支出（款）机关事业单位职业年金缴费支出（项）：指机关事业单位职业年金缴费支出。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社会保障和就业（类）抚恤（款）死亡抚恤（项）：指死亡抚恤</w:t>
      </w:r>
      <w:r>
        <w:rPr>
          <w:rFonts w:hint="eastAsia" w:ascii="仿宋_GB2312" w:eastAsia="仿宋_GB2312"/>
          <w:color w:val="auto"/>
          <w:sz w:val="32"/>
          <w:szCs w:val="32"/>
          <w:highlight w:val="none"/>
          <w:lang w:val="en-US" w:eastAsia="zh-CN"/>
        </w:rPr>
        <w:t>支出</w:t>
      </w:r>
      <w:r>
        <w:rPr>
          <w:rFonts w:hint="eastAsia" w:ascii="仿宋_GB2312" w:eastAsia="仿宋_GB2312"/>
          <w:color w:val="auto"/>
          <w:sz w:val="32"/>
          <w:szCs w:val="32"/>
          <w:highlight w:val="none"/>
        </w:rPr>
        <w:t>。</w:t>
      </w:r>
    </w:p>
    <w:p>
      <w:pPr>
        <w:ind w:firstLine="640" w:firstLineChars="200"/>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社会保障和就业（类）其他社会保障和就业支出（款）其他社会保障和就业支出（项）：指</w:t>
      </w:r>
      <w:r>
        <w:rPr>
          <w:rFonts w:hint="eastAsia" w:ascii="仿宋_GB2312" w:eastAsia="仿宋_GB2312"/>
          <w:color w:val="auto"/>
          <w:sz w:val="32"/>
          <w:szCs w:val="32"/>
          <w:highlight w:val="none"/>
          <w:lang w:val="en-US" w:eastAsia="zh-CN"/>
        </w:rPr>
        <w:t>职工工伤和失业保险支出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卫生</w:t>
      </w:r>
      <w:r>
        <w:rPr>
          <w:rFonts w:hint="eastAsia" w:ascii="仿宋_GB2312" w:eastAsia="仿宋_GB2312"/>
          <w:color w:val="auto"/>
          <w:sz w:val="32"/>
          <w:szCs w:val="32"/>
          <w:highlight w:val="none"/>
          <w:lang w:val="en-US" w:eastAsia="zh-CN"/>
        </w:rPr>
        <w:t>健康</w:t>
      </w:r>
      <w:r>
        <w:rPr>
          <w:rFonts w:hint="eastAsia" w:ascii="仿宋_GB2312" w:eastAsia="仿宋_GB2312"/>
          <w:color w:val="auto"/>
          <w:sz w:val="32"/>
          <w:szCs w:val="32"/>
          <w:highlight w:val="none"/>
        </w:rPr>
        <w:t>（类）行政事业单位医疗（款）事业单位医疗（项）：指</w:t>
      </w:r>
      <w:r>
        <w:rPr>
          <w:rFonts w:hint="eastAsia" w:ascii="仿宋_GB2312" w:eastAsia="仿宋_GB2312"/>
          <w:color w:val="auto"/>
          <w:sz w:val="32"/>
          <w:szCs w:val="32"/>
          <w:highlight w:val="none"/>
          <w:lang w:val="en-US" w:eastAsia="zh-CN"/>
        </w:rPr>
        <w:t>职工医疗保险支出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w:t>
      </w:r>
      <w:r>
        <w:rPr>
          <w:rFonts w:hint="eastAsia" w:ascii="仿宋_GB2312" w:eastAsia="仿宋_GB2312"/>
          <w:color w:val="auto"/>
          <w:sz w:val="32"/>
          <w:szCs w:val="32"/>
          <w:highlight w:val="none"/>
          <w:lang w:val="en-US" w:eastAsia="zh-CN"/>
        </w:rPr>
        <w:t>健康</w:t>
      </w:r>
      <w:r>
        <w:rPr>
          <w:rFonts w:hint="eastAsia" w:ascii="仿宋_GB2312" w:eastAsia="仿宋_GB2312"/>
          <w:color w:val="auto"/>
          <w:sz w:val="32"/>
          <w:szCs w:val="32"/>
          <w:highlight w:val="none"/>
        </w:rPr>
        <w:t>（类）行政事业单位医疗（款）公务员医疗补助（项）：指</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住房保障（类）住房改革支出（款）住房公积金（项）：指</w:t>
      </w:r>
      <w:r>
        <w:rPr>
          <w:rFonts w:hint="eastAsia" w:ascii="仿宋_GB2312" w:eastAsia="仿宋_GB2312"/>
          <w:color w:val="auto"/>
          <w:sz w:val="32"/>
          <w:szCs w:val="32"/>
          <w:highlight w:val="none"/>
          <w:lang w:val="en-US" w:eastAsia="zh-CN"/>
        </w:rPr>
        <w:t>职工住房公积金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福利费、日常维修费、专用材料及一般设备购置费、办公用房水电费、办公用房物业管理费以及其他费用。</w:t>
      </w:r>
    </w:p>
    <w:p>
      <w:pPr>
        <w:pStyle w:val="6"/>
        <w:bidi w:val="0"/>
        <w:ind w:firstLine="600" w:firstLineChars="200"/>
        <w:rPr>
          <w:rFonts w:hint="eastAsia" w:ascii="仿宋" w:hAnsi="仿宋" w:eastAsia="仿宋" w:cs="仿宋"/>
          <w:color w:val="000000"/>
          <w:kern w:val="0"/>
          <w:szCs w:val="32"/>
        </w:rPr>
      </w:pPr>
      <w:r>
        <w:rPr>
          <w:rFonts w:hint="eastAsia"/>
          <w:lang w:val="en-US" w:eastAsia="zh-CN"/>
        </w:rPr>
        <w:t>20.</w:t>
      </w:r>
      <w:r>
        <w:rPr>
          <w:rFonts w:hint="eastAsia"/>
        </w:rPr>
        <w:t>社会保障和就业（类）</w:t>
      </w:r>
      <w:r>
        <w:rPr>
          <w:rFonts w:hint="eastAsia"/>
          <w:lang w:eastAsia="zh-CN"/>
        </w:rPr>
        <w:t>残疾人事业</w:t>
      </w:r>
      <w:r>
        <w:rPr>
          <w:rFonts w:hint="eastAsia"/>
        </w:rPr>
        <w:t>（款）</w:t>
      </w:r>
      <w:r>
        <w:rPr>
          <w:rFonts w:hint="eastAsia"/>
          <w:lang w:eastAsia="zh-CN"/>
        </w:rPr>
        <w:t>残疾人就业</w:t>
      </w:r>
      <w:r>
        <w:rPr>
          <w:rFonts w:hint="eastAsia"/>
        </w:rPr>
        <w:t>（项）</w:t>
      </w:r>
      <w:r>
        <w:rPr>
          <w:rFonts w:hint="eastAsia"/>
          <w:lang w:eastAsia="zh-CN"/>
        </w:rPr>
        <w:t>：反映残疾人联合会用于残疾人就业方面的支出。</w:t>
      </w:r>
    </w:p>
    <w:p>
      <w:pPr>
        <w:pStyle w:val="6"/>
        <w:numPr>
          <w:ilvl w:val="0"/>
          <w:numId w:val="0"/>
        </w:num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21.</w:t>
      </w:r>
      <w:r>
        <w:rPr>
          <w:rFonts w:hint="eastAsia" w:ascii="仿宋" w:hAnsi="仿宋" w:eastAsia="仿宋" w:cs="仿宋"/>
          <w:b w:val="0"/>
          <w:bCs w:val="0"/>
          <w:color w:val="auto"/>
          <w:sz w:val="32"/>
          <w:szCs w:val="32"/>
          <w:highlight w:val="none"/>
          <w:lang w:eastAsia="zh-CN"/>
        </w:rPr>
        <w:t>农林水支出</w:t>
      </w:r>
      <w:r>
        <w:rPr>
          <w:rStyle w:val="16"/>
          <w:rFonts w:hint="eastAsia" w:ascii="仿宋" w:hAnsi="仿宋" w:eastAsia="仿宋" w:cs="仿宋"/>
          <w:b w:val="0"/>
          <w:bCs w:val="0"/>
          <w:color w:val="auto"/>
          <w:sz w:val="32"/>
          <w:szCs w:val="32"/>
          <w:highlight w:val="none"/>
        </w:rPr>
        <w:t>（类）</w:t>
      </w:r>
      <w:r>
        <w:rPr>
          <w:rStyle w:val="16"/>
          <w:rFonts w:hint="eastAsia" w:ascii="仿宋" w:hAnsi="仿宋" w:eastAsia="仿宋" w:cs="仿宋"/>
          <w:b w:val="0"/>
          <w:bCs w:val="0"/>
          <w:color w:val="auto"/>
          <w:sz w:val="32"/>
          <w:szCs w:val="32"/>
          <w:highlight w:val="none"/>
          <w:lang w:eastAsia="zh-CN"/>
        </w:rPr>
        <w:t>巩固脱贫衔接乡村振兴</w:t>
      </w:r>
      <w:r>
        <w:rPr>
          <w:rStyle w:val="16"/>
          <w:rFonts w:hint="eastAsia" w:ascii="仿宋" w:hAnsi="仿宋" w:eastAsia="仿宋" w:cs="仿宋"/>
          <w:b w:val="0"/>
          <w:bCs w:val="0"/>
          <w:color w:val="auto"/>
          <w:sz w:val="32"/>
          <w:szCs w:val="32"/>
          <w:highlight w:val="none"/>
        </w:rPr>
        <w:t>（款）</w:t>
      </w:r>
      <w:r>
        <w:rPr>
          <w:rStyle w:val="16"/>
          <w:rFonts w:hint="eastAsia" w:ascii="仿宋" w:hAnsi="仿宋" w:eastAsia="仿宋" w:cs="仿宋"/>
          <w:b w:val="0"/>
          <w:bCs w:val="0"/>
          <w:color w:val="auto"/>
          <w:sz w:val="32"/>
          <w:szCs w:val="32"/>
          <w:highlight w:val="none"/>
          <w:lang w:eastAsia="zh-CN"/>
        </w:rPr>
        <w:t>其他巩固脱贫衔接乡村振兴支出</w:t>
      </w:r>
      <w:r>
        <w:rPr>
          <w:rStyle w:val="16"/>
          <w:rFonts w:hint="eastAsia" w:ascii="仿宋" w:hAnsi="仿宋" w:eastAsia="仿宋" w:cs="仿宋"/>
          <w:b w:val="0"/>
          <w:bCs w:val="0"/>
          <w:color w:val="auto"/>
          <w:sz w:val="32"/>
          <w:szCs w:val="32"/>
          <w:highlight w:val="none"/>
        </w:rPr>
        <w:t>（项）:</w:t>
      </w:r>
      <w:r>
        <w:rPr>
          <w:rStyle w:val="16"/>
          <w:rFonts w:hint="eastAsia" w:ascii="仿宋" w:hAnsi="仿宋" w:eastAsia="仿宋" w:cs="仿宋"/>
          <w:b w:val="0"/>
          <w:bCs w:val="0"/>
          <w:color w:val="auto"/>
          <w:sz w:val="32"/>
          <w:szCs w:val="32"/>
          <w:highlight w:val="none"/>
          <w:lang w:eastAsia="zh-CN"/>
        </w:rPr>
        <w:t>指</w:t>
      </w:r>
      <w:r>
        <w:rPr>
          <w:rStyle w:val="16"/>
          <w:rFonts w:hint="eastAsia" w:ascii="仿宋" w:hAnsi="仿宋" w:eastAsia="仿宋" w:cs="仿宋"/>
          <w:b w:val="0"/>
          <w:bCs w:val="0"/>
          <w:color w:val="auto"/>
          <w:sz w:val="32"/>
          <w:szCs w:val="32"/>
          <w:highlight w:val="none"/>
          <w:lang w:val="en-US" w:eastAsia="zh-CN"/>
        </w:rPr>
        <w:t>反映除上述项目以外其他用于扶贫方面的支出。</w:t>
      </w: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bookmarkStart w:id="92" w:name="_Toc21676"/>
    </w:p>
    <w:p>
      <w:pPr>
        <w:spacing w:line="600" w:lineRule="exact"/>
        <w:jc w:val="center"/>
        <w:outlineLvl w:val="0"/>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90"/>
      <w:bookmarkEnd w:id="92"/>
      <w:bookmarkStart w:id="93" w:name="_Toc15396618"/>
    </w:p>
    <w:tbl>
      <w:tblPr>
        <w:tblStyle w:val="14"/>
        <w:tblW w:w="48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25"/>
        <w:gridCol w:w="804"/>
        <w:gridCol w:w="875"/>
        <w:gridCol w:w="703"/>
        <w:gridCol w:w="91"/>
        <w:gridCol w:w="548"/>
        <w:gridCol w:w="599"/>
        <w:gridCol w:w="858"/>
        <w:gridCol w:w="571"/>
        <w:gridCol w:w="491"/>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000" w:type="pct"/>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94" w:name="_Toc9998"/>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51090322T000000342630-班班通信息化建设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w:t>
            </w:r>
            <w:r>
              <w:rPr>
                <w:rFonts w:ascii="宋体" w:hAnsi="宋体" w:eastAsia="宋体" w:cs="宋体"/>
                <w:i w:val="0"/>
                <w:iCs w:val="0"/>
                <w:color w:val="000000"/>
                <w:kern w:val="0"/>
                <w:sz w:val="18"/>
                <w:szCs w:val="18"/>
                <w:highlight w:val="none"/>
                <w:u w:val="none"/>
                <w:lang w:val="en-US" w:eastAsia="zh-CN" w:bidi="ar"/>
              </w:rPr>
              <w:t>育</w:t>
            </w:r>
            <w:r>
              <w:rPr>
                <w:rFonts w:hint="eastAsia" w:ascii="宋体" w:hAnsi="宋体" w:cs="宋体"/>
                <w:i w:val="0"/>
                <w:iCs w:val="0"/>
                <w:color w:val="000000"/>
                <w:kern w:val="0"/>
                <w:sz w:val="18"/>
                <w:szCs w:val="18"/>
                <w:highlight w:val="none"/>
                <w:u w:val="none"/>
                <w:lang w:val="en-US" w:eastAsia="zh-CN" w:bidi="ar"/>
              </w:rPr>
              <w:t>和</w:t>
            </w:r>
            <w:r>
              <w:rPr>
                <w:rFonts w:ascii="宋体" w:hAnsi="宋体" w:eastAsia="宋体" w:cs="宋体"/>
                <w:i w:val="0"/>
                <w:iCs w:val="0"/>
                <w:color w:val="000000"/>
                <w:kern w:val="0"/>
                <w:sz w:val="18"/>
                <w:szCs w:val="18"/>
                <w:highlight w:val="none"/>
                <w:u w:val="none"/>
                <w:lang w:val="en-US" w:eastAsia="zh-CN" w:bidi="ar"/>
              </w:rPr>
              <w:t>体育局</w:t>
            </w:r>
          </w:p>
        </w:tc>
        <w:tc>
          <w:tcPr>
            <w:tcW w:w="51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14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完成班班通信息化建设</w:t>
            </w:r>
          </w:p>
        </w:tc>
        <w:tc>
          <w:tcPr>
            <w:tcW w:w="19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完成20套班班通智慧黑板采购安装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val="en-US" w:eastAsia="zh-CN"/>
              </w:rPr>
              <w:t>2023年12月已完成网上政府采购电子竞价所有流程，与中标商家签订了合同，并按照合同约定发货收货，并组织相关人员对产品进行了验收，调试、安装。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w:t>
            </w:r>
          </w:p>
        </w:tc>
        <w:tc>
          <w:tcPr>
            <w:tcW w:w="11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45.60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91.20</w:t>
            </w: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w:t>
            </w:r>
          </w:p>
        </w:tc>
        <w:tc>
          <w:tcPr>
            <w:tcW w:w="11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45.60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91</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时效指标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完成年度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2023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年</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数量指标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实施期计划任务完成率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98</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等线" w:hAnsi="等线" w:eastAsia="等线" w:cs="等线"/>
                <w:i w:val="0"/>
                <w:iCs w:val="0"/>
                <w:color w:val="000000"/>
                <w:kern w:val="0"/>
                <w:sz w:val="18"/>
                <w:szCs w:val="18"/>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质量指标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资金使用率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效果指标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保障学生安全比例</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效益指标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社会效益指标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社会效益</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定性</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8</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效益指标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可持续发展指标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可持续性</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定性</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lang w:val="en-US" w:eastAsia="zh-CN"/>
              </w:rPr>
            </w:pPr>
            <w:r>
              <w:rPr>
                <w:rFonts w:hint="eastAsia"/>
                <w:lang w:val="en-US" w:eastAsia="zh-CN"/>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满意度指标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服务对象满意度指标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家长满意度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w:t>
            </w:r>
            <w:r>
              <w:rPr>
                <w:rFonts w:hint="default" w:ascii="等线" w:hAnsi="等线" w:eastAsia="等线" w:cs="等线"/>
                <w:i w:val="0"/>
                <w:iCs w:val="0"/>
                <w:color w:val="000000"/>
                <w:kern w:val="0"/>
                <w:sz w:val="18"/>
                <w:szCs w:val="18"/>
                <w:u w:val="none"/>
                <w:lang w:val="en-US" w:eastAsia="zh-CN" w:bidi="ar"/>
              </w:rPr>
              <w:t>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val="en-US" w:eastAsia="zh-CN"/>
              </w:rPr>
            </w:pPr>
            <w:r>
              <w:rPr>
                <w:rFonts w:hint="eastAsia" w:ascii="等线" w:hAnsi="等线" w:eastAsia="等线" w:cs="等线"/>
                <w:i w:val="0"/>
                <w:iCs w:val="0"/>
                <w:color w:val="000000"/>
                <w:kern w:val="0"/>
                <w:sz w:val="18"/>
                <w:szCs w:val="18"/>
                <w:u w:val="none"/>
                <w:lang w:val="en-US" w:eastAsia="zh-CN" w:bidi="ar"/>
              </w:rPr>
              <w:t>20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5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40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学校自评分为98分，</w:t>
            </w:r>
            <w:r>
              <w:rPr>
                <w:rFonts w:hint="eastAsia" w:ascii="宋体" w:hAnsi="宋体" w:cs="宋体"/>
                <w:i w:val="0"/>
                <w:iCs w:val="0"/>
                <w:color w:val="000000"/>
                <w:sz w:val="18"/>
                <w:szCs w:val="18"/>
                <w:u w:val="none"/>
                <w:lang w:val="en-US" w:eastAsia="zh-CN"/>
              </w:rPr>
              <w:t>完成班班通信息化建设，让教师能更好地利用信息化设备进行教育教学工作，多元化的教学设备也让学生对学习产生更加浓厚的兴趣，促进学生更主动学习！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0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电子设备的引进让教学更加丰富多彩，但是长时间的使用对学生视力会造成一定影响。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02"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097"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能引进更多的护眼设备，帮助学生能更健康的使用电子产品。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89" w:type="pct"/>
            <w:gridSpan w:val="6"/>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sz w:val="18"/>
                <w:szCs w:val="18"/>
                <w:u w:val="none"/>
                <w:lang w:val="en-US" w:eastAsia="zh-CN"/>
              </w:rPr>
            </w:pPr>
            <w:r>
              <w:rPr>
                <w:rFonts w:hint="eastAsia" w:ascii="黑体" w:hAnsi="黑体" w:eastAsia="黑体" w:cs="黑体"/>
                <w:i w:val="0"/>
                <w:iCs w:val="0"/>
                <w:color w:val="000000"/>
                <w:kern w:val="0"/>
                <w:sz w:val="18"/>
                <w:szCs w:val="18"/>
                <w:u w:val="none"/>
                <w:lang w:val="en-US" w:eastAsia="zh-CN" w:bidi="ar"/>
              </w:rPr>
              <w:t xml:space="preserve">项目负责人： 黎陶                                            </w:t>
            </w:r>
          </w:p>
        </w:tc>
        <w:tc>
          <w:tcPr>
            <w:tcW w:w="2610" w:type="pct"/>
            <w:gridSpan w:val="6"/>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财务负责人：唐果</w:t>
            </w:r>
          </w:p>
        </w:tc>
      </w:tr>
    </w:tbl>
    <w:p>
      <w:pPr>
        <w:pStyle w:val="6"/>
        <w:rPr>
          <w:rFonts w:hint="eastAsi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757"/>
        <w:gridCol w:w="757"/>
        <w:gridCol w:w="757"/>
        <w:gridCol w:w="757"/>
        <w:gridCol w:w="370"/>
        <w:gridCol w:w="387"/>
        <w:gridCol w:w="767"/>
        <w:gridCol w:w="711"/>
        <w:gridCol w:w="586"/>
        <w:gridCol w:w="585"/>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51090322T000005897025-四类学生课后服务补助经费（乡村振兴）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417"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减免四类学生课后服务收费；对四类学生课后服务补助经费按规定使用，保证四类学生同其他学生同等享受正常的课后延时服务</w:t>
            </w:r>
          </w:p>
        </w:tc>
        <w:tc>
          <w:tcPr>
            <w:tcW w:w="18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已按规定完成年度目标。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我校在期初摸排核实四类学生并上报教体局审核，并减免四类学生课后服务收费。对四类学生课后服务补助经费（乡村振兴）在规定的时限内进行了合理使用。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13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13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4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38" w:type="pct"/>
            <w:gridSpan w:val="4"/>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1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2023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实施期计划任务完成率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保障学生安全比例</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可持续性</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57" w:type="pct"/>
            <w:gridSpan w:val="11"/>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四类学生课后服务补助经费（乡村振兴）具有明显的社会效益，能很</w:t>
            </w:r>
            <w:r>
              <w:rPr>
                <w:rFonts w:hint="eastAsia" w:ascii="宋体" w:hAnsi="宋体" w:cs="宋体"/>
                <w:i w:val="0"/>
                <w:iCs w:val="0"/>
                <w:color w:val="000000"/>
                <w:kern w:val="0"/>
                <w:sz w:val="18"/>
                <w:szCs w:val="18"/>
                <w:u w:val="none"/>
                <w:lang w:val="en-US" w:eastAsia="zh-CN" w:bidi="ar"/>
              </w:rPr>
              <w:t>好地维护</w:t>
            </w:r>
            <w:r>
              <w:rPr>
                <w:rFonts w:ascii="宋体" w:hAnsi="宋体" w:eastAsia="宋体" w:cs="宋体"/>
                <w:i w:val="0"/>
                <w:iCs w:val="0"/>
                <w:color w:val="000000"/>
                <w:kern w:val="0"/>
                <w:sz w:val="18"/>
                <w:szCs w:val="18"/>
                <w:u w:val="none"/>
                <w:lang w:val="en-US" w:eastAsia="zh-CN" w:bidi="ar"/>
              </w:rPr>
              <w:t>四类学生家庭的经济稳步增长，让学生能</w:t>
            </w:r>
            <w:r>
              <w:rPr>
                <w:rFonts w:hint="eastAsia" w:ascii="宋体" w:hAnsi="宋体" w:cs="宋体"/>
                <w:i w:val="0"/>
                <w:iCs w:val="0"/>
                <w:color w:val="000000"/>
                <w:kern w:val="0"/>
                <w:sz w:val="18"/>
                <w:szCs w:val="18"/>
                <w:u w:val="none"/>
                <w:lang w:val="en-US" w:eastAsia="zh-CN" w:bidi="ar"/>
              </w:rPr>
              <w:t>更好地接受</w:t>
            </w:r>
            <w:r>
              <w:rPr>
                <w:rFonts w:ascii="宋体" w:hAnsi="宋体" w:eastAsia="宋体" w:cs="宋体"/>
                <w:i w:val="0"/>
                <w:iCs w:val="0"/>
                <w:color w:val="000000"/>
                <w:kern w:val="0"/>
                <w:sz w:val="18"/>
                <w:szCs w:val="18"/>
                <w:u w:val="none"/>
                <w:lang w:val="en-US" w:eastAsia="zh-CN" w:bidi="ar"/>
              </w:rPr>
              <w:t>课后服务，对学生的成长具有持续性的帮助。为了提高预算资金的使用效率，我校对四类学生认真严格排查，应补尽补，让财政资金用到实处、用到关键点。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57" w:type="pct"/>
            <w:gridSpan w:val="11"/>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校摸排属于原建档立卡家庭、农村低保、残疾儿童、特困供养等四类学生，对于这部分学生实行免费，由地方财政补贴的方式进行课后服务。该项目是政府财政资金支持，具有可持续性实施的条件。但学校每年9月为新学期，每年9月至次年7月为完整的一学年，但预算及财务以自然年为一年，导致每次预算四类人员不够精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57" w:type="pct"/>
            <w:gridSpan w:val="11"/>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全面掌握学校六年级四类儿童人员情况，并加强对片区适龄儿童的了解，争取预算数量做到误差最小化。</w:t>
            </w:r>
          </w:p>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36" w:type="pct"/>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 xml:space="preserve">项目负责人：黎陶 </w:t>
            </w:r>
          </w:p>
        </w:tc>
        <w:tc>
          <w:tcPr>
            <w:tcW w:w="2563" w:type="pct"/>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 xml:space="preserve">财务负责人：唐果  </w:t>
            </w:r>
          </w:p>
        </w:tc>
      </w:tr>
    </w:tbl>
    <w:tbl>
      <w:tblPr>
        <w:tblStyle w:val="14"/>
        <w:tblpPr w:leftFromText="180" w:rightFromText="180" w:vertAnchor="text" w:horzAnchor="page" w:tblpX="1662" w:tblpY="782"/>
        <w:tblOverlap w:val="never"/>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124"/>
        <w:gridCol w:w="985"/>
        <w:gridCol w:w="1245"/>
        <w:gridCol w:w="396"/>
        <w:gridCol w:w="957"/>
        <w:gridCol w:w="396"/>
        <w:gridCol w:w="846"/>
        <w:gridCol w:w="486"/>
        <w:gridCol w:w="396"/>
        <w:gridCol w:w="1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882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2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51090324T000010564984-安全事件赔偿资金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3"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7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846" w:type="dxa"/>
            <w:tcBorders>
              <w:top w:val="nil"/>
              <w:left w:val="nil"/>
              <w:bottom w:val="nil"/>
              <w:right w:val="nil"/>
            </w:tcBorders>
            <w:noWrap w:val="0"/>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四川省遂宁市船山区永兴镇小学校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4"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7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4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397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在经费的使用上，做到专款专用，保障赔偿资金及时发放到位。保障了伤害事故的处理应当及时、公正、合法，做到事实清楚、责任明确、处理得当。</w:t>
            </w:r>
          </w:p>
        </w:tc>
        <w:tc>
          <w:tcPr>
            <w:tcW w:w="314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在经费的使用上，做到专款专用，保障赔偿资金及时发放到位。保障了伤害事故的处理应当及时、公正、合法，做到事实清楚、责任明确、处理得当。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20"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13"/>
              <w:widowControl/>
              <w:spacing w:before="150" w:after="150" w:line="20" w:lineRule="atLeast"/>
              <w:jc w:val="left"/>
              <w:textAlignment w:val="baseline"/>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遂船财预【2023】5498号文件要求和区教体局的相关文件对“安全事件赔偿资金”项目资金合理编制项目预算、按程序完成预算申报，监督项目的实施情况。为规范使用资金我校按照相关财务管理制度进行资金管理和拨付，实行专款专用，专账核算。</w:t>
            </w:r>
          </w:p>
          <w:p>
            <w:pPr>
              <w:rPr>
                <w:rFonts w:hint="default" w:ascii="宋体" w:hAnsi="宋体" w:eastAsia="宋体" w:cs="宋体"/>
                <w:i w:val="0"/>
                <w:iCs w:val="0"/>
                <w:color w:val="000000"/>
                <w:sz w:val="18"/>
                <w:szCs w:val="18"/>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9"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35.00</w:t>
            </w: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35.00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35.00</w:t>
            </w: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35.00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74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安全事件赔偿资金完成比例</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资金支付准确率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及时支付赔偿金</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经济效益好</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社会大众对安全事件赔偿事项的满意度</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赔偿总金额</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35</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52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4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kern w:val="0"/>
                <w:sz w:val="16"/>
                <w:szCs w:val="16"/>
                <w:u w:val="none"/>
                <w:lang w:val="en-US" w:eastAsia="zh-CN" w:bidi="ar"/>
              </w:rPr>
              <w:t>项目资金全部用于保障安全事件人员经费赔偿，未截留或挪作他用，并严格执行政府会计制度和各单位制度内部控制制度，账务处理相对及时，会计核算非常规范。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w:t>
            </w:r>
            <w:bookmarkStart w:id="95" w:name="_GoBack"/>
            <w:bookmarkEnd w:id="95"/>
            <w:r>
              <w:rPr>
                <w:rFonts w:ascii="宋体" w:hAnsi="宋体" w:eastAsia="宋体" w:cs="宋体"/>
                <w:i w:val="0"/>
                <w:iCs w:val="0"/>
                <w:color w:val="000000"/>
                <w:kern w:val="0"/>
                <w:sz w:val="18"/>
                <w:szCs w:val="18"/>
                <w:u w:val="none"/>
                <w:lang w:val="en-US" w:eastAsia="zh-CN" w:bidi="ar"/>
              </w:rPr>
              <w:t>题</w:t>
            </w:r>
          </w:p>
        </w:tc>
        <w:tc>
          <w:tcPr>
            <w:tcW w:w="824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kern w:val="0"/>
                <w:sz w:val="16"/>
                <w:szCs w:val="16"/>
                <w:u w:val="none"/>
                <w:lang w:val="en-US" w:eastAsia="zh-CN" w:bidi="ar"/>
              </w:rPr>
              <w:t>教育教学活动提供场所、设施的单位和个人，应当健全各项安全保障措施。活动场所和设施应当符合国家和本市的安全标准，应加强安全检查。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4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4" w:hRule="atLeast"/>
        </w:trPr>
        <w:tc>
          <w:tcPr>
            <w:tcW w:w="432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项目负责人：黎陶 </w:t>
            </w:r>
          </w:p>
        </w:tc>
        <w:tc>
          <w:tcPr>
            <w:tcW w:w="449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财务负责人：唐果  </w:t>
            </w:r>
          </w:p>
        </w:tc>
      </w:tr>
    </w:tbl>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Style w:val="26"/>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91"/>
      <w:bookmarkEnd w:id="93"/>
      <w:bookmarkEnd w:id="94"/>
    </w:p>
    <w:p>
      <w:pPr>
        <w:pStyle w:val="6"/>
        <w:rPr>
          <w:rFonts w:hint="eastAsia"/>
          <w:lang w:eastAsia="zh-CN"/>
        </w:rPr>
      </w:pPr>
      <w:r>
        <w:rPr>
          <w:rFonts w:hint="eastAsia"/>
          <w:lang w:eastAsia="zh-CN"/>
        </w:rPr>
        <w:t>一、收入支出决算总表</w:t>
      </w:r>
    </w:p>
    <w:p>
      <w:pPr>
        <w:pStyle w:val="6"/>
        <w:rPr>
          <w:rFonts w:hint="eastAsia"/>
          <w:lang w:eastAsia="zh-CN"/>
        </w:rPr>
      </w:pPr>
      <w:r>
        <w:rPr>
          <w:rFonts w:hint="eastAsia"/>
          <w:lang w:eastAsia="zh-CN"/>
        </w:rPr>
        <w:t>二、收入决算表</w:t>
      </w:r>
    </w:p>
    <w:p>
      <w:pPr>
        <w:pStyle w:val="6"/>
        <w:rPr>
          <w:rFonts w:hint="eastAsia"/>
          <w:lang w:eastAsia="zh-CN"/>
        </w:rPr>
      </w:pPr>
      <w:r>
        <w:rPr>
          <w:rFonts w:hint="eastAsia"/>
          <w:lang w:eastAsia="zh-CN"/>
        </w:rPr>
        <w:t>三、支出决算表</w:t>
      </w:r>
    </w:p>
    <w:p>
      <w:pPr>
        <w:pStyle w:val="6"/>
        <w:rPr>
          <w:rFonts w:hint="eastAsia"/>
          <w:lang w:eastAsia="zh-CN"/>
        </w:rPr>
      </w:pPr>
      <w:r>
        <w:rPr>
          <w:rFonts w:hint="eastAsia"/>
          <w:lang w:eastAsia="zh-CN"/>
        </w:rPr>
        <w:t>四、财政拨款收入支出决算总表</w:t>
      </w:r>
    </w:p>
    <w:p>
      <w:pPr>
        <w:pStyle w:val="6"/>
        <w:rPr>
          <w:rFonts w:hint="eastAsia"/>
          <w:lang w:eastAsia="zh-CN"/>
        </w:rPr>
      </w:pPr>
      <w:r>
        <w:rPr>
          <w:rFonts w:hint="eastAsia"/>
          <w:lang w:eastAsia="zh-CN"/>
        </w:rPr>
        <w:t>五、财政拨款支出决算明细表</w:t>
      </w:r>
    </w:p>
    <w:p>
      <w:pPr>
        <w:pStyle w:val="6"/>
        <w:rPr>
          <w:rFonts w:hint="eastAsia"/>
          <w:lang w:eastAsia="zh-CN"/>
        </w:rPr>
      </w:pPr>
      <w:r>
        <w:rPr>
          <w:rFonts w:hint="eastAsia"/>
          <w:lang w:eastAsia="zh-CN"/>
        </w:rPr>
        <w:t>六、一般公共预算财政拨款支出决算表</w:t>
      </w:r>
    </w:p>
    <w:p>
      <w:pPr>
        <w:pStyle w:val="6"/>
        <w:rPr>
          <w:rFonts w:hint="eastAsia"/>
          <w:lang w:eastAsia="zh-CN"/>
        </w:rPr>
      </w:pPr>
      <w:r>
        <w:rPr>
          <w:rFonts w:hint="eastAsia"/>
          <w:lang w:eastAsia="zh-CN"/>
        </w:rPr>
        <w:t>七、一般公共预算财政拨款支出决算明细表</w:t>
      </w:r>
    </w:p>
    <w:p>
      <w:pPr>
        <w:pStyle w:val="6"/>
        <w:rPr>
          <w:rFonts w:hint="eastAsia"/>
          <w:lang w:eastAsia="zh-CN"/>
        </w:rPr>
      </w:pPr>
      <w:r>
        <w:rPr>
          <w:rFonts w:hint="eastAsia"/>
          <w:lang w:eastAsia="zh-CN"/>
        </w:rPr>
        <w:t>八、一般公共预算财政拨款基本支出决算表</w:t>
      </w:r>
    </w:p>
    <w:p>
      <w:pPr>
        <w:pStyle w:val="6"/>
        <w:rPr>
          <w:rFonts w:hint="eastAsia"/>
          <w:lang w:eastAsia="zh-CN"/>
        </w:rPr>
      </w:pPr>
      <w:r>
        <w:rPr>
          <w:rFonts w:hint="eastAsia"/>
          <w:lang w:eastAsia="zh-CN"/>
        </w:rPr>
        <w:t>九、一般公共预算财政拨款项目支出决算表</w:t>
      </w:r>
    </w:p>
    <w:p>
      <w:pPr>
        <w:pStyle w:val="6"/>
        <w:rPr>
          <w:rFonts w:hint="eastAsia"/>
          <w:lang w:eastAsia="zh-CN"/>
        </w:rPr>
      </w:pPr>
      <w:r>
        <w:rPr>
          <w:rFonts w:hint="eastAsia"/>
          <w:lang w:eastAsia="zh-CN"/>
        </w:rPr>
        <w:t>十、政府性基金预算财政拨款收入支出决算表</w:t>
      </w:r>
    </w:p>
    <w:p>
      <w:pPr>
        <w:pStyle w:val="6"/>
        <w:rPr>
          <w:rFonts w:hint="eastAsia"/>
          <w:lang w:eastAsia="zh-CN"/>
        </w:rPr>
      </w:pPr>
      <w:r>
        <w:rPr>
          <w:rFonts w:hint="eastAsia"/>
          <w:lang w:eastAsia="zh-CN"/>
        </w:rPr>
        <w:t>十一、国有资本经营预算财政拨款收入支出决算表</w:t>
      </w:r>
    </w:p>
    <w:p>
      <w:pPr>
        <w:pStyle w:val="6"/>
        <w:rPr>
          <w:rFonts w:hint="eastAsia"/>
          <w:lang w:eastAsia="zh-CN"/>
        </w:rPr>
      </w:pPr>
      <w:r>
        <w:rPr>
          <w:rFonts w:hint="eastAsia"/>
          <w:lang w:eastAsia="zh-CN"/>
        </w:rPr>
        <w:t>十二、国有资本经营预算财政拨款支出决算表</w:t>
      </w:r>
    </w:p>
    <w:p>
      <w:pPr>
        <w:pStyle w:val="6"/>
        <w:rPr>
          <w:rFonts w:hint="eastAsia"/>
          <w:lang w:eastAsia="zh-CN"/>
        </w:rPr>
      </w:pPr>
      <w:r>
        <w:rPr>
          <w:rFonts w:hint="eastAsia"/>
          <w:lang w:eastAsia="zh-CN"/>
        </w:rPr>
        <w:t>十三、财政拨款“三公”经费支出决算表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YmQzOTAzNTQyOWVhYWIxNGRkMzA3N2FhYjMwYT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7F15"/>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D3B61"/>
    <w:rsid w:val="03522419"/>
    <w:rsid w:val="053A62B5"/>
    <w:rsid w:val="06113EC5"/>
    <w:rsid w:val="07681B0D"/>
    <w:rsid w:val="077706A0"/>
    <w:rsid w:val="08365F2D"/>
    <w:rsid w:val="0A2032A3"/>
    <w:rsid w:val="0A702D57"/>
    <w:rsid w:val="0B1B6BE8"/>
    <w:rsid w:val="0B8A37D8"/>
    <w:rsid w:val="0B9A2BAF"/>
    <w:rsid w:val="0D51729D"/>
    <w:rsid w:val="0E15737D"/>
    <w:rsid w:val="0F517A28"/>
    <w:rsid w:val="0F697E5D"/>
    <w:rsid w:val="10C055FF"/>
    <w:rsid w:val="118107EC"/>
    <w:rsid w:val="11BF1FB9"/>
    <w:rsid w:val="11DD6519"/>
    <w:rsid w:val="13FD2A34"/>
    <w:rsid w:val="145C30F7"/>
    <w:rsid w:val="155618F4"/>
    <w:rsid w:val="164125E1"/>
    <w:rsid w:val="16BB723D"/>
    <w:rsid w:val="17AE3C6A"/>
    <w:rsid w:val="18015F3F"/>
    <w:rsid w:val="1807334B"/>
    <w:rsid w:val="18702CCD"/>
    <w:rsid w:val="19856C4C"/>
    <w:rsid w:val="1A613727"/>
    <w:rsid w:val="1ACA152A"/>
    <w:rsid w:val="1BE8440E"/>
    <w:rsid w:val="1C984EE8"/>
    <w:rsid w:val="1D155CEE"/>
    <w:rsid w:val="1D2B651A"/>
    <w:rsid w:val="1D94078C"/>
    <w:rsid w:val="1E39216F"/>
    <w:rsid w:val="1F6B1D6F"/>
    <w:rsid w:val="1FB57B5F"/>
    <w:rsid w:val="1FCD6AB7"/>
    <w:rsid w:val="208714FC"/>
    <w:rsid w:val="20F57F95"/>
    <w:rsid w:val="223E1FBA"/>
    <w:rsid w:val="23E67BC6"/>
    <w:rsid w:val="240371BF"/>
    <w:rsid w:val="25711CC6"/>
    <w:rsid w:val="25861D82"/>
    <w:rsid w:val="25C741E6"/>
    <w:rsid w:val="27842671"/>
    <w:rsid w:val="27DA4607"/>
    <w:rsid w:val="28545699"/>
    <w:rsid w:val="29AF73CD"/>
    <w:rsid w:val="29FD04D3"/>
    <w:rsid w:val="2A5A4061"/>
    <w:rsid w:val="2AB63B31"/>
    <w:rsid w:val="2ABE7A3E"/>
    <w:rsid w:val="2AF33E71"/>
    <w:rsid w:val="2BA56CDA"/>
    <w:rsid w:val="2BCC698E"/>
    <w:rsid w:val="2BFC0FF0"/>
    <w:rsid w:val="2CA234A8"/>
    <w:rsid w:val="2CDD4252"/>
    <w:rsid w:val="2DF844E8"/>
    <w:rsid w:val="2E8C76CD"/>
    <w:rsid w:val="2EF83961"/>
    <w:rsid w:val="2EFA178C"/>
    <w:rsid w:val="30B46D73"/>
    <w:rsid w:val="319F7F4E"/>
    <w:rsid w:val="333200D0"/>
    <w:rsid w:val="34D06958"/>
    <w:rsid w:val="34D554EB"/>
    <w:rsid w:val="370C1266"/>
    <w:rsid w:val="377952C6"/>
    <w:rsid w:val="383365D2"/>
    <w:rsid w:val="383D272C"/>
    <w:rsid w:val="38CD161E"/>
    <w:rsid w:val="392C554C"/>
    <w:rsid w:val="39AE70AB"/>
    <w:rsid w:val="3BD258C9"/>
    <w:rsid w:val="3C0C0783"/>
    <w:rsid w:val="3DA076FA"/>
    <w:rsid w:val="3F9F3A96"/>
    <w:rsid w:val="424741EF"/>
    <w:rsid w:val="430622A6"/>
    <w:rsid w:val="43326C4D"/>
    <w:rsid w:val="43993FC4"/>
    <w:rsid w:val="441A2AB3"/>
    <w:rsid w:val="4450382F"/>
    <w:rsid w:val="44C262DC"/>
    <w:rsid w:val="460C0E2E"/>
    <w:rsid w:val="48BF60AB"/>
    <w:rsid w:val="491E592A"/>
    <w:rsid w:val="493C27E9"/>
    <w:rsid w:val="496F39ED"/>
    <w:rsid w:val="49FF41D3"/>
    <w:rsid w:val="4B35697C"/>
    <w:rsid w:val="4BA40904"/>
    <w:rsid w:val="4BE068DB"/>
    <w:rsid w:val="4BF6002B"/>
    <w:rsid w:val="4C535300"/>
    <w:rsid w:val="4D6D12C4"/>
    <w:rsid w:val="4DD252B5"/>
    <w:rsid w:val="4E894C0E"/>
    <w:rsid w:val="4EB64B97"/>
    <w:rsid w:val="4ECE2238"/>
    <w:rsid w:val="4F9361EE"/>
    <w:rsid w:val="512272B5"/>
    <w:rsid w:val="51DB4B86"/>
    <w:rsid w:val="53135352"/>
    <w:rsid w:val="53804BC8"/>
    <w:rsid w:val="55333C3E"/>
    <w:rsid w:val="56B43355"/>
    <w:rsid w:val="56B551B5"/>
    <w:rsid w:val="56DE2F1C"/>
    <w:rsid w:val="570C75BA"/>
    <w:rsid w:val="5B3C59EB"/>
    <w:rsid w:val="5B491F2D"/>
    <w:rsid w:val="5C2515ED"/>
    <w:rsid w:val="5C757080"/>
    <w:rsid w:val="5CA72E64"/>
    <w:rsid w:val="5D4F6EE9"/>
    <w:rsid w:val="5EB55E19"/>
    <w:rsid w:val="5FB05672"/>
    <w:rsid w:val="600734E4"/>
    <w:rsid w:val="612E30A3"/>
    <w:rsid w:val="62B76D7B"/>
    <w:rsid w:val="64CA39A1"/>
    <w:rsid w:val="65D66924"/>
    <w:rsid w:val="670F7122"/>
    <w:rsid w:val="69630ADE"/>
    <w:rsid w:val="699055B0"/>
    <w:rsid w:val="6B41454C"/>
    <w:rsid w:val="6C4A05C8"/>
    <w:rsid w:val="6C6A7F6F"/>
    <w:rsid w:val="6D3B1A89"/>
    <w:rsid w:val="6DCB0253"/>
    <w:rsid w:val="6F1B4D4E"/>
    <w:rsid w:val="705F785C"/>
    <w:rsid w:val="70B17136"/>
    <w:rsid w:val="71BE2CD4"/>
    <w:rsid w:val="71BE5612"/>
    <w:rsid w:val="71BF4EC2"/>
    <w:rsid w:val="72012E1C"/>
    <w:rsid w:val="72734D90"/>
    <w:rsid w:val="72FC67AC"/>
    <w:rsid w:val="7412278C"/>
    <w:rsid w:val="74CA4542"/>
    <w:rsid w:val="758B5D12"/>
    <w:rsid w:val="76AA46F5"/>
    <w:rsid w:val="775B2F0E"/>
    <w:rsid w:val="77B401C3"/>
    <w:rsid w:val="795B1F52"/>
    <w:rsid w:val="79E7B28D"/>
    <w:rsid w:val="7B762A49"/>
    <w:rsid w:val="7BC053F6"/>
    <w:rsid w:val="7C632DBE"/>
    <w:rsid w:val="7C8909CB"/>
    <w:rsid w:val="7CAC1243"/>
    <w:rsid w:val="7D60738D"/>
    <w:rsid w:val="7F02459B"/>
    <w:rsid w:val="7F6846AF"/>
    <w:rsid w:val="7F9F20EE"/>
    <w:rsid w:val="7FCC649B"/>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rPr>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6403</Words>
  <Characters>7172</Characters>
  <Lines>61</Lines>
  <Paragraphs>17</Paragraphs>
  <TotalTime>16</TotalTime>
  <ScaleCrop>false</ScaleCrop>
  <LinksUpToDate>false</LinksUpToDate>
  <CharactersWithSpaces>7368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2024-09-24T07:47:33Z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F50BD89482A649B7ADA36003F347317C</vt:lpwstr>
  </property>
</Properties>
</file>