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黑体" w:hAnsi="黑体" w:eastAsia="黑体" w:cs="黑体"/>
          <w:color w:val="auto"/>
          <w:sz w:val="72"/>
          <w:szCs w:val="72"/>
          <w:highlight w:val="none"/>
          <w:lang w:eastAsia="zh-CN"/>
        </w:rPr>
      </w:pPr>
      <w:bookmarkStart w:id="0" w:name="_Toc15378441"/>
      <w:bookmarkStart w:id="1" w:name="_Toc15396597"/>
      <w:bookmarkStart w:id="2" w:name="_Toc15377425"/>
      <w:bookmarkStart w:id="3" w:name="_Toc15377193"/>
      <w:bookmarkStart w:id="4" w:name="_Toc15396475"/>
      <w:bookmarkStart w:id="5" w:name="_Toc3651"/>
    </w:p>
    <w:p>
      <w:pPr>
        <w:adjustRightInd w:val="0"/>
        <w:snapToGrid w:val="0"/>
        <w:spacing w:line="360" w:lineRule="auto"/>
        <w:jc w:val="center"/>
        <w:outlineLvl w:val="0"/>
        <w:rPr>
          <w:rFonts w:hint="eastAsia" w:ascii="黑体" w:hAnsi="黑体" w:eastAsia="黑体" w:cs="黑体"/>
          <w:color w:val="auto"/>
          <w:sz w:val="72"/>
          <w:szCs w:val="72"/>
          <w:highlight w:val="none"/>
          <w:lang w:eastAsia="zh-CN"/>
        </w:rPr>
      </w:pPr>
    </w:p>
    <w:p>
      <w:pPr>
        <w:adjustRightInd w:val="0"/>
        <w:snapToGrid w:val="0"/>
        <w:spacing w:line="360" w:lineRule="auto"/>
        <w:jc w:val="center"/>
        <w:outlineLvl w:val="0"/>
        <w:rPr>
          <w:rFonts w:hint="eastAsia" w:ascii="黑体" w:hAnsi="黑体" w:eastAsia="黑体" w:cs="黑体"/>
          <w:color w:val="auto"/>
          <w:sz w:val="48"/>
          <w:szCs w:val="48"/>
          <w:highlight w:val="none"/>
        </w:rPr>
      </w:pPr>
      <w:bookmarkStart w:id="6" w:name="OLE_LINK1"/>
      <w:r>
        <w:rPr>
          <w:rFonts w:hint="eastAsia" w:ascii="黑体" w:hAnsi="黑体" w:eastAsia="黑体" w:cs="黑体"/>
          <w:color w:val="auto"/>
          <w:sz w:val="48"/>
          <w:szCs w:val="48"/>
          <w:highlight w:val="none"/>
          <w:lang w:eastAsia="zh-CN"/>
        </w:rPr>
        <w:t>2023</w:t>
      </w:r>
      <w:r>
        <w:rPr>
          <w:rFonts w:hint="eastAsia" w:ascii="黑体" w:hAnsi="黑体" w:eastAsia="黑体" w:cs="黑体"/>
          <w:color w:val="auto"/>
          <w:sz w:val="48"/>
          <w:szCs w:val="48"/>
          <w:highlight w:val="none"/>
        </w:rPr>
        <w:t>年度</w:t>
      </w:r>
      <w:bookmarkEnd w:id="0"/>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5396476"/>
      <w:bookmarkStart w:id="9" w:name="_Toc15378442"/>
      <w:bookmarkStart w:id="10" w:name="_Toc2151"/>
      <w:bookmarkStart w:id="11" w:name="_Toc15396598"/>
      <w:bookmarkStart w:id="12" w:name="_Toc15377426"/>
      <w:r>
        <w:rPr>
          <w:rFonts w:hint="eastAsia" w:ascii="黑体" w:hAnsi="黑体" w:eastAsia="黑体" w:cs="黑体"/>
          <w:color w:val="auto"/>
          <w:sz w:val="48"/>
          <w:szCs w:val="48"/>
          <w:highlight w:val="none"/>
        </w:rPr>
        <w:t>四川省</w:t>
      </w:r>
      <w:bookmarkStart w:id="13" w:name="_Toc15306268"/>
      <w:r>
        <w:rPr>
          <w:rFonts w:hint="eastAsia" w:ascii="黑体" w:hAnsi="黑体" w:eastAsia="黑体" w:cs="黑体"/>
          <w:color w:val="auto"/>
          <w:sz w:val="48"/>
          <w:szCs w:val="48"/>
          <w:highlight w:val="none"/>
          <w:lang w:eastAsia="zh-CN"/>
        </w:rPr>
        <w:t>遂宁市船山区</w:t>
      </w:r>
      <w:r>
        <w:rPr>
          <w:rFonts w:hint="eastAsia" w:ascii="黑体" w:hAnsi="黑体" w:eastAsia="黑体" w:cs="黑体"/>
          <w:color w:val="auto"/>
          <w:sz w:val="48"/>
          <w:szCs w:val="48"/>
          <w:highlight w:val="none"/>
          <w:lang w:val="en-US" w:eastAsia="zh-CN"/>
        </w:rPr>
        <w:t>河沙镇初级中学校</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w:t>
      </w:r>
      <w:bookmarkEnd w:id="6"/>
      <w:bookmarkEnd w:id="7"/>
      <w:bookmarkEnd w:id="8"/>
      <w:bookmarkEnd w:id="9"/>
      <w:bookmarkEnd w:id="10"/>
      <w:bookmarkEnd w:id="11"/>
      <w:bookmarkEnd w:id="12"/>
      <w:bookmarkEnd w:id="13"/>
    </w:p>
    <w:p>
      <w:pPr>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jc w:val="center"/>
        <w:rPr>
          <w:rFonts w:hint="default" w:eastAsia="宋体"/>
          <w:lang w:val="en-US" w:eastAsia="zh-CN"/>
        </w:rPr>
      </w:pPr>
      <w:r>
        <w:rPr>
          <w:rFonts w:hint="eastAsia" w:ascii="黑体" w:hAnsi="黑体" w:eastAsia="黑体" w:cstheme="minorBidi"/>
          <w:color w:val="auto"/>
          <w:sz w:val="28"/>
          <w:szCs w:val="28"/>
          <w:highlight w:val="none"/>
          <w:lang w:val="en-US" w:eastAsia="zh-CN"/>
        </w:rPr>
        <w:t xml:space="preserve"> </w:t>
      </w:r>
      <w:r>
        <w:rPr>
          <w:rFonts w:hint="eastAsia" w:ascii="黑体" w:hAnsi="黑体" w:eastAsia="黑体" w:cstheme="minorBidi"/>
          <w:color w:val="auto"/>
          <w:sz w:val="28"/>
          <w:szCs w:val="28"/>
          <w:highlight w:val="none"/>
          <w:lang w:val="en-US" w:eastAsia="zh-CN"/>
        </w:rPr>
        <w:tab/>
      </w:r>
      <w:r>
        <w:rPr>
          <w:rFonts w:hint="eastAsia" w:ascii="仿宋_GB2312" w:eastAsia="仿宋_GB2312" w:cs="Times New Roman"/>
          <w:color w:val="auto"/>
          <w:sz w:val="32"/>
          <w:szCs w:val="32"/>
          <w:highlight w:val="none"/>
          <w:lang w:val="en-US" w:eastAsia="zh-CN"/>
        </w:rPr>
        <w:t>公开时间：2024年9月11日</w:t>
      </w:r>
    </w:p>
    <w:p>
      <w:pPr>
        <w:rPr>
          <w:color w:val="auto"/>
          <w:highlight w:val="none"/>
        </w:rPr>
      </w:pPr>
    </w:p>
    <w:sdt>
      <w:sdtPr>
        <w:rPr>
          <w:rFonts w:ascii="宋体" w:hAnsi="宋体" w:eastAsia="宋体" w:cs="Times New Roman"/>
          <w:kern w:val="2"/>
          <w:sz w:val="21"/>
          <w:szCs w:val="24"/>
          <w:lang w:val="en-US" w:eastAsia="zh-CN" w:bidi="ar-SA"/>
        </w:rPr>
        <w:id w:val="147470715"/>
        <w15:color w:val="DBDBDB"/>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rPr>
          </w:pPr>
          <w:bookmarkStart w:id="14" w:name="_Toc15396599"/>
          <w:bookmarkStart w:id="15" w:name="_Toc15377196"/>
          <w:r>
            <w:fldChar w:fldCharType="begin"/>
          </w:r>
          <w:r>
            <w:instrText xml:space="preserve">TOC \o "1-2" \h \u </w:instrText>
          </w:r>
          <w:r>
            <w:fldChar w:fldCharType="separate"/>
          </w:r>
        </w:p>
        <w:p>
          <w:pPr>
            <w:pStyle w:val="33"/>
            <w:tabs>
              <w:tab w:val="right" w:leader="dot" w:pos="8306"/>
            </w:tabs>
            <w:rPr>
              <w:rFonts w:hint="eastAsia" w:ascii="方正仿宋_GB2312" w:hAnsi="方正仿宋_GB2312" w:eastAsia="方正仿宋_GB2312" w:cs="方正仿宋_GB2312"/>
              <w:b/>
              <w:sz w:val="22"/>
              <w:szCs w:val="22"/>
            </w:rPr>
          </w:pP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HYPERLINK \l _Toc30640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highlight w:val="none"/>
            </w:rPr>
            <w:t xml:space="preserve">第一部分 </w:t>
          </w:r>
          <w:r>
            <w:rPr>
              <w:rFonts w:hint="eastAsia" w:ascii="方正仿宋_GB2312" w:hAnsi="方正仿宋_GB2312" w:eastAsia="方正仿宋_GB2312" w:cs="方正仿宋_GB2312"/>
              <w:b/>
              <w:sz w:val="22"/>
              <w:szCs w:val="22"/>
              <w:highlight w:val="none"/>
              <w:lang w:eastAsia="zh-CN"/>
            </w:rPr>
            <w:t>单位</w:t>
          </w:r>
          <w:r>
            <w:rPr>
              <w:rFonts w:hint="eastAsia" w:ascii="方正仿宋_GB2312" w:hAnsi="方正仿宋_GB2312" w:eastAsia="方正仿宋_GB2312" w:cs="方正仿宋_GB2312"/>
              <w:b/>
              <w:bCs w:val="0"/>
              <w:sz w:val="22"/>
              <w:szCs w:val="22"/>
              <w:highlight w:val="none"/>
            </w:rPr>
            <w:t>概况</w:t>
          </w:r>
          <w:r>
            <w:rPr>
              <w:rFonts w:hint="eastAsia" w:ascii="方正仿宋_GB2312" w:hAnsi="方正仿宋_GB2312" w:eastAsia="方正仿宋_GB2312" w:cs="方正仿宋_GB2312"/>
              <w:b/>
              <w:sz w:val="22"/>
              <w:szCs w:val="22"/>
            </w:rPr>
            <w:tab/>
          </w: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PAGEREF _Toc30640 \h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rPr>
            <w:t>2</w:t>
          </w:r>
          <w:r>
            <w:rPr>
              <w:rFonts w:hint="eastAsia" w:ascii="方正仿宋_GB2312" w:hAnsi="方正仿宋_GB2312" w:eastAsia="方正仿宋_GB2312" w:cs="方正仿宋_GB2312"/>
              <w:b/>
              <w:sz w:val="22"/>
              <w:szCs w:val="22"/>
            </w:rPr>
            <w:fldChar w:fldCharType="end"/>
          </w:r>
          <w:r>
            <w:rPr>
              <w:rFonts w:hint="eastAsia" w:ascii="方正仿宋_GB2312" w:hAnsi="方正仿宋_GB2312" w:eastAsia="方正仿宋_GB2312" w:cs="方正仿宋_GB2312"/>
              <w:b/>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_Toc3368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bCs w:val="0"/>
              <w:sz w:val="22"/>
              <w:szCs w:val="22"/>
              <w:lang w:eastAsia="zh-CN"/>
            </w:rPr>
            <w:t xml:space="preserve">一、 </w:t>
          </w:r>
          <w:r>
            <w:rPr>
              <w:rFonts w:hint="eastAsia" w:ascii="方正仿宋_GB2312" w:hAnsi="方正仿宋_GB2312" w:eastAsia="方正仿宋_GB2312" w:cs="方正仿宋_GB2312"/>
              <w:bCs w:val="0"/>
              <w:sz w:val="22"/>
              <w:szCs w:val="22"/>
              <w:highlight w:val="none"/>
              <w:lang w:eastAsia="zh-CN"/>
            </w:rPr>
            <w:t>主要职责</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_Toc3368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2</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_Toc28023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highlight w:val="none"/>
              <w:lang w:val="en-US" w:eastAsia="zh-CN"/>
            </w:rPr>
            <w:t>二、机构设置</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_Toc28023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2</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3"/>
            <w:tabs>
              <w:tab w:val="right" w:leader="dot" w:pos="8306"/>
            </w:tabs>
            <w:rPr>
              <w:rFonts w:hint="eastAsia" w:ascii="方正仿宋_GB2312" w:hAnsi="方正仿宋_GB2312" w:eastAsia="方正仿宋_GB2312" w:cs="方正仿宋_GB2312"/>
              <w:b/>
              <w:sz w:val="22"/>
              <w:szCs w:val="22"/>
            </w:rPr>
          </w:pP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HYPERLINK \l _Toc19027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bCs/>
              <w:sz w:val="22"/>
              <w:szCs w:val="22"/>
              <w:highlight w:val="none"/>
            </w:rPr>
            <w:t xml:space="preserve">第二部分 </w:t>
          </w:r>
          <w:r>
            <w:rPr>
              <w:rFonts w:hint="eastAsia" w:ascii="方正仿宋_GB2312" w:hAnsi="方正仿宋_GB2312" w:eastAsia="方正仿宋_GB2312" w:cs="方正仿宋_GB2312"/>
              <w:b/>
              <w:bCs/>
              <w:sz w:val="22"/>
              <w:szCs w:val="22"/>
              <w:highlight w:val="none"/>
              <w:lang w:val="en-US" w:eastAsia="zh-CN"/>
            </w:rPr>
            <w:t>2023年度</w:t>
          </w:r>
          <w:r>
            <w:rPr>
              <w:rFonts w:hint="eastAsia" w:ascii="方正仿宋_GB2312" w:hAnsi="方正仿宋_GB2312" w:eastAsia="方正仿宋_GB2312" w:cs="方正仿宋_GB2312"/>
              <w:b/>
              <w:bCs/>
              <w:sz w:val="22"/>
              <w:szCs w:val="22"/>
              <w:highlight w:val="none"/>
              <w:lang w:eastAsia="zh-CN"/>
            </w:rPr>
            <w:t>单位</w:t>
          </w:r>
          <w:r>
            <w:rPr>
              <w:rFonts w:hint="eastAsia" w:ascii="方正仿宋_GB2312" w:hAnsi="方正仿宋_GB2312" w:eastAsia="方正仿宋_GB2312" w:cs="方正仿宋_GB2312"/>
              <w:b/>
              <w:bCs/>
              <w:sz w:val="22"/>
              <w:szCs w:val="22"/>
              <w:highlight w:val="none"/>
            </w:rPr>
            <w:t>决算情况说明</w:t>
          </w:r>
          <w:r>
            <w:rPr>
              <w:rFonts w:hint="eastAsia" w:ascii="方正仿宋_GB2312" w:hAnsi="方正仿宋_GB2312" w:eastAsia="方正仿宋_GB2312" w:cs="方正仿宋_GB2312"/>
              <w:b/>
              <w:sz w:val="22"/>
              <w:szCs w:val="22"/>
            </w:rPr>
            <w:tab/>
          </w: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PAGEREF _Toc19027 \h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rPr>
            <w:t>3</w:t>
          </w:r>
          <w:r>
            <w:rPr>
              <w:rFonts w:hint="eastAsia" w:ascii="方正仿宋_GB2312" w:hAnsi="方正仿宋_GB2312" w:eastAsia="方正仿宋_GB2312" w:cs="方正仿宋_GB2312"/>
              <w:b/>
              <w:sz w:val="22"/>
              <w:szCs w:val="22"/>
            </w:rPr>
            <w:fldChar w:fldCharType="end"/>
          </w:r>
          <w:r>
            <w:rPr>
              <w:rFonts w:hint="eastAsia" w:ascii="方正仿宋_GB2312" w:hAnsi="方正仿宋_GB2312" w:eastAsia="方正仿宋_GB2312" w:cs="方正仿宋_GB2312"/>
              <w:b/>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_Toc23185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 xml:space="preserve">一、 </w:t>
          </w:r>
          <w:r>
            <w:rPr>
              <w:rFonts w:hint="eastAsia" w:ascii="方正仿宋_GB2312" w:hAnsi="方正仿宋_GB2312" w:eastAsia="方正仿宋_GB2312" w:cs="方正仿宋_GB2312"/>
              <w:sz w:val="22"/>
              <w:szCs w:val="40"/>
              <w:highlight w:val="none"/>
            </w:rPr>
            <w:t>收</w:t>
          </w:r>
          <w:r>
            <w:rPr>
              <w:rFonts w:hint="eastAsia" w:ascii="方正仿宋_GB2312" w:hAnsi="方正仿宋_GB2312" w:eastAsia="方正仿宋_GB2312" w:cs="方正仿宋_GB2312"/>
              <w:sz w:val="22"/>
              <w:szCs w:val="22"/>
              <w:highlight w:val="none"/>
            </w:rPr>
            <w:t>入支出决算总体情况说明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_Toc23185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3</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_Toc5333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 xml:space="preserve">二、 </w:t>
          </w:r>
          <w:r>
            <w:rPr>
              <w:rFonts w:hint="eastAsia" w:ascii="方正仿宋_GB2312" w:hAnsi="方正仿宋_GB2312" w:eastAsia="方正仿宋_GB2312" w:cs="方正仿宋_GB2312"/>
              <w:sz w:val="22"/>
              <w:szCs w:val="40"/>
              <w:highlight w:val="none"/>
            </w:rPr>
            <w:t>收</w:t>
          </w:r>
          <w:r>
            <w:rPr>
              <w:rFonts w:hint="eastAsia" w:ascii="方正仿宋_GB2312" w:hAnsi="方正仿宋_GB2312" w:eastAsia="方正仿宋_GB2312" w:cs="方正仿宋_GB2312"/>
              <w:sz w:val="22"/>
              <w:szCs w:val="22"/>
              <w:highlight w:val="none"/>
            </w:rPr>
            <w:t>入决算情况说明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_Toc5333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3</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_Toc27071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 xml:space="preserve">三、 </w:t>
          </w:r>
          <w:r>
            <w:rPr>
              <w:rFonts w:hint="eastAsia" w:ascii="方正仿宋_GB2312" w:hAnsi="方正仿宋_GB2312" w:eastAsia="方正仿宋_GB2312" w:cs="方正仿宋_GB2312"/>
              <w:sz w:val="22"/>
              <w:szCs w:val="40"/>
              <w:highlight w:val="none"/>
            </w:rPr>
            <w:t>支</w:t>
          </w:r>
          <w:r>
            <w:rPr>
              <w:rFonts w:hint="eastAsia" w:ascii="方正仿宋_GB2312" w:hAnsi="方正仿宋_GB2312" w:eastAsia="方正仿宋_GB2312" w:cs="方正仿宋_GB2312"/>
              <w:sz w:val="22"/>
              <w:szCs w:val="22"/>
              <w:highlight w:val="none"/>
            </w:rPr>
            <w:t>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_Toc27071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4</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_Toc21900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40"/>
              <w:highlight w:val="none"/>
            </w:rPr>
            <w:t>四、财</w:t>
          </w:r>
          <w:r>
            <w:rPr>
              <w:rFonts w:hint="eastAsia" w:ascii="方正仿宋_GB2312" w:hAnsi="方正仿宋_GB2312" w:eastAsia="方正仿宋_GB2312" w:cs="方正仿宋_GB2312"/>
              <w:sz w:val="22"/>
              <w:szCs w:val="22"/>
              <w:highlight w:val="none"/>
            </w:rPr>
            <w:t>政拨款收入支出决算总体情况说明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_Toc21900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4</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_Toc9109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40"/>
              <w:highlight w:val="none"/>
            </w:rPr>
            <w:t>五、一</w:t>
          </w:r>
          <w:r>
            <w:rPr>
              <w:rFonts w:hint="eastAsia" w:ascii="方正仿宋_GB2312" w:hAnsi="方正仿宋_GB2312" w:eastAsia="方正仿宋_GB2312" w:cs="方正仿宋_GB2312"/>
              <w:sz w:val="22"/>
              <w:szCs w:val="22"/>
              <w:highlight w:val="none"/>
            </w:rPr>
            <w:t>般公共预算财政拨款支出决算情况说明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_Toc9109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5</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_Toc9275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40"/>
              <w:highlight w:val="none"/>
            </w:rPr>
            <w:t>六、一</w:t>
          </w:r>
          <w:r>
            <w:rPr>
              <w:rFonts w:hint="eastAsia" w:ascii="方正仿宋_GB2312" w:hAnsi="方正仿宋_GB2312" w:eastAsia="方正仿宋_GB2312" w:cs="方正仿宋_GB2312"/>
              <w:sz w:val="22"/>
              <w:szCs w:val="22"/>
              <w:highlight w:val="none"/>
            </w:rPr>
            <w:t>般公共预算财政拨款基本支出决算情况说明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_Toc9275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7</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_Toc11424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40"/>
              <w:highlight w:val="none"/>
            </w:rPr>
            <w:t>七、</w:t>
          </w:r>
          <w:r>
            <w:rPr>
              <w:rFonts w:hint="eastAsia" w:ascii="方正仿宋_GB2312" w:hAnsi="方正仿宋_GB2312" w:eastAsia="方正仿宋_GB2312" w:cs="方正仿宋_GB2312"/>
              <w:sz w:val="22"/>
              <w:szCs w:val="22"/>
              <w:highlight w:val="none"/>
            </w:rPr>
            <w:t>财政拨款“三公”经费支出决算情况说明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_Toc11424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7</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_Toc3973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40"/>
              <w:highlight w:val="none"/>
            </w:rPr>
            <w:t>八、</w:t>
          </w:r>
          <w:r>
            <w:rPr>
              <w:rFonts w:hint="eastAsia" w:ascii="方正仿宋_GB2312" w:hAnsi="方正仿宋_GB2312" w:eastAsia="方正仿宋_GB2312" w:cs="方正仿宋_GB2312"/>
              <w:sz w:val="22"/>
              <w:szCs w:val="22"/>
              <w:highlight w:val="none"/>
            </w:rPr>
            <w:t>政府性基金预算支出决算情况说明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_Toc3973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8</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_Toc5002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 xml:space="preserve">九、 </w:t>
          </w:r>
          <w:r>
            <w:rPr>
              <w:rFonts w:hint="eastAsia" w:ascii="方正仿宋_GB2312" w:hAnsi="方正仿宋_GB2312" w:eastAsia="方正仿宋_GB2312" w:cs="方正仿宋_GB2312"/>
              <w:sz w:val="22"/>
              <w:szCs w:val="22"/>
              <w:highlight w:val="none"/>
            </w:rPr>
            <w:t>国有资本经营预算支出决算情况说明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_Toc5002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9</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HYPERLINK \l _Toc24204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 xml:space="preserve">十、 </w:t>
          </w:r>
          <w:r>
            <w:rPr>
              <w:rFonts w:hint="eastAsia" w:ascii="方正仿宋_GB2312" w:hAnsi="方正仿宋_GB2312" w:eastAsia="方正仿宋_GB2312" w:cs="方正仿宋_GB2312"/>
              <w:sz w:val="22"/>
              <w:szCs w:val="22"/>
              <w:highlight w:val="none"/>
            </w:rPr>
            <w:t>其他重要事项的情况说明</w:t>
          </w:r>
          <w:r>
            <w:rPr>
              <w:rFonts w:hint="eastAsia" w:ascii="方正仿宋_GB2312" w:hAnsi="方正仿宋_GB2312" w:eastAsia="方正仿宋_GB2312" w:cs="方正仿宋_GB2312"/>
              <w:sz w:val="22"/>
              <w:szCs w:val="22"/>
            </w:rPr>
            <w:tab/>
          </w:r>
          <w:r>
            <w:rPr>
              <w:rFonts w:hint="eastAsia" w:ascii="方正仿宋_GB2312" w:hAnsi="方正仿宋_GB2312" w:eastAsia="方正仿宋_GB2312" w:cs="方正仿宋_GB2312"/>
              <w:sz w:val="22"/>
              <w:szCs w:val="22"/>
            </w:rPr>
            <w:fldChar w:fldCharType="begin"/>
          </w:r>
          <w:r>
            <w:rPr>
              <w:rFonts w:hint="eastAsia" w:ascii="方正仿宋_GB2312" w:hAnsi="方正仿宋_GB2312" w:eastAsia="方正仿宋_GB2312" w:cs="方正仿宋_GB2312"/>
              <w:sz w:val="22"/>
              <w:szCs w:val="22"/>
            </w:rPr>
            <w:instrText xml:space="preserve"> PAGEREF _Toc24204 \h </w:instrText>
          </w:r>
          <w:r>
            <w:rPr>
              <w:rFonts w:hint="eastAsia" w:ascii="方正仿宋_GB2312" w:hAnsi="方正仿宋_GB2312" w:eastAsia="方正仿宋_GB2312" w:cs="方正仿宋_GB2312"/>
              <w:sz w:val="22"/>
              <w:szCs w:val="22"/>
            </w:rPr>
            <w:fldChar w:fldCharType="separate"/>
          </w:r>
          <w:r>
            <w:rPr>
              <w:rFonts w:hint="eastAsia" w:ascii="方正仿宋_GB2312" w:hAnsi="方正仿宋_GB2312" w:eastAsia="方正仿宋_GB2312" w:cs="方正仿宋_GB2312"/>
              <w:sz w:val="22"/>
              <w:szCs w:val="22"/>
            </w:rPr>
            <w:t>9</w:t>
          </w:r>
          <w:r>
            <w:rPr>
              <w:rFonts w:hint="eastAsia" w:ascii="方正仿宋_GB2312" w:hAnsi="方正仿宋_GB2312" w:eastAsia="方正仿宋_GB2312" w:cs="方正仿宋_GB2312"/>
              <w:sz w:val="22"/>
              <w:szCs w:val="22"/>
            </w:rPr>
            <w:fldChar w:fldCharType="end"/>
          </w:r>
          <w:r>
            <w:rPr>
              <w:rFonts w:hint="eastAsia" w:ascii="方正仿宋_GB2312" w:hAnsi="方正仿宋_GB2312" w:eastAsia="方正仿宋_GB2312" w:cs="方正仿宋_GB2312"/>
              <w:sz w:val="22"/>
              <w:szCs w:val="22"/>
            </w:rPr>
            <w:fldChar w:fldCharType="end"/>
          </w:r>
        </w:p>
        <w:p>
          <w:pPr>
            <w:pStyle w:val="33"/>
            <w:tabs>
              <w:tab w:val="right" w:leader="dot" w:pos="8306"/>
            </w:tabs>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HYPERLINK \l _Toc8391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52"/>
            </w:rPr>
            <w:t xml:space="preserve">第三部分 </w:t>
          </w:r>
          <w:r>
            <w:rPr>
              <w:rFonts w:hint="eastAsia" w:ascii="方正仿宋_GB2312" w:hAnsi="方正仿宋_GB2312" w:eastAsia="方正仿宋_GB2312" w:cs="方正仿宋_GB2312"/>
              <w:b/>
              <w:sz w:val="22"/>
              <w:szCs w:val="52"/>
              <w:highlight w:val="none"/>
            </w:rPr>
            <w:t>名</w:t>
          </w:r>
          <w:r>
            <w:rPr>
              <w:rFonts w:hint="eastAsia" w:ascii="方正仿宋_GB2312" w:hAnsi="方正仿宋_GB2312" w:eastAsia="方正仿宋_GB2312" w:cs="方正仿宋_GB2312"/>
              <w:b/>
              <w:sz w:val="22"/>
              <w:szCs w:val="22"/>
              <w:highlight w:val="none"/>
            </w:rPr>
            <w:t>词解释</w:t>
          </w:r>
          <w:r>
            <w:rPr>
              <w:rFonts w:hint="eastAsia" w:ascii="方正仿宋_GB2312" w:hAnsi="方正仿宋_GB2312" w:eastAsia="方正仿宋_GB2312" w:cs="方正仿宋_GB2312"/>
              <w:b/>
              <w:sz w:val="22"/>
              <w:szCs w:val="22"/>
            </w:rPr>
            <w:tab/>
          </w: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PAGEREF _Toc8391 \h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rPr>
            <w:t>11</w:t>
          </w:r>
          <w:r>
            <w:rPr>
              <w:rFonts w:hint="eastAsia" w:ascii="方正仿宋_GB2312" w:hAnsi="方正仿宋_GB2312" w:eastAsia="方正仿宋_GB2312" w:cs="方正仿宋_GB2312"/>
              <w:b/>
              <w:sz w:val="22"/>
              <w:szCs w:val="22"/>
            </w:rPr>
            <w:fldChar w:fldCharType="end"/>
          </w:r>
          <w:r>
            <w:rPr>
              <w:rFonts w:hint="eastAsia" w:ascii="方正仿宋_GB2312" w:hAnsi="方正仿宋_GB2312" w:eastAsia="方正仿宋_GB2312" w:cs="方正仿宋_GB2312"/>
              <w:b/>
              <w:sz w:val="22"/>
              <w:szCs w:val="22"/>
            </w:rPr>
            <w:fldChar w:fldCharType="end"/>
          </w:r>
        </w:p>
        <w:p>
          <w:pPr>
            <w:pStyle w:val="33"/>
            <w:tabs>
              <w:tab w:val="right" w:leader="dot" w:pos="8306"/>
            </w:tabs>
            <w:rPr>
              <w:rFonts w:hint="eastAsia" w:ascii="方正仿宋_GB2312" w:hAnsi="方正仿宋_GB2312" w:eastAsia="方正仿宋_GB2312" w:cs="方正仿宋_GB2312"/>
              <w:b/>
              <w:sz w:val="22"/>
              <w:szCs w:val="22"/>
            </w:rPr>
          </w:pP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HYPERLINK \l _Toc5409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52"/>
              <w:highlight w:val="none"/>
            </w:rPr>
            <w:t>第</w:t>
          </w:r>
          <w:r>
            <w:rPr>
              <w:rFonts w:hint="eastAsia" w:ascii="方正仿宋_GB2312" w:hAnsi="方正仿宋_GB2312" w:eastAsia="方正仿宋_GB2312" w:cs="方正仿宋_GB2312"/>
              <w:b/>
              <w:sz w:val="22"/>
              <w:szCs w:val="22"/>
              <w:highlight w:val="none"/>
            </w:rPr>
            <w:t>四部分 附件</w:t>
          </w:r>
          <w:r>
            <w:rPr>
              <w:rFonts w:hint="eastAsia" w:ascii="方正仿宋_GB2312" w:hAnsi="方正仿宋_GB2312" w:eastAsia="方正仿宋_GB2312" w:cs="方正仿宋_GB2312"/>
              <w:b/>
              <w:sz w:val="22"/>
              <w:szCs w:val="22"/>
            </w:rPr>
            <w:tab/>
          </w: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PAGEREF _Toc5409 \h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rPr>
            <w:t>14</w:t>
          </w:r>
          <w:r>
            <w:rPr>
              <w:rFonts w:hint="eastAsia" w:ascii="方正仿宋_GB2312" w:hAnsi="方正仿宋_GB2312" w:eastAsia="方正仿宋_GB2312" w:cs="方正仿宋_GB2312"/>
              <w:b/>
              <w:sz w:val="22"/>
              <w:szCs w:val="22"/>
            </w:rPr>
            <w:fldChar w:fldCharType="end"/>
          </w:r>
          <w:r>
            <w:rPr>
              <w:rFonts w:hint="eastAsia" w:ascii="方正仿宋_GB2312" w:hAnsi="方正仿宋_GB2312" w:eastAsia="方正仿宋_GB2312" w:cs="方正仿宋_GB2312"/>
              <w:b/>
              <w:sz w:val="22"/>
              <w:szCs w:val="22"/>
            </w:rPr>
            <w:fldChar w:fldCharType="end"/>
          </w:r>
        </w:p>
        <w:p>
          <w:pPr>
            <w:pStyle w:val="33"/>
            <w:tabs>
              <w:tab w:val="right" w:leader="dot" w:pos="8306"/>
            </w:tabs>
            <w:rPr>
              <w:rFonts w:hint="eastAsia" w:ascii="方正仿宋_GB2312" w:hAnsi="方正仿宋_GB2312" w:eastAsia="方正仿宋_GB2312" w:cs="方正仿宋_GB2312"/>
              <w:b/>
              <w:sz w:val="22"/>
              <w:szCs w:val="22"/>
            </w:rPr>
          </w:pP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HYPERLINK \l _Toc3639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52"/>
              <w:highlight w:val="none"/>
            </w:rPr>
            <w:t>第</w:t>
          </w:r>
          <w:r>
            <w:rPr>
              <w:rFonts w:hint="eastAsia" w:ascii="方正仿宋_GB2312" w:hAnsi="方正仿宋_GB2312" w:eastAsia="方正仿宋_GB2312" w:cs="方正仿宋_GB2312"/>
              <w:b/>
              <w:sz w:val="22"/>
              <w:szCs w:val="22"/>
              <w:highlight w:val="none"/>
            </w:rPr>
            <w:t>五部分 附表</w:t>
          </w:r>
          <w:r>
            <w:rPr>
              <w:rFonts w:hint="eastAsia" w:ascii="方正仿宋_GB2312" w:hAnsi="方正仿宋_GB2312" w:eastAsia="方正仿宋_GB2312" w:cs="方正仿宋_GB2312"/>
              <w:b/>
              <w:sz w:val="22"/>
              <w:szCs w:val="22"/>
            </w:rPr>
            <w:tab/>
          </w:r>
          <w:r>
            <w:rPr>
              <w:rFonts w:hint="eastAsia" w:ascii="方正仿宋_GB2312" w:hAnsi="方正仿宋_GB2312" w:eastAsia="方正仿宋_GB2312" w:cs="方正仿宋_GB2312"/>
              <w:b/>
              <w:sz w:val="22"/>
              <w:szCs w:val="22"/>
            </w:rPr>
            <w:fldChar w:fldCharType="begin"/>
          </w:r>
          <w:r>
            <w:rPr>
              <w:rFonts w:hint="eastAsia" w:ascii="方正仿宋_GB2312" w:hAnsi="方正仿宋_GB2312" w:eastAsia="方正仿宋_GB2312" w:cs="方正仿宋_GB2312"/>
              <w:b/>
              <w:sz w:val="22"/>
              <w:szCs w:val="22"/>
            </w:rPr>
            <w:instrText xml:space="preserve"> PAGEREF _Toc3639 \h </w:instrText>
          </w:r>
          <w:r>
            <w:rPr>
              <w:rFonts w:hint="eastAsia" w:ascii="方正仿宋_GB2312" w:hAnsi="方正仿宋_GB2312" w:eastAsia="方正仿宋_GB2312" w:cs="方正仿宋_GB2312"/>
              <w:b/>
              <w:sz w:val="22"/>
              <w:szCs w:val="22"/>
            </w:rPr>
            <w:fldChar w:fldCharType="separate"/>
          </w:r>
          <w:r>
            <w:rPr>
              <w:rFonts w:hint="eastAsia" w:ascii="方正仿宋_GB2312" w:hAnsi="方正仿宋_GB2312" w:eastAsia="方正仿宋_GB2312" w:cs="方正仿宋_GB2312"/>
              <w:b/>
              <w:sz w:val="22"/>
              <w:szCs w:val="22"/>
            </w:rPr>
            <w:t>18</w:t>
          </w:r>
          <w:r>
            <w:rPr>
              <w:rFonts w:hint="eastAsia" w:ascii="方正仿宋_GB2312" w:hAnsi="方正仿宋_GB2312" w:eastAsia="方正仿宋_GB2312" w:cs="方正仿宋_GB2312"/>
              <w:b/>
              <w:sz w:val="22"/>
              <w:szCs w:val="22"/>
            </w:rPr>
            <w:fldChar w:fldCharType="end"/>
          </w:r>
          <w:r>
            <w:rPr>
              <w:rFonts w:hint="eastAsia" w:ascii="方正仿宋_GB2312" w:hAnsi="方正仿宋_GB2312" w:eastAsia="方正仿宋_GB2312" w:cs="方正仿宋_GB2312"/>
              <w:b/>
              <w:sz w:val="22"/>
              <w:szCs w:val="22"/>
            </w:rPr>
            <w:fldChar w:fldCharType="end"/>
          </w:r>
        </w:p>
        <w:p>
          <w:pPr>
            <w:pStyle w:val="34"/>
            <w:tabs>
              <w:tab w:val="right" w:leader="dot" w:pos="8306"/>
            </w:tabs>
            <w:rPr>
              <w:rFonts w:hint="eastAsia" w:ascii="方正仿宋_GB2312" w:hAnsi="方正仿宋_GB2312" w:eastAsia="方正仿宋_GB2312" w:cs="方正仿宋_GB2312"/>
              <w:sz w:val="22"/>
              <w:szCs w:val="22"/>
            </w:rPr>
          </w:pPr>
        </w:p>
        <w:p>
          <w:r>
            <w:rPr>
              <w:b/>
            </w:rPr>
            <w:fldChar w:fldCharType="end"/>
          </w:r>
        </w:p>
      </w:sdtContent>
    </w:sdt>
    <w:p>
      <w:pPr>
        <w:widowControl/>
        <w:spacing w:line="440" w:lineRule="exact"/>
        <w:jc w:val="left"/>
        <w:rPr>
          <w:rFonts w:ascii="仿宋" w:hAnsi="仿宋" w:eastAsia="仿宋"/>
          <w:bCs/>
          <w:color w:val="auto"/>
          <w:kern w:val="44"/>
          <w:sz w:val="24"/>
          <w:highlight w:val="none"/>
        </w:rPr>
      </w:pPr>
    </w:p>
    <w:p>
      <w:pPr>
        <w:pStyle w:val="2"/>
        <w:jc w:val="center"/>
        <w:rPr>
          <w:rStyle w:val="27"/>
          <w:rFonts w:ascii="黑体" w:hAnsi="黑体" w:eastAsia="黑体"/>
          <w:b/>
          <w:bCs w:val="0"/>
          <w:color w:val="auto"/>
          <w:highlight w:val="none"/>
        </w:rPr>
      </w:pPr>
      <w:bookmarkStart w:id="16" w:name="_Toc3064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3"/>
        <w:numPr>
          <w:ilvl w:val="0"/>
          <w:numId w:val="1"/>
        </w:numPr>
        <w:rPr>
          <w:rStyle w:val="28"/>
          <w:rFonts w:hint="eastAsia" w:ascii="黑体" w:hAnsi="黑体" w:eastAsia="黑体"/>
          <w:b w:val="0"/>
          <w:bCs w:val="0"/>
          <w:color w:val="auto"/>
          <w:highlight w:val="none"/>
          <w:lang w:eastAsia="zh-CN"/>
        </w:rPr>
      </w:pPr>
      <w:bookmarkStart w:id="17" w:name="_Toc3368"/>
      <w:bookmarkStart w:id="18" w:name="_Toc15377197"/>
      <w:bookmarkStart w:id="19" w:name="_Toc15396600"/>
      <w:r>
        <w:rPr>
          <w:rStyle w:val="28"/>
          <w:rFonts w:hint="eastAsia" w:ascii="黑体" w:hAnsi="黑体" w:eastAsia="黑体"/>
          <w:b w:val="0"/>
          <w:bCs w:val="0"/>
          <w:color w:val="auto"/>
          <w:highlight w:val="none"/>
          <w:lang w:eastAsia="zh-CN"/>
        </w:rPr>
        <w:t>主要职责</w:t>
      </w:r>
      <w:bookmarkEnd w:id="17"/>
    </w:p>
    <w:p>
      <w:pPr>
        <w:spacing w:line="600" w:lineRule="exact"/>
        <w:ind w:firstLine="640" w:firstLineChars="200"/>
        <w:outlineLvl w:val="2"/>
        <w:rPr>
          <w:rFonts w:ascii="仿宋" w:hAnsi="仿宋" w:eastAsia="仿宋"/>
          <w:sz w:val="32"/>
          <w:szCs w:val="32"/>
        </w:rPr>
      </w:pPr>
      <w:bookmarkStart w:id="20" w:name="_Toc4719"/>
      <w:r>
        <w:rPr>
          <w:rFonts w:hint="eastAsia" w:ascii="仿宋" w:hAnsi="仿宋" w:eastAsia="仿宋"/>
          <w:sz w:val="32"/>
          <w:szCs w:val="32"/>
        </w:rPr>
        <w:t>1.全面实施初中义务教育</w:t>
      </w:r>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2.促进初中教育和学生德、智、体、美、劳的全面发展和各项能力提升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3.负责初中学历教育及相关社会服务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4.负责教师思想、继续教育、师德师风教育和教师的各项培训工作</w:t>
      </w:r>
    </w:p>
    <w:p>
      <w:pPr>
        <w:rPr>
          <w:rFonts w:hint="eastAsia"/>
          <w:lang w:eastAsia="zh-CN"/>
        </w:rPr>
      </w:pPr>
    </w:p>
    <w:p>
      <w:pPr>
        <w:pStyle w:val="3"/>
        <w:numPr>
          <w:ilvl w:val="0"/>
          <w:numId w:val="0"/>
        </w:numPr>
        <w:rPr>
          <w:rFonts w:hint="eastAsia" w:ascii="黑体" w:hAnsi="黑体" w:eastAsia="黑体"/>
          <w:b w:val="0"/>
          <w:color w:val="auto"/>
          <w:highlight w:val="none"/>
          <w:lang w:val="en-US" w:eastAsia="zh-CN"/>
        </w:rPr>
      </w:pPr>
      <w:bookmarkStart w:id="21" w:name="_Toc28023"/>
      <w:r>
        <w:rPr>
          <w:rFonts w:hint="eastAsia" w:ascii="黑体" w:hAnsi="黑体" w:eastAsia="黑体"/>
          <w:b w:val="0"/>
          <w:color w:val="auto"/>
          <w:highlight w:val="none"/>
          <w:lang w:val="en-US" w:eastAsia="zh-CN"/>
        </w:rPr>
        <w:t>二、机构设置</w:t>
      </w:r>
      <w:bookmarkEnd w:id="21"/>
    </w:p>
    <w:bookmarkEnd w:id="18"/>
    <w:bookmarkEnd w:id="19"/>
    <w:p>
      <w:pPr>
        <w:widowControl/>
        <w:ind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lang w:val="en-US" w:eastAsia="zh-CN"/>
        </w:rPr>
        <w:t>遂宁市</w:t>
      </w:r>
      <w:r>
        <w:rPr>
          <w:rFonts w:hint="eastAsia" w:ascii="仿宋" w:hAnsi="仿宋" w:eastAsia="仿宋"/>
          <w:sz w:val="32"/>
          <w:szCs w:val="32"/>
        </w:rPr>
        <w:t>船山区</w:t>
      </w:r>
      <w:r>
        <w:rPr>
          <w:rFonts w:hint="eastAsia" w:ascii="仿宋" w:hAnsi="仿宋" w:eastAsia="仿宋"/>
          <w:sz w:val="32"/>
          <w:szCs w:val="32"/>
          <w:lang w:val="en-US" w:eastAsia="zh-CN"/>
        </w:rPr>
        <w:t>河沙镇初级中学校</w:t>
      </w:r>
      <w:r>
        <w:rPr>
          <w:rFonts w:hint="eastAsia" w:ascii="仿宋" w:hAnsi="仿宋" w:eastAsia="仿宋"/>
          <w:sz w:val="32"/>
          <w:szCs w:val="32"/>
        </w:rPr>
        <w:t>属船山区</w:t>
      </w:r>
      <w:r>
        <w:rPr>
          <w:rFonts w:ascii="仿宋" w:hAnsi="仿宋" w:eastAsia="仿宋"/>
          <w:sz w:val="32"/>
          <w:szCs w:val="32"/>
        </w:rPr>
        <w:t>教育和体育局的下属二级单位</w:t>
      </w:r>
      <w:r>
        <w:rPr>
          <w:rFonts w:hint="eastAsia" w:ascii="仿宋" w:hAnsi="仿宋" w:eastAsia="仿宋"/>
          <w:sz w:val="32"/>
          <w:szCs w:val="32"/>
        </w:rPr>
        <w:t>。</w:t>
      </w:r>
      <w:r>
        <w:rPr>
          <w:rFonts w:hint="eastAsia" w:ascii="仿宋" w:hAnsi="仿宋" w:eastAsia="仿宋"/>
          <w:color w:val="000000"/>
          <w:sz w:val="32"/>
          <w:szCs w:val="32"/>
        </w:rPr>
        <w:t>本单位</w:t>
      </w:r>
      <w:r>
        <w:rPr>
          <w:rFonts w:ascii="仿宋" w:hAnsi="仿宋" w:eastAsia="仿宋"/>
          <w:color w:val="000000"/>
          <w:sz w:val="32"/>
          <w:szCs w:val="32"/>
        </w:rPr>
        <w:t>无下属</w:t>
      </w:r>
      <w:r>
        <w:rPr>
          <w:rFonts w:hint="eastAsia" w:ascii="仿宋" w:hAnsi="仿宋" w:eastAsia="仿宋"/>
          <w:color w:val="000000"/>
          <w:sz w:val="32"/>
          <w:szCs w:val="32"/>
        </w:rPr>
        <w:t>预算单位。</w:t>
      </w:r>
      <w:r>
        <w:rPr>
          <w:rFonts w:ascii="仿宋" w:hAnsi="仿宋" w:eastAsia="仿宋"/>
          <w:color w:val="auto"/>
          <w:sz w:val="32"/>
          <w:szCs w:val="32"/>
          <w:highlight w:val="none"/>
        </w:rPr>
        <w:br w:type="page"/>
      </w:r>
    </w:p>
    <w:p>
      <w:pPr>
        <w:pStyle w:val="2"/>
        <w:ind w:right="440"/>
        <w:jc w:val="center"/>
        <w:rPr>
          <w:rStyle w:val="27"/>
          <w:rFonts w:ascii="黑体" w:hAnsi="黑体" w:eastAsia="黑体"/>
          <w:b w:val="0"/>
          <w:bCs/>
          <w:color w:val="auto"/>
          <w:highlight w:val="none"/>
        </w:rPr>
      </w:pPr>
      <w:bookmarkStart w:id="22" w:name="_Toc19027"/>
      <w:bookmarkStart w:id="23" w:name="_Toc15396602"/>
      <w:bookmarkStart w:id="24"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22"/>
      <w:bookmarkEnd w:id="23"/>
      <w:bookmarkEnd w:id="24"/>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5" w:name="_Toc15377205"/>
      <w:bookmarkStart w:id="26" w:name="_Toc23185"/>
      <w:bookmarkStart w:id="27"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558.28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减少58.24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减少9.45%</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是政策性调资，人员调整</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6"/>
      </w:pPr>
      <w:r>
        <w:drawing>
          <wp:inline distT="0" distB="0" distL="114300" distR="114300">
            <wp:extent cx="4768215" cy="2040890"/>
            <wp:effectExtent l="4445" t="4445" r="889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8" w:name="_Toc15396604"/>
      <w:bookmarkStart w:id="29" w:name="_Toc15377206"/>
      <w:bookmarkStart w:id="30" w:name="_Toc533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hint="eastAsia" w:ascii="仿宋" w:hAnsi="仿宋" w:eastAsia="仿宋"/>
          <w:color w:val="auto"/>
          <w:sz w:val="32"/>
          <w:szCs w:val="32"/>
          <w:highlight w:val="none"/>
        </w:rPr>
      </w:pPr>
      <w:bookmarkStart w:id="31" w:name="_Toc18114"/>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547.99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533.90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97.43%</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14.09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2.57%</w:t>
      </w:r>
      <w:r>
        <w:rPr>
          <w:rFonts w:hint="eastAsia" w:ascii="仿宋" w:hAnsi="仿宋" w:eastAsia="仿宋"/>
          <w:color w:val="auto"/>
          <w:sz w:val="32"/>
          <w:szCs w:val="32"/>
          <w:highlight w:val="none"/>
        </w:rPr>
        <w:t>。</w:t>
      </w:r>
      <w:bookmarkEnd w:id="31"/>
    </w:p>
    <w:p>
      <w:pPr>
        <w:spacing w:line="600" w:lineRule="exact"/>
        <w:ind w:firstLine="1920" w:firstLineChars="6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6"/>
        <w:jc w:val="center"/>
        <w:rPr>
          <w:rFonts w:hint="eastAsia" w:ascii="仿宋" w:hAnsi="仿宋" w:eastAsia="仿宋"/>
          <w:color w:val="auto"/>
          <w:sz w:val="32"/>
          <w:szCs w:val="32"/>
          <w:highlight w:val="none"/>
        </w:rPr>
      </w:pPr>
      <w:r>
        <w:drawing>
          <wp:inline distT="0" distB="0" distL="114300" distR="114300">
            <wp:extent cx="2715260" cy="1695450"/>
            <wp:effectExtent l="4445" t="4445" r="2349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32" w:name="_Toc27071"/>
      <w:bookmarkStart w:id="33" w:name="_Toc15396605"/>
      <w:bookmarkStart w:id="34"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1457"/>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548.97</w:t>
      </w:r>
      <w:r>
        <w:rPr>
          <w:rFonts w:hint="eastAsia" w:ascii="仿宋" w:hAnsi="仿宋" w:eastAsia="仿宋"/>
          <w:color w:val="auto"/>
          <w:sz w:val="32"/>
          <w:szCs w:val="32"/>
          <w:highlight w:val="none"/>
        </w:rPr>
        <w:t>万元，其中：基本支出497.26万元，占</w:t>
      </w:r>
      <w:r>
        <w:rPr>
          <w:rFonts w:hint="eastAsia" w:ascii="仿宋" w:hAnsi="仿宋" w:eastAsia="仿宋"/>
          <w:color w:val="auto"/>
          <w:sz w:val="32"/>
          <w:szCs w:val="32"/>
          <w:highlight w:val="none"/>
          <w:lang w:val="en-US" w:eastAsia="zh-CN"/>
        </w:rPr>
        <w:t>90.58%</w:t>
      </w:r>
      <w:r>
        <w:rPr>
          <w:rFonts w:hint="eastAsia" w:ascii="仿宋" w:hAnsi="仿宋" w:eastAsia="仿宋"/>
          <w:color w:val="auto"/>
          <w:sz w:val="32"/>
          <w:szCs w:val="32"/>
          <w:highlight w:val="none"/>
        </w:rPr>
        <w:t>；项目支出51.71万元，占</w:t>
      </w:r>
      <w:r>
        <w:rPr>
          <w:rFonts w:hint="eastAsia" w:ascii="仿宋" w:hAnsi="仿宋" w:eastAsia="仿宋"/>
          <w:color w:val="auto"/>
          <w:sz w:val="32"/>
          <w:szCs w:val="32"/>
          <w:highlight w:val="none"/>
          <w:lang w:val="en-US" w:eastAsia="zh-CN"/>
        </w:rPr>
        <w:t>10.40%</w:t>
      </w:r>
      <w:r>
        <w:rPr>
          <w:rFonts w:hint="eastAsia" w:ascii="仿宋" w:hAnsi="仿宋" w:eastAsia="仿宋"/>
          <w:color w:val="auto"/>
          <w:sz w:val="32"/>
          <w:szCs w:val="32"/>
          <w:highlight w:val="none"/>
        </w:rPr>
        <w:t>。</w:t>
      </w:r>
      <w:bookmarkEnd w:id="35"/>
    </w:p>
    <w:p>
      <w:pPr>
        <w:spacing w:line="600" w:lineRule="exact"/>
        <w:rPr>
          <w:rFonts w:hint="eastAsia" w:ascii="仿宋" w:hAnsi="仿宋" w:eastAsia="仿宋"/>
          <w:color w:val="auto"/>
          <w:sz w:val="32"/>
          <w:szCs w:val="32"/>
          <w:highlight w:val="none"/>
        </w:rPr>
      </w:pPr>
      <w:r>
        <w:rPr>
          <w:rFonts w:hint="eastAsia"/>
          <w:lang w:val="en-US" w:eastAsia="zh-CN"/>
        </w:rPr>
        <w:t xml:space="preserve">                  </w:t>
      </w:r>
      <w:r>
        <w:rPr>
          <w:rFonts w:hint="eastAsia" w:ascii="仿宋" w:hAnsi="仿宋" w:eastAsia="仿宋"/>
          <w:color w:val="auto"/>
          <w:sz w:val="32"/>
          <w:szCs w:val="32"/>
          <w:highlight w:val="none"/>
        </w:rPr>
        <w:t>（图3：支出决算结构图）（饼状图）</w:t>
      </w:r>
    </w:p>
    <w:p>
      <w:pPr>
        <w:pStyle w:val="6"/>
      </w:pPr>
      <w:r>
        <w:drawing>
          <wp:inline distT="0" distB="0" distL="114300" distR="114300">
            <wp:extent cx="4818380" cy="2743200"/>
            <wp:effectExtent l="4445" t="4445" r="1587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36" w:name="_Toc21900"/>
      <w:bookmarkStart w:id="37" w:name="_Toc15396606"/>
      <w:bookmarkStart w:id="38"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年财政拨款收、支总计533.90万元。与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减少42.39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减少7.36%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政策性调资，人员调整</w:t>
      </w:r>
      <w:r>
        <w:rPr>
          <w:rFonts w:hint="eastAsia" w:ascii="仿宋" w:hAnsi="仿宋" w:eastAsia="仿宋"/>
          <w:color w:val="auto"/>
          <w:sz w:val="32"/>
          <w:szCs w:val="32"/>
          <w:highlight w:val="none"/>
          <w:lang w:eastAsia="zh-CN"/>
        </w:rPr>
        <w:t>。</w:t>
      </w:r>
    </w:p>
    <w:p>
      <w:pPr>
        <w:pStyle w:val="6"/>
        <w:rPr>
          <w:rFonts w:hint="eastAsia" w:ascii="仿宋" w:hAnsi="仿宋" w:eastAsia="仿宋"/>
          <w:color w:val="auto"/>
          <w:sz w:val="32"/>
          <w:szCs w:val="32"/>
          <w:highlight w:val="none"/>
        </w:rPr>
      </w:pPr>
      <w:r>
        <w:rPr>
          <w:rFonts w:hint="eastAsia"/>
          <w:lang w:val="en-US" w:eastAsia="zh-CN"/>
        </w:rPr>
        <w:t xml:space="preserve">     </w:t>
      </w:r>
      <w:r>
        <w:rPr>
          <w:rFonts w:hint="eastAsia" w:ascii="仿宋" w:hAnsi="仿宋" w:eastAsia="仿宋"/>
          <w:color w:val="auto"/>
          <w:sz w:val="32"/>
          <w:szCs w:val="32"/>
          <w:highlight w:val="none"/>
        </w:rPr>
        <w:t>（图4：财政拨款收、支决算总计变动情况）（柱状图）</w:t>
      </w:r>
    </w:p>
    <w:p>
      <w:pPr>
        <w:pStyle w:val="6"/>
        <w:jc w:val="center"/>
        <w:rPr>
          <w:rFonts w:hint="eastAsia" w:ascii="仿宋" w:hAnsi="仿宋" w:eastAsia="仿宋"/>
          <w:color w:val="auto"/>
          <w:sz w:val="32"/>
          <w:szCs w:val="32"/>
          <w:highlight w:val="none"/>
        </w:rPr>
      </w:pPr>
      <w:r>
        <w:drawing>
          <wp:inline distT="0" distB="0" distL="114300" distR="114300">
            <wp:extent cx="4488815" cy="2010410"/>
            <wp:effectExtent l="5080" t="5080" r="20955" b="2286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39" w:name="_Toc15396607"/>
      <w:bookmarkStart w:id="40" w:name="_Toc9109"/>
      <w:bookmarkStart w:id="4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年一般公共预算财政拨款支出533.90万元，占本年支出合计的</w:t>
      </w:r>
      <w:r>
        <w:rPr>
          <w:rFonts w:hint="eastAsia" w:ascii="仿宋" w:hAnsi="仿宋" w:eastAsia="仿宋"/>
          <w:color w:val="auto"/>
          <w:sz w:val="32"/>
          <w:szCs w:val="32"/>
          <w:highlight w:val="none"/>
          <w:lang w:val="en-US" w:eastAsia="zh-CN"/>
        </w:rPr>
        <w:t>97.25%</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减少42.39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减少7.36%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政策性调资，人员调整。</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314960</wp:posOffset>
            </wp:positionH>
            <wp:positionV relativeFrom="paragraph">
              <wp:posOffset>112395</wp:posOffset>
            </wp:positionV>
            <wp:extent cx="4789805" cy="2099945"/>
            <wp:effectExtent l="4445" t="4445" r="6350" b="1016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年一般公共预算财政拨款支出533.90万元，主要用于以下方面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rPr>
        <w:t>404.61万元，占</w:t>
      </w:r>
      <w:r>
        <w:rPr>
          <w:rFonts w:hint="eastAsia" w:ascii="仿宋" w:hAnsi="仿宋" w:eastAsia="仿宋"/>
          <w:color w:val="auto"/>
          <w:sz w:val="32"/>
          <w:szCs w:val="32"/>
          <w:highlight w:val="none"/>
          <w:lang w:val="en-US" w:eastAsia="zh-CN"/>
        </w:rPr>
        <w:t>79.5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55.06万元，占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25.82万元，占</w:t>
      </w:r>
      <w:r>
        <w:rPr>
          <w:rFonts w:hint="eastAsia" w:ascii="仿宋" w:hAnsi="仿宋" w:eastAsia="仿宋"/>
          <w:color w:val="auto"/>
          <w:sz w:val="32"/>
          <w:szCs w:val="32"/>
          <w:highlight w:val="none"/>
          <w:lang w:val="en-US" w:eastAsia="zh-CN"/>
        </w:rPr>
        <w:t>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城乡社区支出</w:t>
      </w:r>
      <w:r>
        <w:rPr>
          <w:rFonts w:hint="eastAsia" w:ascii="仿宋" w:hAnsi="仿宋" w:eastAsia="仿宋"/>
          <w:b w:val="0"/>
          <w:bCs w:val="0"/>
          <w:color w:val="auto"/>
          <w:sz w:val="32"/>
          <w:szCs w:val="32"/>
          <w:highlight w:val="none"/>
        </w:rPr>
        <w:t>4.55</w:t>
      </w:r>
      <w:r>
        <w:rPr>
          <w:rFonts w:hint="eastAsia" w:ascii="仿宋" w:hAnsi="仿宋" w:eastAsia="仿宋"/>
          <w:b w:val="0"/>
          <w:bCs w:val="0"/>
          <w:color w:val="auto"/>
          <w:sz w:val="32"/>
          <w:szCs w:val="32"/>
          <w:highlight w:val="none"/>
          <w:lang w:val="en-US"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农林水支出支出</w:t>
      </w:r>
      <w:r>
        <w:rPr>
          <w:rFonts w:hint="eastAsia" w:ascii="仿宋" w:hAnsi="仿宋" w:eastAsia="仿宋"/>
          <w:b w:val="0"/>
          <w:bCs w:val="0"/>
          <w:color w:val="auto"/>
          <w:sz w:val="32"/>
          <w:szCs w:val="32"/>
          <w:highlight w:val="none"/>
        </w:rPr>
        <w:t>5.92</w:t>
      </w:r>
      <w:r>
        <w:rPr>
          <w:rFonts w:hint="eastAsia" w:ascii="仿宋" w:hAnsi="仿宋" w:eastAsia="仿宋"/>
          <w:b w:val="0"/>
          <w:bCs w:val="0"/>
          <w:color w:val="auto"/>
          <w:sz w:val="32"/>
          <w:szCs w:val="32"/>
          <w:highlight w:val="none"/>
          <w:lang w:val="en-US"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4.4</w:t>
      </w:r>
      <w:r>
        <w:rPr>
          <w:rFonts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37.94万元，占</w:t>
      </w:r>
      <w:r>
        <w:rPr>
          <w:rFonts w:hint="eastAsia" w:ascii="仿宋" w:hAnsi="仿宋" w:eastAsia="仿宋"/>
          <w:color w:val="auto"/>
          <w:sz w:val="32"/>
          <w:szCs w:val="32"/>
          <w:highlight w:val="none"/>
          <w:lang w:val="en-US" w:eastAsia="zh-CN"/>
        </w:rPr>
        <w:t>6.6</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pStyle w:val="6"/>
        <w:rPr>
          <w:rFonts w:hint="eastAsia" w:ascii="仿宋" w:hAnsi="仿宋" w:eastAsia="仿宋"/>
          <w:color w:val="auto"/>
          <w:sz w:val="32"/>
          <w:szCs w:val="32"/>
          <w:highlight w:val="none"/>
        </w:rPr>
      </w:pPr>
      <w:r>
        <w:rPr>
          <w:rFonts w:hint="eastAsia"/>
          <w:lang w:val="en-US" w:eastAsia="zh-CN"/>
        </w:rPr>
        <w:t xml:space="preserve">     </w:t>
      </w:r>
      <w:r>
        <w:rPr>
          <w:rFonts w:hint="eastAsia" w:ascii="仿宋" w:hAnsi="仿宋" w:eastAsia="仿宋"/>
          <w:color w:val="auto"/>
          <w:sz w:val="32"/>
          <w:szCs w:val="32"/>
          <w:highlight w:val="none"/>
        </w:rPr>
        <w:t>（图6：一般公共预算财政拨款支出决算结构）（饼状图）</w:t>
      </w:r>
    </w:p>
    <w:p>
      <w:pPr>
        <w:pStyle w:val="6"/>
        <w:jc w:val="center"/>
        <w:rPr>
          <w:rFonts w:hint="eastAsia" w:ascii="仿宋" w:hAnsi="仿宋" w:eastAsia="仿宋"/>
          <w:color w:val="auto"/>
          <w:sz w:val="32"/>
          <w:szCs w:val="32"/>
          <w:highlight w:val="none"/>
        </w:rPr>
      </w:pPr>
      <w:r>
        <w:drawing>
          <wp:inline distT="0" distB="0" distL="114300" distR="114300">
            <wp:extent cx="4824095" cy="2767330"/>
            <wp:effectExtent l="4445" t="5080" r="10160" b="889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1"/>
        <w:rPr>
          <w:rFonts w:ascii="仿宋" w:hAnsi="仿宋" w:eastAsia="仿宋"/>
          <w:color w:val="auto"/>
          <w:sz w:val="32"/>
          <w:szCs w:val="32"/>
          <w:highlight w:val="none"/>
        </w:rPr>
      </w:pPr>
      <w:bookmarkStart w:id="45" w:name="_Toc15377213"/>
      <w:bookmarkStart w:id="46" w:name="_Toc15377444"/>
      <w:bookmarkStart w:id="47" w:name="_Toc18081"/>
      <w:bookmarkStart w:id="48"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533.90万元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45"/>
      <w:bookmarkEnd w:id="46"/>
      <w:bookmarkEnd w:id="47"/>
      <w:bookmarkEnd w:id="48"/>
    </w:p>
    <w:p>
      <w:pPr>
        <w:pStyle w:val="6"/>
        <w:ind w:firstLine="643" w:firstLineChars="200"/>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教育（类）</w:t>
      </w:r>
      <w:r>
        <w:rPr>
          <w:rStyle w:val="16"/>
          <w:rFonts w:hint="eastAsia" w:ascii="仿宋" w:hAnsi="仿宋" w:eastAsia="仿宋"/>
          <w:bCs/>
          <w:color w:val="auto"/>
          <w:sz w:val="32"/>
          <w:szCs w:val="32"/>
          <w:highlight w:val="none"/>
          <w:lang w:val="en-US" w:eastAsia="zh-CN"/>
        </w:rPr>
        <w:t>普通教育</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初中教育</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支出决算为404.61万元，完成预算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bookmarkStart w:id="49" w:name="OLE_LINK2"/>
      <w:r>
        <w:rPr>
          <w:rStyle w:val="16"/>
          <w:rFonts w:hint="eastAsia" w:ascii="仿宋" w:hAnsi="仿宋" w:eastAsia="仿宋"/>
          <w:b w:val="0"/>
          <w:bCs/>
          <w:color w:val="auto"/>
          <w:sz w:val="32"/>
          <w:szCs w:val="32"/>
          <w:highlight w:val="none"/>
          <w:lang w:eastAsia="zh-CN"/>
        </w:rPr>
        <w:t>，决算数与预算数持平</w:t>
      </w:r>
      <w:bookmarkEnd w:id="49"/>
      <w:r>
        <w:rPr>
          <w:rStyle w:val="16"/>
          <w:rFonts w:hint="eastAsia" w:ascii="仿宋" w:hAnsi="仿宋" w:eastAsia="仿宋"/>
          <w:b w:val="0"/>
          <w:bCs/>
          <w:color w:val="auto"/>
          <w:sz w:val="32"/>
          <w:szCs w:val="32"/>
          <w:highlight w:val="none"/>
        </w:rPr>
        <w:t>。</w:t>
      </w:r>
    </w:p>
    <w:p>
      <w:pPr>
        <w:pStyle w:val="6"/>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社会保障和就业（类）行政事业单位养老支出（款）机关事业单位基本养老保险缴费支出（项）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支出决算为45.43万元，完成预算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pStyle w:val="6"/>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社会保障和就业（类）抚恤（款）死亡抚恤（项）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支出决算为6.78万元，完成预算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pStyle w:val="6"/>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社会保障和就业（类）其他社会保障和就业支出（款）其他社会保障和就业支出（项）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支出决算为2.85万元，完成预算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5</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款）事业单位医疗（项）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支出决算为18.89万元，完成预算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6</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款）公务员医疗补助（项）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支出决算为6.93万元，完成预算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pStyle w:val="6"/>
        <w:ind w:firstLine="643" w:firstLineChars="200"/>
      </w:pP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城乡社区支出</w:t>
      </w:r>
      <w:r>
        <w:rPr>
          <w:rStyle w:val="16"/>
          <w:rFonts w:hint="eastAsia" w:ascii="仿宋" w:hAnsi="仿宋" w:eastAsia="仿宋"/>
          <w:bCs/>
          <w:color w:val="auto"/>
          <w:sz w:val="32"/>
          <w:szCs w:val="32"/>
          <w:highlight w:val="none"/>
        </w:rPr>
        <w:t>（类）其他城乡社区支出</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款）其他城乡社区支出（项）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支出决算为4.55万元，完成预算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8</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农林水</w:t>
      </w:r>
      <w:r>
        <w:rPr>
          <w:rStyle w:val="16"/>
          <w:rFonts w:hint="eastAsia" w:ascii="仿宋" w:hAnsi="仿宋" w:eastAsia="仿宋"/>
          <w:bCs/>
          <w:color w:val="auto"/>
          <w:sz w:val="32"/>
          <w:szCs w:val="32"/>
          <w:highlight w:val="none"/>
        </w:rPr>
        <w:t>（类）巩固脱贫衔接乡村振兴</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款）其他巩固脱贫衔接乡村振兴支出（项）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支出决算为5.92万元，完成预算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r>
        <w:rPr>
          <w:rStyle w:val="16"/>
          <w:rFonts w:hint="eastAsia" w:ascii="仿宋" w:hAnsi="仿宋" w:eastAsia="仿宋"/>
          <w:b w:val="0"/>
          <w:bCs/>
          <w:color w:val="auto"/>
          <w:sz w:val="32"/>
          <w:szCs w:val="32"/>
          <w:highlight w:val="none"/>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9</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w:t>
      </w:r>
      <w:r>
        <w:rPr>
          <w:rStyle w:val="16"/>
          <w:rFonts w:hint="eastAsia" w:ascii="仿宋" w:hAnsi="仿宋" w:eastAsia="仿宋"/>
          <w:bCs/>
          <w:color w:val="auto"/>
          <w:sz w:val="32"/>
          <w:szCs w:val="32"/>
          <w:highlight w:val="none"/>
        </w:rPr>
        <w:t>（类）住房改革支出</w:t>
      </w:r>
      <w:r>
        <w:rPr>
          <w:rStyle w:val="16"/>
          <w:rFonts w:hint="eastAsia" w:ascii="仿宋" w:hAnsi="仿宋" w:eastAsia="仿宋"/>
          <w:bCs/>
          <w:color w:val="auto"/>
          <w:sz w:val="32"/>
          <w:szCs w:val="32"/>
          <w:highlight w:val="none"/>
          <w:lang w:eastAsia="zh-CN"/>
        </w:rPr>
        <w:t>（</w:t>
      </w:r>
      <w:r>
        <w:rPr>
          <w:rStyle w:val="16"/>
          <w:rFonts w:hint="eastAsia" w:ascii="仿宋" w:hAnsi="仿宋" w:eastAsia="仿宋"/>
          <w:bCs/>
          <w:color w:val="auto"/>
          <w:sz w:val="32"/>
          <w:szCs w:val="32"/>
          <w:highlight w:val="none"/>
        </w:rPr>
        <w:t>款）住房公积金（项）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支出决算为37.94万元，完成预算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，决算数与预算数持平。</w:t>
      </w:r>
    </w:p>
    <w:p>
      <w:pPr>
        <w:tabs>
          <w:tab w:val="right" w:pos="8306"/>
        </w:tabs>
        <w:spacing w:line="600" w:lineRule="exact"/>
        <w:ind w:firstLine="640"/>
        <w:outlineLvl w:val="1"/>
        <w:rPr>
          <w:rStyle w:val="28"/>
          <w:color w:val="auto"/>
          <w:highlight w:val="none"/>
        </w:rPr>
      </w:pPr>
      <w:bookmarkStart w:id="50" w:name="_Toc9275"/>
      <w:bookmarkStart w:id="51" w:name="_Toc15377214"/>
      <w:bookmarkStart w:id="52"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50"/>
      <w:bookmarkEnd w:id="51"/>
      <w:bookmarkEnd w:id="52"/>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年一般公共预算财政拨款基本支出497.17万元，其中：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b/>
          <w:bCs/>
          <w:color w:val="auto"/>
          <w:sz w:val="32"/>
          <w:szCs w:val="32"/>
          <w:highlight w:val="none"/>
        </w:rPr>
        <w:t>人员经费</w:t>
      </w:r>
      <w:r>
        <w:rPr>
          <w:rFonts w:hint="eastAsia" w:ascii="仿宋" w:hAnsi="仿宋" w:eastAsia="仿宋"/>
          <w:color w:val="auto"/>
          <w:sz w:val="32"/>
          <w:szCs w:val="32"/>
          <w:highlight w:val="none"/>
        </w:rPr>
        <w:t>471.31万元，主要包括：基本工资、津贴补贴、绩效工资、机关事业单位基本养老保险缴费、职业年金缴费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其他工资福利支出、抚恤金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生活补助、其他对个人和家庭的补助支出。</w:t>
      </w:r>
    </w:p>
    <w:p>
      <w:pPr>
        <w:spacing w:line="600" w:lineRule="exact"/>
        <w:ind w:firstLine="645"/>
        <w:rPr>
          <w:rFonts w:ascii="仿宋" w:hAnsi="仿宋" w:eastAsia="仿宋"/>
          <w:b/>
          <w:color w:val="auto"/>
          <w:sz w:val="32"/>
          <w:szCs w:val="32"/>
          <w:highlight w:val="none"/>
        </w:rPr>
      </w:pPr>
      <w:r>
        <w:rPr>
          <w:rFonts w:hint="eastAsia" w:ascii="仿宋" w:hAnsi="仿宋" w:eastAsia="仿宋"/>
          <w:b/>
          <w:bCs/>
          <w:color w:val="auto"/>
          <w:sz w:val="32"/>
          <w:szCs w:val="32"/>
          <w:highlight w:val="none"/>
        </w:rPr>
        <w:t>公用经费</w:t>
      </w:r>
      <w:r>
        <w:rPr>
          <w:rFonts w:hint="eastAsia" w:ascii="仿宋" w:hAnsi="仿宋" w:eastAsia="仿宋"/>
          <w:color w:val="auto"/>
          <w:sz w:val="32"/>
          <w:szCs w:val="32"/>
          <w:highlight w:val="none"/>
        </w:rPr>
        <w:t>25.85万元，主要包括：办公费、印刷费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水费、电费、邮电费、物业管理费、差旅费、维修（护）费、</w:t>
      </w:r>
      <w:r>
        <w:rPr>
          <w:rFonts w:hint="eastAsia" w:ascii="仿宋" w:hAnsi="仿宋" w:eastAsia="仿宋"/>
          <w:color w:val="auto"/>
          <w:sz w:val="32"/>
          <w:szCs w:val="32"/>
          <w:highlight w:val="none"/>
          <w:lang w:val="en-US" w:eastAsia="zh-CN"/>
        </w:rPr>
        <w:t>专用材料费、工会经费、</w:t>
      </w:r>
      <w:r>
        <w:rPr>
          <w:rFonts w:hint="eastAsia" w:ascii="仿宋" w:hAnsi="仿宋" w:eastAsia="仿宋"/>
          <w:color w:val="auto"/>
          <w:sz w:val="32"/>
          <w:szCs w:val="32"/>
          <w:highlight w:val="none"/>
        </w:rPr>
        <w:t>福利费、其他交通费用、其他商品和服务支出。</w:t>
      </w:r>
    </w:p>
    <w:p>
      <w:pPr>
        <w:spacing w:line="600" w:lineRule="exact"/>
        <w:ind w:firstLine="640"/>
        <w:outlineLvl w:val="1"/>
        <w:rPr>
          <w:rStyle w:val="28"/>
          <w:rFonts w:ascii="黑体" w:hAnsi="黑体" w:eastAsia="黑体"/>
          <w:b w:val="0"/>
          <w:color w:val="auto"/>
          <w:highlight w:val="none"/>
        </w:rPr>
      </w:pPr>
      <w:bookmarkStart w:id="53" w:name="_Toc11424"/>
      <w:bookmarkStart w:id="54" w:name="_Toc15396609"/>
      <w:bookmarkStart w:id="55" w:name="_Toc15377215"/>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pPr>
        <w:spacing w:line="600" w:lineRule="exact"/>
        <w:ind w:firstLine="640"/>
        <w:rPr>
          <w:rFonts w:ascii="仿宋" w:hAnsi="仿宋" w:eastAsia="仿宋"/>
          <w:color w:val="auto"/>
          <w:sz w:val="32"/>
          <w:szCs w:val="32"/>
          <w:highlight w:val="none"/>
        </w:rPr>
      </w:pPr>
      <w:bookmarkStart w:id="57" w:name="_Toc15377217"/>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经费财政拨款支出决算为0万元，完成预算0%；较上年增加0万元，增长</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bookmarkEnd w:id="57"/>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经费财政拨款支出决算中，因公出国（境）费支出决算0万元，占0%；公务用车购置及运行维护费支出决算0万元，占0%；公务接待费支出决算0万元，占0%。具体情况如下：</w:t>
      </w:r>
    </w:p>
    <w:p>
      <w:pPr>
        <w:spacing w:line="560" w:lineRule="exact"/>
        <w:ind w:firstLine="643" w:firstLineChars="200"/>
        <w:rPr>
          <w:rFonts w:hint="eastAsia" w:ascii="仿宋_GB2312" w:eastAsia="仿宋_GB2312"/>
          <w:color w:val="000000"/>
          <w:sz w:val="32"/>
          <w:szCs w:val="32"/>
        </w:rPr>
      </w:pPr>
      <w:bookmarkStart w:id="58" w:name="_Toc3973"/>
      <w:bookmarkStart w:id="59" w:name="_Toc15396610"/>
      <w:bookmarkStart w:id="60" w:name="_Toc15377218"/>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支出0万元，完成预算0%。全年安排因公出国（境）团组0个，出国（境）0人。因公出国（境）支出决算比2022年增加0万元，增长0%。</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两年均</w:t>
      </w:r>
      <w:r>
        <w:rPr>
          <w:rFonts w:hint="eastAsia" w:ascii="仿宋_GB2312" w:eastAsia="仿宋_GB2312"/>
          <w:color w:val="000000"/>
          <w:sz w:val="32"/>
          <w:szCs w:val="32"/>
          <w:lang w:eastAsia="zh-CN"/>
        </w:rPr>
        <w:t>未按预算安排</w:t>
      </w:r>
      <w:r>
        <w:rPr>
          <w:rFonts w:hint="eastAsia" w:ascii="仿宋_GB2312" w:eastAsia="仿宋_GB2312"/>
          <w:color w:val="000000"/>
          <w:sz w:val="32"/>
          <w:szCs w:val="32"/>
        </w:rPr>
        <w:t>因公出国（境）经费。</w:t>
      </w:r>
    </w:p>
    <w:p>
      <w:pPr>
        <w:spacing w:line="600" w:lineRule="exact"/>
        <w:ind w:firstLine="640"/>
        <w:rPr>
          <w:rFonts w:ascii="仿宋_GB2312" w:eastAsia="仿宋_GB2312"/>
          <w:b/>
          <w:color w:val="auto"/>
          <w:sz w:val="32"/>
          <w:szCs w:val="32"/>
          <w:highlight w:val="none"/>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支出0万元，完成预算0%。公务用车购置及运行维护费支出决算比2022年增加0万元，增长0%。</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rPr>
        <w:t>学校无公务用车。</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sz w:val="32"/>
          <w:szCs w:val="32"/>
        </w:rPr>
        <w:t>主要原因是两年都未预算公务接待费。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ascii="黑体" w:hAnsi="黑体" w:eastAsia="黑体"/>
          <w:b w:val="0"/>
          <w:color w:val="auto"/>
          <w:highlight w:val="none"/>
        </w:rPr>
      </w:pPr>
      <w:bookmarkStart w:id="61" w:name="_Toc15377219"/>
      <w:bookmarkStart w:id="62" w:name="_Toc15396611"/>
      <w:bookmarkStart w:id="63" w:name="_Toc5002"/>
      <w:r>
        <w:rPr>
          <w:rStyle w:val="28"/>
          <w:rFonts w:hint="eastAsia" w:ascii="黑体" w:hAnsi="黑体" w:eastAsia="黑体"/>
          <w:b w:val="0"/>
          <w:color w:val="auto"/>
          <w:highlight w:val="none"/>
        </w:rPr>
        <w:t>国有资本经营预算支出决算情况说明</w:t>
      </w:r>
      <w:bookmarkEnd w:id="61"/>
      <w:bookmarkEnd w:id="62"/>
      <w:bookmarkEnd w:id="63"/>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8"/>
          <w:rFonts w:hint="eastAsia" w:ascii="黑体" w:hAnsi="黑体" w:eastAsia="黑体"/>
          <w:b w:val="0"/>
          <w:color w:val="auto"/>
          <w:highlight w:val="none"/>
        </w:rPr>
      </w:pPr>
      <w:bookmarkStart w:id="64" w:name="_Toc15396612"/>
      <w:bookmarkStart w:id="65" w:name="_Toc24204"/>
      <w:bookmarkStart w:id="66" w:name="_Toc15377221"/>
      <w:r>
        <w:rPr>
          <w:rStyle w:val="28"/>
          <w:rFonts w:hint="eastAsia" w:ascii="黑体" w:hAnsi="黑体" w:eastAsia="黑体"/>
          <w:b w:val="0"/>
          <w:color w:val="auto"/>
          <w:highlight w:val="none"/>
        </w:rPr>
        <w:t>其他重要事项的情况说明</w:t>
      </w:r>
      <w:bookmarkEnd w:id="64"/>
      <w:bookmarkEnd w:id="65"/>
      <w:bookmarkEnd w:id="66"/>
    </w:p>
    <w:p>
      <w:pPr>
        <w:spacing w:line="600" w:lineRule="exact"/>
        <w:ind w:firstLine="643"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rPr>
          <w:rFonts w:hint="eastAsia" w:ascii="仿宋_GB2312" w:eastAsia="仿宋_GB2312"/>
          <w:color w:val="000000"/>
          <w:sz w:val="32"/>
          <w:szCs w:val="32"/>
        </w:rPr>
      </w:pPr>
      <w:bookmarkStart w:id="68" w:name="_Toc15377223"/>
      <w:r>
        <w:rPr>
          <w:rFonts w:hint="eastAsia" w:ascii="仿宋_GB2312" w:hAnsi="仿宋_GB2312" w:eastAsia="仿宋_GB2312"/>
          <w:color w:val="000000"/>
          <w:kern w:val="2"/>
          <w:sz w:val="32"/>
          <w:szCs w:val="24"/>
          <w:lang w:val="zh-CN"/>
        </w:rPr>
        <w:t>2023年，机关运行经费支出0万元，</w:t>
      </w:r>
      <w:bookmarkStart w:id="69" w:name="OLE_LINK8"/>
      <w:bookmarkStart w:id="70" w:name="OLE_LINK5"/>
      <w:bookmarkStart w:id="71" w:name="OLE_LINK6"/>
      <w:bookmarkStart w:id="72" w:name="OLE_LINK10"/>
      <w:bookmarkStart w:id="73" w:name="OLE_LINK4"/>
      <w:bookmarkStart w:id="74" w:name="OLE_LINK9"/>
      <w:bookmarkStart w:id="75" w:name="OLE_LINK3"/>
      <w:bookmarkStart w:id="76" w:name="OLE_LINK11"/>
      <w:bookmarkStart w:id="77" w:name="OLE_LINK7"/>
      <w:r>
        <w:rPr>
          <w:rFonts w:hint="eastAsia" w:ascii="仿宋_GB2312" w:eastAsia="仿宋_GB2312" w:cs="Times New Roman"/>
          <w:color w:val="auto"/>
          <w:sz w:val="32"/>
          <w:szCs w:val="32"/>
          <w:highlight w:val="none"/>
          <w:lang w:val="en-US" w:eastAsia="zh-CN"/>
        </w:rPr>
        <w:t>本单位是全额拨款事业单位，没有预算机关运行经费</w:t>
      </w:r>
      <w:bookmarkEnd w:id="69"/>
      <w:bookmarkEnd w:id="70"/>
      <w:bookmarkEnd w:id="71"/>
      <w:bookmarkEnd w:id="72"/>
      <w:bookmarkEnd w:id="73"/>
      <w:bookmarkEnd w:id="74"/>
      <w:bookmarkEnd w:id="75"/>
      <w:bookmarkEnd w:id="76"/>
      <w:bookmarkEnd w:id="77"/>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8"/>
    </w:p>
    <w:p>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78" w:name="_Toc15377224"/>
      <w:r>
        <w:rPr>
          <w:rFonts w:hint="eastAsia" w:ascii="仿宋_GB2312" w:hAnsi="仿宋_GB2312" w:eastAsia="仿宋_GB2312"/>
          <w:color w:val="000000"/>
          <w:kern w:val="2"/>
          <w:sz w:val="32"/>
          <w:szCs w:val="24"/>
          <w:lang w:val="zh-CN"/>
        </w:rPr>
        <w:t>2023年，遂宁市船山区河沙镇初级中学校无政府采购支出。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78"/>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olor w:val="000000"/>
          <w:kern w:val="2"/>
          <w:sz w:val="32"/>
          <w:szCs w:val="24"/>
          <w:lang w:val="zh-CN"/>
        </w:rPr>
        <w:t>遂宁市船山区河沙镇初级中学校共有车辆0辆，其中：副部（省）级及以上领导用车0辆、主要领导干部用车0辆、机要通信用车0辆、应急保障用车0辆、执法执勤用车0辆、特种专业技术用车0辆、离退休干部用车0辆、其他用车0辆。单价100万元（含）以上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根据预算绩效管理要求，本单位在2023年度预算编制阶段，</w:t>
      </w:r>
      <w:r>
        <w:rPr>
          <w:rFonts w:hint="eastAsia" w:ascii="仿宋_GB2312" w:hAnsi="仿宋_GB2312" w:eastAsia="仿宋_GB2312"/>
          <w:color w:val="000000"/>
          <w:kern w:val="2"/>
          <w:sz w:val="32"/>
          <w:szCs w:val="24"/>
          <w:lang w:val="en-US" w:eastAsia="zh-CN"/>
        </w:rPr>
        <w:t>无</w:t>
      </w:r>
      <w:r>
        <w:rPr>
          <w:rFonts w:hint="eastAsia" w:ascii="仿宋_GB2312" w:hAnsi="仿宋_GB2312" w:eastAsia="仿宋_GB2312"/>
          <w:color w:val="000000"/>
          <w:kern w:val="2"/>
          <w:sz w:val="32"/>
          <w:szCs w:val="24"/>
          <w:lang w:val="zh-CN"/>
        </w:rPr>
        <w:t>项目</w:t>
      </w:r>
      <w:r>
        <w:rPr>
          <w:rFonts w:hint="eastAsia" w:ascii="仿宋_GB2312" w:hAnsi="仿宋_GB2312" w:eastAsia="仿宋_GB2312"/>
          <w:color w:val="000000"/>
          <w:kern w:val="2"/>
          <w:sz w:val="32"/>
          <w:szCs w:val="24"/>
          <w:lang w:val="en-US" w:eastAsia="zh-CN"/>
        </w:rPr>
        <w:t>需</w:t>
      </w:r>
      <w:r>
        <w:rPr>
          <w:rFonts w:hint="eastAsia" w:ascii="仿宋_GB2312" w:hAnsi="仿宋_GB2312" w:eastAsia="仿宋_GB2312"/>
          <w:color w:val="000000"/>
          <w:kern w:val="2"/>
          <w:sz w:val="32"/>
          <w:szCs w:val="24"/>
          <w:lang w:val="zh-CN"/>
        </w:rPr>
        <w:t>开展预算事前绩效评估，</w:t>
      </w:r>
      <w:r>
        <w:rPr>
          <w:rFonts w:hint="eastAsia" w:ascii="仿宋_GB2312" w:hAnsi="仿宋_GB2312" w:eastAsia="仿宋_GB2312"/>
          <w:color w:val="000000"/>
          <w:kern w:val="2"/>
          <w:sz w:val="32"/>
          <w:szCs w:val="24"/>
          <w:lang w:val="en-US" w:eastAsia="zh-CN"/>
        </w:rPr>
        <w:t>故未开展预算绩效评估，组织</w:t>
      </w:r>
      <w:r>
        <w:rPr>
          <w:rFonts w:hint="eastAsia" w:ascii="仿宋_GB2312" w:hAnsi="仿宋_GB2312" w:eastAsia="仿宋_GB2312"/>
          <w:color w:val="000000"/>
          <w:kern w:val="2"/>
          <w:sz w:val="32"/>
          <w:szCs w:val="24"/>
          <w:lang w:val="zh-CN"/>
        </w:rPr>
        <w:t>对</w:t>
      </w:r>
      <w:r>
        <w:rPr>
          <w:rFonts w:hint="eastAsia" w:ascii="仿宋_GB2312" w:hAnsi="仿宋_GB2312" w:eastAsia="仿宋_GB2312"/>
          <w:color w:val="000000"/>
          <w:kern w:val="2"/>
          <w:sz w:val="32"/>
          <w:szCs w:val="24"/>
          <w:lang w:val="en-US" w:eastAsia="zh-CN"/>
        </w:rPr>
        <w:t>人员类、运转类、特定目标类等36</w:t>
      </w:r>
      <w:r>
        <w:rPr>
          <w:rFonts w:hint="eastAsia" w:ascii="仿宋_GB2312" w:hAnsi="仿宋_GB2312" w:eastAsia="仿宋_GB2312"/>
          <w:color w:val="000000"/>
          <w:kern w:val="2"/>
          <w:sz w:val="32"/>
          <w:szCs w:val="24"/>
          <w:lang w:val="zh-CN"/>
        </w:rPr>
        <w:t>个项目编制了绩效目标，预算执行过程中，选取</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个项目开展绩效监控，组织对四类学生课后服务补助经费（乡村振兴）、校医辅助岗工资</w:t>
      </w:r>
      <w:r>
        <w:rPr>
          <w:rFonts w:hint="eastAsia" w:ascii="仿宋_GB2312" w:hAnsi="仿宋_GB2312" w:eastAsia="仿宋_GB2312"/>
          <w:color w:val="000000"/>
          <w:kern w:val="2"/>
          <w:sz w:val="32"/>
          <w:szCs w:val="24"/>
          <w:lang w:val="en-US" w:eastAsia="zh-CN"/>
        </w:rPr>
        <w:t>等2</w:t>
      </w:r>
      <w:r>
        <w:rPr>
          <w:rFonts w:hint="eastAsia" w:ascii="仿宋_GB2312" w:hAnsi="仿宋_GB2312" w:eastAsia="仿宋_GB2312"/>
          <w:color w:val="000000"/>
          <w:kern w:val="2"/>
          <w:sz w:val="32"/>
          <w:szCs w:val="24"/>
          <w:lang w:val="zh-CN"/>
        </w:rPr>
        <w:t>个项目开展绩效自评，绩效自评表详见</w:t>
      </w:r>
      <w:r>
        <w:rPr>
          <w:rFonts w:hint="eastAsia" w:ascii="仿宋_GB2312" w:hAnsi="仿宋_GB2312" w:eastAsia="仿宋_GB2312"/>
          <w:color w:val="000000"/>
          <w:kern w:val="2"/>
          <w:sz w:val="32"/>
          <w:szCs w:val="24"/>
          <w:lang w:val="zh-CN" w:eastAsia="zh-CN"/>
        </w:rPr>
        <w:t>第四部分</w:t>
      </w:r>
      <w:r>
        <w:rPr>
          <w:rFonts w:hint="eastAsia" w:ascii="仿宋_GB2312" w:hAnsi="仿宋_GB2312" w:eastAsia="仿宋_GB2312"/>
          <w:color w:val="000000"/>
          <w:kern w:val="2"/>
          <w:sz w:val="32"/>
          <w:szCs w:val="24"/>
          <w:lang w:val="zh-CN"/>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79" w:name="_Toc15396613"/>
      <w:bookmarkStart w:id="80" w:name="_Toc15377225"/>
      <w:bookmarkStart w:id="81" w:name="_Toc8391"/>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79"/>
      <w:bookmarkEnd w:id="80"/>
      <w:bookmarkEnd w:id="81"/>
    </w:p>
    <w:p>
      <w:pPr>
        <w:spacing w:line="600" w:lineRule="exact"/>
        <w:jc w:val="left"/>
        <w:rPr>
          <w:rFonts w:ascii="宋体"/>
          <w:b/>
          <w:color w:val="auto"/>
          <w:sz w:val="44"/>
          <w:szCs w:val="44"/>
          <w:highlight w:val="none"/>
        </w:rPr>
      </w:pPr>
    </w:p>
    <w:p>
      <w:pPr>
        <w:pStyle w:val="25"/>
        <w:spacing w:line="360" w:lineRule="auto"/>
        <w:ind w:firstLine="640" w:firstLineChars="200"/>
        <w:outlineLvl w:val="1"/>
        <w:rPr>
          <w:rFonts w:hAnsi="仿宋"/>
          <w:sz w:val="32"/>
          <w:szCs w:val="32"/>
        </w:rPr>
      </w:pPr>
      <w:bookmarkStart w:id="82" w:name="_Toc14079"/>
      <w:bookmarkStart w:id="83" w:name="_Toc15377226"/>
      <w:r>
        <w:rPr>
          <w:rFonts w:hint="eastAsia" w:hAnsi="仿宋"/>
          <w:sz w:val="32"/>
          <w:szCs w:val="32"/>
        </w:rPr>
        <w:t>1.财政拨款收入：指单位从同级财政部门取得的财政预算资金。</w:t>
      </w:r>
      <w:bookmarkEnd w:id="82"/>
    </w:p>
    <w:p>
      <w:pPr>
        <w:pStyle w:val="25"/>
        <w:spacing w:line="360" w:lineRule="auto"/>
        <w:ind w:firstLine="640" w:firstLineChars="200"/>
        <w:rPr>
          <w:rFonts w:hAnsi="仿宋"/>
          <w:sz w:val="32"/>
          <w:szCs w:val="32"/>
        </w:rPr>
      </w:pPr>
      <w:r>
        <w:rPr>
          <w:rFonts w:hint="eastAsia" w:hAnsi="仿宋"/>
          <w:sz w:val="32"/>
          <w:szCs w:val="32"/>
        </w:rPr>
        <w:t>2.事业收入：指事业单位开展专业业务活动及辅助活动取得的收入。如学前教育保教费收入等。</w:t>
      </w:r>
    </w:p>
    <w:p>
      <w:pPr>
        <w:pStyle w:val="25"/>
        <w:spacing w:line="360" w:lineRule="auto"/>
        <w:ind w:firstLine="640" w:firstLineChars="200"/>
        <w:rPr>
          <w:rFonts w:hAnsi="仿宋"/>
          <w:sz w:val="32"/>
          <w:szCs w:val="32"/>
        </w:rPr>
      </w:pPr>
      <w:r>
        <w:rPr>
          <w:rFonts w:hint="eastAsia" w:hAnsi="仿宋"/>
          <w:sz w:val="32"/>
          <w:szCs w:val="32"/>
        </w:rPr>
        <w:t xml:space="preserve">3.其他收入：指单位取得的除上述收入以外的各项收入。主要是利息收入、捐赠收入等。 </w:t>
      </w:r>
    </w:p>
    <w:p>
      <w:pPr>
        <w:pStyle w:val="25"/>
        <w:spacing w:line="360" w:lineRule="auto"/>
        <w:ind w:firstLine="640" w:firstLineChars="200"/>
        <w:rPr>
          <w:rFonts w:hAnsi="仿宋"/>
          <w:sz w:val="32"/>
          <w:szCs w:val="32"/>
        </w:rPr>
      </w:pPr>
      <w:r>
        <w:rPr>
          <w:rFonts w:hint="eastAsia" w:hAnsi="仿宋"/>
          <w:sz w:val="32"/>
          <w:szCs w:val="32"/>
        </w:rPr>
        <w:t xml:space="preserve">4.年初结转和结余：指以前年度尚未完成、结转到本年按有关规定继续使用的资金。 </w:t>
      </w:r>
    </w:p>
    <w:p>
      <w:pPr>
        <w:pStyle w:val="25"/>
        <w:spacing w:line="360" w:lineRule="auto"/>
        <w:ind w:firstLine="640" w:firstLineChars="200"/>
        <w:rPr>
          <w:rFonts w:hAnsi="仿宋"/>
          <w:sz w:val="32"/>
          <w:szCs w:val="32"/>
        </w:rPr>
      </w:pPr>
      <w:r>
        <w:rPr>
          <w:rFonts w:hint="eastAsia" w:hAnsi="仿宋"/>
          <w:sz w:val="32"/>
          <w:szCs w:val="32"/>
        </w:rPr>
        <w:t>5.结余分配：指事业单位按照事业单位会计制度的规定从非财政补助结余中分配的事业基金和职工福利基金等。</w:t>
      </w:r>
    </w:p>
    <w:p>
      <w:pPr>
        <w:pStyle w:val="25"/>
        <w:spacing w:line="360" w:lineRule="auto"/>
        <w:ind w:firstLine="640" w:firstLineChars="200"/>
        <w:rPr>
          <w:rFonts w:hAnsi="仿宋"/>
          <w:sz w:val="32"/>
          <w:szCs w:val="32"/>
        </w:rPr>
      </w:pPr>
      <w:r>
        <w:rPr>
          <w:rFonts w:hint="eastAsia" w:hAnsi="仿宋"/>
          <w:sz w:val="32"/>
          <w:szCs w:val="32"/>
        </w:rPr>
        <w:t>6</w:t>
      </w:r>
      <w:r>
        <w:rPr>
          <w:rFonts w:hint="eastAsia" w:hAnsi="仿宋"/>
          <w:sz w:val="32"/>
          <w:szCs w:val="32"/>
          <w:lang w:eastAsia="zh-CN"/>
        </w:rPr>
        <w:t>.</w:t>
      </w:r>
      <w:r>
        <w:rPr>
          <w:rFonts w:hint="eastAsia" w:hAnsi="仿宋"/>
          <w:sz w:val="32"/>
          <w:szCs w:val="32"/>
        </w:rPr>
        <w:t>年末结转和结余：指单位按有关规定结转到下年或以后年度继续使用的资金。</w:t>
      </w:r>
    </w:p>
    <w:p>
      <w:pPr>
        <w:spacing w:line="360" w:lineRule="auto"/>
        <w:ind w:firstLine="640" w:firstLineChars="200"/>
        <w:rPr>
          <w:rStyle w:val="16"/>
          <w:rFonts w:ascii="仿宋" w:hAnsi="仿宋" w:eastAsia="仿宋" w:cs="仿宋"/>
          <w:b w:val="0"/>
          <w:color w:val="000000"/>
          <w:sz w:val="32"/>
          <w:szCs w:val="32"/>
        </w:rPr>
      </w:pPr>
      <w:r>
        <w:rPr>
          <w:rStyle w:val="16"/>
          <w:rFonts w:hint="eastAsia" w:ascii="仿宋" w:hAnsi="仿宋" w:eastAsia="仿宋" w:cs="仿宋"/>
          <w:b w:val="0"/>
          <w:color w:val="000000"/>
          <w:sz w:val="32"/>
          <w:szCs w:val="32"/>
        </w:rPr>
        <w:t>7.教育（类）普通教育（款）学前教育（项）: 反映各部门举办的学前教育支出。</w:t>
      </w:r>
    </w:p>
    <w:p>
      <w:pPr>
        <w:pStyle w:val="5"/>
        <w:spacing w:line="360" w:lineRule="auto"/>
        <w:ind w:firstLine="640" w:firstLineChars="200"/>
        <w:rPr>
          <w:rFonts w:ascii="仿宋" w:hAnsi="仿宋" w:eastAsia="仿宋" w:cs="仿宋"/>
          <w:sz w:val="32"/>
          <w:szCs w:val="32"/>
        </w:rPr>
      </w:pPr>
      <w:r>
        <w:rPr>
          <w:rStyle w:val="16"/>
          <w:rFonts w:hint="eastAsia" w:ascii="仿宋" w:hAnsi="仿宋" w:eastAsia="仿宋" w:cs="仿宋"/>
          <w:b w:val="0"/>
          <w:bCs/>
          <w:color w:val="000000"/>
          <w:sz w:val="32"/>
          <w:szCs w:val="32"/>
        </w:rPr>
        <w:t>8</w:t>
      </w:r>
      <w:r>
        <w:rPr>
          <w:rStyle w:val="16"/>
          <w:rFonts w:hint="eastAsia" w:ascii="仿宋" w:hAnsi="仿宋" w:eastAsia="仿宋" w:cs="仿宋"/>
          <w:b w:val="0"/>
          <w:bCs/>
          <w:color w:val="000000"/>
          <w:sz w:val="32"/>
          <w:szCs w:val="32"/>
          <w:lang w:eastAsia="zh-CN"/>
        </w:rPr>
        <w:t>.</w:t>
      </w:r>
      <w:r>
        <w:rPr>
          <w:rStyle w:val="16"/>
          <w:rFonts w:hint="eastAsia" w:ascii="仿宋" w:hAnsi="仿宋" w:eastAsia="仿宋" w:cs="仿宋"/>
          <w:b w:val="0"/>
          <w:bCs/>
          <w:color w:val="000000"/>
          <w:sz w:val="32"/>
          <w:szCs w:val="32"/>
        </w:rPr>
        <w:t>社会保障和就业（类）行政事业单位养老（款）机关事业单位基本养老保险缴费支出（项）:</w:t>
      </w:r>
      <w:r>
        <w:rPr>
          <w:rFonts w:hint="eastAsia" w:ascii="仿宋" w:hAnsi="仿宋" w:eastAsia="仿宋" w:cs="仿宋"/>
          <w:bCs/>
          <w:color w:val="000000"/>
          <w:kern w:val="0"/>
          <w:sz w:val="32"/>
          <w:szCs w:val="32"/>
        </w:rPr>
        <w:t>机关事业单位实施养老保险制度由单位缴纳的养老保险费的</w:t>
      </w:r>
      <w:r>
        <w:rPr>
          <w:rFonts w:hint="eastAsia" w:ascii="仿宋" w:hAnsi="仿宋" w:eastAsia="仿宋" w:cs="仿宋"/>
          <w:color w:val="000000"/>
          <w:kern w:val="0"/>
          <w:sz w:val="32"/>
          <w:szCs w:val="32"/>
        </w:rPr>
        <w:t>支出。</w:t>
      </w:r>
    </w:p>
    <w:p>
      <w:pPr>
        <w:spacing w:line="360" w:lineRule="auto"/>
        <w:ind w:firstLine="640" w:firstLineChars="200"/>
        <w:rPr>
          <w:rStyle w:val="16"/>
          <w:rFonts w:hint="default" w:ascii="仿宋" w:hAnsi="仿宋" w:eastAsia="仿宋" w:cs="仿宋"/>
          <w:b w:val="0"/>
          <w:color w:val="000000"/>
          <w:sz w:val="32"/>
          <w:szCs w:val="32"/>
          <w:lang w:val="en-US" w:eastAsia="zh-CN"/>
        </w:rPr>
      </w:pPr>
      <w:r>
        <w:rPr>
          <w:rStyle w:val="16"/>
          <w:rFonts w:hint="eastAsia" w:ascii="仿宋" w:hAnsi="仿宋" w:eastAsia="仿宋" w:cs="仿宋"/>
          <w:b w:val="0"/>
          <w:color w:val="000000"/>
          <w:sz w:val="32"/>
          <w:szCs w:val="32"/>
          <w:lang w:val="en-US" w:eastAsia="zh-CN"/>
        </w:rPr>
        <w:t>9</w:t>
      </w:r>
      <w:r>
        <w:rPr>
          <w:rStyle w:val="16"/>
          <w:rFonts w:hint="eastAsia" w:ascii="仿宋" w:hAnsi="仿宋" w:eastAsia="仿宋" w:cs="仿宋"/>
          <w:b w:val="0"/>
          <w:bCs w:val="0"/>
          <w:color w:val="000000"/>
          <w:sz w:val="32"/>
          <w:szCs w:val="32"/>
          <w:lang w:val="en-US" w:eastAsia="zh-CN"/>
        </w:rPr>
        <w:t>.</w:t>
      </w:r>
      <w:r>
        <w:rPr>
          <w:rStyle w:val="16"/>
          <w:rFonts w:hint="eastAsia" w:ascii="仿宋" w:hAnsi="仿宋" w:eastAsia="仿宋" w:cs="仿宋"/>
          <w:b w:val="0"/>
          <w:bCs w:val="0"/>
          <w:sz w:val="32"/>
          <w:szCs w:val="32"/>
        </w:rPr>
        <w:t>社会保障和就业</w:t>
      </w:r>
      <w:r>
        <w:rPr>
          <w:rStyle w:val="16"/>
          <w:rFonts w:hint="eastAsia" w:ascii="仿宋" w:hAnsi="仿宋" w:eastAsia="仿宋" w:cs="仿宋"/>
          <w:b w:val="0"/>
          <w:bCs w:val="0"/>
          <w:sz w:val="32"/>
          <w:szCs w:val="32"/>
          <w:lang w:eastAsia="zh-CN"/>
        </w:rPr>
        <w:t>（</w:t>
      </w:r>
      <w:r>
        <w:rPr>
          <w:rStyle w:val="16"/>
          <w:rFonts w:hint="eastAsia" w:ascii="仿宋" w:hAnsi="仿宋" w:eastAsia="仿宋" w:cs="仿宋"/>
          <w:b w:val="0"/>
          <w:bCs w:val="0"/>
          <w:sz w:val="32"/>
          <w:szCs w:val="32"/>
          <w:lang w:val="en-US" w:eastAsia="zh-CN"/>
        </w:rPr>
        <w:t>类）残疾人事业（款）残疾人就业支出（项）：反映残疾人</w:t>
      </w:r>
      <w:r>
        <w:rPr>
          <w:rFonts w:hint="eastAsia" w:ascii="仿宋" w:hAnsi="仿宋" w:eastAsia="仿宋" w:cs="仿宋"/>
          <w:bCs/>
          <w:color w:val="000000"/>
          <w:kern w:val="0"/>
          <w:sz w:val="32"/>
          <w:szCs w:val="32"/>
          <w:lang w:val="en-US" w:eastAsia="zh-CN"/>
        </w:rPr>
        <w:t>就业方面支出。</w:t>
      </w:r>
    </w:p>
    <w:p>
      <w:pPr>
        <w:spacing w:line="360" w:lineRule="auto"/>
        <w:ind w:firstLine="640" w:firstLineChars="200"/>
        <w:rPr>
          <w:rStyle w:val="16"/>
          <w:rFonts w:hint="eastAsia" w:ascii="仿宋" w:hAnsi="仿宋" w:eastAsia="仿宋" w:cs="仿宋"/>
          <w:b w:val="0"/>
          <w:color w:val="000000"/>
          <w:sz w:val="32"/>
          <w:szCs w:val="32"/>
        </w:rPr>
      </w:pPr>
    </w:p>
    <w:p>
      <w:pPr>
        <w:spacing w:line="360" w:lineRule="auto"/>
        <w:ind w:firstLine="640" w:firstLineChars="200"/>
        <w:rPr>
          <w:rStyle w:val="16"/>
          <w:rFonts w:ascii="仿宋" w:hAnsi="仿宋" w:eastAsia="仿宋" w:cs="仿宋"/>
          <w:b w:val="0"/>
          <w:color w:val="000000"/>
          <w:sz w:val="32"/>
          <w:szCs w:val="32"/>
        </w:rPr>
      </w:pPr>
      <w:r>
        <w:rPr>
          <w:rStyle w:val="16"/>
          <w:rFonts w:hint="eastAsia" w:ascii="仿宋" w:hAnsi="仿宋" w:eastAsia="仿宋" w:cs="仿宋"/>
          <w:b w:val="0"/>
          <w:color w:val="000000"/>
          <w:sz w:val="32"/>
          <w:szCs w:val="32"/>
          <w:lang w:val="en-US" w:eastAsia="zh-CN"/>
        </w:rPr>
        <w:t>10.</w:t>
      </w:r>
      <w:r>
        <w:rPr>
          <w:rStyle w:val="16"/>
          <w:rFonts w:hint="eastAsia" w:ascii="仿宋" w:hAnsi="仿宋" w:eastAsia="仿宋" w:cs="仿宋"/>
          <w:b w:val="0"/>
          <w:color w:val="000000"/>
          <w:sz w:val="32"/>
          <w:szCs w:val="32"/>
        </w:rPr>
        <w:t>社会保障和就业（类）其他社会保障和就业支出（款）其他社会保障和就业支出（项）: 反映上述项目以外</w:t>
      </w:r>
      <w:r>
        <w:rPr>
          <w:rStyle w:val="16"/>
          <w:rFonts w:hint="eastAsia" w:ascii="仿宋" w:hAnsi="仿宋" w:eastAsia="仿宋" w:cs="仿宋"/>
          <w:b w:val="0"/>
          <w:color w:val="000000"/>
          <w:sz w:val="32"/>
          <w:szCs w:val="32"/>
          <w:lang w:eastAsia="zh-CN"/>
        </w:rPr>
        <w:t>其他用于</w:t>
      </w:r>
      <w:r>
        <w:rPr>
          <w:rStyle w:val="16"/>
          <w:rFonts w:hint="eastAsia" w:ascii="仿宋" w:hAnsi="仿宋" w:eastAsia="仿宋" w:cs="仿宋"/>
          <w:b w:val="0"/>
          <w:color w:val="000000"/>
          <w:sz w:val="32"/>
          <w:szCs w:val="32"/>
        </w:rPr>
        <w:t>社会保障和就业方面的支出。</w:t>
      </w:r>
    </w:p>
    <w:p>
      <w:pPr>
        <w:spacing w:line="360" w:lineRule="auto"/>
        <w:ind w:firstLine="640" w:firstLineChars="200"/>
        <w:rPr>
          <w:rStyle w:val="16"/>
          <w:rFonts w:ascii="仿宋" w:hAnsi="仿宋" w:eastAsia="仿宋" w:cs="仿宋"/>
          <w:b w:val="0"/>
          <w:color w:val="000000"/>
          <w:sz w:val="32"/>
          <w:szCs w:val="32"/>
        </w:rPr>
      </w:pPr>
      <w:r>
        <w:rPr>
          <w:rStyle w:val="16"/>
          <w:rFonts w:hint="eastAsia" w:ascii="仿宋" w:hAnsi="仿宋" w:eastAsia="仿宋" w:cs="仿宋"/>
          <w:b w:val="0"/>
          <w:color w:val="000000"/>
          <w:sz w:val="32"/>
          <w:szCs w:val="32"/>
        </w:rPr>
        <w:t>1</w:t>
      </w:r>
      <w:r>
        <w:rPr>
          <w:rStyle w:val="16"/>
          <w:rFonts w:hint="eastAsia" w:ascii="仿宋" w:hAnsi="仿宋" w:eastAsia="仿宋" w:cs="仿宋"/>
          <w:b w:val="0"/>
          <w:color w:val="000000"/>
          <w:sz w:val="32"/>
          <w:szCs w:val="32"/>
          <w:lang w:val="en-US" w:eastAsia="zh-CN"/>
        </w:rPr>
        <w:t>1.</w:t>
      </w:r>
      <w:r>
        <w:rPr>
          <w:rStyle w:val="16"/>
          <w:rFonts w:hint="eastAsia" w:ascii="仿宋" w:hAnsi="仿宋" w:eastAsia="仿宋" w:cs="仿宋"/>
          <w:b w:val="0"/>
          <w:color w:val="000000"/>
          <w:sz w:val="32"/>
          <w:szCs w:val="32"/>
        </w:rPr>
        <w:t>医疗卫生与计划生育（类）行政事业单位医疗（款）事业单位医疗（项）:反映财政部门集中安排的事业单位基本医疗保险缴费经费，未参加医疗保险的事业单位的公费医疗经费，按国家规定享受离休人员待遇的医疗经费。</w:t>
      </w:r>
    </w:p>
    <w:p>
      <w:pPr>
        <w:spacing w:line="360" w:lineRule="auto"/>
        <w:ind w:firstLine="640" w:firstLineChars="200"/>
        <w:rPr>
          <w:rStyle w:val="16"/>
          <w:rFonts w:ascii="仿宋" w:hAnsi="仿宋" w:eastAsia="仿宋" w:cs="仿宋"/>
          <w:b w:val="0"/>
          <w:color w:val="000000"/>
          <w:sz w:val="32"/>
          <w:szCs w:val="32"/>
        </w:rPr>
      </w:pPr>
      <w:r>
        <w:rPr>
          <w:rStyle w:val="16"/>
          <w:rFonts w:hint="eastAsia" w:ascii="仿宋" w:hAnsi="仿宋" w:eastAsia="仿宋" w:cs="仿宋"/>
          <w:b w:val="0"/>
          <w:color w:val="000000"/>
          <w:sz w:val="32"/>
          <w:szCs w:val="32"/>
        </w:rPr>
        <w:t>1</w:t>
      </w:r>
      <w:r>
        <w:rPr>
          <w:rStyle w:val="16"/>
          <w:rFonts w:hint="eastAsia" w:ascii="仿宋" w:hAnsi="仿宋" w:eastAsia="仿宋" w:cs="仿宋"/>
          <w:b w:val="0"/>
          <w:color w:val="000000"/>
          <w:sz w:val="32"/>
          <w:szCs w:val="32"/>
          <w:lang w:val="en-US" w:eastAsia="zh-CN"/>
        </w:rPr>
        <w:t>2.</w:t>
      </w:r>
      <w:r>
        <w:rPr>
          <w:rStyle w:val="16"/>
          <w:rFonts w:hint="eastAsia" w:ascii="仿宋" w:hAnsi="仿宋" w:eastAsia="仿宋" w:cs="仿宋"/>
          <w:b w:val="0"/>
          <w:color w:val="000000"/>
          <w:sz w:val="32"/>
          <w:szCs w:val="32"/>
        </w:rPr>
        <w:t>医疗卫生与计划生育（类）行政事业单位医疗（款）公务员医疗补助（项）:反映财政部门集中安排的公务员医疗补助经费。</w:t>
      </w:r>
    </w:p>
    <w:p>
      <w:pPr>
        <w:spacing w:line="360" w:lineRule="auto"/>
        <w:ind w:firstLine="640" w:firstLineChars="200"/>
        <w:rPr>
          <w:rStyle w:val="16"/>
          <w:rFonts w:ascii="仿宋" w:hAnsi="仿宋" w:eastAsia="仿宋" w:cs="仿宋"/>
          <w:b w:val="0"/>
          <w:color w:val="000000"/>
          <w:sz w:val="32"/>
          <w:szCs w:val="32"/>
        </w:rPr>
      </w:pPr>
      <w:r>
        <w:rPr>
          <w:rStyle w:val="16"/>
          <w:rFonts w:hint="eastAsia" w:ascii="仿宋" w:hAnsi="仿宋" w:eastAsia="仿宋" w:cs="仿宋"/>
          <w:b w:val="0"/>
          <w:color w:val="000000"/>
          <w:sz w:val="32"/>
          <w:szCs w:val="32"/>
        </w:rPr>
        <w:t>1</w:t>
      </w:r>
      <w:r>
        <w:rPr>
          <w:rStyle w:val="16"/>
          <w:rFonts w:hint="eastAsia" w:ascii="仿宋" w:hAnsi="仿宋" w:eastAsia="仿宋" w:cs="仿宋"/>
          <w:b w:val="0"/>
          <w:color w:val="000000"/>
          <w:sz w:val="32"/>
          <w:szCs w:val="32"/>
          <w:lang w:val="en-US" w:eastAsia="zh-CN"/>
        </w:rPr>
        <w:t>3.</w:t>
      </w:r>
      <w:r>
        <w:rPr>
          <w:rStyle w:val="16"/>
          <w:rFonts w:hint="eastAsia" w:ascii="仿宋" w:hAnsi="仿宋" w:eastAsia="仿宋" w:cs="仿宋"/>
          <w:b w:val="0"/>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项目支出：指在基本支出之外为完成特定行政任务和事业发展目标所发生的支出。 </w:t>
      </w:r>
    </w:p>
    <w:p>
      <w:pPr>
        <w:pStyle w:val="25"/>
        <w:spacing w:line="360" w:lineRule="auto"/>
        <w:ind w:firstLine="640" w:firstLineChars="200"/>
        <w:rPr>
          <w:rFonts w:hAnsi="仿宋"/>
          <w:sz w:val="32"/>
          <w:szCs w:val="32"/>
        </w:rPr>
      </w:pPr>
      <w:r>
        <w:rPr>
          <w:rFonts w:hint="eastAsia" w:hAnsi="仿宋"/>
          <w:sz w:val="32"/>
          <w:szCs w:val="32"/>
        </w:rPr>
        <w:t>1</w:t>
      </w:r>
      <w:r>
        <w:rPr>
          <w:rFonts w:hint="eastAsia" w:hAnsi="仿宋"/>
          <w:sz w:val="32"/>
          <w:szCs w:val="32"/>
          <w:lang w:val="en-US" w:eastAsia="zh-CN"/>
        </w:rPr>
        <w:t>6.</w:t>
      </w:r>
      <w:r>
        <w:rPr>
          <w:rFonts w:hint="eastAsia" w:hAnsi="仿宋"/>
          <w:sz w:val="32"/>
          <w:szCs w:val="32"/>
        </w:rPr>
        <w:t>工资福利：反映单位开支的在职职工和编制外长期聘用人员的各类劳动报酬，以及为上述人员缴纳的各项社会保险费等。</w:t>
      </w:r>
    </w:p>
    <w:p>
      <w:pPr>
        <w:pStyle w:val="25"/>
        <w:spacing w:line="360" w:lineRule="auto"/>
        <w:ind w:firstLine="640" w:firstLineChars="200"/>
        <w:rPr>
          <w:rFonts w:hAnsi="仿宋"/>
          <w:sz w:val="32"/>
          <w:szCs w:val="32"/>
        </w:rPr>
      </w:pPr>
      <w:r>
        <w:rPr>
          <w:rFonts w:hint="eastAsia" w:hAnsi="仿宋"/>
          <w:sz w:val="32"/>
          <w:szCs w:val="32"/>
        </w:rPr>
        <w:t>1</w:t>
      </w:r>
      <w:r>
        <w:rPr>
          <w:rFonts w:hint="eastAsia" w:hAnsi="仿宋"/>
          <w:sz w:val="32"/>
          <w:szCs w:val="32"/>
          <w:lang w:val="en-US" w:eastAsia="zh-CN"/>
        </w:rPr>
        <w:t>7.</w:t>
      </w:r>
      <w:r>
        <w:rPr>
          <w:rFonts w:hint="eastAsia" w:hAnsi="仿宋"/>
          <w:sz w:val="32"/>
          <w:szCs w:val="32"/>
        </w:rPr>
        <w:t>商品和服务：反映单位购买商品和服务的支出，不包括用于购置固定资产、战略性和应急性物资储备等资本支出。</w:t>
      </w:r>
    </w:p>
    <w:p>
      <w:pPr>
        <w:pStyle w:val="25"/>
        <w:spacing w:line="360" w:lineRule="auto"/>
        <w:ind w:firstLine="640" w:firstLineChars="200"/>
        <w:outlineLvl w:val="1"/>
        <w:rPr>
          <w:rFonts w:hint="eastAsia" w:hAnsi="仿宋"/>
          <w:sz w:val="32"/>
          <w:szCs w:val="32"/>
        </w:rPr>
      </w:pPr>
      <w:bookmarkStart w:id="84" w:name="_Toc18824"/>
      <w:r>
        <w:rPr>
          <w:rFonts w:hint="eastAsia" w:hAnsi="仿宋"/>
          <w:sz w:val="32"/>
          <w:szCs w:val="32"/>
        </w:rPr>
        <w:t>1</w:t>
      </w:r>
      <w:r>
        <w:rPr>
          <w:rFonts w:hint="eastAsia" w:hAnsi="仿宋"/>
          <w:sz w:val="32"/>
          <w:szCs w:val="32"/>
          <w:lang w:val="en-US" w:eastAsia="zh-CN"/>
        </w:rPr>
        <w:t>8.</w:t>
      </w:r>
      <w:r>
        <w:rPr>
          <w:rFonts w:hint="eastAsia" w:hAnsi="仿宋"/>
          <w:sz w:val="32"/>
          <w:szCs w:val="32"/>
        </w:rPr>
        <w:t>对个人和家庭的补助：反映政府用于</w:t>
      </w:r>
      <w:r>
        <w:rPr>
          <w:rFonts w:hint="eastAsia" w:hAnsi="仿宋"/>
          <w:sz w:val="32"/>
          <w:szCs w:val="32"/>
          <w:lang w:eastAsia="zh-CN"/>
        </w:rPr>
        <w:t>对个人和家庭</w:t>
      </w:r>
      <w:r>
        <w:rPr>
          <w:rFonts w:hint="eastAsia" w:hAnsi="仿宋"/>
          <w:sz w:val="32"/>
          <w:szCs w:val="32"/>
        </w:rPr>
        <w:t>的补助支出。</w:t>
      </w:r>
      <w:bookmarkEnd w:id="84"/>
    </w:p>
    <w:p>
      <w:pPr>
        <w:pStyle w:val="25"/>
        <w:spacing w:line="360" w:lineRule="auto"/>
        <w:ind w:firstLine="640" w:firstLineChars="200"/>
        <w:outlineLvl w:val="1"/>
        <w:rPr>
          <w:rFonts w:hint="eastAsia" w:hAnsi="仿宋"/>
          <w:sz w:val="32"/>
          <w:szCs w:val="32"/>
        </w:rPr>
      </w:pPr>
      <w:bookmarkStart w:id="85" w:name="_Toc3722"/>
      <w:r>
        <w:rPr>
          <w:rFonts w:hint="eastAsia" w:hAnsi="仿宋"/>
          <w:sz w:val="32"/>
          <w:szCs w:val="32"/>
          <w:lang w:val="en-US" w:eastAsia="zh-CN"/>
        </w:rPr>
        <w:t>19</w:t>
      </w:r>
      <w:r>
        <w:rPr>
          <w:rFonts w:hint="eastAsia" w:hAnsi="仿宋"/>
          <w:sz w:val="32"/>
          <w:szCs w:val="32"/>
        </w:rPr>
        <w:t>.农林水支出（类）巩固脱贫衔接乡村振兴（款）其他巩固脱贫衔接乡村振兴支出（项）:指反映除上述</w:t>
      </w:r>
      <w:r>
        <w:rPr>
          <w:rFonts w:hint="eastAsia" w:hAnsi="仿宋"/>
          <w:sz w:val="32"/>
          <w:szCs w:val="32"/>
          <w:lang w:eastAsia="zh-CN"/>
        </w:rPr>
        <w:t>项目以外其他</w:t>
      </w:r>
      <w:r>
        <w:rPr>
          <w:rFonts w:hint="eastAsia" w:hAnsi="仿宋"/>
          <w:sz w:val="32"/>
          <w:szCs w:val="32"/>
        </w:rPr>
        <w:t>用于扶贫方面的支出。</w:t>
      </w:r>
      <w:bookmarkEnd w:id="85"/>
    </w:p>
    <w:p>
      <w:pPr>
        <w:spacing w:line="600" w:lineRule="exact"/>
        <w:jc w:val="center"/>
        <w:outlineLvl w:val="0"/>
        <w:rPr>
          <w:rStyle w:val="27"/>
          <w:rFonts w:ascii="黑体" w:hAnsi="黑体" w:eastAsia="黑体"/>
          <w:b w:val="0"/>
          <w:color w:val="auto"/>
          <w:highlight w:val="none"/>
        </w:rPr>
      </w:pPr>
      <w:r>
        <w:rPr>
          <w:rFonts w:ascii="宋体"/>
          <w:b/>
          <w:color w:val="auto"/>
          <w:sz w:val="44"/>
          <w:szCs w:val="44"/>
          <w:highlight w:val="none"/>
        </w:rPr>
        <w:br w:type="page"/>
      </w:r>
      <w:bookmarkStart w:id="86" w:name="_Toc5409"/>
      <w:bookmarkStart w:id="87"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86"/>
      <w:bookmarkEnd w:id="87"/>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76"/>
        <w:gridCol w:w="907"/>
        <w:gridCol w:w="1204"/>
        <w:gridCol w:w="396"/>
        <w:gridCol w:w="849"/>
        <w:gridCol w:w="396"/>
        <w:gridCol w:w="847"/>
        <w:gridCol w:w="487"/>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51090322T000005897025-四类学生课后服务补助经费（乡村振兴）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8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四川省遂宁市船山区河沙镇初级中学校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为四类学生课后服务提供保障经费，减免四类学生课后服务费，保障课后服务顺利开展。</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在年度内较好地完成了年度目标任务。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学年初做好四类学生的摸底工作，接下来收集相应的资料保存归档。根据相应人数申报四类学生课后</w:t>
            </w:r>
            <w:r>
              <w:rPr>
                <w:rFonts w:hint="eastAsia" w:ascii="宋体" w:hAnsi="宋体" w:cs="宋体"/>
                <w:i w:val="0"/>
                <w:iCs w:val="0"/>
                <w:color w:val="000000"/>
                <w:sz w:val="18"/>
                <w:szCs w:val="18"/>
                <w:u w:val="none"/>
                <w:lang w:eastAsia="zh-CN"/>
              </w:rPr>
              <w:t>服务保障经费</w:t>
            </w:r>
            <w:r>
              <w:rPr>
                <w:rFonts w:hint="eastAsia" w:ascii="宋体" w:hAnsi="宋体" w:eastAsia="宋体" w:cs="宋体"/>
                <w:i w:val="0"/>
                <w:iCs w:val="0"/>
                <w:color w:val="000000"/>
                <w:sz w:val="18"/>
                <w:szCs w:val="18"/>
                <w:u w:val="none"/>
              </w:rPr>
              <w:t>，减免四类学生课后服务费。然后将每期的保障经费运用到位，保证四类学生课后服务顺利开展。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资金支付准确率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管理机制健全性资金支付率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学生、家长满意度调查</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学校将项目资金全部用于四类学生课后服务保障，未截留或挪作他用。通过政府预算的四类学生课后服务保障补助资金，有效地解决了四类学生课后服务资金的问题，让每一个学生都能在学校安心学习，保证了学生的身心健康。维护学校教育教学秩序，学生全心读书，此项工作让学生满意、家长满意、社会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由于区财政资金紧张，补助标准需提高。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项目负责人：陈龙</w:t>
            </w:r>
          </w:p>
        </w:tc>
        <w:tc>
          <w:tcPr>
            <w:tcW w:w="4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财务负责人：唐文君</w:t>
            </w:r>
          </w:p>
        </w:tc>
      </w:tr>
    </w:tbl>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pStyle w:val="6"/>
        <w:rPr>
          <w:rFonts w:hint="eastAsia" w:ascii="仿宋_GB2312" w:hAnsi="Calibri" w:eastAsia="仿宋_GB2312" w:cs="仿宋"/>
          <w:color w:val="auto"/>
          <w:kern w:val="0"/>
          <w:sz w:val="32"/>
          <w:szCs w:val="32"/>
          <w:highlight w:val="none"/>
          <w:lang w:val="en-US" w:eastAsia="zh-CN" w:bidi="ar-SA"/>
        </w:rPr>
      </w:pPr>
      <w:bookmarkStart w:id="88" w:name="_Toc15396618"/>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06"/>
        <w:gridCol w:w="842"/>
        <w:gridCol w:w="1128"/>
        <w:gridCol w:w="396"/>
        <w:gridCol w:w="782"/>
        <w:gridCol w:w="756"/>
        <w:gridCol w:w="846"/>
        <w:gridCol w:w="486"/>
        <w:gridCol w:w="396"/>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51090323T000009010909-校医辅助岗工资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四川省遂宁市船山区河沙镇初级中学校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firstLineChars="200"/>
              <w:rPr>
                <w:rFonts w:hint="eastAsia" w:ascii="Times New Roman" w:hAnsi="Times New Roman" w:eastAsia="仿宋_GB2312"/>
                <w:sz w:val="32"/>
                <w:lang w:val="en-US" w:eastAsia="zh-CN"/>
              </w:rPr>
            </w:pPr>
            <w:r>
              <w:rPr>
                <w:rFonts w:hint="eastAsia" w:ascii="宋体" w:hAnsi="宋体" w:eastAsia="宋体" w:cs="宋体"/>
                <w:i w:val="0"/>
                <w:iCs w:val="0"/>
                <w:color w:val="000000"/>
                <w:kern w:val="0"/>
                <w:sz w:val="18"/>
                <w:szCs w:val="18"/>
                <w:u w:val="none"/>
                <w:lang w:val="en-US" w:eastAsia="zh-CN" w:bidi="ar"/>
              </w:rPr>
              <w:t>预算项目资金7.84万元，全部为财政拨款，全年资金执行率</w:t>
            </w:r>
            <w:r>
              <w:rPr>
                <w:rFonts w:hint="eastAsia" w:ascii="宋体" w:hAnsi="宋体" w:cs="宋体"/>
                <w:i w:val="0"/>
                <w:iCs w:val="0"/>
                <w:color w:val="000000"/>
                <w:kern w:val="0"/>
                <w:sz w:val="18"/>
                <w:szCs w:val="18"/>
                <w:u w:val="none"/>
                <w:lang w:val="en-US" w:eastAsia="zh-CN" w:bidi="ar"/>
              </w:rPr>
              <w:t>达</w:t>
            </w:r>
            <w:r>
              <w:rPr>
                <w:rFonts w:hint="eastAsia" w:ascii="宋体" w:hAnsi="宋体" w:eastAsia="宋体" w:cs="宋体"/>
                <w:i w:val="0"/>
                <w:iCs w:val="0"/>
                <w:color w:val="000000"/>
                <w:kern w:val="0"/>
                <w:sz w:val="18"/>
                <w:szCs w:val="18"/>
                <w:u w:val="none"/>
                <w:lang w:val="en-US" w:eastAsia="zh-CN" w:bidi="ar"/>
              </w:rPr>
              <w:t>100%。</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3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保证了2023年校医工资和保险每月能够按时发放和缴纳，解决了校医工资的后顾之忧，让在校学生的身心健康得到保障，得到了家长和社会对学校的好评。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校医辅助岗资金使用“专款专用”的原则。严格按照财务管理制度进行管理。项目实施后，学生师生的身心健康极大改善，传播了更多的健康知识，提高了学生的健康素养。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全校师生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为教师学生服务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按时完成相关事项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询价节约成本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w:t>
            </w:r>
            <w:r>
              <w:rPr>
                <w:rFonts w:hint="eastAsia" w:ascii="宋体" w:hAnsi="宋体" w:cs="宋体"/>
                <w:i w:val="0"/>
                <w:iCs w:val="0"/>
                <w:color w:val="000000"/>
                <w:kern w:val="0"/>
                <w:sz w:val="18"/>
                <w:szCs w:val="18"/>
                <w:u w:val="none"/>
                <w:lang w:val="en-US" w:eastAsia="zh-CN" w:bidi="ar"/>
              </w:rPr>
              <w:t>全校师生服务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询价</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确保了我校师生的身心健康极大改善，传播了更多的健康知识，提高了学生的健康素养。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为了更好地保障学生享受更好的医疗健康服务，财政应继续加大资金投入，提高资助标准。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建议加大经费投入，更好地保障在校学生的身心健康。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项目负责人：陈龙</w:t>
            </w:r>
          </w:p>
        </w:tc>
        <w:tc>
          <w:tcPr>
            <w:tcW w:w="4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财务负责人：唐文君</w:t>
            </w: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bookmarkStart w:id="116" w:name="_GoBack"/>
      <w:bookmarkEnd w:id="116"/>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bookmarkStart w:id="89" w:name="_Toc3639"/>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83"/>
      <w:bookmarkEnd w:id="88"/>
      <w:bookmarkEnd w:id="89"/>
      <w:bookmarkStart w:id="90" w:name="_Toc15396619"/>
    </w:p>
    <w:p>
      <w:pPr>
        <w:pStyle w:val="3"/>
        <w:rPr>
          <w:rFonts w:ascii="仿宋" w:hAnsi="仿宋" w:eastAsia="仿宋"/>
          <w:color w:val="auto"/>
          <w:highlight w:val="none"/>
        </w:rPr>
      </w:pPr>
      <w:bookmarkStart w:id="91" w:name="_Toc11638"/>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90"/>
      <w:bookmarkEnd w:id="91"/>
    </w:p>
    <w:p>
      <w:pPr>
        <w:pStyle w:val="3"/>
        <w:rPr>
          <w:rFonts w:ascii="仿宋" w:hAnsi="仿宋" w:eastAsia="仿宋"/>
          <w:color w:val="auto"/>
          <w:highlight w:val="none"/>
        </w:rPr>
      </w:pPr>
      <w:bookmarkStart w:id="92" w:name="_Toc15396620"/>
      <w:bookmarkStart w:id="93" w:name="_Toc17508"/>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92"/>
      <w:bookmarkEnd w:id="93"/>
    </w:p>
    <w:p>
      <w:pPr>
        <w:pStyle w:val="3"/>
        <w:rPr>
          <w:rFonts w:ascii="仿宋" w:hAnsi="仿宋" w:eastAsia="仿宋"/>
          <w:color w:val="auto"/>
          <w:highlight w:val="none"/>
        </w:rPr>
      </w:pPr>
      <w:bookmarkStart w:id="94" w:name="_Toc29576"/>
      <w:bookmarkStart w:id="95"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94"/>
      <w:bookmarkEnd w:id="95"/>
    </w:p>
    <w:p>
      <w:pPr>
        <w:pStyle w:val="3"/>
        <w:rPr>
          <w:rFonts w:ascii="仿宋" w:hAnsi="仿宋" w:eastAsia="仿宋"/>
          <w:b w:val="0"/>
          <w:color w:val="auto"/>
          <w:highlight w:val="none"/>
        </w:rPr>
      </w:pPr>
      <w:bookmarkStart w:id="96" w:name="_Toc21638"/>
      <w:bookmarkStart w:id="97"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96"/>
      <w:bookmarkEnd w:id="97"/>
    </w:p>
    <w:p>
      <w:pPr>
        <w:pStyle w:val="3"/>
        <w:rPr>
          <w:rStyle w:val="28"/>
          <w:rFonts w:ascii="仿宋" w:hAnsi="仿宋" w:eastAsia="仿宋"/>
          <w:b w:val="0"/>
          <w:bCs w:val="0"/>
          <w:color w:val="auto"/>
          <w:highlight w:val="none"/>
        </w:rPr>
      </w:pPr>
      <w:bookmarkStart w:id="98" w:name="_Toc18368"/>
      <w:bookmarkStart w:id="99"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98"/>
      <w:bookmarkEnd w:id="99"/>
      <w:bookmarkStart w:id="100" w:name="_Toc15396624"/>
    </w:p>
    <w:p>
      <w:pPr>
        <w:pStyle w:val="3"/>
        <w:rPr>
          <w:rFonts w:ascii="仿宋" w:hAnsi="仿宋" w:eastAsia="仿宋"/>
          <w:color w:val="auto"/>
          <w:highlight w:val="none"/>
        </w:rPr>
      </w:pPr>
      <w:bookmarkStart w:id="101" w:name="_Toc18216"/>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100"/>
      <w:bookmarkEnd w:id="101"/>
    </w:p>
    <w:p>
      <w:pPr>
        <w:pStyle w:val="3"/>
        <w:rPr>
          <w:rFonts w:ascii="仿宋" w:hAnsi="仿宋" w:eastAsia="仿宋"/>
          <w:color w:val="auto"/>
          <w:highlight w:val="none"/>
        </w:rPr>
      </w:pPr>
      <w:bookmarkStart w:id="102" w:name="_Toc15396625"/>
      <w:bookmarkStart w:id="103" w:name="_Toc10907"/>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02"/>
      <w:bookmarkEnd w:id="103"/>
    </w:p>
    <w:p>
      <w:pPr>
        <w:pStyle w:val="3"/>
        <w:rPr>
          <w:rFonts w:ascii="仿宋" w:hAnsi="仿宋" w:eastAsia="仿宋"/>
          <w:color w:val="auto"/>
          <w:highlight w:val="none"/>
        </w:rPr>
      </w:pPr>
      <w:bookmarkStart w:id="104" w:name="_Toc15396626"/>
      <w:bookmarkStart w:id="105" w:name="_Toc21613"/>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04"/>
      <w:bookmarkEnd w:id="105"/>
    </w:p>
    <w:p>
      <w:pPr>
        <w:pStyle w:val="3"/>
        <w:rPr>
          <w:rFonts w:ascii="仿宋" w:hAnsi="仿宋" w:eastAsia="仿宋"/>
          <w:color w:val="auto"/>
          <w:highlight w:val="none"/>
        </w:rPr>
      </w:pPr>
      <w:bookmarkStart w:id="106" w:name="_Toc12009"/>
      <w:bookmarkStart w:id="107"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06"/>
      <w:bookmarkEnd w:id="107"/>
    </w:p>
    <w:p>
      <w:pPr>
        <w:pStyle w:val="3"/>
        <w:rPr>
          <w:rFonts w:ascii="仿宋" w:hAnsi="仿宋" w:eastAsia="仿宋"/>
          <w:color w:val="auto"/>
          <w:highlight w:val="none"/>
        </w:rPr>
      </w:pPr>
      <w:bookmarkStart w:id="108" w:name="_Toc15396628"/>
      <w:bookmarkStart w:id="109" w:name="_Toc23121"/>
      <w:r>
        <w:rPr>
          <w:rStyle w:val="28"/>
          <w:rFonts w:hint="eastAsia" w:ascii="仿宋" w:hAnsi="仿宋" w:eastAsia="仿宋"/>
          <w:b w:val="0"/>
          <w:bCs w:val="0"/>
          <w:color w:val="auto"/>
          <w:highlight w:val="none"/>
        </w:rPr>
        <w:t>十、</w:t>
      </w:r>
      <w:bookmarkEnd w:id="108"/>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09"/>
    </w:p>
    <w:p>
      <w:pPr>
        <w:pStyle w:val="3"/>
        <w:rPr>
          <w:rFonts w:ascii="仿宋" w:hAnsi="仿宋" w:eastAsia="仿宋"/>
          <w:color w:val="auto"/>
          <w:highlight w:val="none"/>
        </w:rPr>
      </w:pPr>
      <w:bookmarkStart w:id="110" w:name="_Toc15396629"/>
      <w:bookmarkStart w:id="111" w:name="_Toc8048"/>
      <w:r>
        <w:rPr>
          <w:rStyle w:val="28"/>
          <w:rFonts w:hint="eastAsia" w:ascii="仿宋" w:hAnsi="仿宋" w:eastAsia="仿宋"/>
          <w:b w:val="0"/>
          <w:bCs w:val="0"/>
          <w:color w:val="auto"/>
          <w:highlight w:val="none"/>
        </w:rPr>
        <w:t>十一、</w:t>
      </w:r>
      <w:bookmarkEnd w:id="110"/>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11"/>
    </w:p>
    <w:p>
      <w:pPr>
        <w:pStyle w:val="3"/>
        <w:rPr>
          <w:rFonts w:ascii="仿宋" w:hAnsi="仿宋" w:eastAsia="仿宋"/>
          <w:color w:val="auto"/>
          <w:highlight w:val="none"/>
        </w:rPr>
      </w:pPr>
      <w:bookmarkStart w:id="112" w:name="_Toc15396630"/>
      <w:bookmarkStart w:id="113" w:name="_Toc21051"/>
      <w:r>
        <w:rPr>
          <w:rStyle w:val="28"/>
          <w:rFonts w:hint="eastAsia" w:ascii="仿宋" w:hAnsi="仿宋" w:eastAsia="仿宋"/>
          <w:b w:val="0"/>
          <w:bCs w:val="0"/>
          <w:color w:val="auto"/>
          <w:highlight w:val="none"/>
        </w:rPr>
        <w:t>十二、</w:t>
      </w:r>
      <w:bookmarkEnd w:id="112"/>
      <w:r>
        <w:rPr>
          <w:rStyle w:val="28"/>
          <w:rFonts w:hint="eastAsia" w:ascii="仿宋" w:hAnsi="仿宋" w:eastAsia="仿宋"/>
          <w:b w:val="0"/>
          <w:bCs w:val="0"/>
          <w:color w:val="auto"/>
          <w:highlight w:val="none"/>
          <w:lang w:eastAsia="zh-CN"/>
        </w:rPr>
        <w:t>国有资本经营预算财政拨款支出决算表</w:t>
      </w:r>
      <w:bookmarkEnd w:id="113"/>
    </w:p>
    <w:p>
      <w:pPr>
        <w:pStyle w:val="3"/>
        <w:rPr>
          <w:rFonts w:hint="eastAsia" w:eastAsia="仿宋"/>
          <w:color w:val="auto"/>
          <w:highlight w:val="none"/>
          <w:lang w:eastAsia="zh-CN"/>
        </w:rPr>
      </w:pPr>
      <w:bookmarkStart w:id="114" w:name="_Toc15396631"/>
      <w:bookmarkStart w:id="115" w:name="_Toc27349"/>
      <w:r>
        <w:rPr>
          <w:rStyle w:val="28"/>
          <w:rFonts w:hint="eastAsia" w:ascii="仿宋" w:hAnsi="仿宋" w:eastAsia="仿宋"/>
          <w:b w:val="0"/>
          <w:bCs w:val="0"/>
          <w:color w:val="auto"/>
          <w:highlight w:val="none"/>
        </w:rPr>
        <w:t>十三、</w:t>
      </w:r>
      <w:bookmarkEnd w:id="114"/>
      <w:r>
        <w:rPr>
          <w:rStyle w:val="28"/>
          <w:rFonts w:hint="eastAsia" w:ascii="仿宋" w:hAnsi="仿宋" w:eastAsia="仿宋"/>
          <w:b w:val="0"/>
          <w:bCs w:val="0"/>
          <w:color w:val="auto"/>
          <w:highlight w:val="none"/>
          <w:lang w:eastAsia="zh-CN"/>
        </w:rPr>
        <w:t>财政拨款“三公”经费支出决算表</w:t>
      </w:r>
      <w:bookmarkEnd w:id="115"/>
    </w:p>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E9C779-EF70-4D57-9F44-A86AFC1D92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A1EF349-E0B3-4CB5-ADB1-109D3C041754}"/>
  </w:font>
  <w:font w:name="Cambria">
    <w:panose1 w:val="02040503050406030204"/>
    <w:charset w:val="00"/>
    <w:family w:val="roman"/>
    <w:pitch w:val="default"/>
    <w:sig w:usb0="E00002FF" w:usb1="400004FF" w:usb2="00000000" w:usb3="00000000" w:csb0="2000019F" w:csb1="00000000"/>
    <w:embedRegular r:id="rId3" w:fontKey="{7C8481B1-280B-4937-A040-411E148A0A18}"/>
  </w:font>
  <w:font w:name="仿宋_GB2312">
    <w:panose1 w:val="02010609030101010101"/>
    <w:charset w:val="86"/>
    <w:family w:val="modern"/>
    <w:pitch w:val="default"/>
    <w:sig w:usb0="00000001" w:usb1="080E0000" w:usb2="00000000" w:usb3="00000000" w:csb0="00040000" w:csb1="00000000"/>
    <w:embedRegular r:id="rId4" w:fontKey="{19E6CD14-7EE0-40CE-BD95-643CDAC092FC}"/>
  </w:font>
  <w:font w:name="仿宋">
    <w:panose1 w:val="02010609060101010101"/>
    <w:charset w:val="86"/>
    <w:family w:val="modern"/>
    <w:pitch w:val="default"/>
    <w:sig w:usb0="800002BF" w:usb1="38CF7CFA" w:usb2="00000016" w:usb3="00000000" w:csb0="00040001" w:csb1="00000000"/>
    <w:embedRegular r:id="rId5" w:fontKey="{B7792622-E585-4BF3-BFE0-13AC94AC168F}"/>
  </w:font>
  <w:font w:name="方正小标宋简体">
    <w:panose1 w:val="03000509000000000000"/>
    <w:charset w:val="86"/>
    <w:family w:val="script"/>
    <w:pitch w:val="default"/>
    <w:sig w:usb0="00000001" w:usb1="080E0000" w:usb2="00000000" w:usb3="00000000" w:csb0="00040000" w:csb1="00000000"/>
    <w:embedRegular r:id="rId6" w:fontKey="{B8F7D9B1-6D44-4C3A-95C6-1F2DBE3DCE7B}"/>
  </w:font>
  <w:font w:name="方正仿宋_GB2312">
    <w:panose1 w:val="02000000000000000000"/>
    <w:charset w:val="86"/>
    <w:family w:val="auto"/>
    <w:pitch w:val="default"/>
    <w:sig w:usb0="00000000" w:usb1="00000000" w:usb2="00000000" w:usb3="00000000" w:csb0="00000000" w:csb1="00000000"/>
    <w:embedRegular r:id="rId7" w:fontKey="{2D2F3F3F-A989-4949-AB21-741CE48938BB}"/>
  </w:font>
  <w:font w:name="微软雅黑">
    <w:panose1 w:val="020B0503020204020204"/>
    <w:charset w:val="86"/>
    <w:family w:val="auto"/>
    <w:pitch w:val="default"/>
    <w:sig w:usb0="80000287" w:usb1="280F3C52" w:usb2="00000016" w:usb3="00000000" w:csb0="0004001F" w:csb1="00000000"/>
    <w:embedRegular r:id="rId8" w:fontKey="{62C7A04F-318B-41B9-A918-611BE9B3355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NjQ1ZjZlYTdkYTE1NTkzZDc0YTZhNzJlNDM4MmIifQ=="/>
  </w:docVars>
  <w:rsids>
    <w:rsidRoot w:val="00000000"/>
    <w:rsid w:val="24086BDC"/>
    <w:rsid w:val="74264724"/>
    <w:rsid w:val="7CB46D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unhideWhenUsed/>
    <w:qFormat/>
    <w:uiPriority w:val="99"/>
    <w:pPr>
      <w:snapToGrid w:val="0"/>
      <w:jc w:val="left"/>
    </w:pPr>
    <w:rPr>
      <w:sz w:val="1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footnote reference"/>
    <w:basedOn w:val="15"/>
    <w:unhideWhenUsed/>
    <w:qFormat/>
    <w:uiPriority w:val="99"/>
    <w:rPr>
      <w:vertAlign w:val="superscript"/>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7827;&#27801;&#21021;&#20013;\&#27827;&#27801;&#20013;&#23398;2022&#24180;&#20915;&#31639;&#20844;&#2432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3-137032-&#22235;&#24029;&#30465;&#36930;&#23425;&#24066;&#33337;&#23665;&#21306;&#27827;&#27801;&#38215;&#21021;&#32423;&#20013;&#23398;&#26657;&#20915;&#31639;&#20844;&#24320;&#25253;&#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3-137032-&#22235;&#24029;&#30465;&#36930;&#23425;&#24066;&#33337;&#23665;&#21306;&#27827;&#27801;&#38215;&#21021;&#32423;&#20013;&#23398;&#26657;&#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7827;&#27801;&#21021;&#20013;\&#27827;&#27801;&#20013;&#23398;2022&#24180;&#20915;&#31639;&#20844;&#2432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7827;&#27801;&#21021;&#20013;\&#27827;&#27801;&#20013;&#23398;2022&#24180;&#20915;&#31639;&#20844;&#2432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3-137032-&#22235;&#24029;&#30465;&#36930;&#23425;&#24066;&#33337;&#23665;&#21306;&#27827;&#27801;&#38215;&#21021;&#32423;&#20013;&#23398;&#26657;&#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'[河沙中学2022年决算公开表.xls]G01 收入支出决算总表(公开01表)'!$H$48:$H$49</c:f>
              <c:strCache>
                <c:ptCount val="2"/>
                <c:pt idx="0">
                  <c:v>2022年</c:v>
                </c:pt>
                <c:pt idx="1">
                  <c:v>2023年</c:v>
                </c:pt>
              </c:strCache>
            </c:strRef>
          </c:cat>
          <c:val>
            <c:numRef>
              <c:f>'[河沙中学2022年决算公开表.xls]G01 收入支出决算总表(公开01表)'!$I$48:$I$49</c:f>
              <c:numCache>
                <c:formatCode>#,##0.00</c:formatCode>
                <c:ptCount val="2"/>
                <c:pt idx="0">
                  <c:v>616.52</c:v>
                </c:pt>
                <c:pt idx="1" c:formatCode="General">
                  <c:v>558.28</c:v>
                </c:pt>
              </c:numCache>
            </c:numRef>
          </c:val>
        </c:ser>
        <c:dLbls>
          <c:showLegendKey val="0"/>
          <c:showVal val="1"/>
          <c:showCatName val="0"/>
          <c:showSerName val="0"/>
          <c:showPercent val="0"/>
          <c:showBubbleSize val="0"/>
        </c:dLbls>
        <c:gapWidth val="246"/>
        <c:overlap val="-28"/>
        <c:axId val="605598911"/>
        <c:axId val="654893917"/>
      </c:barChart>
      <c:catAx>
        <c:axId val="6055989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4893917"/>
        <c:crosses val="autoZero"/>
        <c:auto val="1"/>
        <c:lblAlgn val="ctr"/>
        <c:lblOffset val="100"/>
        <c:noMultiLvlLbl val="0"/>
      </c:catAx>
      <c:valAx>
        <c:axId val="654893917"/>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598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'[2023-137032-四川省遂宁市船山区河沙镇初级中学校决算公开报表.xls]GK01收入支出决算总表'!$I$20:$I$21</c:f>
              <c:strCache>
                <c:ptCount val="2"/>
                <c:pt idx="0">
                  <c:v>一般公共预算财政拨款收入</c:v>
                </c:pt>
                <c:pt idx="1">
                  <c:v>其他收入</c:v>
                </c:pt>
              </c:strCache>
            </c:strRef>
          </c:cat>
          <c:val>
            <c:numRef>
              <c:f>'[2023-137032-四川省遂宁市船山区河沙镇初级中学校决算公开报表.xls]GK01收入支出决算总表'!$J$20:$J$21</c:f>
              <c:numCache>
                <c:formatCode>General</c:formatCode>
                <c:ptCount val="2"/>
                <c:pt idx="0">
                  <c:v>533.9</c:v>
                </c:pt>
                <c:pt idx="1">
                  <c:v>14.09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'[2023-137032-四川省遂宁市船山区河沙镇初级中学校决算公开报表.xls]GK03支出决算表'!$M$16:$M$17</c:f>
              <c:strCache>
                <c:ptCount val="2"/>
                <c:pt idx="0">
                  <c:v>基本支出</c:v>
                </c:pt>
                <c:pt idx="1">
                  <c:v>项目支出</c:v>
                </c:pt>
              </c:strCache>
            </c:strRef>
          </c:cat>
          <c:val>
            <c:numRef>
              <c:f>'[2023-137032-四川省遂宁市船山区河沙镇初级中学校决算公开报表.xls]GK03支出决算表'!$N$16:$N$17</c:f>
              <c:numCache>
                <c:formatCode>General</c:formatCode>
                <c:ptCount val="2"/>
                <c:pt idx="0">
                  <c:v>497.26</c:v>
                </c:pt>
                <c:pt idx="1">
                  <c:v>51.71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'[河沙中学2022年决算公开表.xls]G04 财政拨款收入支出决算总表(公开04表)'!$K$42:$K$43</c:f>
              <c:strCache>
                <c:ptCount val="2"/>
                <c:pt idx="0">
                  <c:v>2022年</c:v>
                </c:pt>
                <c:pt idx="1">
                  <c:v>2023年</c:v>
                </c:pt>
              </c:strCache>
            </c:strRef>
          </c:cat>
          <c:val>
            <c:numRef>
              <c:f>'[河沙中学2022年决算公开表.xls]G04 财政拨款收入支出决算总表(公开04表)'!$L$42:$L$43</c:f>
              <c:numCache>
                <c:formatCode>#,##0.00</c:formatCode>
                <c:ptCount val="2"/>
                <c:pt idx="0">
                  <c:v>576.29</c:v>
                </c:pt>
                <c:pt idx="1" c:formatCode="General">
                  <c:v>533.9</c:v>
                </c:pt>
              </c:numCache>
            </c:numRef>
          </c:val>
        </c:ser>
        <c:dLbls>
          <c:showLegendKey val="0"/>
          <c:showVal val="1"/>
          <c:showCatName val="0"/>
          <c:showSerName val="0"/>
          <c:showPercent val="0"/>
          <c:showBubbleSize val="0"/>
        </c:dLbls>
        <c:gapWidth val="246"/>
        <c:overlap val="-28"/>
        <c:axId val="506815846"/>
        <c:axId val="341367794"/>
      </c:barChart>
      <c:catAx>
        <c:axId val="506815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367794"/>
        <c:crosses val="autoZero"/>
        <c:auto val="1"/>
        <c:lblAlgn val="ctr"/>
        <c:lblOffset val="100"/>
        <c:noMultiLvlLbl val="0"/>
      </c:catAx>
      <c:valAx>
        <c:axId val="34136779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68158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'[河沙中学2022年决算公开表.xls]G06 一般公共预算财政拨款支出决算表(公开06表)'!$I$19:$I$20</c:f>
              <c:strCache>
                <c:ptCount val="2"/>
                <c:pt idx="0">
                  <c:v>2022年</c:v>
                </c:pt>
                <c:pt idx="1">
                  <c:v>2023年</c:v>
                </c:pt>
              </c:strCache>
            </c:strRef>
          </c:cat>
          <c:val>
            <c:numRef>
              <c:f>'[河沙中学2022年决算公开表.xls]G06 一般公共预算财政拨款支出决算表(公开06表)'!$J$19:$J$20</c:f>
              <c:numCache>
                <c:formatCode>#,##0.00</c:formatCode>
                <c:ptCount val="2"/>
                <c:pt idx="0">
                  <c:v>576.29</c:v>
                </c:pt>
                <c:pt idx="1" c:formatCode="General">
                  <c:v>533.9</c:v>
                </c:pt>
              </c:numCache>
            </c:numRef>
          </c:val>
        </c:ser>
        <c:dLbls>
          <c:showLegendKey val="0"/>
          <c:showVal val="1"/>
          <c:showCatName val="0"/>
          <c:showSerName val="0"/>
          <c:showPercent val="0"/>
          <c:showBubbleSize val="0"/>
        </c:dLbls>
        <c:gapWidth val="246"/>
        <c:overlap val="-28"/>
        <c:axId val="772402192"/>
        <c:axId val="928987897"/>
      </c:barChart>
      <c:catAx>
        <c:axId val="7724021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987897"/>
        <c:crosses val="autoZero"/>
        <c:auto val="1"/>
        <c:lblAlgn val="ctr"/>
        <c:lblOffset val="100"/>
        <c:noMultiLvlLbl val="0"/>
      </c:catAx>
      <c:valAx>
        <c:axId val="928987897"/>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4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'[2023-137032-四川省遂宁市船山区河沙镇初级中学校决算公开报表.xls]GK04财政拨款收入支出决算总表'!$C$51:$C$56</c:f>
              <c:strCache>
                <c:ptCount val="6"/>
                <c:pt idx="0">
                  <c:v>教育支出</c:v>
                </c:pt>
                <c:pt idx="1">
                  <c:v>社会保障和就业支出</c:v>
                </c:pt>
                <c:pt idx="2">
                  <c:v>卫生健康支出</c:v>
                </c:pt>
                <c:pt idx="3">
                  <c:v>城乡社区支出</c:v>
                </c:pt>
                <c:pt idx="4">
                  <c:v>农林水支出</c:v>
                </c:pt>
                <c:pt idx="5">
                  <c:v>住房保障支出</c:v>
                </c:pt>
              </c:strCache>
            </c:strRef>
          </c:cat>
          <c:val>
            <c:numRef>
              <c:f>'[2023-137032-四川省遂宁市船山区河沙镇初级中学校决算公开报表.xls]GK04财政拨款收入支出决算总表'!$D$51:$D$56</c:f>
              <c:numCache>
                <c:formatCode>General</c:formatCode>
                <c:ptCount val="6"/>
                <c:pt idx="0">
                  <c:v>404.61</c:v>
                </c:pt>
                <c:pt idx="1">
                  <c:v>55.06</c:v>
                </c:pt>
                <c:pt idx="2">
                  <c:v>25.82</c:v>
                </c:pt>
                <c:pt idx="3">
                  <c:v>4.55</c:v>
                </c:pt>
                <c:pt idx="4">
                  <c:v>5.92</c:v>
                </c:pt>
                <c:pt idx="5">
                  <c:v>37.94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5747</Words>
  <Characters>6341</Characters>
  <Lines>61</Lines>
  <Paragraphs>17</Paragraphs>
  <TotalTime>4</TotalTime>
  <ScaleCrop>false</ScaleCrop>
  <LinksUpToDate>false</LinksUpToDate>
  <CharactersWithSpaces>6451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lenovo</cp:lastModifiedBy>
  <cp:lastPrinted>2023-07-31T10:35:00Z</cp:lastPrinted>
  <dcterms:modified xsi:type="dcterms:W3CDTF">2024-09-24T03:45:06Z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F608778EF2EF4EE1B9899B6DE2508F47_12</vt:lpwstr>
  </property>
</Properties>
</file>