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1" w:name="_Toc15377193"/>
      <w:bookmarkStart w:id="2" w:name="_Toc15396475"/>
      <w:bookmarkStart w:id="3" w:name="_Toc15396597"/>
      <w:bookmarkStart w:id="4" w:name="_Toc15378441"/>
      <w:bookmarkStart w:id="5" w:name="_Toc1537742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6" w:name="_Toc15377194"/>
      <w:bookmarkStart w:id="7" w:name="_Toc15378442"/>
      <w:bookmarkStart w:id="8" w:name="_Toc15396476"/>
      <w:bookmarkStart w:id="9" w:name="_Toc15377426"/>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遂宁市船山区卫生培训中心单位决算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3"/>
        <w:keepNext/>
        <w:keepLines/>
        <w:pageBreakBefore w:val="0"/>
        <w:widowControl w:val="0"/>
        <w:kinsoku/>
        <w:wordWrap/>
        <w:overflowPunct/>
        <w:topLinePunct w:val="0"/>
        <w:autoSpaceDE/>
        <w:autoSpaceDN/>
        <w:bidi w:val="0"/>
        <w:adjustRightInd/>
        <w:snapToGrid/>
        <w:spacing w:before="0" w:after="0" w:line="579" w:lineRule="auto"/>
        <w:jc w:val="center"/>
        <w:textAlignment w:val="auto"/>
      </w:pPr>
      <w:bookmarkStart w:id="12" w:name="_Toc11959"/>
      <w:bookmarkStart w:id="13" w:name="_Toc7411_WPSOffice_Level1"/>
      <w:r>
        <w:rPr>
          <w:rFonts w:hint="eastAsia" w:ascii="仿宋" w:hAnsi="仿宋" w:eastAsia="仿宋" w:cs="仿宋"/>
          <w:b w:val="0"/>
          <w:sz w:val="28"/>
          <w:szCs w:val="28"/>
          <w:highlight w:val="none"/>
          <w:lang w:val="en-US" w:eastAsia="zh-CN"/>
        </w:rPr>
        <w:t>公开时间2024年9月11日</w:t>
      </w:r>
      <w:bookmarkEnd w:id="12"/>
      <w:r>
        <w:rPr>
          <w:rFonts w:hint="eastAsia"/>
        </w:rPr>
        <w:fldChar w:fldCharType="begin"/>
      </w:r>
      <w:r>
        <w:rPr>
          <w:rFonts w:hint="eastAsia"/>
        </w:rPr>
        <w:instrText xml:space="preserve">TOC \o "1-2" \h \u </w:instrText>
      </w:r>
      <w:r>
        <w:rPr>
          <w:rFonts w:hint="eastAsia"/>
        </w:rPr>
        <w:fldChar w:fldCharType="separate"/>
      </w:r>
    </w:p>
    <w:p>
      <w:pPr>
        <w:pStyle w:val="13"/>
        <w:tabs>
          <w:tab w:val="right" w:leader="dot" w:pos="8306"/>
          <w:tab w:val="clear" w:pos="8296"/>
        </w:tabs>
      </w:pPr>
      <w:r>
        <w:rPr>
          <w:rFonts w:hint="eastAsia"/>
        </w:rPr>
        <w:fldChar w:fldCharType="begin"/>
      </w:r>
      <w:r>
        <w:rPr>
          <w:rFonts w:hint="eastAsia"/>
        </w:rPr>
        <w:instrText xml:space="preserve"> HYPERLINK \l _Toc15377 </w:instrText>
      </w:r>
      <w:r>
        <w:rPr>
          <w:rFonts w:hint="eastAsia"/>
        </w:rPr>
        <w:fldChar w:fldCharType="separate"/>
      </w:r>
      <w:r>
        <w:rPr>
          <w:rFonts w:hint="eastAsia" w:ascii="黑体" w:hAnsi="黑体" w:eastAsia="黑体"/>
          <w:highlight w:val="none"/>
        </w:rPr>
        <w:t>第一部分 单位</w:t>
      </w:r>
      <w:r>
        <w:rPr>
          <w:rFonts w:hint="eastAsia" w:ascii="黑体" w:hAnsi="黑体" w:eastAsia="黑体"/>
          <w:bCs w:val="0"/>
          <w:highlight w:val="none"/>
        </w:rPr>
        <w:t>概况</w:t>
      </w:r>
      <w:r>
        <w:tab/>
      </w:r>
      <w:r>
        <w:fldChar w:fldCharType="begin"/>
      </w:r>
      <w:r>
        <w:instrText xml:space="preserve"> PAGEREF _Toc15377 \h </w:instrText>
      </w:r>
      <w:r>
        <w:fldChar w:fldCharType="separate"/>
      </w:r>
      <w:r>
        <w:t>- 4 -</w:t>
      </w:r>
      <w:r>
        <w:fldChar w:fldCharType="end"/>
      </w:r>
      <w:r>
        <w:rPr>
          <w:rFonts w:hint="eastAsia"/>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_Toc3682 </w:instrText>
      </w:r>
      <w:r>
        <w:rPr>
          <w:rFonts w:hint="eastAsia" w:ascii="仿宋" w:hAnsi="仿宋" w:eastAsia="仿宋" w:cs="仿宋"/>
        </w:rPr>
        <w:fldChar w:fldCharType="separate"/>
      </w:r>
      <w:r>
        <w:rPr>
          <w:rFonts w:hint="eastAsia" w:ascii="仿宋" w:hAnsi="仿宋" w:eastAsia="仿宋" w:cs="仿宋"/>
          <w:bCs w:val="0"/>
        </w:rPr>
        <w:t xml:space="preserve">一、 </w:t>
      </w:r>
      <w:r>
        <w:rPr>
          <w:rFonts w:hint="eastAsia" w:ascii="仿宋" w:hAnsi="仿宋" w:eastAsia="仿宋" w:cs="仿宋"/>
          <w:bCs w:val="0"/>
          <w:highlight w:val="none"/>
        </w:rPr>
        <w:t>主要职责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_Toc3682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_Toc25026 </w:instrText>
      </w:r>
      <w:r>
        <w:rPr>
          <w:rFonts w:hint="eastAsia" w:ascii="仿宋" w:hAnsi="仿宋" w:eastAsia="仿宋" w:cs="仿宋"/>
        </w:rPr>
        <w:fldChar w:fldCharType="separate"/>
      </w:r>
      <w:r>
        <w:rPr>
          <w:rFonts w:hint="eastAsia" w:ascii="仿宋" w:hAnsi="仿宋" w:eastAsia="仿宋" w:cs="仿宋"/>
          <w:highlight w:val="none"/>
        </w:rPr>
        <w:t>二、机构设置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_Toc25026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pPr>
        <w:pStyle w:val="13"/>
        <w:tabs>
          <w:tab w:val="right" w:leader="dot" w:pos="8306"/>
          <w:tab w:val="clear" w:pos="8296"/>
        </w:tabs>
      </w:pPr>
      <w:r>
        <w:rPr>
          <w:rFonts w:hint="eastAsia"/>
        </w:rPr>
        <w:fldChar w:fldCharType="begin"/>
      </w:r>
      <w:r>
        <w:rPr>
          <w:rFonts w:hint="eastAsia"/>
        </w:rPr>
        <w:instrText xml:space="preserve"> HYPERLINK \l _Toc7261 </w:instrText>
      </w:r>
      <w:r>
        <w:rPr>
          <w:rFonts w:hint="eastAsia"/>
        </w:rPr>
        <w:fldChar w:fldCharType="separate"/>
      </w:r>
      <w:r>
        <w:rPr>
          <w:rFonts w:hint="eastAsia" w:ascii="黑体" w:hAnsi="黑体" w:eastAsia="黑体"/>
        </w:rPr>
        <w:t xml:space="preserve">第二部分 </w:t>
      </w:r>
      <w:r>
        <w:rPr>
          <w:rFonts w:hint="eastAsia" w:ascii="黑体" w:hAnsi="黑体" w:eastAsia="黑体"/>
          <w:lang w:eastAsia="zh-CN"/>
        </w:rPr>
        <w:t>2023</w:t>
      </w:r>
      <w:r>
        <w:rPr>
          <w:rFonts w:hint="eastAsia" w:ascii="黑体" w:hAnsi="黑体" w:eastAsia="黑体"/>
        </w:rPr>
        <w:t>年度</w:t>
      </w:r>
      <w:r>
        <w:rPr>
          <w:rFonts w:hint="eastAsia" w:ascii="黑体" w:hAnsi="黑体" w:eastAsia="黑体"/>
          <w:bCs/>
        </w:rPr>
        <w:t>单位决算情况说明</w:t>
      </w:r>
      <w:r>
        <w:tab/>
      </w:r>
      <w:r>
        <w:fldChar w:fldCharType="begin"/>
      </w:r>
      <w:r>
        <w:instrText xml:space="preserve"> PAGEREF _Toc7261 \h </w:instrText>
      </w:r>
      <w:r>
        <w:fldChar w:fldCharType="separate"/>
      </w:r>
      <w:r>
        <w:t>- 5 -</w:t>
      </w:r>
      <w:r>
        <w:fldChar w:fldCharType="end"/>
      </w:r>
      <w:r>
        <w:rPr>
          <w:rFonts w:hint="eastAsia"/>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_Toc21320 </w:instrText>
      </w:r>
      <w:r>
        <w:rPr>
          <w:rFonts w:hint="eastAsia" w:ascii="仿宋" w:hAnsi="仿宋" w:eastAsia="仿宋" w:cs="仿宋"/>
        </w:rPr>
        <w:fldChar w:fldCharType="separate"/>
      </w:r>
      <w:r>
        <w:rPr>
          <w:rFonts w:hint="eastAsia" w:ascii="仿宋" w:hAnsi="仿宋" w:eastAsia="仿宋" w:cs="仿宋"/>
        </w:rPr>
        <w:t xml:space="preserve">一、 </w:t>
      </w:r>
      <w:r>
        <w:rPr>
          <w:rFonts w:hint="eastAsia" w:ascii="仿宋" w:hAnsi="仿宋" w:eastAsia="仿宋" w:cs="仿宋"/>
          <w:szCs w:val="32"/>
        </w:rPr>
        <w:t>收</w:t>
      </w:r>
      <w:r>
        <w:rPr>
          <w:rFonts w:hint="eastAsia" w:ascii="仿宋" w:hAnsi="仿宋" w:eastAsia="仿宋" w:cs="仿宋"/>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_Toc21320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_Toc11143 </w:instrText>
      </w:r>
      <w:r>
        <w:rPr>
          <w:rFonts w:hint="eastAsia" w:ascii="仿宋" w:hAnsi="仿宋" w:eastAsia="仿宋" w:cs="仿宋"/>
        </w:rPr>
        <w:fldChar w:fldCharType="separate"/>
      </w:r>
      <w:r>
        <w:rPr>
          <w:rFonts w:hint="eastAsia" w:ascii="仿宋" w:hAnsi="仿宋" w:eastAsia="仿宋" w:cs="仿宋"/>
        </w:rPr>
        <w:t xml:space="preserve">二、 </w:t>
      </w:r>
      <w:r>
        <w:rPr>
          <w:rFonts w:hint="eastAsia" w:ascii="仿宋" w:hAnsi="仿宋" w:eastAsia="仿宋" w:cs="仿宋"/>
          <w:szCs w:val="32"/>
        </w:rPr>
        <w:t>收</w:t>
      </w:r>
      <w:r>
        <w:rPr>
          <w:rFonts w:hint="eastAsia" w:ascii="仿宋" w:hAnsi="仿宋" w:eastAsia="仿宋" w:cs="仿宋"/>
        </w:rPr>
        <w:t>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_Toc11143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_Toc22585 </w:instrText>
      </w:r>
      <w:r>
        <w:rPr>
          <w:rFonts w:hint="eastAsia" w:ascii="仿宋" w:hAnsi="仿宋" w:eastAsia="仿宋" w:cs="仿宋"/>
        </w:rPr>
        <w:fldChar w:fldCharType="separate"/>
      </w:r>
      <w:r>
        <w:rPr>
          <w:rFonts w:hint="eastAsia" w:ascii="仿宋" w:hAnsi="仿宋" w:eastAsia="仿宋" w:cs="仿宋"/>
        </w:rPr>
        <w:t xml:space="preserve">三、 </w:t>
      </w:r>
      <w:r>
        <w:rPr>
          <w:rFonts w:hint="eastAsia" w:ascii="仿宋" w:hAnsi="仿宋" w:eastAsia="仿宋" w:cs="仿宋"/>
          <w:szCs w:val="32"/>
        </w:rPr>
        <w:t>支</w:t>
      </w:r>
      <w:r>
        <w:rPr>
          <w:rFonts w:hint="eastAsia" w:ascii="仿宋" w:hAnsi="仿宋" w:eastAsia="仿宋" w:cs="仿宋"/>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_Toc22585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_Toc27781 </w:instrText>
      </w:r>
      <w:r>
        <w:rPr>
          <w:rFonts w:hint="eastAsia" w:ascii="仿宋" w:hAnsi="仿宋" w:eastAsia="仿宋" w:cs="仿宋"/>
        </w:rPr>
        <w:fldChar w:fldCharType="separate"/>
      </w:r>
      <w:r>
        <w:rPr>
          <w:rFonts w:hint="eastAsia" w:ascii="仿宋" w:hAnsi="仿宋" w:eastAsia="仿宋" w:cs="仿宋"/>
          <w:szCs w:val="32"/>
        </w:rPr>
        <w:t>四、财</w:t>
      </w:r>
      <w:r>
        <w:rPr>
          <w:rFonts w:hint="eastAsia" w:ascii="仿宋" w:hAnsi="仿宋" w:eastAsia="仿宋" w:cs="仿宋"/>
        </w:rPr>
        <w:t>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_Toc27781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_Toc28775 </w:instrText>
      </w:r>
      <w:r>
        <w:rPr>
          <w:rFonts w:hint="eastAsia" w:ascii="仿宋" w:hAnsi="仿宋" w:eastAsia="仿宋" w:cs="仿宋"/>
        </w:rPr>
        <w:fldChar w:fldCharType="separate"/>
      </w:r>
      <w:r>
        <w:rPr>
          <w:rFonts w:hint="eastAsia" w:ascii="仿宋" w:hAnsi="仿宋" w:eastAsia="仿宋" w:cs="仿宋"/>
          <w:szCs w:val="32"/>
        </w:rPr>
        <w:t>五、一</w:t>
      </w:r>
      <w:r>
        <w:rPr>
          <w:rFonts w:hint="eastAsia" w:ascii="仿宋" w:hAnsi="仿宋" w:eastAsia="仿宋" w:cs="仿宋"/>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_Toc28775 \h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_Toc12958 </w:instrText>
      </w:r>
      <w:r>
        <w:rPr>
          <w:rFonts w:hint="eastAsia" w:ascii="仿宋" w:hAnsi="仿宋" w:eastAsia="仿宋" w:cs="仿宋"/>
        </w:rPr>
        <w:fldChar w:fldCharType="separate"/>
      </w:r>
      <w:r>
        <w:rPr>
          <w:rFonts w:hint="eastAsia" w:ascii="仿宋" w:hAnsi="仿宋" w:eastAsia="仿宋" w:cs="仿宋"/>
          <w:szCs w:val="32"/>
        </w:rPr>
        <w:t>六、一</w:t>
      </w:r>
      <w:r>
        <w:rPr>
          <w:rFonts w:hint="eastAsia" w:ascii="仿宋" w:hAnsi="仿宋" w:eastAsia="仿宋" w:cs="仿宋"/>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_Toc12958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_Toc4563 </w:instrText>
      </w:r>
      <w:r>
        <w:rPr>
          <w:rFonts w:hint="eastAsia" w:ascii="仿宋" w:hAnsi="仿宋" w:eastAsia="仿宋" w:cs="仿宋"/>
        </w:rPr>
        <w:fldChar w:fldCharType="separate"/>
      </w:r>
      <w:r>
        <w:rPr>
          <w:rFonts w:hint="eastAsia" w:ascii="仿宋" w:hAnsi="仿宋" w:eastAsia="仿宋" w:cs="仿宋"/>
          <w:szCs w:val="32"/>
        </w:rPr>
        <w:t>七、</w:t>
      </w:r>
      <w:r>
        <w:rPr>
          <w:rFonts w:hint="eastAsia" w:ascii="仿宋" w:hAnsi="仿宋" w:eastAsia="仿宋" w:cs="仿宋"/>
        </w:rPr>
        <w:t>财政拨款“三公”经费支出决算情况说明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_Toc4563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_Toc5209 </w:instrText>
      </w:r>
      <w:r>
        <w:rPr>
          <w:rFonts w:hint="eastAsia" w:ascii="仿宋" w:hAnsi="仿宋" w:eastAsia="仿宋" w:cs="仿宋"/>
        </w:rPr>
        <w:fldChar w:fldCharType="separate"/>
      </w:r>
      <w:r>
        <w:rPr>
          <w:rFonts w:hint="eastAsia" w:ascii="仿宋" w:hAnsi="仿宋" w:eastAsia="仿宋" w:cs="仿宋"/>
          <w:szCs w:val="32"/>
        </w:rPr>
        <w:t>八、</w:t>
      </w:r>
      <w:r>
        <w:rPr>
          <w:rFonts w:hint="eastAsia" w:ascii="仿宋" w:hAnsi="仿宋" w:eastAsia="仿宋" w:cs="仿宋"/>
        </w:rPr>
        <w:t>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_Toc5209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_Toc14150 </w:instrText>
      </w:r>
      <w:r>
        <w:rPr>
          <w:rFonts w:hint="eastAsia" w:ascii="仿宋" w:hAnsi="仿宋" w:eastAsia="仿宋" w:cs="仿宋"/>
        </w:rPr>
        <w:fldChar w:fldCharType="separate"/>
      </w:r>
      <w:r>
        <w:rPr>
          <w:rFonts w:hint="eastAsia" w:ascii="仿宋" w:hAnsi="仿宋" w:eastAsia="仿宋" w:cs="仿宋"/>
        </w:rPr>
        <w:t>九、 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_Toc14150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_Toc28212 </w:instrText>
      </w:r>
      <w:r>
        <w:rPr>
          <w:rFonts w:hint="eastAsia" w:ascii="仿宋" w:hAnsi="仿宋" w:eastAsia="仿宋" w:cs="仿宋"/>
        </w:rPr>
        <w:fldChar w:fldCharType="separate"/>
      </w:r>
      <w:r>
        <w:rPr>
          <w:rFonts w:hint="eastAsia" w:ascii="仿宋" w:hAnsi="仿宋" w:eastAsia="仿宋" w:cs="仿宋"/>
        </w:rPr>
        <w:t>十、 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_Toc28212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pPr>
        <w:pStyle w:val="13"/>
        <w:tabs>
          <w:tab w:val="right" w:leader="dot" w:pos="8306"/>
          <w:tab w:val="clear" w:pos="8296"/>
        </w:tabs>
      </w:pPr>
      <w:r>
        <w:rPr>
          <w:rFonts w:hint="eastAsia"/>
        </w:rPr>
        <w:fldChar w:fldCharType="begin"/>
      </w:r>
      <w:r>
        <w:rPr>
          <w:rFonts w:hint="eastAsia"/>
        </w:rPr>
        <w:instrText xml:space="preserve"> HYPERLINK \l _Toc19641 </w:instrText>
      </w:r>
      <w:r>
        <w:rPr>
          <w:rFonts w:hint="eastAsia"/>
        </w:rP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_Toc19641 \h </w:instrText>
      </w:r>
      <w:r>
        <w:fldChar w:fldCharType="separate"/>
      </w:r>
      <w:r>
        <w:t>- 13 -</w:t>
      </w:r>
      <w:r>
        <w:fldChar w:fldCharType="end"/>
      </w:r>
      <w:r>
        <w:rPr>
          <w:rFonts w:hint="eastAsia"/>
        </w:rPr>
        <w:fldChar w:fldCharType="end"/>
      </w:r>
    </w:p>
    <w:p>
      <w:pPr>
        <w:pStyle w:val="13"/>
        <w:tabs>
          <w:tab w:val="right" w:leader="dot" w:pos="8306"/>
          <w:tab w:val="clear" w:pos="8296"/>
        </w:tabs>
      </w:pPr>
      <w:r>
        <w:rPr>
          <w:rFonts w:hint="eastAsia"/>
        </w:rPr>
        <w:fldChar w:fldCharType="begin"/>
      </w:r>
      <w:r>
        <w:rPr>
          <w:rFonts w:hint="eastAsia"/>
        </w:rPr>
        <w:instrText xml:space="preserve"> HYPERLINK \l _Toc16366 </w:instrText>
      </w:r>
      <w:r>
        <w:rPr>
          <w:rFonts w:hint="eastAsia"/>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_Toc16366 \h </w:instrText>
      </w:r>
      <w:r>
        <w:fldChar w:fldCharType="separate"/>
      </w:r>
      <w:r>
        <w:t>- 16 -</w:t>
      </w:r>
      <w:r>
        <w:fldChar w:fldCharType="end"/>
      </w:r>
      <w:r>
        <w:rPr>
          <w:rFonts w:hint="eastAsia"/>
        </w:rPr>
        <w:fldChar w:fldCharType="end"/>
      </w:r>
    </w:p>
    <w:p>
      <w:pPr>
        <w:pStyle w:val="13"/>
        <w:tabs>
          <w:tab w:val="right" w:leader="dot" w:pos="8306"/>
          <w:tab w:val="clear" w:pos="8296"/>
        </w:tabs>
      </w:pPr>
      <w:r>
        <w:rPr>
          <w:rFonts w:hint="eastAsia"/>
        </w:rPr>
        <w:fldChar w:fldCharType="begin"/>
      </w:r>
      <w:r>
        <w:rPr>
          <w:rFonts w:hint="eastAsia"/>
        </w:rPr>
        <w:instrText xml:space="preserve"> HYPERLINK \l _Toc24887 </w:instrText>
      </w:r>
      <w:r>
        <w:rPr>
          <w:rFonts w:hint="eastAsia"/>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_Toc24887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_Toc28402 </w:instrText>
      </w:r>
      <w:r>
        <w:rPr>
          <w:rFonts w:hint="eastAsia"/>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_Toc28402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_Toc12479 </w:instrText>
      </w:r>
      <w:r>
        <w:rPr>
          <w:rFonts w:hint="eastAsia"/>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_Toc12479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_Toc31561 </w:instrText>
      </w:r>
      <w:r>
        <w:rPr>
          <w:rFonts w:hint="eastAsia"/>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_Toc31561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_Toc14600 </w:instrText>
      </w:r>
      <w:r>
        <w:rPr>
          <w:rFonts w:hint="eastAsia"/>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_Toc14600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_Toc41 </w:instrText>
      </w:r>
      <w:r>
        <w:rPr>
          <w:rFonts w:hint="eastAsia"/>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_Toc41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_Toc24667 </w:instrText>
      </w:r>
      <w:r>
        <w:rPr>
          <w:rFonts w:hint="eastAsia"/>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_Toc24667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_Toc15092 </w:instrText>
      </w:r>
      <w:r>
        <w:rPr>
          <w:rFonts w:hint="eastAsia"/>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_Toc15092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_Toc9681 </w:instrText>
      </w:r>
      <w:r>
        <w:rPr>
          <w:rFonts w:hint="eastAsia"/>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_Toc9681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_Toc28849 </w:instrText>
      </w:r>
      <w:r>
        <w:rPr>
          <w:rFonts w:hint="eastAsia"/>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_Toc28849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_Toc15194 </w:instrText>
      </w:r>
      <w:r>
        <w:rPr>
          <w:rFonts w:hint="eastAsia"/>
        </w:rP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_Toc15194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_Toc12403 </w:instrText>
      </w:r>
      <w:r>
        <w:rPr>
          <w:rFonts w:hint="eastAsia"/>
        </w:rP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_Toc12403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_Toc3353 </w:instrText>
      </w:r>
      <w:r>
        <w:rPr>
          <w:rFonts w:hint="eastAsia"/>
        </w:rPr>
        <w:fldChar w:fldCharType="separate"/>
      </w:r>
      <w:r>
        <w:rPr>
          <w:rFonts w:hint="eastAsia" w:ascii="仿宋" w:hAnsi="仿宋" w:eastAsia="仿宋"/>
          <w:bCs w:val="0"/>
        </w:rPr>
        <w:t>十二、国有资本经营预算财政拨款支出决算表</w:t>
      </w:r>
      <w:r>
        <w:tab/>
      </w:r>
      <w:r>
        <w:fldChar w:fldCharType="begin"/>
      </w:r>
      <w:r>
        <w:instrText xml:space="preserve"> PAGEREF _Toc3353 \h </w:instrText>
      </w:r>
      <w:r>
        <w:fldChar w:fldCharType="separate"/>
      </w:r>
      <w:r>
        <w:t>- 17 -</w:t>
      </w:r>
      <w:r>
        <w:fldChar w:fldCharType="end"/>
      </w:r>
      <w:r>
        <w:rPr>
          <w:rFonts w:hint="eastAsia"/>
        </w:rPr>
        <w:fldChar w:fldCharType="end"/>
      </w:r>
    </w:p>
    <w:p>
      <w:pPr>
        <w:pStyle w:val="15"/>
        <w:tabs>
          <w:tab w:val="right" w:leader="dot" w:pos="8306"/>
          <w:tab w:val="clear" w:pos="8296"/>
        </w:tabs>
      </w:pPr>
      <w:r>
        <w:rPr>
          <w:rFonts w:hint="eastAsia"/>
        </w:rPr>
        <w:fldChar w:fldCharType="begin"/>
      </w:r>
      <w:r>
        <w:rPr>
          <w:rFonts w:hint="eastAsia"/>
        </w:rPr>
        <w:instrText xml:space="preserve"> HYPERLINK \l _Toc20934 </w:instrText>
      </w:r>
      <w:r>
        <w:rPr>
          <w:rFonts w:hint="eastAsia"/>
        </w:rPr>
        <w:fldChar w:fldCharType="separate"/>
      </w:r>
      <w:r>
        <w:rPr>
          <w:rFonts w:hint="eastAsia" w:ascii="仿宋" w:hAnsi="仿宋" w:eastAsia="仿宋"/>
          <w:bCs w:val="0"/>
        </w:rPr>
        <w:t>十三、财政拨款“三公”经费支出决算表</w:t>
      </w:r>
      <w:r>
        <w:tab/>
      </w:r>
      <w:r>
        <w:fldChar w:fldCharType="begin"/>
      </w:r>
      <w:r>
        <w:instrText xml:space="preserve"> PAGEREF _Toc20934 \h </w:instrText>
      </w:r>
      <w:r>
        <w:fldChar w:fldCharType="separate"/>
      </w:r>
      <w:r>
        <w:t>- 17 -</w:t>
      </w:r>
      <w:r>
        <w:fldChar w:fldCharType="end"/>
      </w:r>
      <w:r>
        <w:rPr>
          <w:rFonts w:hint="eastAsia"/>
        </w:rPr>
        <w:fldChar w:fldCharType="end"/>
      </w:r>
    </w:p>
    <w:p>
      <w:pPr>
        <w:rPr>
          <w:rFonts w:hint="eastAsia"/>
        </w:rPr>
        <w:sectPr>
          <w:headerReference r:id="rId3" w:type="default"/>
          <w:pgSz w:w="11906" w:h="16838"/>
          <w:pgMar w:top="1440" w:right="1800" w:bottom="1440" w:left="1800" w:header="851" w:footer="992" w:gutter="0"/>
          <w:pgNumType w:start="1"/>
          <w:cols w:space="425" w:num="1"/>
          <w:titlePg/>
          <w:docGrid w:type="lines" w:linePitch="312" w:charSpace="0"/>
        </w:sectPr>
      </w:pPr>
      <w:r>
        <w:rPr>
          <w:rFonts w:hint="eastAsia"/>
        </w:rPr>
        <w:fldChar w:fldCharType="end"/>
      </w:r>
    </w:p>
    <w:p>
      <w:pPr>
        <w:pStyle w:val="3"/>
        <w:jc w:val="center"/>
        <w:rPr>
          <w:rFonts w:ascii="黑体" w:eastAsia="黑体"/>
          <w:sz w:val="32"/>
          <w:szCs w:val="32"/>
          <w:highlight w:val="none"/>
        </w:rPr>
      </w:pPr>
      <w:bookmarkStart w:id="14" w:name="_Toc15377"/>
      <w:r>
        <w:rPr>
          <w:rFonts w:hint="eastAsia" w:ascii="黑体" w:hAnsi="黑体" w:eastAsia="黑体"/>
          <w:b w:val="0"/>
          <w:highlight w:val="none"/>
        </w:rPr>
        <w:t>第一部分 单位</w:t>
      </w:r>
      <w:r>
        <w:rPr>
          <w:rStyle w:val="28"/>
          <w:rFonts w:hint="eastAsia" w:ascii="黑体" w:hAnsi="黑体" w:eastAsia="黑体"/>
          <w:b w:val="0"/>
          <w:bCs w:val="0"/>
          <w:highlight w:val="none"/>
        </w:rPr>
        <w:t>概况</w:t>
      </w:r>
      <w:bookmarkEnd w:id="13"/>
      <w:bookmarkEnd w:id="14"/>
    </w:p>
    <w:p>
      <w:pPr>
        <w:pStyle w:val="2"/>
        <w:pageBreakBefore w:val="0"/>
        <w:numPr>
          <w:ilvl w:val="0"/>
          <w:numId w:val="1"/>
        </w:numPr>
        <w:kinsoku/>
        <w:wordWrap/>
        <w:overflowPunct/>
        <w:topLinePunct w:val="0"/>
        <w:autoSpaceDE/>
        <w:autoSpaceDN/>
        <w:bidi w:val="0"/>
        <w:adjustRightInd/>
        <w:snapToGrid/>
        <w:spacing w:before="0" w:after="0"/>
        <w:ind w:left="0" w:leftChars="0" w:right="0" w:rightChars="0" w:firstLine="640" w:firstLineChars="200"/>
        <w:textAlignment w:val="auto"/>
        <w:rPr>
          <w:rStyle w:val="29"/>
          <w:rFonts w:ascii="黑体" w:hAnsi="黑体" w:eastAsia="黑体"/>
          <w:b w:val="0"/>
          <w:bCs w:val="0"/>
          <w:highlight w:val="none"/>
        </w:rPr>
      </w:pPr>
      <w:bookmarkStart w:id="15" w:name="_Toc675"/>
      <w:bookmarkStart w:id="16" w:name="_Toc22681_WPSOffice_Level2"/>
      <w:bookmarkStart w:id="17" w:name="_Toc3682"/>
      <w:bookmarkStart w:id="18" w:name="_Toc15377197"/>
      <w:bookmarkStart w:id="19" w:name="_Toc15396600"/>
      <w:r>
        <w:rPr>
          <w:rStyle w:val="29"/>
          <w:rFonts w:hint="eastAsia" w:ascii="黑体" w:hAnsi="黑体" w:eastAsia="黑体"/>
          <w:b w:val="0"/>
          <w:bCs w:val="0"/>
          <w:highlight w:val="none"/>
        </w:rPr>
        <w:t>主要职责</w:t>
      </w:r>
      <w:bookmarkEnd w:id="15"/>
      <w:bookmarkEnd w:id="16"/>
      <w:bookmarkEnd w:id="17"/>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rPr>
        <w:t>负责加强全区卫生专业技术人员医学知识和业务素质的培训，提高医护人员医疗技术和护理质量。开展继续教育。</w:t>
      </w:r>
    </w:p>
    <w:p>
      <w:pPr>
        <w:pageBreakBefore w:val="0"/>
        <w:kinsoku/>
        <w:wordWrap/>
        <w:overflowPunct/>
        <w:topLinePunct w:val="0"/>
        <w:autoSpaceDE/>
        <w:autoSpaceDN/>
        <w:bidi w:val="0"/>
        <w:adjustRightInd/>
        <w:snapToGrid/>
        <w:ind w:left="0" w:leftChars="0" w:right="0" w:rightChars="0" w:firstLine="420" w:firstLineChars="200"/>
        <w:textAlignment w:val="auto"/>
        <w:rPr>
          <w:highlight w:val="none"/>
        </w:rPr>
      </w:pPr>
    </w:p>
    <w:p>
      <w:pPr>
        <w:pStyle w:val="2"/>
        <w:pageBreakBefore w:val="0"/>
        <w:kinsoku/>
        <w:wordWrap/>
        <w:overflowPunct/>
        <w:topLinePunct w:val="0"/>
        <w:autoSpaceDE/>
        <w:autoSpaceDN/>
        <w:bidi w:val="0"/>
        <w:adjustRightInd/>
        <w:snapToGrid/>
        <w:spacing w:before="0" w:after="0"/>
        <w:ind w:left="0" w:leftChars="0" w:right="0" w:rightChars="0" w:firstLine="640" w:firstLineChars="200"/>
        <w:textAlignment w:val="auto"/>
        <w:rPr>
          <w:rFonts w:ascii="黑体" w:hAnsi="黑体" w:eastAsia="黑体"/>
          <w:b w:val="0"/>
          <w:highlight w:val="none"/>
        </w:rPr>
      </w:pPr>
      <w:bookmarkStart w:id="20" w:name="_Toc1640_WPSOffice_Level2"/>
      <w:bookmarkStart w:id="21" w:name="_Toc25737"/>
      <w:bookmarkStart w:id="22" w:name="_Toc25026"/>
      <w:r>
        <w:rPr>
          <w:rFonts w:hint="eastAsia" w:ascii="黑体" w:hAnsi="黑体" w:eastAsia="黑体"/>
          <w:b w:val="0"/>
          <w:highlight w:val="none"/>
        </w:rPr>
        <w:t>二、机构设置</w:t>
      </w:r>
      <w:bookmarkEnd w:id="20"/>
      <w:bookmarkEnd w:id="21"/>
      <w:bookmarkEnd w:id="22"/>
    </w:p>
    <w:bookmarkEnd w:id="18"/>
    <w:bookmarkEnd w:id="19"/>
    <w:p>
      <w:pPr>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区卫培中心为</w:t>
      </w:r>
      <w:r>
        <w:rPr>
          <w:rFonts w:ascii="仿宋" w:hAnsi="仿宋" w:eastAsia="仿宋"/>
          <w:color w:val="auto"/>
          <w:sz w:val="32"/>
          <w:szCs w:val="32"/>
        </w:rPr>
        <w:t>二级预算单位</w:t>
      </w:r>
      <w:r>
        <w:rPr>
          <w:rFonts w:hint="eastAsia" w:ascii="仿宋" w:hAnsi="仿宋" w:eastAsia="仿宋"/>
          <w:color w:val="auto"/>
          <w:sz w:val="32"/>
          <w:szCs w:val="32"/>
        </w:rPr>
        <w:t>，无下属预算单位。</w:t>
      </w:r>
    </w:p>
    <w:p>
      <w:pPr>
        <w:pageBreakBefore w:val="0"/>
        <w:widowControl/>
        <w:kinsoku/>
        <w:wordWrap/>
        <w:overflowPunct/>
        <w:topLinePunct w:val="0"/>
        <w:autoSpaceDE/>
        <w:autoSpaceDN/>
        <w:bidi w:val="0"/>
        <w:adjustRightInd/>
        <w:snapToGrid/>
        <w:ind w:left="0" w:leftChars="0" w:right="0" w:rightChars="0" w:firstLine="640" w:firstLineChars="200"/>
        <w:jc w:val="left"/>
        <w:textAlignment w:val="auto"/>
        <w:rPr>
          <w:rFonts w:ascii="仿宋" w:hAnsi="仿宋" w:eastAsia="仿宋"/>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23" w:name="_Toc7261"/>
      <w:bookmarkStart w:id="24" w:name="_Toc15377204"/>
      <w:bookmarkStart w:id="25" w:name="_Toc15396602"/>
      <w:bookmarkStart w:id="26" w:name="_Toc28978"/>
      <w:bookmarkStart w:id="27" w:name="_Toc22681_WPSOffice_Level1"/>
      <w:r>
        <w:rPr>
          <w:rFonts w:hint="eastAsia" w:ascii="黑体" w:hAnsi="黑体" w:eastAsia="黑体"/>
          <w:b w:val="0"/>
        </w:rPr>
        <w:t xml:space="preserve">第二部分 </w:t>
      </w:r>
      <w:r>
        <w:rPr>
          <w:rFonts w:hint="eastAsia" w:ascii="黑体" w:hAnsi="黑体" w:eastAsia="黑体"/>
          <w:b w:val="0"/>
          <w:lang w:eastAsia="zh-CN"/>
        </w:rPr>
        <w:t>2023</w:t>
      </w:r>
      <w:r>
        <w:rPr>
          <w:rFonts w:hint="eastAsia" w:ascii="黑体" w:hAnsi="黑体" w:eastAsia="黑体"/>
          <w:b w:val="0"/>
        </w:rPr>
        <w:t>年度</w:t>
      </w:r>
      <w:r>
        <w:rPr>
          <w:rStyle w:val="28"/>
          <w:rFonts w:hint="eastAsia" w:ascii="黑体" w:hAnsi="黑体" w:eastAsia="黑体"/>
          <w:b w:val="0"/>
          <w:bCs/>
        </w:rPr>
        <w:t>单位决算情况说明</w:t>
      </w:r>
      <w:bookmarkEnd w:id="23"/>
      <w:bookmarkEnd w:id="24"/>
      <w:bookmarkEnd w:id="25"/>
      <w:bookmarkEnd w:id="26"/>
      <w:bookmarkEnd w:id="27"/>
    </w:p>
    <w:p/>
    <w:p>
      <w:pPr>
        <w:pStyle w:val="27"/>
        <w:numPr>
          <w:ilvl w:val="0"/>
          <w:numId w:val="2"/>
        </w:numPr>
        <w:spacing w:line="600" w:lineRule="exact"/>
        <w:ind w:firstLineChars="0"/>
        <w:outlineLvl w:val="1"/>
        <w:rPr>
          <w:rStyle w:val="29"/>
          <w:rFonts w:ascii="黑体" w:hAnsi="黑体" w:eastAsia="黑体"/>
          <w:b w:val="0"/>
        </w:rPr>
      </w:pPr>
      <w:bookmarkStart w:id="28" w:name="_Toc15396603"/>
      <w:bookmarkStart w:id="29" w:name="_Toc15377205"/>
      <w:bookmarkStart w:id="30" w:name="_Toc31026_WPSOffice_Level2"/>
      <w:bookmarkStart w:id="31" w:name="_Toc2522"/>
      <w:bookmarkStart w:id="32" w:name="_Toc21320"/>
      <w:r>
        <w:rPr>
          <w:rFonts w:hint="eastAsia" w:ascii="黑体" w:hAnsi="黑体" w:eastAsia="黑体"/>
          <w:sz w:val="32"/>
          <w:szCs w:val="32"/>
        </w:rPr>
        <w:t>收</w:t>
      </w:r>
      <w:r>
        <w:rPr>
          <w:rStyle w:val="29"/>
          <w:rFonts w:hint="eastAsia" w:ascii="黑体" w:hAnsi="黑体" w:eastAsia="黑体"/>
          <w:b w:val="0"/>
        </w:rPr>
        <w:t>入支出决算总体情况说明</w:t>
      </w:r>
      <w:bookmarkEnd w:id="28"/>
      <w:bookmarkEnd w:id="29"/>
      <w:bookmarkEnd w:id="30"/>
      <w:bookmarkEnd w:id="31"/>
      <w:bookmarkEnd w:id="32"/>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lang w:eastAsia="zh-CN"/>
        </w:rPr>
        <w:t>2023</w:t>
      </w:r>
      <w:r>
        <w:rPr>
          <w:rFonts w:hint="eastAsia" w:ascii="仿宋" w:hAnsi="仿宋" w:eastAsia="仿宋"/>
          <w:sz w:val="32"/>
          <w:szCs w:val="32"/>
        </w:rPr>
        <w:t>年度收、支总计</w:t>
      </w:r>
      <w:r>
        <w:rPr>
          <w:rFonts w:hint="eastAsia" w:ascii="仿宋" w:hAnsi="仿宋" w:eastAsia="仿宋"/>
          <w:sz w:val="32"/>
          <w:szCs w:val="32"/>
          <w:lang w:val="en-US" w:eastAsia="zh-CN"/>
        </w:rPr>
        <w:t>127.17</w:t>
      </w:r>
      <w:r>
        <w:rPr>
          <w:rFonts w:hint="eastAsia" w:ascii="仿宋" w:hAnsi="仿宋" w:eastAsia="仿宋"/>
          <w:sz w:val="32"/>
          <w:szCs w:val="32"/>
        </w:rPr>
        <w:t>万元。与202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143.69万元</w:t>
      </w:r>
      <w:r>
        <w:rPr>
          <w:rFonts w:hint="eastAsia" w:ascii="仿宋" w:hAnsi="仿宋" w:eastAsia="仿宋"/>
          <w:sz w:val="32"/>
          <w:szCs w:val="32"/>
        </w:rPr>
        <w:t>相比，收、支总计各</w:t>
      </w:r>
      <w:r>
        <w:rPr>
          <w:rFonts w:hint="eastAsia" w:ascii="仿宋" w:hAnsi="仿宋" w:eastAsia="仿宋"/>
          <w:sz w:val="32"/>
          <w:szCs w:val="32"/>
          <w:lang w:val="en-US" w:eastAsia="zh-CN"/>
        </w:rPr>
        <w:t>减少16.52</w:t>
      </w:r>
      <w:r>
        <w:rPr>
          <w:rFonts w:hint="eastAsia" w:ascii="仿宋" w:hAnsi="仿宋" w:eastAsia="仿宋"/>
          <w:sz w:val="32"/>
          <w:szCs w:val="32"/>
        </w:rPr>
        <w:t>万元，</w:t>
      </w:r>
      <w:r>
        <w:rPr>
          <w:rFonts w:hint="eastAsia" w:ascii="仿宋" w:hAnsi="仿宋" w:eastAsia="仿宋"/>
          <w:sz w:val="32"/>
          <w:szCs w:val="32"/>
          <w:lang w:val="en-US" w:eastAsia="zh-CN"/>
        </w:rPr>
        <w:t>下降11.5</w:t>
      </w:r>
      <w:r>
        <w:rPr>
          <w:rFonts w:ascii="仿宋" w:hAnsi="仿宋" w:eastAsia="仿宋"/>
          <w:sz w:val="32"/>
          <w:szCs w:val="32"/>
        </w:rPr>
        <w:t>%</w:t>
      </w:r>
      <w:r>
        <w:rPr>
          <w:rFonts w:hint="eastAsia" w:ascii="仿宋" w:hAnsi="仿宋" w:eastAsia="仿宋"/>
          <w:sz w:val="32"/>
          <w:szCs w:val="32"/>
        </w:rPr>
        <w:t>。主要变动原</w:t>
      </w:r>
      <w:r>
        <w:rPr>
          <w:rFonts w:hint="eastAsia" w:ascii="仿宋" w:hAnsi="仿宋" w:eastAsia="仿宋"/>
          <w:sz w:val="32"/>
          <w:szCs w:val="32"/>
          <w:highlight w:val="none"/>
        </w:rPr>
        <w:t>因是</w:t>
      </w:r>
      <w:r>
        <w:rPr>
          <w:rFonts w:hint="eastAsia" w:ascii="仿宋" w:hAnsi="仿宋" w:eastAsia="仿宋"/>
          <w:sz w:val="32"/>
          <w:szCs w:val="32"/>
          <w:highlight w:val="none"/>
          <w:lang w:val="en-US" w:eastAsia="zh-CN"/>
        </w:rPr>
        <w:t>2022年含有以前年度未发放的目标绩效，2023年无该部分支出</w:t>
      </w:r>
      <w:r>
        <w:rPr>
          <w:rFonts w:hint="eastAsia" w:ascii="仿宋" w:hAnsi="仿宋" w:eastAsia="仿宋"/>
          <w:sz w:val="32"/>
          <w:szCs w:val="32"/>
          <w:highlight w:val="none"/>
        </w:rPr>
        <w:t>。</w:t>
      </w:r>
    </w:p>
    <w:p>
      <w:pPr>
        <w:pStyle w:val="6"/>
        <w:spacing w:before="93"/>
      </w:pPr>
      <w:r>
        <w:rPr>
          <w:rFonts w:hint="eastAsia" w:ascii="仿宋" w:hAnsi="仿宋" w:eastAsia="仿宋"/>
          <w:color w:val="0000FF"/>
          <w:sz w:val="32"/>
          <w:szCs w:val="32"/>
        </w:rPr>
        <w:pict>
          <v:shape id="_x0000_s1026" o:spid="_x0000_s1026" o:spt="75" type="#_x0000_t75" style="position:absolute;left:0pt;margin-left:63.55pt;margin-top:18.85pt;height:161.65pt;width:333.6pt;mso-wrap-distance-bottom:0pt;mso-wrap-distance-left:9pt;mso-wrap-distance-right:9pt;mso-wrap-distance-top:0pt;z-index:251661312;mso-width-relative:page;mso-height-relative:page;" o:ole="t" filled="f" o:preferrelative="t" stroked="f" coordsize="21600,21600">
            <v:path/>
            <v:fill on="f" focussize="0,0"/>
            <v:stroke on="f"/>
            <v:imagedata r:id="rId8" o:title=""/>
            <o:lock v:ext="edit" aspectratio="t"/>
            <w10:wrap type="square"/>
          </v:shape>
          <o:OLEObject Type="Embed" ProgID="Excel.Chart.8" ShapeID="_x0000_s1026" DrawAspect="Content" ObjectID="_1468075725" r:id="rId7">
            <o:LockedField>false</o:LockedField>
          </o:OLEObject>
        </w:pict>
      </w:r>
    </w:p>
    <w:p>
      <w:pPr>
        <w:pStyle w:val="6"/>
        <w:spacing w:before="93"/>
      </w:pPr>
    </w:p>
    <w:p>
      <w:pPr>
        <w:pStyle w:val="6"/>
        <w:spacing w:before="93"/>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2"/>
        </w:numPr>
        <w:spacing w:line="600" w:lineRule="exact"/>
        <w:ind w:firstLineChars="0"/>
        <w:outlineLvl w:val="1"/>
        <w:rPr>
          <w:rStyle w:val="29"/>
          <w:rFonts w:ascii="黑体" w:hAnsi="黑体" w:eastAsia="黑体"/>
          <w:b w:val="0"/>
        </w:rPr>
      </w:pPr>
      <w:bookmarkStart w:id="33" w:name="_Toc15396604"/>
      <w:bookmarkStart w:id="34" w:name="_Toc11143"/>
      <w:bookmarkStart w:id="35" w:name="_Toc7777_WPSOffice_Level2"/>
      <w:bookmarkStart w:id="36" w:name="_Toc15377206"/>
      <w:r>
        <w:rPr>
          <w:rFonts w:hint="eastAsia" w:ascii="黑体" w:hAnsi="黑体" w:eastAsia="黑体"/>
          <w:sz w:val="32"/>
          <w:szCs w:val="32"/>
        </w:rPr>
        <w:t>收</w:t>
      </w:r>
      <w:r>
        <w:rPr>
          <w:rStyle w:val="29"/>
          <w:rFonts w:hint="eastAsia" w:ascii="黑体" w:hAnsi="黑体" w:eastAsia="黑体"/>
          <w:b w:val="0"/>
        </w:rPr>
        <w:t>入决算情况说明</w:t>
      </w:r>
      <w:bookmarkEnd w:id="33"/>
      <w:bookmarkEnd w:id="34"/>
      <w:bookmarkEnd w:id="35"/>
      <w:bookmarkEnd w:id="36"/>
    </w:p>
    <w:p>
      <w:pPr>
        <w:spacing w:line="600" w:lineRule="exact"/>
        <w:ind w:firstLine="640" w:firstLineChars="200"/>
        <w:outlineLvl w:val="9"/>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年本年收入合计</w:t>
      </w:r>
      <w:r>
        <w:rPr>
          <w:rFonts w:hint="eastAsia" w:ascii="仿宋" w:hAnsi="仿宋" w:eastAsia="仿宋"/>
          <w:sz w:val="32"/>
          <w:szCs w:val="32"/>
          <w:lang w:val="en-US" w:eastAsia="zh-CN"/>
        </w:rPr>
        <w:t>127.17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127.17</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w:t>
      </w:r>
    </w:p>
    <w:p>
      <w:pPr>
        <w:spacing w:line="600" w:lineRule="exact"/>
        <w:ind w:firstLine="960" w:firstLineChars="300"/>
        <w:outlineLvl w:val="9"/>
        <w:rPr>
          <w:rFonts w:hint="eastAsia" w:ascii="仿宋" w:hAnsi="仿宋" w:eastAsia="仿宋"/>
          <w:sz w:val="32"/>
          <w:szCs w:val="32"/>
        </w:rPr>
      </w:pPr>
      <w:r>
        <w:rPr>
          <w:rFonts w:eastAsia="仿宋"/>
          <w:color w:val="000000"/>
          <w:sz w:val="32"/>
          <w:szCs w:val="32"/>
        </w:rPr>
        <w:pict>
          <v:shape id="Image1" o:spid="_x0000_s1038" o:spt="75" type="#_x0000_t75" style="position:absolute;left:0pt;margin-left:72.05pt;margin-top:13.25pt;height:136.4pt;width:289.75pt;mso-wrap-distance-bottom:0pt;mso-wrap-distance-left:9pt;mso-wrap-distance-right:9pt;mso-wrap-distance-top:0pt;z-index:251666432;mso-width-relative:page;mso-height-relative:page;" o:ole="t" filled="f" o:preferrelative="t" stroked="t" coordsize="21600,21600">
            <v:path/>
            <v:fill on="f" focussize="0,0"/>
            <v:stroke color="#FFFFFF" joinstyle="miter"/>
            <v:imagedata r:id="rId10" cropleft="746f" croptop="1537f" cropbottom="2514f" o:title=""/>
            <o:lock v:ext="edit" aspectratio="f"/>
            <w10:wrap type="square"/>
          </v:shape>
          <o:OLEObject Type="Embed" ProgID="Excel.Sheet.8" ShapeID="Image1" DrawAspect="Content" ObjectID="_1468075726" r:id="rId9">
            <o:LockedField>false</o:LockedField>
          </o:OLEObject>
        </w:pict>
      </w:r>
    </w:p>
    <w:p>
      <w:pPr>
        <w:spacing w:line="600" w:lineRule="exact"/>
        <w:ind w:firstLine="960" w:firstLineChars="300"/>
        <w:outlineLvl w:val="9"/>
        <w:rPr>
          <w:rFonts w:hint="eastAsia" w:ascii="仿宋" w:hAnsi="仿宋" w:eastAsia="仿宋"/>
          <w:sz w:val="32"/>
          <w:szCs w:val="32"/>
        </w:rPr>
      </w:pPr>
    </w:p>
    <w:p>
      <w:pPr>
        <w:spacing w:line="600" w:lineRule="exact"/>
        <w:ind w:firstLine="960" w:firstLineChars="300"/>
        <w:outlineLvl w:val="9"/>
        <w:rPr>
          <w:rFonts w:hint="eastAsia" w:ascii="仿宋" w:hAnsi="仿宋" w:eastAsia="仿宋"/>
          <w:sz w:val="32"/>
          <w:szCs w:val="32"/>
        </w:rPr>
      </w:pPr>
    </w:p>
    <w:p>
      <w:pPr>
        <w:spacing w:line="600" w:lineRule="exact"/>
        <w:ind w:firstLine="960" w:firstLineChars="300"/>
        <w:outlineLvl w:val="9"/>
        <w:rPr>
          <w:rFonts w:hint="eastAsia" w:ascii="仿宋" w:hAnsi="仿宋" w:eastAsia="仿宋"/>
          <w:sz w:val="32"/>
          <w:szCs w:val="32"/>
        </w:rPr>
      </w:pPr>
    </w:p>
    <w:p>
      <w:pPr>
        <w:spacing w:line="600" w:lineRule="exact"/>
        <w:outlineLvl w:val="9"/>
        <w:rPr>
          <w:rFonts w:hint="eastAsia" w:ascii="仿宋" w:hAnsi="仿宋" w:eastAsia="仿宋"/>
          <w:sz w:val="32"/>
          <w:szCs w:val="32"/>
        </w:rPr>
      </w:pPr>
    </w:p>
    <w:p>
      <w:pPr>
        <w:spacing w:line="600" w:lineRule="exact"/>
        <w:ind w:firstLine="960" w:firstLineChars="300"/>
        <w:outlineLvl w:val="9"/>
        <w:rPr>
          <w:rFonts w:ascii="仿宋_GB2312" w:eastAsia="仿宋_GB2312"/>
          <w:sz w:val="32"/>
          <w:szCs w:val="32"/>
        </w:rPr>
      </w:pPr>
      <w:r>
        <w:rPr>
          <w:rFonts w:hint="eastAsia" w:ascii="仿宋" w:hAnsi="仿宋" w:eastAsia="仿宋"/>
          <w:sz w:val="32"/>
          <w:szCs w:val="32"/>
        </w:rPr>
        <w:t>（图2：收入决算结构图）（饼状图）</w:t>
      </w:r>
    </w:p>
    <w:p>
      <w:pPr>
        <w:pStyle w:val="27"/>
        <w:numPr>
          <w:ilvl w:val="0"/>
          <w:numId w:val="2"/>
        </w:numPr>
        <w:spacing w:line="600" w:lineRule="exact"/>
        <w:ind w:firstLineChars="0"/>
        <w:outlineLvl w:val="1"/>
        <w:rPr>
          <w:rStyle w:val="29"/>
          <w:rFonts w:ascii="黑体" w:hAnsi="黑体" w:eastAsia="黑体"/>
          <w:b w:val="0"/>
        </w:rPr>
      </w:pPr>
      <w:bookmarkStart w:id="37" w:name="_Toc8096_WPSOffice_Level2"/>
      <w:bookmarkStart w:id="38" w:name="_Toc15377207"/>
      <w:bookmarkStart w:id="39" w:name="_Toc15396605"/>
      <w:bookmarkStart w:id="40" w:name="_Toc22585"/>
      <w:bookmarkStart w:id="41" w:name="_Toc27947"/>
      <w:r>
        <w:rPr>
          <w:rFonts w:hint="eastAsia" w:ascii="黑体" w:hAnsi="黑体" w:eastAsia="黑体"/>
          <w:sz w:val="32"/>
          <w:szCs w:val="32"/>
        </w:rPr>
        <w:t>支</w:t>
      </w:r>
      <w:r>
        <w:rPr>
          <w:rStyle w:val="29"/>
          <w:rFonts w:hint="eastAsia" w:ascii="黑体" w:hAnsi="黑体" w:eastAsia="黑体"/>
          <w:b w:val="0"/>
        </w:rPr>
        <w:t>出决算情况说明</w:t>
      </w:r>
      <w:bookmarkEnd w:id="37"/>
      <w:bookmarkEnd w:id="38"/>
      <w:bookmarkEnd w:id="39"/>
      <w:bookmarkEnd w:id="40"/>
      <w:bookmarkEnd w:id="41"/>
    </w:p>
    <w:p>
      <w:pPr>
        <w:spacing w:line="600" w:lineRule="exact"/>
        <w:ind w:firstLine="640" w:firstLineChars="200"/>
        <w:outlineLvl w:val="9"/>
        <w:rPr>
          <w:rFonts w:ascii="仿宋" w:hAnsi="仿宋" w:eastAsia="仿宋"/>
          <w:sz w:val="32"/>
          <w:szCs w:val="32"/>
          <w:shd w:val="pct10" w:color="auto" w:fill="FFFFFF"/>
        </w:rPr>
      </w:pPr>
      <w:r>
        <w:rPr>
          <w:rFonts w:hint="eastAsia" w:ascii="仿宋" w:hAnsi="仿宋" w:eastAsia="仿宋"/>
          <w:sz w:val="32"/>
          <w:szCs w:val="32"/>
          <w:lang w:eastAsia="zh-CN"/>
        </w:rPr>
        <w:t>2023</w:t>
      </w:r>
      <w:r>
        <w:rPr>
          <w:rFonts w:hint="eastAsia" w:ascii="仿宋" w:hAnsi="仿宋" w:eastAsia="仿宋"/>
          <w:sz w:val="32"/>
          <w:szCs w:val="32"/>
        </w:rPr>
        <w:t>年本年支出合计</w:t>
      </w:r>
      <w:r>
        <w:rPr>
          <w:rFonts w:hint="eastAsia" w:ascii="仿宋" w:hAnsi="仿宋" w:eastAsia="仿宋"/>
          <w:sz w:val="32"/>
          <w:szCs w:val="32"/>
          <w:lang w:val="en-US" w:eastAsia="zh-CN"/>
        </w:rPr>
        <w:t>127.17</w:t>
      </w:r>
      <w:r>
        <w:rPr>
          <w:rFonts w:hint="eastAsia" w:ascii="仿宋" w:hAnsi="仿宋" w:eastAsia="仿宋"/>
          <w:sz w:val="32"/>
          <w:szCs w:val="32"/>
        </w:rPr>
        <w:t>万元，其中：基本支出</w:t>
      </w:r>
      <w:r>
        <w:rPr>
          <w:rFonts w:hint="eastAsia" w:ascii="仿宋" w:hAnsi="仿宋" w:eastAsia="仿宋"/>
          <w:sz w:val="32"/>
          <w:szCs w:val="32"/>
          <w:lang w:val="en-US" w:eastAsia="zh-CN"/>
        </w:rPr>
        <w:t>123.16</w:t>
      </w:r>
      <w:r>
        <w:rPr>
          <w:rFonts w:hint="eastAsia" w:ascii="仿宋" w:hAnsi="仿宋" w:eastAsia="仿宋"/>
          <w:sz w:val="32"/>
          <w:szCs w:val="32"/>
        </w:rPr>
        <w:t>万元，占</w:t>
      </w:r>
      <w:r>
        <w:rPr>
          <w:rFonts w:hint="eastAsia" w:ascii="仿宋" w:hAnsi="仿宋" w:eastAsia="仿宋"/>
          <w:sz w:val="32"/>
          <w:szCs w:val="32"/>
          <w:lang w:val="en-US" w:eastAsia="zh-CN"/>
        </w:rPr>
        <w:t>96.78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4.01</w:t>
      </w:r>
      <w:r>
        <w:rPr>
          <w:rFonts w:hint="eastAsia" w:ascii="仿宋" w:hAnsi="仿宋" w:eastAsia="仿宋"/>
          <w:sz w:val="32"/>
          <w:szCs w:val="32"/>
        </w:rPr>
        <w:t>万元，占</w:t>
      </w:r>
      <w:r>
        <w:rPr>
          <w:rFonts w:hint="eastAsia" w:ascii="仿宋" w:hAnsi="仿宋" w:eastAsia="仿宋"/>
          <w:sz w:val="32"/>
          <w:szCs w:val="32"/>
          <w:lang w:val="en-US" w:eastAsia="zh-CN"/>
        </w:rPr>
        <w:t>3.22</w:t>
      </w:r>
      <w:r>
        <w:rPr>
          <w:rFonts w:ascii="仿宋" w:hAnsi="仿宋" w:eastAsia="仿宋"/>
          <w:sz w:val="32"/>
          <w:szCs w:val="32"/>
        </w:rPr>
        <w:t>%</w:t>
      </w:r>
      <w:r>
        <w:rPr>
          <w:rFonts w:hint="eastAsia" w:ascii="仿宋" w:hAnsi="仿宋" w:eastAsia="仿宋"/>
          <w:sz w:val="32"/>
          <w:szCs w:val="32"/>
        </w:rPr>
        <w:t>。</w:t>
      </w:r>
    </w:p>
    <w:p>
      <w:pPr>
        <w:pStyle w:val="6"/>
        <w:spacing w:before="93"/>
        <w:jc w:val="both"/>
        <w:rPr>
          <w:rFonts w:hint="eastAsia" w:ascii="仿宋" w:hAnsi="仿宋" w:eastAsia="仿宋"/>
          <w:sz w:val="32"/>
          <w:szCs w:val="32"/>
        </w:rPr>
      </w:pPr>
    </w:p>
    <w:p>
      <w:pPr>
        <w:pStyle w:val="6"/>
        <w:spacing w:before="93"/>
        <w:jc w:val="both"/>
        <w:rPr>
          <w:rFonts w:hint="eastAsia" w:ascii="仿宋" w:hAnsi="仿宋" w:eastAsia="仿宋"/>
          <w:sz w:val="32"/>
          <w:szCs w:val="32"/>
        </w:rPr>
      </w:pPr>
      <w:r>
        <w:rPr>
          <w:rFonts w:hint="eastAsia" w:ascii="仿宋" w:hAnsi="仿宋" w:eastAsia="仿宋"/>
          <w:color w:val="000000"/>
          <w:sz w:val="32"/>
          <w:szCs w:val="32"/>
        </w:rPr>
        <w:pict>
          <v:shape id="_x0000_s1028" o:spid="_x0000_s1028" o:spt="75" type="#_x0000_t75" style="position:absolute;left:0pt;margin-left:52.9pt;margin-top:2.4pt;height:185.15pt;width:298.3pt;mso-wrap-distance-bottom:0pt;mso-wrap-distance-left:9pt;mso-wrap-distance-right:9pt;mso-wrap-distance-top:0pt;z-index:251662336;mso-width-relative:page;mso-height-relative:page;" o:ole="t" filled="f" o:preferrelative="t" stroked="f" coordsize="21600,21600">
            <v:path/>
            <v:fill on="f" focussize="0,0"/>
            <v:stroke on="f"/>
            <v:imagedata r:id="rId12" o:title=""/>
            <o:lock v:ext="edit" aspectratio="t"/>
            <w10:wrap type="square"/>
          </v:shape>
          <o:OLEObject Type="Embed" ProgID="Excel.Chart.8" ShapeID="_x0000_s1028" DrawAspect="Content" ObjectID="_1468075727" r:id="rId11">
            <o:LockedField>false</o:LockedField>
          </o:OLEObject>
        </w:pict>
      </w:r>
    </w:p>
    <w:p>
      <w:pPr>
        <w:pStyle w:val="6"/>
        <w:spacing w:before="93"/>
        <w:jc w:val="both"/>
        <w:rPr>
          <w:rFonts w:hint="eastAsia" w:ascii="仿宋" w:hAnsi="仿宋" w:eastAsia="仿宋"/>
          <w:sz w:val="32"/>
          <w:szCs w:val="32"/>
        </w:rPr>
      </w:pPr>
    </w:p>
    <w:p>
      <w:pPr>
        <w:pStyle w:val="6"/>
        <w:spacing w:before="93"/>
        <w:jc w:val="both"/>
        <w:rPr>
          <w:rFonts w:hint="eastAsia" w:ascii="仿宋" w:hAnsi="仿宋" w:eastAsia="仿宋"/>
          <w:sz w:val="32"/>
          <w:szCs w:val="32"/>
        </w:rPr>
      </w:pPr>
    </w:p>
    <w:p>
      <w:pPr>
        <w:pStyle w:val="6"/>
        <w:spacing w:before="93"/>
        <w:jc w:val="both"/>
        <w:rPr>
          <w:rFonts w:hint="eastAsia" w:ascii="仿宋" w:hAnsi="仿宋" w:eastAsia="仿宋"/>
          <w:sz w:val="32"/>
          <w:szCs w:val="32"/>
        </w:rPr>
      </w:pPr>
    </w:p>
    <w:p>
      <w:pPr>
        <w:pStyle w:val="6"/>
        <w:spacing w:before="93"/>
        <w:jc w:val="both"/>
        <w:rPr>
          <w:rFonts w:hint="eastAsia" w:ascii="仿宋" w:hAnsi="仿宋" w:eastAsia="仿宋"/>
          <w:sz w:val="32"/>
          <w:szCs w:val="32"/>
        </w:rPr>
      </w:pPr>
    </w:p>
    <w:p>
      <w:pPr>
        <w:pStyle w:val="6"/>
        <w:spacing w:before="93"/>
        <w:jc w:val="both"/>
        <w:rPr>
          <w:rFonts w:hint="eastAsia" w:ascii="仿宋" w:hAnsi="仿宋" w:eastAsia="仿宋"/>
          <w:sz w:val="32"/>
          <w:szCs w:val="32"/>
        </w:rPr>
      </w:pPr>
    </w:p>
    <w:p>
      <w:pPr>
        <w:pStyle w:val="6"/>
        <w:spacing w:before="93"/>
        <w:ind w:firstLine="1280" w:firstLineChars="400"/>
        <w:jc w:val="both"/>
        <w:rPr>
          <w:rFonts w:hint="eastAsia" w:ascii="黑体" w:hAnsi="黑体" w:eastAsia="仿宋"/>
          <w:sz w:val="32"/>
          <w:szCs w:val="32"/>
          <w:lang w:val="en-US" w:eastAsia="zh-CN"/>
        </w:rPr>
      </w:pPr>
      <w:r>
        <w:rPr>
          <w:rFonts w:hint="eastAsia" w:ascii="仿宋" w:hAnsi="仿宋" w:eastAsia="仿宋"/>
          <w:sz w:val="32"/>
          <w:szCs w:val="32"/>
        </w:rPr>
        <w:t>（图3：支出决算结构图）（饼状图</w:t>
      </w:r>
      <w:bookmarkStart w:id="42" w:name="_Toc15377208"/>
      <w:bookmarkStart w:id="43" w:name="_Toc15396606"/>
      <w:bookmarkStart w:id="44" w:name="_Toc19757_WPSOffice_Level2"/>
      <w:bookmarkStart w:id="45" w:name="_Toc8067"/>
      <w:r>
        <w:rPr>
          <w:rFonts w:hint="eastAsia" w:ascii="仿宋" w:hAnsi="仿宋" w:eastAsia="仿宋"/>
          <w:sz w:val="32"/>
          <w:szCs w:val="32"/>
          <w:lang w:val="en-US" w:eastAsia="zh-CN"/>
        </w:rPr>
        <w:t>)</w:t>
      </w:r>
    </w:p>
    <w:p>
      <w:pPr>
        <w:pStyle w:val="5"/>
        <w:rPr>
          <w:rFonts w:hint="eastAsia"/>
        </w:rPr>
      </w:pPr>
    </w:p>
    <w:p>
      <w:pPr>
        <w:spacing w:line="600" w:lineRule="exact"/>
        <w:ind w:firstLine="640" w:firstLineChars="200"/>
        <w:outlineLvl w:val="1"/>
        <w:rPr>
          <w:rStyle w:val="29"/>
          <w:rFonts w:ascii="黑体" w:hAnsi="黑体" w:eastAsia="黑体"/>
          <w:b w:val="0"/>
        </w:rPr>
      </w:pPr>
      <w:bookmarkStart w:id="46" w:name="_Toc27781"/>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2"/>
      <w:bookmarkEnd w:id="43"/>
      <w:bookmarkEnd w:id="44"/>
      <w:bookmarkEnd w:id="45"/>
      <w:bookmarkEnd w:id="46"/>
    </w:p>
    <w:p>
      <w:pPr>
        <w:spacing w:line="600" w:lineRule="exact"/>
        <w:ind w:firstLine="640"/>
        <w:rPr>
          <w:rFonts w:ascii="仿宋" w:hAnsi="仿宋" w:eastAsia="仿宋"/>
          <w:sz w:val="32"/>
          <w:szCs w:val="32"/>
          <w:highlight w:val="yellow"/>
        </w:rPr>
      </w:pPr>
      <w:r>
        <w:rPr>
          <w:rFonts w:hint="eastAsia" w:ascii="仿宋" w:hAnsi="仿宋" w:eastAsia="仿宋"/>
          <w:sz w:val="32"/>
          <w:szCs w:val="32"/>
          <w:lang w:eastAsia="zh-CN"/>
        </w:rPr>
        <w:t>2023</w:t>
      </w:r>
      <w:r>
        <w:rPr>
          <w:rFonts w:hint="eastAsia" w:ascii="仿宋" w:hAnsi="仿宋" w:eastAsia="仿宋"/>
          <w:sz w:val="32"/>
          <w:szCs w:val="32"/>
        </w:rPr>
        <w:t>年财政拨款收、支总计</w:t>
      </w:r>
      <w:r>
        <w:rPr>
          <w:rFonts w:hint="eastAsia" w:ascii="仿宋" w:hAnsi="仿宋" w:eastAsia="仿宋"/>
          <w:sz w:val="32"/>
          <w:szCs w:val="32"/>
          <w:lang w:val="en-US" w:eastAsia="zh-CN"/>
        </w:rPr>
        <w:t>127.17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143.69</w:t>
      </w:r>
      <w:r>
        <w:rPr>
          <w:rFonts w:hint="eastAsia" w:ascii="仿宋" w:hAnsi="仿宋" w:eastAsia="仿宋"/>
          <w:sz w:val="32"/>
          <w:szCs w:val="32"/>
        </w:rPr>
        <w:t>相比，财政拨款收、支总计各</w:t>
      </w:r>
      <w:r>
        <w:rPr>
          <w:rFonts w:hint="eastAsia" w:ascii="仿宋" w:hAnsi="仿宋" w:eastAsia="仿宋"/>
          <w:sz w:val="32"/>
          <w:szCs w:val="32"/>
          <w:lang w:val="en-US" w:eastAsia="zh-CN"/>
        </w:rPr>
        <w:t>减少16.52</w:t>
      </w:r>
      <w:r>
        <w:rPr>
          <w:rFonts w:hint="eastAsia" w:ascii="仿宋" w:hAnsi="仿宋" w:eastAsia="仿宋"/>
          <w:sz w:val="32"/>
          <w:szCs w:val="32"/>
        </w:rPr>
        <w:t>万元，</w:t>
      </w:r>
      <w:r>
        <w:rPr>
          <w:rFonts w:hint="eastAsia" w:ascii="仿宋" w:hAnsi="仿宋" w:eastAsia="仿宋"/>
          <w:sz w:val="32"/>
          <w:szCs w:val="32"/>
          <w:lang w:val="en-US" w:eastAsia="zh-CN"/>
        </w:rPr>
        <w:t>下降11.5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2022年含有以前年度未发放的目标绩效，2023年无该部分支出</w:t>
      </w:r>
      <w:r>
        <w:rPr>
          <w:rFonts w:hint="eastAsia" w:ascii="仿宋" w:hAnsi="仿宋" w:eastAsia="仿宋"/>
          <w:sz w:val="32"/>
          <w:szCs w:val="32"/>
          <w:highlight w:val="none"/>
        </w:rPr>
        <w:t>。</w:t>
      </w:r>
    </w:p>
    <w:p>
      <w:pPr>
        <w:spacing w:line="600" w:lineRule="exact"/>
        <w:rPr>
          <w:rFonts w:ascii="仿宋" w:hAnsi="仿宋" w:eastAsia="仿宋"/>
          <w:sz w:val="32"/>
          <w:szCs w:val="32"/>
        </w:rPr>
      </w:pPr>
    </w:p>
    <w:p>
      <w:pPr>
        <w:pStyle w:val="6"/>
        <w:spacing w:before="93"/>
        <w:rPr>
          <w:rFonts w:ascii="仿宋" w:hAnsi="仿宋" w:eastAsia="仿宋"/>
          <w:sz w:val="32"/>
          <w:szCs w:val="32"/>
        </w:rPr>
      </w:pPr>
      <w:r>
        <w:rPr>
          <w:rFonts w:hint="eastAsia" w:ascii="仿宋" w:hAnsi="仿宋" w:eastAsia="仿宋"/>
          <w:color w:val="auto"/>
          <w:sz w:val="32"/>
          <w:szCs w:val="32"/>
        </w:rPr>
        <w:pict>
          <v:shape id="_x0000_s1030" o:spid="_x0000_s1030" o:spt="75" type="#_x0000_t75" style="position:absolute;left:0pt;margin-left:8.35pt;margin-top:15.2pt;height:233.1pt;width:367.3pt;mso-wrap-distance-bottom:0pt;mso-wrap-distance-left:9pt;mso-wrap-distance-right:9pt;mso-wrap-distance-top:0pt;z-index:251663360;mso-width-relative:page;mso-height-relative:page;" o:ole="t" filled="f" o:preferrelative="t" stroked="f" coordsize="21600,21600">
            <v:path/>
            <v:fill on="f" focussize="0,0"/>
            <v:stroke on="f"/>
            <v:imagedata r:id="rId14" o:title=""/>
            <o:lock v:ext="edit" aspectratio="t"/>
            <w10:wrap type="square"/>
          </v:shape>
          <o:OLEObject Type="Embed" ProgID="Excel.Chart.8" ShapeID="_x0000_s1030" DrawAspect="Content" ObjectID="_1468075728" r:id="rId13">
            <o:LockedField>false</o:LockedField>
          </o:OLEObject>
        </w:pict>
      </w: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47" w:name="_Toc15377209"/>
      <w:bookmarkStart w:id="48" w:name="_Toc9588"/>
      <w:bookmarkStart w:id="49" w:name="_Toc26012_WPSOffice_Level2"/>
      <w:bookmarkStart w:id="50" w:name="_Toc15396607"/>
      <w:bookmarkStart w:id="51" w:name="_Toc28775"/>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7"/>
      <w:bookmarkEnd w:id="48"/>
      <w:bookmarkEnd w:id="49"/>
      <w:bookmarkEnd w:id="50"/>
      <w:bookmarkEnd w:id="51"/>
    </w:p>
    <w:p>
      <w:pPr>
        <w:spacing w:line="600" w:lineRule="exact"/>
        <w:ind w:firstLine="643" w:firstLineChars="200"/>
        <w:outlineLvl w:val="2"/>
        <w:rPr>
          <w:rFonts w:ascii="仿宋" w:hAnsi="仿宋" w:eastAsia="仿宋"/>
          <w:b/>
          <w:sz w:val="32"/>
          <w:szCs w:val="32"/>
        </w:rPr>
      </w:pPr>
      <w:bookmarkStart w:id="52" w:name="_Toc3568_WPSOffice_Level3"/>
      <w:bookmarkStart w:id="53" w:name="_Toc22681_WPSOffice_Level3"/>
      <w:bookmarkStart w:id="54" w:name="_Toc15377210"/>
      <w:r>
        <w:rPr>
          <w:rFonts w:hint="eastAsia" w:ascii="仿宋" w:hAnsi="仿宋" w:eastAsia="仿宋"/>
          <w:b/>
          <w:sz w:val="32"/>
          <w:szCs w:val="32"/>
        </w:rPr>
        <w:t>（一）一般公共预算财政拨款支出决算总体情况</w:t>
      </w:r>
      <w:bookmarkEnd w:id="52"/>
      <w:bookmarkEnd w:id="53"/>
      <w:bookmarkEnd w:id="54"/>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127.17</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2年143.69万元</w:t>
      </w:r>
      <w:r>
        <w:rPr>
          <w:rFonts w:hint="eastAsia" w:ascii="仿宋" w:hAnsi="仿宋" w:eastAsia="仿宋"/>
          <w:sz w:val="32"/>
          <w:szCs w:val="32"/>
          <w:highlight w:val="none"/>
        </w:rPr>
        <w:t>相比，一般公共预算财政拨款支出</w:t>
      </w:r>
      <w:r>
        <w:rPr>
          <w:rFonts w:hint="eastAsia" w:ascii="仿宋" w:hAnsi="仿宋" w:eastAsia="仿宋"/>
          <w:sz w:val="32"/>
          <w:szCs w:val="32"/>
          <w:highlight w:val="none"/>
          <w:lang w:val="en-US" w:eastAsia="zh-CN"/>
        </w:rPr>
        <w:t>减少16.52</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下降11.5</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2022年含有以前年度未发放的目标绩效，2023年无该部分支出</w:t>
      </w:r>
      <w:r>
        <w:rPr>
          <w:rFonts w:hint="eastAsia" w:ascii="仿宋" w:hAnsi="仿宋" w:eastAsia="仿宋"/>
          <w:sz w:val="32"/>
          <w:szCs w:val="32"/>
          <w:highlight w:val="none"/>
        </w:rPr>
        <w:t>。</w:t>
      </w:r>
    </w:p>
    <w:p>
      <w:pPr>
        <w:spacing w:line="600" w:lineRule="exact"/>
        <w:ind w:firstLine="640" w:firstLineChars="200"/>
        <w:rPr>
          <w:rFonts w:ascii="仿宋" w:hAnsi="仿宋" w:eastAsia="仿宋"/>
          <w:sz w:val="32"/>
          <w:szCs w:val="32"/>
        </w:rPr>
      </w:pPr>
      <w:r>
        <w:rPr>
          <w:rFonts w:hint="eastAsia" w:ascii="仿宋" w:hAnsi="仿宋" w:eastAsia="仿宋"/>
          <w:color w:val="auto"/>
          <w:sz w:val="32"/>
          <w:szCs w:val="32"/>
        </w:rPr>
        <w:pict>
          <v:shape id="_x0000_s1031" o:spid="_x0000_s1031" o:spt="75" type="#_x0000_t75" style="position:absolute;left:0pt;margin-left:65.35pt;margin-top:2pt;height:161.05pt;width:319.95pt;mso-wrap-distance-bottom:0pt;mso-wrap-distance-left:9pt;mso-wrap-distance-right:9pt;mso-wrap-distance-top:0pt;z-index:251664384;mso-width-relative:page;mso-height-relative:page;" o:ole="t" filled="f" o:preferrelative="t" stroked="f" coordsize="21600,21600">
            <v:path/>
            <v:fill on="f" focussize="0,0"/>
            <v:stroke on="f"/>
            <v:imagedata r:id="rId16" o:title=""/>
            <o:lock v:ext="edit" aspectratio="t"/>
            <w10:wrap type="square"/>
          </v:shape>
          <o:OLEObject Type="Embed" ProgID="Excel.Chart.8" ShapeID="_x0000_s1031" DrawAspect="Content" ObjectID="_1468075729" r:id="rId15">
            <o:LockedField>false</o:LockedField>
          </o:OLEObject>
        </w:pict>
      </w: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2560" w:firstLineChars="800"/>
        <w:rPr>
          <w:rFonts w:ascii="仿宋" w:hAnsi="仿宋" w:eastAsia="仿宋"/>
          <w:sz w:val="32"/>
          <w:szCs w:val="32"/>
        </w:rPr>
      </w:pPr>
      <w:r>
        <w:rPr>
          <w:rFonts w:hint="eastAsia" w:ascii="仿宋" w:hAnsi="仿宋" w:eastAsia="仿宋"/>
          <w:sz w:val="32"/>
          <w:szCs w:val="32"/>
        </w:rPr>
        <w:t>（柱状图）</w:t>
      </w:r>
    </w:p>
    <w:p>
      <w:pPr>
        <w:spacing w:line="600" w:lineRule="exact"/>
        <w:ind w:firstLine="643" w:firstLineChars="200"/>
        <w:outlineLvl w:val="2"/>
        <w:rPr>
          <w:rFonts w:ascii="仿宋" w:hAnsi="仿宋" w:eastAsia="仿宋"/>
          <w:b/>
          <w:sz w:val="32"/>
          <w:szCs w:val="32"/>
        </w:rPr>
      </w:pPr>
      <w:bookmarkStart w:id="55" w:name="_Toc1640_WPSOffice_Level3"/>
      <w:bookmarkStart w:id="56" w:name="_Toc15377211"/>
      <w:bookmarkStart w:id="57" w:name="_Toc22056_WPSOffice_Level3"/>
      <w:r>
        <w:rPr>
          <w:rFonts w:hint="eastAsia" w:ascii="仿宋" w:hAnsi="仿宋" w:eastAsia="仿宋"/>
          <w:b/>
          <w:sz w:val="32"/>
          <w:szCs w:val="32"/>
        </w:rPr>
        <w:t>（二）一般公共预算财政拨款支出决算结构情况</w:t>
      </w:r>
      <w:bookmarkEnd w:id="55"/>
      <w:bookmarkEnd w:id="56"/>
      <w:bookmarkEnd w:id="57"/>
    </w:p>
    <w:p>
      <w:pPr>
        <w:spacing w:line="600" w:lineRule="exact"/>
        <w:ind w:firstLine="640"/>
        <w:rPr>
          <w:rFonts w:ascii="仿宋" w:hAnsi="仿宋" w:eastAsia="仿宋"/>
          <w:b/>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127.17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16.89</w:t>
      </w:r>
      <w:r>
        <w:rPr>
          <w:rFonts w:hint="eastAsia" w:ascii="仿宋" w:hAnsi="仿宋" w:eastAsia="仿宋"/>
          <w:sz w:val="32"/>
          <w:szCs w:val="32"/>
        </w:rPr>
        <w:t>万元，占</w:t>
      </w:r>
      <w:r>
        <w:rPr>
          <w:rFonts w:hint="eastAsia" w:ascii="仿宋" w:hAnsi="仿宋" w:eastAsia="仿宋"/>
          <w:sz w:val="32"/>
          <w:szCs w:val="32"/>
          <w:lang w:val="en-US" w:eastAsia="zh-CN"/>
        </w:rPr>
        <w:t>13.28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103.88</w:t>
      </w:r>
      <w:r>
        <w:rPr>
          <w:rFonts w:hint="eastAsia" w:ascii="仿宋" w:hAnsi="仿宋" w:eastAsia="仿宋"/>
          <w:sz w:val="32"/>
          <w:szCs w:val="32"/>
        </w:rPr>
        <w:t>万元，占</w:t>
      </w:r>
      <w:r>
        <w:rPr>
          <w:rFonts w:hint="eastAsia" w:ascii="仿宋" w:hAnsi="仿宋" w:eastAsia="仿宋"/>
          <w:sz w:val="32"/>
          <w:szCs w:val="32"/>
          <w:lang w:val="en-US" w:eastAsia="zh-CN"/>
        </w:rPr>
        <w:t>81.69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6.4</w:t>
      </w:r>
      <w:r>
        <w:rPr>
          <w:rFonts w:hint="eastAsia" w:ascii="仿宋" w:hAnsi="仿宋" w:eastAsia="仿宋"/>
          <w:sz w:val="32"/>
          <w:szCs w:val="32"/>
        </w:rPr>
        <w:t>万元，占</w:t>
      </w:r>
      <w:r>
        <w:rPr>
          <w:rFonts w:hint="eastAsia" w:ascii="仿宋" w:hAnsi="仿宋" w:eastAsia="仿宋"/>
          <w:sz w:val="32"/>
          <w:szCs w:val="32"/>
          <w:lang w:val="en-US" w:eastAsia="zh-CN"/>
        </w:rPr>
        <w:t>5.03</w:t>
      </w:r>
      <w:r>
        <w:rPr>
          <w:rFonts w:ascii="仿宋" w:hAnsi="仿宋" w:eastAsia="仿宋"/>
          <w:sz w:val="32"/>
          <w:szCs w:val="32"/>
        </w:rPr>
        <w:t>%</w:t>
      </w:r>
      <w:r>
        <w:rPr>
          <w:rFonts w:hint="eastAsia" w:ascii="仿宋" w:hAnsi="仿宋" w:eastAsia="仿宋"/>
          <w:sz w:val="32"/>
          <w:szCs w:val="32"/>
        </w:rPr>
        <w:t>。</w:t>
      </w:r>
    </w:p>
    <w:p>
      <w:pPr>
        <w:pStyle w:val="6"/>
        <w:spacing w:before="93"/>
        <w:rPr>
          <w:rFonts w:ascii="仿宋" w:hAnsi="仿宋" w:eastAsia="仿宋"/>
          <w:sz w:val="32"/>
          <w:szCs w:val="32"/>
        </w:rPr>
      </w:pPr>
      <w:r>
        <w:rPr>
          <w:rFonts w:hint="eastAsia" w:ascii="仿宋" w:hAnsi="仿宋" w:eastAsia="仿宋"/>
          <w:color w:val="auto"/>
          <w:sz w:val="32"/>
          <w:szCs w:val="32"/>
        </w:rPr>
        <w:pict>
          <v:shape id="_x0000_s1037" o:spid="_x0000_s1037" o:spt="75" type="#_x0000_t75" style="position:absolute;left:0pt;margin-left:55.65pt;margin-top:15.3pt;height:156pt;width:284.5pt;mso-wrap-distance-bottom:0pt;mso-wrap-distance-left:9pt;mso-wrap-distance-right:9pt;mso-wrap-distance-top:0pt;z-index:251665408;mso-width-relative:page;mso-height-relative:page;" o:ole="t" filled="f" o:preferrelative="t" stroked="f" coordsize="21600,21600">
            <v:path/>
            <v:fill on="f" focussize="0,0"/>
            <v:stroke on="f"/>
            <v:imagedata r:id="rId18" o:title=""/>
            <o:lock v:ext="edit" aspectratio="t"/>
            <w10:wrap type="square"/>
          </v:shape>
          <o:OLEObject Type="Embed" ProgID="Excel.Chart.8" ShapeID="_x0000_s1037" DrawAspect="Content" ObjectID="_1468075730" r:id="rId17">
            <o:LockedField>false</o:LockedField>
          </o:OLEObject>
        </w:pict>
      </w: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pStyle w:val="6"/>
        <w:spacing w:before="93"/>
        <w:jc w:val="center"/>
        <w:rPr>
          <w:rFonts w:ascii="仿宋" w:hAnsi="仿宋" w:eastAsia="仿宋"/>
          <w:sz w:val="32"/>
          <w:szCs w:val="32"/>
        </w:rPr>
      </w:pPr>
    </w:p>
    <w:p>
      <w:pPr>
        <w:spacing w:line="600" w:lineRule="exact"/>
        <w:rPr>
          <w:rFonts w:hint="eastAsia" w:ascii="仿宋" w:hAnsi="仿宋" w:eastAsia="仿宋"/>
          <w:sz w:val="32"/>
          <w:szCs w:val="32"/>
        </w:rPr>
      </w:pPr>
    </w:p>
    <w:p>
      <w:pPr>
        <w:pStyle w:val="14"/>
        <w:rPr>
          <w:rFonts w:hint="eastAsia"/>
        </w:rPr>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58" w:name="_Toc15121_WPSOffice_Level3"/>
      <w:bookmarkStart w:id="59" w:name="_Toc15377212"/>
      <w:bookmarkStart w:id="60" w:name="_Toc31026_WPSOffice_Level3"/>
      <w:r>
        <w:rPr>
          <w:rFonts w:hint="eastAsia" w:ascii="仿宋" w:hAnsi="仿宋" w:eastAsia="仿宋"/>
          <w:b/>
          <w:sz w:val="32"/>
          <w:szCs w:val="32"/>
        </w:rPr>
        <w:t>（三）一般公共预算财政拨款支出决算具体情况</w:t>
      </w:r>
      <w:bookmarkEnd w:id="58"/>
      <w:bookmarkEnd w:id="59"/>
      <w:bookmarkEnd w:id="60"/>
    </w:p>
    <w:p>
      <w:pPr>
        <w:spacing w:line="600" w:lineRule="exact"/>
        <w:ind w:firstLine="643" w:firstLineChars="200"/>
        <w:outlineLvl w:val="9"/>
        <w:rPr>
          <w:rFonts w:ascii="仿宋" w:hAnsi="仿宋" w:eastAsia="仿宋"/>
          <w:sz w:val="32"/>
          <w:szCs w:val="32"/>
        </w:rPr>
      </w:pPr>
      <w:bookmarkStart w:id="61" w:name="_Toc15377444"/>
      <w:bookmarkStart w:id="62" w:name="_Toc15378460"/>
      <w:bookmarkStart w:id="63" w:name="_Toc15377213"/>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127.17万元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61"/>
      <w:bookmarkEnd w:id="62"/>
      <w:bookmarkEnd w:id="63"/>
    </w:p>
    <w:p>
      <w:pPr>
        <w:numPr>
          <w:ilvl w:val="0"/>
          <w:numId w:val="3"/>
        </w:numPr>
        <w:spacing w:line="600" w:lineRule="exact"/>
        <w:ind w:firstLine="643" w:firstLineChars="200"/>
      </w:pPr>
      <w:r>
        <w:rPr>
          <w:rStyle w:val="18"/>
          <w:rFonts w:hint="eastAsia" w:ascii="仿宋" w:hAnsi="仿宋" w:eastAsia="仿宋"/>
          <w:bCs/>
          <w:color w:val="000000"/>
          <w:sz w:val="32"/>
          <w:szCs w:val="32"/>
        </w:rPr>
        <w:t>社会保障和就业（208）行政事业单位养老支出（05）机关事业单位基本养老保险缴费支出（05）</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7.93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numPr>
          <w:ilvl w:val="0"/>
          <w:numId w:val="3"/>
        </w:num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color w:val="000000"/>
          <w:sz w:val="32"/>
          <w:szCs w:val="32"/>
        </w:rPr>
        <w:t>社会保障和就业（208）行政事业单位养老支出（05）</w:t>
      </w:r>
      <w:r>
        <w:rPr>
          <w:rStyle w:val="18"/>
          <w:rFonts w:hint="eastAsia" w:ascii="仿宋" w:hAnsi="仿宋" w:eastAsia="仿宋"/>
          <w:bCs/>
          <w:color w:val="000000"/>
          <w:sz w:val="32"/>
          <w:szCs w:val="32"/>
          <w:lang w:val="en-US" w:eastAsia="zh-CN"/>
        </w:rPr>
        <w:t>机关事业单位职业年金缴费支出</w:t>
      </w:r>
      <w:r>
        <w:rPr>
          <w:rStyle w:val="18"/>
          <w:rFonts w:hint="eastAsia" w:ascii="仿宋" w:hAnsi="仿宋" w:eastAsia="仿宋"/>
          <w:bCs/>
          <w:color w:val="000000"/>
          <w:sz w:val="32"/>
          <w:szCs w:val="32"/>
        </w:rPr>
        <w:t>（0</w:t>
      </w:r>
      <w:r>
        <w:rPr>
          <w:rStyle w:val="18"/>
          <w:rFonts w:hint="eastAsia" w:ascii="仿宋" w:hAnsi="仿宋" w:eastAsia="仿宋"/>
          <w:bCs/>
          <w:color w:val="000000"/>
          <w:sz w:val="32"/>
          <w:szCs w:val="32"/>
          <w:lang w:val="en-US" w:eastAsia="zh-CN"/>
        </w:rPr>
        <w:t>6</w:t>
      </w:r>
      <w:r>
        <w:rPr>
          <w:rStyle w:val="18"/>
          <w:rFonts w:hint="eastAsia" w:ascii="仿宋" w:hAnsi="仿宋" w:eastAsia="仿宋"/>
          <w:bCs/>
          <w:color w:val="000000"/>
          <w:sz w:val="32"/>
          <w:szCs w:val="32"/>
        </w:rPr>
        <w:t>）</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8.09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pStyle w:val="5"/>
      </w:pPr>
    </w:p>
    <w:p>
      <w:pPr>
        <w:numPr>
          <w:ilvl w:val="0"/>
          <w:numId w:val="3"/>
        </w:num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color w:val="000000"/>
          <w:sz w:val="32"/>
          <w:szCs w:val="32"/>
        </w:rPr>
        <w:t>社会保障和就业支出（208）残疾人事业（11）残疾人就业（05）</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0.58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numPr>
          <w:ilvl w:val="0"/>
          <w:numId w:val="0"/>
        </w:numPr>
        <w:spacing w:line="600" w:lineRule="exact"/>
        <w:ind w:firstLine="321" w:firstLineChars="100"/>
        <w:rPr>
          <w:rFonts w:ascii="仿宋" w:hAnsi="仿宋" w:eastAsia="仿宋"/>
          <w:b/>
          <w:sz w:val="32"/>
          <w:szCs w:val="32"/>
        </w:rPr>
      </w:pPr>
      <w:r>
        <w:rPr>
          <w:rStyle w:val="18"/>
          <w:rFonts w:hint="eastAsia" w:ascii="仿宋" w:hAnsi="仿宋" w:eastAsia="仿宋"/>
          <w:bCs/>
          <w:color w:val="000000"/>
          <w:sz w:val="32"/>
          <w:szCs w:val="32"/>
          <w:lang w:val="en-US" w:eastAsia="zh-CN"/>
        </w:rPr>
        <w:t>4.</w:t>
      </w:r>
      <w:r>
        <w:rPr>
          <w:rStyle w:val="18"/>
          <w:rFonts w:hint="eastAsia" w:ascii="仿宋" w:hAnsi="仿宋" w:eastAsia="仿宋"/>
          <w:bCs/>
          <w:color w:val="000000"/>
          <w:sz w:val="32"/>
          <w:szCs w:val="32"/>
        </w:rPr>
        <w:t>社会保障和就业支出（208）其他社会保障和就业支出（99）其他社会保障和就业支出（99）</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0.29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color w:val="000000"/>
          <w:sz w:val="32"/>
          <w:szCs w:val="32"/>
        </w:rPr>
        <w:t>4</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卫生健康支出</w:t>
      </w:r>
      <w:r>
        <w:rPr>
          <w:rStyle w:val="18"/>
          <w:rFonts w:hint="eastAsia" w:ascii="仿宋" w:hAnsi="仿宋" w:eastAsia="仿宋"/>
          <w:bCs/>
          <w:color w:val="000000"/>
          <w:sz w:val="32"/>
          <w:szCs w:val="32"/>
        </w:rPr>
        <w:t>（210）卫生健康管理事务（01）其他卫生健康管理事务支出（99）</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98.75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color w:val="000000"/>
          <w:sz w:val="32"/>
          <w:szCs w:val="32"/>
        </w:rPr>
        <w:t>5</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卫生健康支出</w:t>
      </w:r>
      <w:r>
        <w:rPr>
          <w:rStyle w:val="18"/>
          <w:rFonts w:hint="eastAsia" w:ascii="仿宋" w:hAnsi="仿宋" w:eastAsia="仿宋"/>
          <w:bCs/>
          <w:color w:val="000000"/>
          <w:sz w:val="32"/>
          <w:szCs w:val="32"/>
        </w:rPr>
        <w:t>（210）行政事业单位医疗（11）事业单位医疗（02）</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2.71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color w:val="000000"/>
          <w:sz w:val="32"/>
          <w:szCs w:val="32"/>
        </w:rPr>
        <w:t>6</w:t>
      </w:r>
      <w:r>
        <w:rPr>
          <w:rStyle w:val="18"/>
          <w:rFonts w:ascii="仿宋" w:hAnsi="仿宋" w:eastAsia="仿宋"/>
          <w:b w:val="0"/>
          <w:color w:val="000000"/>
          <w:sz w:val="32"/>
          <w:szCs w:val="32"/>
        </w:rPr>
        <w:t>.</w:t>
      </w:r>
      <w:r>
        <w:rPr>
          <w:rFonts w:hint="eastAsia" w:ascii="仿宋" w:hAnsi="仿宋" w:eastAsia="仿宋"/>
          <w:b/>
          <w:bCs/>
          <w:color w:val="000000"/>
          <w:sz w:val="32"/>
          <w:szCs w:val="32"/>
        </w:rPr>
        <w:t>卫生健康支出</w:t>
      </w:r>
      <w:r>
        <w:rPr>
          <w:rStyle w:val="18"/>
          <w:rFonts w:hint="eastAsia" w:ascii="仿宋" w:hAnsi="仿宋" w:eastAsia="仿宋"/>
          <w:bCs/>
          <w:color w:val="000000"/>
          <w:sz w:val="32"/>
          <w:szCs w:val="32"/>
        </w:rPr>
        <w:t>（210）行政事业单位医疗（11）公务员医疗补助（03）</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9"/>
        <w:rPr>
          <w:rStyle w:val="18"/>
          <w:rFonts w:ascii="仿宋" w:hAnsi="仿宋" w:eastAsia="仿宋"/>
          <w:b w:val="0"/>
          <w:bCs/>
          <w:sz w:val="32"/>
          <w:szCs w:val="32"/>
        </w:rPr>
      </w:pPr>
      <w:r>
        <w:rPr>
          <w:rStyle w:val="18"/>
          <w:rFonts w:hint="eastAsia" w:ascii="仿宋" w:hAnsi="仿宋" w:eastAsia="仿宋"/>
          <w:b w:val="0"/>
          <w:color w:val="000000"/>
          <w:sz w:val="32"/>
          <w:szCs w:val="32"/>
        </w:rPr>
        <w:t>7</w:t>
      </w:r>
      <w:r>
        <w:rPr>
          <w:rStyle w:val="18"/>
          <w:rFonts w:ascii="仿宋" w:hAnsi="仿宋" w:eastAsia="仿宋"/>
          <w:b w:val="0"/>
          <w:color w:val="000000"/>
          <w:sz w:val="32"/>
          <w:szCs w:val="32"/>
        </w:rPr>
        <w:t>.</w:t>
      </w:r>
      <w:r>
        <w:rPr>
          <w:rFonts w:hint="eastAsia" w:ascii="仿宋" w:hAnsi="仿宋" w:eastAsia="仿宋"/>
          <w:b/>
          <w:bCs/>
          <w:color w:val="000000"/>
          <w:sz w:val="32"/>
          <w:szCs w:val="32"/>
        </w:rPr>
        <w:t>住房保障支出</w:t>
      </w:r>
      <w:r>
        <w:rPr>
          <w:rStyle w:val="18"/>
          <w:rFonts w:hint="eastAsia" w:ascii="仿宋" w:hAnsi="仿宋" w:eastAsia="仿宋"/>
          <w:bCs/>
          <w:color w:val="000000"/>
          <w:sz w:val="32"/>
          <w:szCs w:val="32"/>
        </w:rPr>
        <w:t>（221）住房改革支出（02）住房公积金（01）</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64" w:name="_Toc15396608"/>
      <w:bookmarkStart w:id="65" w:name="_Toc12958"/>
      <w:bookmarkStart w:id="66" w:name="_Toc16096"/>
      <w:bookmarkStart w:id="67" w:name="_Toc15377214"/>
      <w:bookmarkStart w:id="68" w:name="_Toc23100_WPSOffice_Level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64"/>
      <w:bookmarkEnd w:id="65"/>
      <w:bookmarkEnd w:id="66"/>
      <w:bookmarkEnd w:id="67"/>
      <w:bookmarkEnd w:id="68"/>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123.17</w:t>
      </w:r>
      <w:r>
        <w:rPr>
          <w:rFonts w:hint="eastAsia" w:ascii="仿宋" w:hAnsi="仿宋" w:eastAsia="仿宋"/>
          <w:sz w:val="32"/>
          <w:szCs w:val="32"/>
        </w:rPr>
        <w:t>万元，其中：</w:t>
      </w:r>
    </w:p>
    <w:p>
      <w:pPr>
        <w:spacing w:line="600" w:lineRule="exact"/>
        <w:ind w:firstLine="645"/>
        <w:rPr>
          <w:rFonts w:hint="default" w:ascii="仿宋" w:hAnsi="仿宋" w:eastAsia="仿宋"/>
          <w:sz w:val="32"/>
          <w:szCs w:val="32"/>
          <w:lang w:val="en-US" w:eastAsia="zh-CN"/>
        </w:rPr>
      </w:pPr>
      <w:r>
        <w:rPr>
          <w:rFonts w:hint="eastAsia" w:ascii="仿宋" w:hAnsi="仿宋" w:eastAsia="仿宋"/>
          <w:sz w:val="32"/>
          <w:szCs w:val="32"/>
        </w:rPr>
        <w:t>人员经费</w:t>
      </w:r>
      <w:r>
        <w:rPr>
          <w:rFonts w:hint="eastAsia" w:ascii="仿宋" w:hAnsi="仿宋" w:eastAsia="仿宋"/>
          <w:sz w:val="32"/>
          <w:szCs w:val="32"/>
          <w:lang w:val="en-US" w:eastAsia="zh-CN"/>
        </w:rPr>
        <w:t>116.57</w:t>
      </w:r>
      <w:r>
        <w:rPr>
          <w:rFonts w:hint="eastAsia" w:ascii="仿宋" w:hAnsi="仿宋" w:eastAsia="仿宋"/>
          <w:sz w:val="32"/>
          <w:szCs w:val="32"/>
        </w:rPr>
        <w:t>万元，主要包括：基本工资、津贴补贴、绩效工资、机关事业单位基本养老保险缴费、</w:t>
      </w:r>
      <w:r>
        <w:rPr>
          <w:rFonts w:hint="eastAsia" w:ascii="仿宋" w:hAnsi="仿宋" w:eastAsia="仿宋"/>
          <w:sz w:val="32"/>
          <w:szCs w:val="32"/>
          <w:lang w:val="en-US" w:eastAsia="zh-CN"/>
        </w:rPr>
        <w:t>职业年金缴费</w:t>
      </w:r>
      <w:r>
        <w:rPr>
          <w:rFonts w:hint="eastAsia" w:ascii="仿宋" w:hAnsi="仿宋" w:eastAsia="仿宋"/>
          <w:sz w:val="32"/>
          <w:szCs w:val="32"/>
        </w:rPr>
        <w:t>、职工基本医疗保险缴费、公务员医疗补助缴费、其他社会保障缴费、其他工资福利支出、住房公积金、</w:t>
      </w:r>
      <w:r>
        <w:rPr>
          <w:rFonts w:hint="eastAsia" w:ascii="仿宋" w:hAnsi="仿宋" w:eastAsia="仿宋"/>
          <w:sz w:val="32"/>
          <w:szCs w:val="32"/>
          <w:lang w:val="en-US" w:eastAsia="zh-CN"/>
        </w:rPr>
        <w:t>生活补助</w:t>
      </w:r>
      <w:r>
        <w:rPr>
          <w:rFonts w:hint="eastAsia" w:ascii="仿宋" w:hAnsi="仿宋" w:eastAsia="仿宋"/>
          <w:sz w:val="32"/>
          <w:szCs w:val="32"/>
        </w:rPr>
        <w:t>、其他对个人和家庭的补助支出。</w:t>
      </w:r>
      <w:r>
        <w:rPr>
          <w:rFonts w:ascii="仿宋" w:hAnsi="仿宋" w:eastAsia="仿宋"/>
          <w:sz w:val="32"/>
          <w:szCs w:val="32"/>
        </w:rPr>
        <w:br w:type="textWrapping"/>
      </w:r>
      <w:r>
        <w:rPr>
          <w:rFonts w:hint="eastAsia" w:ascii="仿宋" w:hAnsi="仿宋" w:eastAsia="仿宋"/>
          <w:sz w:val="32"/>
          <w:szCs w:val="32"/>
        </w:rPr>
        <w:t>　　公用经费6.</w:t>
      </w:r>
      <w:r>
        <w:rPr>
          <w:rFonts w:hint="eastAsia" w:ascii="仿宋" w:hAnsi="仿宋" w:eastAsia="仿宋"/>
          <w:sz w:val="32"/>
          <w:szCs w:val="32"/>
          <w:lang w:val="en-US" w:eastAsia="zh-CN"/>
        </w:rPr>
        <w:t>6</w:t>
      </w:r>
      <w:r>
        <w:rPr>
          <w:rFonts w:hint="eastAsia" w:ascii="仿宋" w:hAnsi="仿宋" w:eastAsia="仿宋"/>
          <w:sz w:val="32"/>
          <w:szCs w:val="32"/>
        </w:rPr>
        <w:t>万元，主要包括：办公费、印刷费、差旅费、维修（护）费、</w:t>
      </w:r>
      <w:r>
        <w:rPr>
          <w:rFonts w:hint="eastAsia" w:ascii="仿宋" w:hAnsi="仿宋" w:eastAsia="仿宋"/>
          <w:sz w:val="32"/>
          <w:szCs w:val="32"/>
          <w:lang w:val="en-US" w:eastAsia="zh-CN"/>
        </w:rPr>
        <w:t>培训费</w:t>
      </w:r>
      <w:r>
        <w:rPr>
          <w:rFonts w:hint="eastAsia" w:ascii="仿宋" w:hAnsi="仿宋" w:eastAsia="仿宋"/>
          <w:sz w:val="32"/>
          <w:szCs w:val="32"/>
        </w:rPr>
        <w:t>、劳务费、委托业务费、福利费、</w:t>
      </w:r>
      <w:r>
        <w:rPr>
          <w:rFonts w:hint="eastAsia" w:ascii="仿宋" w:hAnsi="仿宋" w:eastAsia="仿宋"/>
          <w:sz w:val="32"/>
          <w:szCs w:val="32"/>
          <w:lang w:val="en-US" w:eastAsia="zh-CN"/>
        </w:rPr>
        <w:t>其他商品和服务支出。</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69" w:name="_Toc15396609"/>
      <w:bookmarkStart w:id="70" w:name="_Toc15377215"/>
      <w:bookmarkStart w:id="71" w:name="_Toc10830"/>
      <w:bookmarkStart w:id="72" w:name="_Toc7941_WPSOffice_Level2"/>
      <w:bookmarkStart w:id="73" w:name="_Toc4563"/>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9"/>
      <w:bookmarkEnd w:id="70"/>
      <w:bookmarkEnd w:id="71"/>
      <w:bookmarkEnd w:id="72"/>
      <w:bookmarkEnd w:id="73"/>
    </w:p>
    <w:p>
      <w:pPr>
        <w:spacing w:line="600" w:lineRule="exact"/>
        <w:ind w:firstLine="640"/>
        <w:outlineLvl w:val="2"/>
        <w:rPr>
          <w:rFonts w:ascii="仿宋" w:hAnsi="仿宋" w:eastAsia="仿宋"/>
          <w:b/>
          <w:sz w:val="32"/>
          <w:szCs w:val="32"/>
        </w:rPr>
      </w:pPr>
      <w:bookmarkStart w:id="74" w:name="_Toc1042_WPSOffice_Level3"/>
      <w:bookmarkStart w:id="75" w:name="_Toc15377216"/>
      <w:bookmarkStart w:id="76" w:name="_Toc7777_WPSOffice_Level3"/>
      <w:r>
        <w:rPr>
          <w:rFonts w:hint="eastAsia" w:ascii="仿宋" w:hAnsi="仿宋" w:eastAsia="仿宋"/>
          <w:b/>
          <w:sz w:val="32"/>
          <w:szCs w:val="32"/>
        </w:rPr>
        <w:t>（一）“三公”经费财政拨款支出决算总体情况说明</w:t>
      </w:r>
      <w:bookmarkEnd w:id="74"/>
      <w:bookmarkEnd w:id="75"/>
      <w:bookmarkEnd w:id="76"/>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年“三公”经费财政拨款支出决算为0万元，决算数与预算数持平。</w:t>
      </w:r>
    </w:p>
    <w:p>
      <w:pPr>
        <w:spacing w:line="600" w:lineRule="exact"/>
        <w:ind w:firstLine="640"/>
        <w:outlineLvl w:val="2"/>
        <w:rPr>
          <w:rFonts w:ascii="仿宋" w:hAnsi="仿宋" w:eastAsia="仿宋"/>
          <w:b/>
          <w:sz w:val="32"/>
          <w:szCs w:val="32"/>
        </w:rPr>
      </w:pPr>
      <w:bookmarkStart w:id="77" w:name="_Toc8096_WPSOffice_Level3"/>
      <w:bookmarkStart w:id="78" w:name="_Toc15377217"/>
      <w:bookmarkStart w:id="79" w:name="_Toc28812_WPSOffice_Level3"/>
      <w:r>
        <w:rPr>
          <w:rFonts w:hint="eastAsia" w:ascii="仿宋" w:hAnsi="仿宋" w:eastAsia="仿宋"/>
          <w:b/>
          <w:sz w:val="32"/>
          <w:szCs w:val="32"/>
        </w:rPr>
        <w:t>（二）“三公”经费财政拨款支出决算具体情况说明</w:t>
      </w:r>
      <w:bookmarkEnd w:id="77"/>
      <w:bookmarkEnd w:id="78"/>
      <w:bookmarkEnd w:id="79"/>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年“三公”经费财政拨款支出决算中，因公出国（境）费支出决算0万元；公务用车购置及运行维护费支出决算0万元，公务接待费支出决算0万元。</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21年持平。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80" w:name="_Toc15377218"/>
      <w:bookmarkStart w:id="81" w:name="_Toc15396610"/>
    </w:p>
    <w:p>
      <w:pPr>
        <w:spacing w:line="600" w:lineRule="exact"/>
        <w:ind w:firstLine="640"/>
        <w:outlineLvl w:val="1"/>
        <w:rPr>
          <w:rStyle w:val="29"/>
          <w:rFonts w:ascii="黑体" w:hAnsi="黑体" w:eastAsia="黑体"/>
        </w:rPr>
      </w:pPr>
      <w:bookmarkStart w:id="82" w:name="_Toc21667"/>
      <w:bookmarkStart w:id="83" w:name="_Toc5209"/>
      <w:bookmarkStart w:id="84" w:name="_Toc4956_WPSOffice_Level2"/>
      <w:r>
        <w:rPr>
          <w:rFonts w:hint="eastAsia" w:ascii="黑体" w:eastAsia="黑体"/>
          <w:sz w:val="32"/>
          <w:szCs w:val="32"/>
        </w:rPr>
        <w:t>八、</w:t>
      </w:r>
      <w:r>
        <w:rPr>
          <w:rStyle w:val="29"/>
          <w:rFonts w:hint="eastAsia" w:ascii="黑体" w:hAnsi="黑体" w:eastAsia="黑体"/>
          <w:b w:val="0"/>
        </w:rPr>
        <w:t>政府性基金预算支出决算情况说明</w:t>
      </w:r>
      <w:bookmarkEnd w:id="80"/>
      <w:bookmarkEnd w:id="81"/>
      <w:bookmarkEnd w:id="82"/>
      <w:bookmarkEnd w:id="83"/>
      <w:bookmarkEnd w:id="84"/>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年政府性基金预算财政拨款支出0万元。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9"/>
          <w:rFonts w:ascii="黑体" w:hAnsi="黑体" w:eastAsia="黑体"/>
          <w:b w:val="0"/>
        </w:rPr>
      </w:pPr>
      <w:bookmarkStart w:id="85" w:name="_Toc15396611"/>
      <w:bookmarkStart w:id="86" w:name="_Toc5310"/>
      <w:bookmarkStart w:id="87" w:name="_Toc14150"/>
      <w:bookmarkStart w:id="88" w:name="_Toc11833_WPSOffice_Level2"/>
      <w:bookmarkStart w:id="89" w:name="_Toc15377219"/>
      <w:r>
        <w:rPr>
          <w:rStyle w:val="29"/>
          <w:rFonts w:hint="eastAsia" w:ascii="黑体" w:hAnsi="黑体" w:eastAsia="黑体"/>
          <w:b w:val="0"/>
        </w:rPr>
        <w:t>国有资本经营预算支出决算情况说明</w:t>
      </w:r>
      <w:bookmarkEnd w:id="85"/>
      <w:bookmarkEnd w:id="86"/>
      <w:bookmarkEnd w:id="87"/>
      <w:bookmarkEnd w:id="88"/>
      <w:bookmarkEnd w:id="89"/>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9"/>
          <w:rFonts w:ascii="黑体" w:hAnsi="黑体" w:eastAsia="黑体"/>
          <w:b w:val="0"/>
        </w:rPr>
      </w:pPr>
      <w:bookmarkStart w:id="90" w:name="_Toc18508"/>
      <w:bookmarkStart w:id="91" w:name="_Toc28212"/>
      <w:bookmarkStart w:id="92" w:name="_Toc30251_WPSOffice_Level2"/>
      <w:bookmarkStart w:id="93" w:name="_Toc15377221"/>
      <w:bookmarkStart w:id="94" w:name="_Toc15396612"/>
      <w:r>
        <w:rPr>
          <w:rStyle w:val="29"/>
          <w:rFonts w:hint="eastAsia" w:ascii="黑体" w:hAnsi="黑体" w:eastAsia="黑体"/>
          <w:b w:val="0"/>
        </w:rPr>
        <w:t>其他重要事项的情况说明</w:t>
      </w:r>
      <w:bookmarkEnd w:id="90"/>
      <w:bookmarkEnd w:id="91"/>
      <w:bookmarkEnd w:id="92"/>
      <w:bookmarkEnd w:id="93"/>
      <w:bookmarkEnd w:id="94"/>
    </w:p>
    <w:p>
      <w:pPr>
        <w:spacing w:line="600" w:lineRule="exact"/>
        <w:ind w:firstLine="643" w:firstLineChars="200"/>
        <w:outlineLvl w:val="2"/>
        <w:rPr>
          <w:rFonts w:ascii="仿宋" w:hAnsi="仿宋" w:eastAsia="仿宋"/>
          <w:sz w:val="32"/>
          <w:szCs w:val="32"/>
        </w:rPr>
      </w:pPr>
      <w:bookmarkStart w:id="95" w:name="_Toc2202_WPSOffice_Level3"/>
      <w:bookmarkStart w:id="96" w:name="_Toc19757_WPSOffice_Level3"/>
      <w:bookmarkStart w:id="97" w:name="_Toc15377222"/>
      <w:r>
        <w:rPr>
          <w:rFonts w:hint="eastAsia" w:ascii="仿宋" w:hAnsi="仿宋" w:eastAsia="仿宋"/>
          <w:b/>
          <w:sz w:val="32"/>
          <w:szCs w:val="32"/>
        </w:rPr>
        <w:t>（一）机关运行经费支出情况</w:t>
      </w:r>
      <w:bookmarkEnd w:id="95"/>
      <w:bookmarkEnd w:id="96"/>
      <w:bookmarkEnd w:id="97"/>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年，区卫培中心机关运行经费支出0万元，本单位为事业单位，无机关运行经费支出。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8" w:name="_Toc26012_WPSOffice_Level3"/>
      <w:bookmarkStart w:id="99" w:name="_Toc19502_WPSOffice_Level3"/>
      <w:bookmarkStart w:id="100" w:name="_Toc15377223"/>
      <w:r>
        <w:rPr>
          <w:rFonts w:hint="eastAsia" w:ascii="仿宋" w:hAnsi="仿宋" w:eastAsia="仿宋"/>
          <w:b/>
          <w:sz w:val="32"/>
          <w:szCs w:val="32"/>
        </w:rPr>
        <w:t>（二）政府采购支出情况</w:t>
      </w:r>
      <w:bookmarkEnd w:id="98"/>
      <w:bookmarkEnd w:id="99"/>
      <w:bookmarkEnd w:id="100"/>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年，区卫培中心政府采购支出总额0万元，其中：政府采购货物支出0万元、政府采购工程支出0万元、政府采购服务支出0万元。授予中小企业合同金额0万元。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1" w:name="_Toc12713_WPSOffice_Level3"/>
      <w:bookmarkStart w:id="102" w:name="_Toc15377224"/>
      <w:bookmarkStart w:id="103" w:name="_Toc23100_WPSOffice_Level3"/>
      <w:r>
        <w:rPr>
          <w:rFonts w:hint="eastAsia" w:ascii="仿宋" w:hAnsi="仿宋" w:eastAsia="仿宋"/>
          <w:b/>
          <w:sz w:val="32"/>
          <w:szCs w:val="32"/>
        </w:rPr>
        <w:t>（三）国有资产占有使用情况</w:t>
      </w:r>
      <w:bookmarkEnd w:id="101"/>
      <w:bookmarkEnd w:id="102"/>
      <w:bookmarkEnd w:id="103"/>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日，区卫培中心共有车辆0辆，其中：主要领导干部用车0辆、机要通信用车0辆、应急保障用车0辆、其他用车0辆。单价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4" w:name="_Toc7941_WPSOffice_Level3"/>
      <w:bookmarkStart w:id="105" w:name="_Toc13893_WPSOffice_Level3"/>
      <w:r>
        <w:rPr>
          <w:rFonts w:hint="eastAsia" w:ascii="仿宋" w:hAnsi="仿宋" w:eastAsia="仿宋"/>
          <w:b/>
          <w:sz w:val="32"/>
          <w:szCs w:val="32"/>
        </w:rPr>
        <w:t>（四）预算绩效管理情况</w:t>
      </w:r>
      <w:bookmarkEnd w:id="104"/>
      <w:bookmarkEnd w:id="105"/>
    </w:p>
    <w:p>
      <w:pPr>
        <w:pStyle w:val="6"/>
        <w:spacing w:before="93"/>
        <w:ind w:firstLine="640" w:firstLineChars="200"/>
        <w:rPr>
          <w:rFonts w:hint="eastAsia" w:eastAsia="仿宋_GB2312"/>
          <w:color w:val="auto"/>
          <w:highlight w:val="none"/>
          <w:lang w:eastAsia="zh-CN"/>
        </w:rPr>
      </w:pPr>
      <w:r>
        <w:rPr>
          <w:rFonts w:hint="eastAsia" w:hAnsi="仿宋_GB2312" w:cs="仿宋_GB2312"/>
          <w:sz w:val="32"/>
          <w:szCs w:val="32"/>
          <w:highlight w:val="none"/>
        </w:rPr>
        <w:t>根据预算绩效管理要求，本单位在</w:t>
      </w:r>
      <w:r>
        <w:rPr>
          <w:rFonts w:hint="eastAsia" w:hAnsi="仿宋_GB2312" w:cs="仿宋_GB2312"/>
          <w:sz w:val="32"/>
          <w:szCs w:val="32"/>
          <w:highlight w:val="none"/>
          <w:lang w:eastAsia="zh-CN"/>
        </w:rPr>
        <w:t>2023</w:t>
      </w:r>
      <w:r>
        <w:rPr>
          <w:rFonts w:hint="eastAsia" w:hAnsi="仿宋_GB2312" w:cs="仿宋_GB2312"/>
          <w:sz w:val="32"/>
          <w:szCs w:val="32"/>
          <w:highlight w:val="none"/>
        </w:rPr>
        <w:t>年度预算编制阶段，组织对“基层能力提升”</w:t>
      </w:r>
      <w:r>
        <w:rPr>
          <w:rFonts w:hint="eastAsia" w:hAnsi="仿宋_GB2312" w:cs="仿宋_GB2312"/>
          <w:color w:val="auto"/>
          <w:sz w:val="32"/>
          <w:szCs w:val="32"/>
          <w:highlight w:val="none"/>
        </w:rPr>
        <w:t>1个项目开展了预算事前绩效评估，对1个项目编制了绩效目标，预算执行过程中，对基层能力提升项目开展绩效监控，开展绩效自评</w:t>
      </w:r>
      <w:r>
        <w:rPr>
          <w:rFonts w:hint="eastAsia" w:hAnsi="仿宋_GB2312" w:cs="仿宋_GB2312"/>
          <w:color w:val="auto"/>
          <w:sz w:val="32"/>
          <w:szCs w:val="32"/>
          <w:highlight w:val="none"/>
          <w:lang w:eastAsia="zh-CN"/>
        </w:rPr>
        <w:t>。</w:t>
      </w:r>
    </w:p>
    <w:p>
      <w:pPr>
        <w:widowControl/>
        <w:jc w:val="left"/>
        <w:rPr>
          <w:rFonts w:ascii="仿宋_GB2312" w:eastAsia="仿宋_GB2312"/>
          <w:b/>
          <w:sz w:val="32"/>
          <w:szCs w:val="32"/>
          <w:highlight w:val="none"/>
        </w:rPr>
      </w:pPr>
      <w:r>
        <w:rPr>
          <w:rFonts w:ascii="仿宋_GB2312" w:eastAsia="仿宋_GB2312"/>
          <w:b/>
          <w:sz w:val="32"/>
          <w:szCs w:val="32"/>
          <w:highlight w:val="none"/>
        </w:rPr>
        <w:br w:type="page"/>
      </w:r>
    </w:p>
    <w:p>
      <w:pPr>
        <w:numPr>
          <w:ilvl w:val="0"/>
          <w:numId w:val="5"/>
        </w:numPr>
        <w:spacing w:line="600" w:lineRule="exact"/>
        <w:ind w:firstLine="660" w:firstLineChars="150"/>
        <w:jc w:val="center"/>
        <w:outlineLvl w:val="0"/>
        <w:rPr>
          <w:rFonts w:ascii="宋体"/>
          <w:b/>
          <w:sz w:val="44"/>
          <w:szCs w:val="44"/>
        </w:rPr>
      </w:pPr>
      <w:bookmarkStart w:id="106" w:name="_Toc32369"/>
      <w:bookmarkStart w:id="107" w:name="_Toc19641"/>
      <w:bookmarkStart w:id="108" w:name="_Toc15377225"/>
      <w:bookmarkStart w:id="109" w:name="_Toc15396613"/>
      <w:bookmarkStart w:id="110" w:name="_Toc1640_WPSOffice_Level1"/>
      <w:r>
        <w:rPr>
          <w:rFonts w:hint="eastAsia" w:ascii="黑体" w:hAnsi="黑体" w:eastAsia="黑体"/>
          <w:sz w:val="44"/>
          <w:szCs w:val="44"/>
        </w:rPr>
        <w:t>名</w:t>
      </w:r>
      <w:r>
        <w:rPr>
          <w:rStyle w:val="28"/>
          <w:rFonts w:hint="eastAsia" w:ascii="黑体" w:hAnsi="黑体" w:eastAsia="黑体"/>
          <w:b w:val="0"/>
        </w:rPr>
        <w:t>词解释</w:t>
      </w:r>
      <w:bookmarkEnd w:id="106"/>
      <w:bookmarkEnd w:id="107"/>
      <w:bookmarkEnd w:id="108"/>
      <w:bookmarkEnd w:id="109"/>
      <w:bookmarkEnd w:id="110"/>
    </w:p>
    <w:p>
      <w:pPr>
        <w:pStyle w:val="14"/>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9.社会保障和就业支出（208）行政事业单位养老支出（05）机关事业单位基本养老保险缴费支出（05）：反映机关事业单位实施养老保险制度由单位缴纳的基本养老保险费的支出。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10.社会保障和就业支出（208）</w:t>
      </w:r>
      <w:r>
        <w:rPr>
          <w:rStyle w:val="18"/>
          <w:rFonts w:hint="eastAsia" w:hAnsi="仿宋"/>
          <w:b w:val="0"/>
          <w:sz w:val="32"/>
          <w:szCs w:val="32"/>
        </w:rPr>
        <w:t>残疾人事业</w:t>
      </w:r>
      <w:r>
        <w:rPr>
          <w:rFonts w:hint="eastAsia" w:ascii="仿宋_GB2312" w:eastAsia="仿宋_GB2312"/>
          <w:sz w:val="32"/>
          <w:szCs w:val="32"/>
        </w:rPr>
        <w:t>（11）残疾人就业（05）：反映残疾人联合会用于残疾人康复方面的支出。</w:t>
      </w:r>
    </w:p>
    <w:p>
      <w:pPr>
        <w:pStyle w:val="26"/>
        <w:spacing w:line="560" w:lineRule="exact"/>
        <w:ind w:firstLine="640" w:firstLineChars="200"/>
        <w:rPr>
          <w:rFonts w:ascii="仿宋_GB2312" w:eastAsia="仿宋_GB2312"/>
          <w:sz w:val="32"/>
          <w:szCs w:val="32"/>
        </w:rPr>
      </w:pP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社会保障和就业</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208</w:t>
      </w:r>
      <w:r>
        <w:rPr>
          <w:rFonts w:ascii="仿宋_GB2312" w:eastAsia="仿宋_GB2312"/>
          <w:sz w:val="32"/>
          <w:szCs w:val="32"/>
        </w:rPr>
        <w:t>）其他社会保障和就业</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99</w:t>
      </w:r>
      <w:r>
        <w:rPr>
          <w:rFonts w:ascii="仿宋_GB2312" w:eastAsia="仿宋_GB2312"/>
          <w:sz w:val="32"/>
          <w:szCs w:val="32"/>
        </w:rPr>
        <w:t>）其他社会保障和就业支出（</w:t>
      </w:r>
      <w:r>
        <w:rPr>
          <w:rFonts w:hint="eastAsia" w:ascii="仿宋_GB2312" w:eastAsia="仿宋_GB2312"/>
          <w:sz w:val="32"/>
          <w:szCs w:val="32"/>
        </w:rPr>
        <w:t>99</w:t>
      </w:r>
      <w:r>
        <w:rPr>
          <w:rFonts w:ascii="仿宋_GB2312" w:eastAsia="仿宋_GB2312"/>
          <w:sz w:val="32"/>
          <w:szCs w:val="32"/>
        </w:rPr>
        <w:t>）：指除上述项目外，其他用于社会保障和就业方面的支出。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12.卫生健康支出</w:t>
      </w:r>
      <w:r>
        <w:rPr>
          <w:rFonts w:ascii="仿宋_GB2312" w:eastAsia="仿宋_GB2312"/>
          <w:sz w:val="32"/>
          <w:szCs w:val="32"/>
        </w:rPr>
        <w:t>（</w:t>
      </w:r>
      <w:r>
        <w:rPr>
          <w:rFonts w:hint="eastAsia" w:ascii="仿宋_GB2312" w:eastAsia="仿宋_GB2312"/>
          <w:sz w:val="32"/>
          <w:szCs w:val="32"/>
        </w:rPr>
        <w:t>210</w:t>
      </w:r>
      <w:r>
        <w:rPr>
          <w:rFonts w:ascii="仿宋_GB2312" w:eastAsia="仿宋_GB2312"/>
          <w:sz w:val="32"/>
          <w:szCs w:val="32"/>
        </w:rPr>
        <w:t>）</w:t>
      </w:r>
      <w:r>
        <w:rPr>
          <w:rFonts w:hint="eastAsia" w:ascii="仿宋_GB2312" w:eastAsia="仿宋_GB2312"/>
          <w:sz w:val="32"/>
          <w:szCs w:val="32"/>
        </w:rPr>
        <w:t>卫生健康管理事务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其他卫生健康管理事务支出</w:t>
      </w:r>
      <w:r>
        <w:rPr>
          <w:rFonts w:ascii="仿宋_GB2312" w:eastAsia="仿宋_GB2312"/>
          <w:sz w:val="32"/>
          <w:szCs w:val="32"/>
        </w:rPr>
        <w:t>（</w:t>
      </w:r>
      <w:r>
        <w:rPr>
          <w:rFonts w:hint="eastAsia" w:ascii="仿宋_GB2312" w:eastAsia="仿宋_GB2312"/>
          <w:sz w:val="32"/>
          <w:szCs w:val="32"/>
        </w:rPr>
        <w:t>99</w:t>
      </w:r>
      <w:r>
        <w:rPr>
          <w:rFonts w:ascii="仿宋_GB2312" w:eastAsia="仿宋_GB2312"/>
          <w:sz w:val="32"/>
          <w:szCs w:val="32"/>
        </w:rPr>
        <w:t>）：指</w:t>
      </w:r>
      <w:r>
        <w:rPr>
          <w:rFonts w:hint="eastAsia" w:ascii="仿宋_GB2312" w:eastAsia="仿宋_GB2312"/>
          <w:sz w:val="32"/>
          <w:szCs w:val="32"/>
        </w:rPr>
        <w:t>反映除上述项目以外其他用于卫生健康管理事务方面的支出</w:t>
      </w:r>
      <w:r>
        <w:rPr>
          <w:rFonts w:ascii="仿宋_GB2312" w:eastAsia="仿宋_GB2312"/>
          <w:sz w:val="32"/>
          <w:szCs w:val="32"/>
        </w:rPr>
        <w:t>。</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13.卫生健康支出</w:t>
      </w:r>
      <w:r>
        <w:rPr>
          <w:rFonts w:ascii="仿宋_GB2312" w:eastAsia="仿宋_GB2312"/>
          <w:sz w:val="32"/>
          <w:szCs w:val="32"/>
        </w:rPr>
        <w:t>（</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反映财政部门安排的事业单位基本医疗保险缴费经费，未参加医疗保险的事业单位的公费医疗经费，按国家规定享受离休人员待遇的医疗经费</w:t>
      </w:r>
      <w:r>
        <w:rPr>
          <w:rFonts w:ascii="仿宋_GB2312" w:eastAsia="仿宋_GB2312"/>
          <w:sz w:val="32"/>
          <w:szCs w:val="32"/>
        </w:rPr>
        <w:t>。</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14.卫生健康支出</w:t>
      </w:r>
      <w:r>
        <w:rPr>
          <w:rFonts w:ascii="仿宋_GB2312" w:eastAsia="仿宋_GB2312"/>
          <w:sz w:val="32"/>
          <w:szCs w:val="32"/>
        </w:rPr>
        <w:t>（</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）公务员医疗补助（</w:t>
      </w:r>
      <w:r>
        <w:rPr>
          <w:rFonts w:hint="eastAsia" w:ascii="仿宋_GB2312" w:eastAsia="仿宋_GB2312"/>
          <w:sz w:val="32"/>
          <w:szCs w:val="32"/>
        </w:rPr>
        <w:t>03</w:t>
      </w:r>
      <w:r>
        <w:rPr>
          <w:rFonts w:ascii="仿宋_GB2312" w:eastAsia="仿宋_GB2312"/>
          <w:sz w:val="32"/>
          <w:szCs w:val="32"/>
        </w:rPr>
        <w:t>）：</w:t>
      </w:r>
      <w:r>
        <w:rPr>
          <w:rFonts w:hint="eastAsia" w:ascii="仿宋_GB2312" w:eastAsia="仿宋_GB2312"/>
          <w:sz w:val="32"/>
          <w:szCs w:val="32"/>
        </w:rPr>
        <w:t>反映财政部门安排的公务员医疗补助经费</w:t>
      </w:r>
      <w:r>
        <w:rPr>
          <w:rFonts w:ascii="仿宋_GB2312" w:eastAsia="仿宋_GB2312"/>
          <w:sz w:val="32"/>
          <w:szCs w:val="32"/>
        </w:rPr>
        <w:t>。</w:t>
      </w:r>
    </w:p>
    <w:p>
      <w:pPr>
        <w:pStyle w:val="26"/>
        <w:spacing w:line="560" w:lineRule="exact"/>
        <w:ind w:firstLine="640" w:firstLineChars="200"/>
        <w:rPr>
          <w:rFonts w:hAnsi="仿宋"/>
          <w:b/>
          <w:sz w:val="32"/>
          <w:szCs w:val="32"/>
        </w:rPr>
      </w:pPr>
      <w:r>
        <w:rPr>
          <w:rFonts w:hint="eastAsia" w:ascii="仿宋_GB2312" w:eastAsia="仿宋_GB2312"/>
          <w:sz w:val="32"/>
          <w:szCs w:val="32"/>
        </w:rPr>
        <w:t>15.</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）住房改革支出（</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反映行政事业单位按人力资源和社会保障部、财政部规定的基本工资和津贴补贴及规定比例为职工</w:t>
      </w:r>
      <w:r>
        <w:rPr>
          <w:rFonts w:ascii="仿宋_GB2312" w:eastAsia="仿宋_GB2312"/>
          <w:sz w:val="32"/>
          <w:szCs w:val="32"/>
        </w:rPr>
        <w:t>缴</w:t>
      </w:r>
      <w:r>
        <w:rPr>
          <w:rFonts w:hint="eastAsia" w:ascii="仿宋_GB2312" w:eastAsia="仿宋_GB2312"/>
          <w:sz w:val="32"/>
          <w:szCs w:val="32"/>
        </w:rPr>
        <w:t>纳</w:t>
      </w:r>
      <w:r>
        <w:rPr>
          <w:rFonts w:ascii="仿宋_GB2312" w:eastAsia="仿宋_GB2312"/>
          <w:sz w:val="32"/>
          <w:szCs w:val="32"/>
        </w:rPr>
        <w:t>的</w:t>
      </w:r>
      <w:r>
        <w:rPr>
          <w:rFonts w:hint="eastAsia" w:ascii="仿宋_GB2312" w:eastAsia="仿宋_GB2312"/>
          <w:sz w:val="32"/>
          <w:szCs w:val="32"/>
        </w:rPr>
        <w:t>住房公积金</w:t>
      </w:r>
      <w:r>
        <w:rPr>
          <w:rFonts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11" w:name="_Toc15396614"/>
      <w:bookmarkStart w:id="112" w:name="_Toc9287"/>
      <w:bookmarkStart w:id="113" w:name="_Toc15377226"/>
      <w:r>
        <w:rPr>
          <w:rFonts w:hint="eastAsia" w:ascii="仿宋_GB2312" w:eastAsia="仿宋_GB2312"/>
          <w:color w:val="auto"/>
          <w:sz w:val="32"/>
          <w:szCs w:val="32"/>
        </w:rPr>
        <w:t>。</w:t>
      </w:r>
    </w:p>
    <w:p>
      <w:pPr>
        <w:pStyle w:val="26"/>
        <w:spacing w:line="560" w:lineRule="exact"/>
        <w:ind w:firstLine="640" w:firstLineChars="200"/>
        <w:rPr>
          <w:rFonts w:hint="eastAsia" w:ascii="仿宋_GB2312" w:eastAsia="仿宋_GB2312"/>
          <w:color w:val="auto"/>
          <w:sz w:val="32"/>
          <w:szCs w:val="32"/>
        </w:rPr>
      </w:pPr>
    </w:p>
    <w:p>
      <w:pPr>
        <w:pStyle w:val="26"/>
        <w:spacing w:line="560" w:lineRule="exact"/>
        <w:ind w:firstLine="640" w:firstLineChars="200"/>
        <w:rPr>
          <w:rFonts w:hint="eastAsia" w:ascii="仿宋_GB2312" w:eastAsia="仿宋_GB2312"/>
          <w:color w:val="auto"/>
          <w:sz w:val="32"/>
          <w:szCs w:val="32"/>
        </w:rPr>
        <w:sectPr>
          <w:footerReference r:id="rId5" w:type="first"/>
          <w:footerReference r:id="rId4" w:type="default"/>
          <w:pgSz w:w="11906" w:h="16838"/>
          <w:pgMar w:top="1440" w:right="1800" w:bottom="1440" w:left="1800" w:header="851" w:footer="992" w:gutter="0"/>
          <w:pgNumType w:fmt="numberInDash"/>
          <w:cols w:space="425" w:num="1"/>
          <w:titlePg/>
          <w:docGrid w:type="lines" w:linePitch="312" w:charSpace="0"/>
        </w:sectPr>
      </w:pPr>
    </w:p>
    <w:p>
      <w:pPr>
        <w:spacing w:line="600" w:lineRule="exact"/>
        <w:jc w:val="center"/>
        <w:outlineLvl w:val="0"/>
        <w:rPr>
          <w:rStyle w:val="28"/>
          <w:rFonts w:ascii="黑体" w:hAnsi="黑体" w:eastAsia="黑体"/>
          <w:b w:val="0"/>
          <w:color w:val="auto"/>
          <w:highlight w:val="none"/>
        </w:rPr>
      </w:pPr>
      <w:bookmarkStart w:id="114" w:name="_Toc16366"/>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114"/>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none"/>
          <w:lang w:val="en-US" w:eastAsia="zh-CN"/>
        </w:rPr>
      </w:pPr>
    </w:p>
    <w:tbl>
      <w:tblPr>
        <w:tblStyle w:val="16"/>
        <w:tblW w:w="135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80"/>
        <w:gridCol w:w="1080"/>
        <w:gridCol w:w="1080"/>
        <w:gridCol w:w="1080"/>
        <w:gridCol w:w="1234"/>
        <w:gridCol w:w="1016"/>
        <w:gridCol w:w="1080"/>
        <w:gridCol w:w="1080"/>
        <w:gridCol w:w="2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549"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389" w:type="dxa"/>
            <w:gridSpan w:val="9"/>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51090322T000000348077-基层能力提升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60" w:type="dxa"/>
            <w:gridSpan w:val="2"/>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55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四川省遂宁市船山区卫生健康局部门</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48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四川省遂宁市船山区卫生培训中心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54" w:type="dxa"/>
            <w:gridSpan w:val="5"/>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83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4"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4" w:type="dxa"/>
            <w:gridSpan w:val="5"/>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主要用于促进船山卫生事业的发展，加强基层医务人员业务水平和技能的提高，更好地为全区人民健康服务等方面。本次项目计划分多次多样化培训，1.重点对疫情防控政策解读、卫生队伍干部能力提升；2.加强常见病、多发病的诊疗能力和实操能力、应对突发公共卫生事件和应急处理能力、护士技能培训等。不断提高群众的获得感和对基层医疗卫生服务的利用率和满意度。</w:t>
            </w:r>
          </w:p>
        </w:tc>
        <w:tc>
          <w:tcPr>
            <w:tcW w:w="583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按照年初目标设定，我单位于2023年分别组织了两次业务培训会，</w:t>
            </w:r>
            <w:r>
              <w:rPr>
                <w:rFonts w:hint="eastAsia" w:ascii="宋体" w:hAnsi="宋体" w:cs="宋体"/>
                <w:i w:val="0"/>
                <w:iCs w:val="0"/>
                <w:color w:val="000000"/>
                <w:kern w:val="0"/>
                <w:sz w:val="18"/>
                <w:szCs w:val="18"/>
                <w:u w:val="none"/>
                <w:lang w:val="en-US" w:eastAsia="zh-CN" w:bidi="ar"/>
              </w:rPr>
              <w:t>每场</w:t>
            </w:r>
            <w:r>
              <w:rPr>
                <w:rFonts w:hint="eastAsia" w:ascii="宋体" w:hAnsi="宋体" w:eastAsia="宋体" w:cs="宋体"/>
                <w:i w:val="0"/>
                <w:iCs w:val="0"/>
                <w:color w:val="000000"/>
                <w:kern w:val="0"/>
                <w:sz w:val="18"/>
                <w:szCs w:val="18"/>
                <w:u w:val="none"/>
                <w:lang w:val="en-US" w:eastAsia="zh-CN" w:bidi="ar"/>
              </w:rPr>
              <w:t>共计200余人参加了培训学习，同时组织医护人员下农村开展科普知识宣传并</w:t>
            </w:r>
            <w:r>
              <w:rPr>
                <w:rFonts w:hint="eastAsia" w:ascii="宋体" w:hAnsi="宋体" w:cs="宋体"/>
                <w:i w:val="0"/>
                <w:iCs w:val="0"/>
                <w:color w:val="000000"/>
                <w:kern w:val="0"/>
                <w:sz w:val="18"/>
                <w:szCs w:val="18"/>
                <w:u w:val="none"/>
                <w:lang w:val="en-US" w:eastAsia="zh-CN" w:bidi="ar"/>
              </w:rPr>
              <w:t>广泛</w:t>
            </w:r>
            <w:r>
              <w:rPr>
                <w:rFonts w:hint="eastAsia" w:ascii="宋体" w:hAnsi="宋体" w:eastAsia="宋体" w:cs="宋体"/>
                <w:i w:val="0"/>
                <w:iCs w:val="0"/>
                <w:color w:val="000000"/>
                <w:kern w:val="0"/>
                <w:sz w:val="18"/>
                <w:szCs w:val="18"/>
                <w:u w:val="none"/>
                <w:lang w:val="en-US" w:eastAsia="zh-CN" w:bidi="ar"/>
              </w:rPr>
              <w:t>邀请各医院优秀人才现场授课，提高医护人员专业知识，年度目标完成情况较好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389" w:type="dxa"/>
            <w:gridSpan w:val="9"/>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1.我单位于2023年7月、11月分别组织召开“基层卫生能力提升培训会”以及“基层护理人才能力提升培训会”；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389" w:type="dxa"/>
            <w:gridSpan w:val="9"/>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2.开展健康科普知识宣传活动，组织医护人员下乡开展科普知识宣传；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389" w:type="dxa"/>
            <w:gridSpan w:val="9"/>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3.诚邀市第三人民医院、区第一人民医院等专家进行现场授课，共同学习更多的临床知识；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394"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6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94"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5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94"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59"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94"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59"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94"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59"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iCs/>
                <w:color w:val="000000"/>
                <w:sz w:val="16"/>
                <w:szCs w:val="16"/>
                <w:u w:val="none"/>
              </w:rPr>
            </w:pPr>
          </w:p>
        </w:tc>
        <w:tc>
          <w:tcPr>
            <w:tcW w:w="3394" w:type="dxa"/>
            <w:gridSpan w:val="3"/>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59"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6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培训次数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批次</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年初原计划到各乡镇组织培训，但因乡镇分散人员组织不齐，后调整计划采取统一集中培训。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培训人员参与率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卫生人才培训及时率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基层医疗卫生服务利用率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培训机制健全性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培训人员满意度</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每场所需经费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万元/场</w:t>
            </w:r>
          </w:p>
        </w:tc>
        <w:tc>
          <w:tcPr>
            <w:tcW w:w="10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000000"/>
                <w:sz w:val="16"/>
                <w:szCs w:val="16"/>
                <w:u w:val="none"/>
              </w:rPr>
            </w:pPr>
            <w:r>
              <w:rPr>
                <w:rFonts w:hint="eastAsia" w:ascii="宋体" w:hAnsi="宋体" w:eastAsia="宋体" w:cs="宋体"/>
                <w:i/>
                <w:iCs/>
                <w:color w:val="000000"/>
                <w:kern w:val="0"/>
                <w:sz w:val="16"/>
                <w:szCs w:val="16"/>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年初原计划到各乡镇组织培训，但因乡镇分散人员组织不齐，后调整计划采取统一集中培训。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0" w:type="dxa"/>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659"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2469" w:type="dxa"/>
            <w:gridSpan w:val="10"/>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按照培训方案要求，对临床业务骨干、乡村医生、基层护理人员分别进行了培训，</w:t>
            </w:r>
            <w:r>
              <w:rPr>
                <w:rFonts w:hint="eastAsia" w:ascii="宋体" w:hAnsi="宋体" w:cs="宋体"/>
                <w:i w:val="0"/>
                <w:iCs w:val="0"/>
                <w:color w:val="000000"/>
                <w:kern w:val="0"/>
                <w:sz w:val="16"/>
                <w:szCs w:val="16"/>
                <w:u w:val="none"/>
                <w:lang w:val="en-US" w:eastAsia="zh-CN" w:bidi="ar"/>
              </w:rPr>
              <w:t>每场</w:t>
            </w:r>
            <w:bookmarkStart w:id="171" w:name="_GoBack"/>
            <w:bookmarkEnd w:id="171"/>
            <w:r>
              <w:rPr>
                <w:rFonts w:hint="eastAsia" w:ascii="宋体" w:hAnsi="宋体" w:eastAsia="宋体" w:cs="宋体"/>
                <w:i w:val="0"/>
                <w:iCs w:val="0"/>
                <w:color w:val="000000"/>
                <w:kern w:val="0"/>
                <w:sz w:val="16"/>
                <w:szCs w:val="16"/>
                <w:u w:val="none"/>
                <w:lang w:val="en-US" w:eastAsia="zh-CN" w:bidi="ar"/>
              </w:rPr>
              <w:t>共计200余人参加了培训学习，培训机构能够按照方案、全面落实各项培训任务，培训学员能够按照要求，按时完成各项培训内容，同时组织医护人员下农村、进社区开展医学知识宣传、义诊等活动，发放宣传资料，提高群众医学卫生常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2469" w:type="dxa"/>
            <w:gridSpan w:val="10"/>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1.年中培训计划调整，绩效目标未根据实际情况调整指标值。</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2.培训周期较短，部分医学知识不能完全普及。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2469" w:type="dxa"/>
            <w:gridSpan w:val="10"/>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1.建议根据要求动态监控项目实施情况，及时调整绩效目标，确保绩效目标合理、可行，保持目标与实际工作开展的统一。</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2.建议加强基层卫生人才队伍建设，充实卫生技术人员、扩大诊疗范围、增加服务项目，加强人才培养，实行分类管理。</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8149" w:type="dxa"/>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pPr>
        <w:pStyle w:val="26"/>
        <w:spacing w:line="560" w:lineRule="exact"/>
        <w:ind w:firstLine="640" w:firstLineChars="200"/>
        <w:rPr>
          <w:rFonts w:hint="eastAsia" w:ascii="仿宋_GB2312" w:eastAsia="仿宋_GB2312"/>
          <w:color w:val="auto"/>
          <w:sz w:val="32"/>
          <w:szCs w:val="32"/>
          <w:lang w:val="en-US" w:eastAsia="zh-CN"/>
        </w:rPr>
        <w:sectPr>
          <w:pgSz w:w="16838" w:h="11906" w:orient="landscape"/>
          <w:pgMar w:top="1800" w:right="1440" w:bottom="1800" w:left="1440" w:header="851" w:footer="992" w:gutter="0"/>
          <w:pgNumType w:fmt="numberInDash"/>
          <w:cols w:space="425" w:num="1"/>
          <w:titlePg/>
          <w:docGrid w:type="lines" w:linePitch="312" w:charSpace="0"/>
        </w:sectPr>
      </w:pPr>
    </w:p>
    <w:bookmarkEnd w:id="111"/>
    <w:bookmarkEnd w:id="112"/>
    <w:p>
      <w:pPr>
        <w:pStyle w:val="8"/>
        <w:ind w:left="0" w:leftChars="0" w:firstLine="0" w:firstLineChars="0"/>
        <w:rPr>
          <w:rFonts w:hint="eastAsia" w:ascii="黑体" w:hAnsi="黑体" w:eastAsia="黑体"/>
          <w:sz w:val="44"/>
          <w:szCs w:val="44"/>
        </w:rPr>
      </w:pPr>
      <w:bookmarkStart w:id="115" w:name="_Toc27115"/>
      <w:bookmarkStart w:id="116" w:name="_Toc15396618"/>
      <w:bookmarkStart w:id="117" w:name="_Toc7777_WPSOffice_Level1"/>
    </w:p>
    <w:p>
      <w:pPr>
        <w:spacing w:line="600" w:lineRule="exact"/>
        <w:jc w:val="center"/>
        <w:outlineLvl w:val="0"/>
        <w:rPr>
          <w:rFonts w:ascii="仿宋" w:hAnsi="仿宋" w:eastAsia="仿宋"/>
        </w:rPr>
      </w:pPr>
      <w:bookmarkStart w:id="118" w:name="_Toc24887"/>
      <w:r>
        <w:rPr>
          <w:rFonts w:hint="eastAsia" w:ascii="黑体" w:hAnsi="黑体" w:eastAsia="黑体"/>
          <w:sz w:val="44"/>
          <w:szCs w:val="44"/>
        </w:rPr>
        <w:t>第</w:t>
      </w:r>
      <w:r>
        <w:rPr>
          <w:rStyle w:val="28"/>
          <w:rFonts w:hint="eastAsia" w:ascii="黑体" w:hAnsi="黑体" w:eastAsia="黑体"/>
          <w:b w:val="0"/>
        </w:rPr>
        <w:t>五部分 附表</w:t>
      </w:r>
      <w:bookmarkEnd w:id="113"/>
      <w:bookmarkEnd w:id="115"/>
      <w:bookmarkEnd w:id="116"/>
      <w:bookmarkEnd w:id="117"/>
      <w:bookmarkEnd w:id="118"/>
      <w:bookmarkStart w:id="119" w:name="_Toc15396619"/>
    </w:p>
    <w:p>
      <w:pPr>
        <w:pStyle w:val="2"/>
        <w:rPr>
          <w:rFonts w:ascii="仿宋" w:hAnsi="仿宋" w:eastAsia="仿宋"/>
        </w:rPr>
      </w:pPr>
      <w:bookmarkStart w:id="120" w:name="_Toc28402"/>
      <w:bookmarkStart w:id="121" w:name="_Toc956"/>
      <w:bookmarkStart w:id="122" w:name="_Toc5161_WPSOffice_Level2"/>
      <w:r>
        <w:rPr>
          <w:rFonts w:hint="eastAsia" w:ascii="仿宋" w:hAnsi="仿宋" w:eastAsia="仿宋"/>
          <w:b w:val="0"/>
        </w:rPr>
        <w:t>一、收</w:t>
      </w:r>
      <w:r>
        <w:rPr>
          <w:rStyle w:val="29"/>
          <w:rFonts w:hint="eastAsia" w:ascii="仿宋" w:hAnsi="仿宋" w:eastAsia="仿宋"/>
          <w:b w:val="0"/>
          <w:bCs w:val="0"/>
        </w:rPr>
        <w:t>入支出决算总表</w:t>
      </w:r>
      <w:bookmarkEnd w:id="119"/>
      <w:bookmarkEnd w:id="120"/>
      <w:bookmarkEnd w:id="121"/>
      <w:bookmarkEnd w:id="122"/>
    </w:p>
    <w:p>
      <w:pPr>
        <w:pStyle w:val="2"/>
        <w:rPr>
          <w:rFonts w:ascii="仿宋" w:hAnsi="仿宋" w:eastAsia="仿宋"/>
        </w:rPr>
      </w:pPr>
      <w:bookmarkStart w:id="123" w:name="_Toc15396620"/>
      <w:bookmarkStart w:id="124" w:name="_Toc1409"/>
      <w:bookmarkStart w:id="125" w:name="_Toc23137_WPSOffice_Level2"/>
      <w:bookmarkStart w:id="126" w:name="_Toc12479"/>
      <w:r>
        <w:rPr>
          <w:rFonts w:hint="eastAsia" w:ascii="仿宋" w:hAnsi="仿宋" w:eastAsia="仿宋"/>
          <w:b w:val="0"/>
        </w:rPr>
        <w:t>二、收</w:t>
      </w:r>
      <w:r>
        <w:rPr>
          <w:rStyle w:val="29"/>
          <w:rFonts w:hint="eastAsia" w:ascii="仿宋" w:hAnsi="仿宋" w:eastAsia="仿宋"/>
          <w:b w:val="0"/>
          <w:bCs w:val="0"/>
        </w:rPr>
        <w:t>入决算表</w:t>
      </w:r>
      <w:bookmarkEnd w:id="123"/>
      <w:bookmarkEnd w:id="124"/>
      <w:bookmarkEnd w:id="125"/>
      <w:bookmarkEnd w:id="126"/>
    </w:p>
    <w:p>
      <w:pPr>
        <w:pStyle w:val="2"/>
        <w:rPr>
          <w:rFonts w:ascii="仿宋" w:hAnsi="仿宋" w:eastAsia="仿宋"/>
        </w:rPr>
      </w:pPr>
      <w:bookmarkStart w:id="127" w:name="_Toc25107_WPSOffice_Level2"/>
      <w:bookmarkStart w:id="128" w:name="_Toc9272"/>
      <w:bookmarkStart w:id="129" w:name="_Toc31561"/>
      <w:bookmarkStart w:id="13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27"/>
      <w:bookmarkEnd w:id="128"/>
      <w:bookmarkEnd w:id="129"/>
      <w:bookmarkEnd w:id="130"/>
    </w:p>
    <w:p>
      <w:pPr>
        <w:pStyle w:val="2"/>
        <w:rPr>
          <w:rFonts w:ascii="仿宋" w:hAnsi="仿宋" w:eastAsia="仿宋"/>
          <w:b w:val="0"/>
        </w:rPr>
      </w:pPr>
      <w:bookmarkStart w:id="131" w:name="_Toc15396622"/>
      <w:bookmarkStart w:id="132" w:name="_Toc14600"/>
      <w:bookmarkStart w:id="133" w:name="_Toc26353"/>
      <w:bookmarkStart w:id="134" w:name="_Toc19230_WPSOffice_Level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31"/>
      <w:bookmarkEnd w:id="132"/>
      <w:bookmarkEnd w:id="133"/>
      <w:bookmarkEnd w:id="134"/>
    </w:p>
    <w:p>
      <w:pPr>
        <w:pStyle w:val="2"/>
        <w:rPr>
          <w:rStyle w:val="29"/>
          <w:rFonts w:ascii="仿宋" w:hAnsi="仿宋" w:eastAsia="仿宋"/>
          <w:b w:val="0"/>
          <w:bCs w:val="0"/>
        </w:rPr>
      </w:pPr>
      <w:bookmarkStart w:id="135" w:name="_Toc8713_WPSOffice_Level2"/>
      <w:bookmarkStart w:id="136" w:name="_Toc24925"/>
      <w:bookmarkStart w:id="137" w:name="_Toc41"/>
      <w:bookmarkStart w:id="13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35"/>
      <w:bookmarkEnd w:id="136"/>
      <w:bookmarkEnd w:id="137"/>
      <w:bookmarkEnd w:id="138"/>
      <w:bookmarkStart w:id="139" w:name="_Toc15396624"/>
    </w:p>
    <w:p>
      <w:pPr>
        <w:pStyle w:val="2"/>
        <w:rPr>
          <w:rFonts w:ascii="仿宋" w:hAnsi="仿宋" w:eastAsia="仿宋"/>
        </w:rPr>
      </w:pPr>
      <w:bookmarkStart w:id="140" w:name="_Toc24667"/>
      <w:bookmarkStart w:id="141" w:name="_Toc28631_WPSOffice_Level2"/>
      <w:bookmarkStart w:id="142" w:name="_Toc3271"/>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39"/>
      <w:bookmarkEnd w:id="140"/>
      <w:bookmarkEnd w:id="141"/>
      <w:bookmarkEnd w:id="142"/>
    </w:p>
    <w:p>
      <w:pPr>
        <w:pStyle w:val="2"/>
        <w:rPr>
          <w:rFonts w:ascii="仿宋" w:hAnsi="仿宋" w:eastAsia="仿宋"/>
        </w:rPr>
      </w:pPr>
      <w:bookmarkStart w:id="143" w:name="_Toc13483_WPSOffice_Level2"/>
      <w:bookmarkStart w:id="144" w:name="_Toc15092"/>
      <w:bookmarkStart w:id="145" w:name="_Toc21293"/>
      <w:bookmarkStart w:id="146"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43"/>
      <w:bookmarkEnd w:id="144"/>
      <w:bookmarkEnd w:id="145"/>
      <w:bookmarkEnd w:id="146"/>
    </w:p>
    <w:p>
      <w:pPr>
        <w:pStyle w:val="2"/>
        <w:rPr>
          <w:rFonts w:ascii="仿宋" w:hAnsi="仿宋" w:eastAsia="仿宋"/>
        </w:rPr>
      </w:pPr>
      <w:bookmarkStart w:id="147" w:name="_Toc15396626"/>
      <w:bookmarkStart w:id="148" w:name="_Toc7163"/>
      <w:bookmarkStart w:id="149" w:name="_Toc10662_WPSOffice_Level2"/>
      <w:bookmarkStart w:id="150" w:name="_Toc9681"/>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47"/>
      <w:bookmarkEnd w:id="148"/>
      <w:bookmarkEnd w:id="149"/>
      <w:bookmarkEnd w:id="150"/>
    </w:p>
    <w:p>
      <w:pPr>
        <w:pStyle w:val="2"/>
        <w:rPr>
          <w:rFonts w:ascii="仿宋" w:hAnsi="仿宋" w:eastAsia="仿宋"/>
        </w:rPr>
      </w:pPr>
      <w:bookmarkStart w:id="151" w:name="_Toc28849"/>
      <w:bookmarkStart w:id="152" w:name="_Toc15396627"/>
      <w:bookmarkStart w:id="153" w:name="_Toc19388"/>
      <w:bookmarkStart w:id="154" w:name="_Toc21953_WPSOffice_Level2"/>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51"/>
      <w:bookmarkEnd w:id="152"/>
      <w:bookmarkEnd w:id="153"/>
      <w:bookmarkEnd w:id="154"/>
    </w:p>
    <w:p>
      <w:pPr>
        <w:pStyle w:val="2"/>
        <w:rPr>
          <w:rFonts w:ascii="仿宋" w:hAnsi="仿宋" w:eastAsia="仿宋"/>
        </w:rPr>
      </w:pPr>
      <w:bookmarkStart w:id="155" w:name="_Toc15396628"/>
      <w:bookmarkStart w:id="156" w:name="_Toc17258"/>
      <w:bookmarkStart w:id="157" w:name="_Toc15194"/>
      <w:bookmarkStart w:id="158" w:name="_Toc28668_WPSOffice_Level2"/>
      <w:r>
        <w:rPr>
          <w:rStyle w:val="29"/>
          <w:rFonts w:hint="eastAsia" w:ascii="仿宋" w:hAnsi="仿宋" w:eastAsia="仿宋"/>
          <w:b w:val="0"/>
          <w:bCs w:val="0"/>
        </w:rPr>
        <w:t>十、</w:t>
      </w:r>
      <w:bookmarkEnd w:id="155"/>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56"/>
      <w:bookmarkEnd w:id="157"/>
      <w:bookmarkEnd w:id="158"/>
    </w:p>
    <w:p>
      <w:pPr>
        <w:pStyle w:val="2"/>
        <w:rPr>
          <w:rFonts w:ascii="仿宋" w:hAnsi="仿宋" w:eastAsia="仿宋"/>
        </w:rPr>
      </w:pPr>
      <w:bookmarkStart w:id="159" w:name="_Toc15396629"/>
      <w:bookmarkStart w:id="160" w:name="_Toc18072_WPSOffice_Level2"/>
      <w:bookmarkStart w:id="161" w:name="_Toc5952"/>
      <w:bookmarkStart w:id="162" w:name="_Toc12403"/>
      <w:r>
        <w:rPr>
          <w:rStyle w:val="29"/>
          <w:rFonts w:hint="eastAsia" w:ascii="仿宋" w:hAnsi="仿宋" w:eastAsia="仿宋"/>
          <w:b w:val="0"/>
          <w:bCs w:val="0"/>
        </w:rPr>
        <w:t>十一、</w:t>
      </w:r>
      <w:bookmarkEnd w:id="159"/>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60"/>
      <w:bookmarkEnd w:id="161"/>
      <w:bookmarkEnd w:id="162"/>
    </w:p>
    <w:p>
      <w:pPr>
        <w:pStyle w:val="2"/>
        <w:rPr>
          <w:rFonts w:ascii="仿宋" w:hAnsi="仿宋" w:eastAsia="仿宋"/>
        </w:rPr>
      </w:pPr>
      <w:bookmarkStart w:id="163" w:name="_Toc15396630"/>
      <w:bookmarkStart w:id="164" w:name="_Toc3353"/>
      <w:bookmarkStart w:id="165" w:name="_Toc4106_WPSOffice_Level2"/>
      <w:bookmarkStart w:id="166" w:name="_Toc15376"/>
      <w:r>
        <w:rPr>
          <w:rStyle w:val="29"/>
          <w:rFonts w:hint="eastAsia" w:ascii="仿宋" w:hAnsi="仿宋" w:eastAsia="仿宋"/>
          <w:b w:val="0"/>
          <w:bCs w:val="0"/>
        </w:rPr>
        <w:t>十二、</w:t>
      </w:r>
      <w:bookmarkEnd w:id="163"/>
      <w:r>
        <w:rPr>
          <w:rStyle w:val="29"/>
          <w:rFonts w:hint="eastAsia" w:ascii="仿宋" w:hAnsi="仿宋" w:eastAsia="仿宋"/>
          <w:b w:val="0"/>
          <w:bCs w:val="0"/>
        </w:rPr>
        <w:t>国有资本经营预算财政拨款支出决算表</w:t>
      </w:r>
      <w:bookmarkEnd w:id="164"/>
      <w:bookmarkEnd w:id="165"/>
      <w:bookmarkEnd w:id="166"/>
    </w:p>
    <w:p>
      <w:pPr>
        <w:pStyle w:val="2"/>
        <w:rPr>
          <w:rFonts w:eastAsia="仿宋"/>
        </w:rPr>
      </w:pPr>
      <w:bookmarkStart w:id="167" w:name="_Toc15396631"/>
      <w:bookmarkStart w:id="168" w:name="_Toc21583_WPSOffice_Level2"/>
      <w:bookmarkStart w:id="169" w:name="_Toc20934"/>
      <w:bookmarkStart w:id="170" w:name="_Toc14812"/>
      <w:r>
        <w:rPr>
          <w:rStyle w:val="29"/>
          <w:rFonts w:hint="eastAsia" w:ascii="仿宋" w:hAnsi="仿宋" w:eastAsia="仿宋"/>
          <w:b w:val="0"/>
          <w:bCs w:val="0"/>
        </w:rPr>
        <w:t>十三、</w:t>
      </w:r>
      <w:bookmarkEnd w:id="167"/>
      <w:r>
        <w:rPr>
          <w:rStyle w:val="29"/>
          <w:rFonts w:hint="eastAsia" w:ascii="仿宋" w:hAnsi="仿宋" w:eastAsia="仿宋"/>
          <w:b w:val="0"/>
          <w:bCs w:val="0"/>
        </w:rPr>
        <w:t>财政拨款“三公”经费支出决算表</w:t>
      </w:r>
      <w:bookmarkEnd w:id="168"/>
      <w:bookmarkEnd w:id="169"/>
      <w:bookmarkEnd w:id="170"/>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407B6"/>
    <w:multiLevelType w:val="singleLevel"/>
    <w:tmpl w:val="B7F407B6"/>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I4MmZhYWJlMDQwOTU5MjQ4OWFkNjEzNzQ2NDI1ZW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1C19"/>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C6E"/>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048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5A87"/>
    <w:rsid w:val="00AD5620"/>
    <w:rsid w:val="00AD656B"/>
    <w:rsid w:val="00AD7C1B"/>
    <w:rsid w:val="00AE16BA"/>
    <w:rsid w:val="00AE1EBE"/>
    <w:rsid w:val="00AF5DC5"/>
    <w:rsid w:val="00B03C9D"/>
    <w:rsid w:val="00B04411"/>
    <w:rsid w:val="00B060AE"/>
    <w:rsid w:val="00B104FA"/>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5A7B"/>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5A5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32902"/>
    <w:rsid w:val="04787C5D"/>
    <w:rsid w:val="053A62B5"/>
    <w:rsid w:val="05C6393B"/>
    <w:rsid w:val="0928110D"/>
    <w:rsid w:val="0A2032A3"/>
    <w:rsid w:val="0B8A37D8"/>
    <w:rsid w:val="0BAB0918"/>
    <w:rsid w:val="0C132432"/>
    <w:rsid w:val="0E653000"/>
    <w:rsid w:val="0F8372E0"/>
    <w:rsid w:val="0FDE6754"/>
    <w:rsid w:val="10C055FF"/>
    <w:rsid w:val="118107EC"/>
    <w:rsid w:val="11AE5D3B"/>
    <w:rsid w:val="11DD6519"/>
    <w:rsid w:val="13B0304F"/>
    <w:rsid w:val="151905F3"/>
    <w:rsid w:val="15256419"/>
    <w:rsid w:val="163E7A9F"/>
    <w:rsid w:val="16BB723D"/>
    <w:rsid w:val="16C27547"/>
    <w:rsid w:val="16F313B9"/>
    <w:rsid w:val="18015F3F"/>
    <w:rsid w:val="180513B0"/>
    <w:rsid w:val="182D3EAC"/>
    <w:rsid w:val="19684020"/>
    <w:rsid w:val="1BAE3680"/>
    <w:rsid w:val="1BE8440E"/>
    <w:rsid w:val="1D155CEE"/>
    <w:rsid w:val="1E9561DE"/>
    <w:rsid w:val="1EF25030"/>
    <w:rsid w:val="20F57F95"/>
    <w:rsid w:val="21D44362"/>
    <w:rsid w:val="22555E48"/>
    <w:rsid w:val="23FF75FB"/>
    <w:rsid w:val="240371BF"/>
    <w:rsid w:val="24D80578"/>
    <w:rsid w:val="25711CC6"/>
    <w:rsid w:val="25C741E6"/>
    <w:rsid w:val="26F642CB"/>
    <w:rsid w:val="27842671"/>
    <w:rsid w:val="292F2F05"/>
    <w:rsid w:val="29FD04D3"/>
    <w:rsid w:val="2AAE77B4"/>
    <w:rsid w:val="2AAF75CB"/>
    <w:rsid w:val="2ABE7A3E"/>
    <w:rsid w:val="2CA234A8"/>
    <w:rsid w:val="2EFA178C"/>
    <w:rsid w:val="304545E8"/>
    <w:rsid w:val="30B46D73"/>
    <w:rsid w:val="319F7F4E"/>
    <w:rsid w:val="32CA0D87"/>
    <w:rsid w:val="375D4367"/>
    <w:rsid w:val="37687AEB"/>
    <w:rsid w:val="383D272C"/>
    <w:rsid w:val="38EC419A"/>
    <w:rsid w:val="39AE70AB"/>
    <w:rsid w:val="3AA54903"/>
    <w:rsid w:val="3C0C0783"/>
    <w:rsid w:val="3CB7061B"/>
    <w:rsid w:val="3CD72A6B"/>
    <w:rsid w:val="3D153ACD"/>
    <w:rsid w:val="3D5B18EE"/>
    <w:rsid w:val="3D9B3692"/>
    <w:rsid w:val="3F9F3A96"/>
    <w:rsid w:val="414601C0"/>
    <w:rsid w:val="41AD4A5B"/>
    <w:rsid w:val="41F3489E"/>
    <w:rsid w:val="428D26A0"/>
    <w:rsid w:val="454B2FF4"/>
    <w:rsid w:val="45B36FB1"/>
    <w:rsid w:val="45D31900"/>
    <w:rsid w:val="46620FBA"/>
    <w:rsid w:val="46CB3BC9"/>
    <w:rsid w:val="46E4729F"/>
    <w:rsid w:val="46E51D5A"/>
    <w:rsid w:val="46F646A3"/>
    <w:rsid w:val="48BF60AB"/>
    <w:rsid w:val="493C27E9"/>
    <w:rsid w:val="496F39ED"/>
    <w:rsid w:val="49FF41D3"/>
    <w:rsid w:val="4BE068DB"/>
    <w:rsid w:val="4BF6002B"/>
    <w:rsid w:val="4DD728CB"/>
    <w:rsid w:val="4EA266A5"/>
    <w:rsid w:val="4ECE2238"/>
    <w:rsid w:val="504453A0"/>
    <w:rsid w:val="51786173"/>
    <w:rsid w:val="518955D8"/>
    <w:rsid w:val="51DB4B86"/>
    <w:rsid w:val="52DF72E1"/>
    <w:rsid w:val="543E2221"/>
    <w:rsid w:val="55333C3E"/>
    <w:rsid w:val="560A4B03"/>
    <w:rsid w:val="5BE81C11"/>
    <w:rsid w:val="5F88611B"/>
    <w:rsid w:val="60031375"/>
    <w:rsid w:val="60805044"/>
    <w:rsid w:val="62C53D29"/>
    <w:rsid w:val="64395844"/>
    <w:rsid w:val="64CA39A1"/>
    <w:rsid w:val="64DF200C"/>
    <w:rsid w:val="66097B1E"/>
    <w:rsid w:val="662B3705"/>
    <w:rsid w:val="68BB1B8B"/>
    <w:rsid w:val="69437E9E"/>
    <w:rsid w:val="69630ADE"/>
    <w:rsid w:val="69A742C5"/>
    <w:rsid w:val="6AF87E49"/>
    <w:rsid w:val="6B254F38"/>
    <w:rsid w:val="6C4A05C8"/>
    <w:rsid w:val="6D3B1A89"/>
    <w:rsid w:val="6EE83DBA"/>
    <w:rsid w:val="71BF4EC2"/>
    <w:rsid w:val="72734D90"/>
    <w:rsid w:val="72947B37"/>
    <w:rsid w:val="7412278C"/>
    <w:rsid w:val="74F914A3"/>
    <w:rsid w:val="756E3266"/>
    <w:rsid w:val="75DD4519"/>
    <w:rsid w:val="76EC08E6"/>
    <w:rsid w:val="77BB3686"/>
    <w:rsid w:val="79E7B28D"/>
    <w:rsid w:val="7AC40487"/>
    <w:rsid w:val="7B0310DA"/>
    <w:rsid w:val="7B6137F2"/>
    <w:rsid w:val="7E1432DE"/>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joinstyle="miter"/>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semiHidden/>
    <w:unhideWhenUsed/>
    <w:qFormat/>
    <w:uiPriority w:val="99"/>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2"/>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4"/>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font71"/>
    <w:basedOn w:val="17"/>
    <w:qFormat/>
    <w:uiPriority w:val="0"/>
    <w:rPr>
      <w:rFonts w:hint="eastAsia" w:ascii="宋体" w:hAnsi="宋体" w:eastAsia="宋体" w:cs="宋体"/>
      <w:color w:val="000000"/>
      <w:sz w:val="18"/>
      <w:szCs w:val="18"/>
      <w:u w:val="none"/>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1026" textRotate="1"/>
    <customShpInfo spid="_x0000_s1038"/>
    <customShpInfo spid="_x0000_s1028"/>
    <customShpInfo spid="_x0000_s1030"/>
    <customShpInfo spid="_x0000_s1031"/>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5529</Words>
  <Characters>6047</Characters>
  <Lines>39</Lines>
  <Paragraphs>11</Paragraphs>
  <TotalTime>51</TotalTime>
  <ScaleCrop>false</ScaleCrop>
  <LinksUpToDate>false</LinksUpToDate>
  <CharactersWithSpaces>6167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2023-09-08T02:36:00Z</dcterms:created>
  <dc:creator>曹颖</dc:creator>
  <cp:lastModifiedBy>lys</cp:lastModifiedBy>
  <cp:lastPrinted>2023-07-31T02:35:00Z</cp:lastPrinted>
  <dcterms:modified xsi:type="dcterms:W3CDTF">2024-09-13T08:47:35Z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D4BFB041842941EC9DF0A2999D9ACC15_12</vt:lpwstr>
  </property>
</Properties>
</file>