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hint="eastAsia" w:ascii="方正小标宋简体" w:hAnsi="宋体" w:eastAsia="方正小标宋简体" w:cs="Times New Roman"/>
          <w:color w:val="auto"/>
          <w:w w:val="90"/>
          <w:kern w:val="2"/>
          <w:sz w:val="44"/>
          <w:szCs w:val="44"/>
          <w:highlight w:val="none"/>
          <w:lang w:val="en-US" w:eastAsia="zh-CN" w:bidi="ar-SA"/>
        </w:rPr>
      </w:pPr>
      <w:r>
        <w:rPr>
          <w:rFonts w:hint="eastAsia" w:ascii="方正小标宋简体" w:hAnsi="宋体" w:eastAsia="方正小标宋简体" w:cs="Times New Roman"/>
          <w:color w:val="auto"/>
          <w:w w:val="90"/>
          <w:kern w:val="2"/>
          <w:sz w:val="44"/>
          <w:szCs w:val="44"/>
          <w:highlight w:val="none"/>
          <w:lang w:val="en-US" w:eastAsia="zh-CN" w:bidi="ar-SA"/>
        </w:rPr>
        <w:t>2023年度四川省</w:t>
      </w:r>
      <w:bookmarkStart w:id="1" w:name="_Toc14006"/>
      <w:r>
        <w:rPr>
          <w:rFonts w:hint="eastAsia" w:ascii="方正小标宋简体" w:hAnsi="宋体" w:eastAsia="方正小标宋简体" w:cs="Times New Roman"/>
          <w:color w:val="auto"/>
          <w:w w:val="90"/>
          <w:kern w:val="2"/>
          <w:sz w:val="44"/>
          <w:szCs w:val="44"/>
          <w:highlight w:val="none"/>
          <w:lang w:val="en-US" w:eastAsia="zh-CN" w:bidi="ar-SA"/>
        </w:rPr>
        <w:t>遂宁市船山区大南街小学校</w:t>
      </w:r>
      <w:bookmarkEnd w:id="1"/>
    </w:p>
    <w:p>
      <w:pPr>
        <w:adjustRightInd w:val="0"/>
        <w:snapToGrid w:val="0"/>
        <w:spacing w:line="360" w:lineRule="auto"/>
        <w:jc w:val="center"/>
        <w:outlineLvl w:val="0"/>
        <w:rPr>
          <w:rFonts w:ascii="黑体" w:hAnsi="黑体" w:eastAsia="黑体"/>
          <w:sz w:val="48"/>
          <w:szCs w:val="48"/>
        </w:rPr>
      </w:pPr>
      <w:r>
        <w:rPr>
          <w:rFonts w:hint="eastAsia" w:ascii="方正小标宋简体" w:hAnsi="宋体" w:eastAsia="方正小标宋简体" w:cs="Times New Roman"/>
          <w:color w:val="auto"/>
          <w:kern w:val="2"/>
          <w:sz w:val="44"/>
          <w:szCs w:val="44"/>
          <w:highlight w:val="none"/>
          <w:lang w:val="en-US" w:eastAsia="zh-CN" w:bidi="ar-SA"/>
        </w:rPr>
        <w:t>单位决算</w:t>
      </w:r>
    </w:p>
    <w:p>
      <w:pPr>
        <w:jc w:val="center"/>
        <w:rPr>
          <w:rFonts w:hint="default" w:eastAsia="宋体"/>
          <w:lang w:val="en-US" w:eastAsia="zh-CN"/>
        </w:rPr>
      </w:pPr>
      <w:bookmarkStart w:id="2" w:name="OLE_LINK2"/>
      <w:r>
        <w:rPr>
          <w:rFonts w:hint="eastAsia" w:ascii="仿宋_GB2312" w:eastAsia="仿宋_GB2312" w:cs="Times New Roman"/>
          <w:color w:val="auto"/>
          <w:sz w:val="32"/>
          <w:szCs w:val="32"/>
          <w:highlight w:val="none"/>
          <w:lang w:val="en-US" w:eastAsia="zh-CN"/>
        </w:rPr>
        <w:t>公开时间：2024年9月11日</w:t>
      </w:r>
      <w:bookmarkEnd w:id="2"/>
    </w:p>
    <w:p>
      <w:pPr>
        <w:rPr>
          <w:rFonts w:ascii="仿宋" w:hAnsi="仿宋" w:eastAsia="仿宋" w:cs="华文楷体"/>
          <w:kern w:val="0"/>
          <w:sz w:val="32"/>
          <w:szCs w:val="32"/>
          <w:shd w:val="clear" w:color="auto" w:fill="FFFFFF"/>
        </w:rPr>
      </w:pPr>
    </w:p>
    <w:p>
      <w:pPr>
        <w:pStyle w:val="10"/>
        <w:adjustRightInd w:val="0"/>
        <w:snapToGrid w:val="0"/>
        <w:spacing w:before="0" w:line="440" w:lineRule="exact"/>
        <w:jc w:val="left"/>
        <w:rPr>
          <w:rFonts w:hint="eastAsia" w:eastAsia="仿宋" w:cstheme="minorBidi"/>
          <w:sz w:val="24"/>
          <w:szCs w:val="24"/>
          <w:lang w:eastAsia="zh-CN"/>
        </w:rPr>
      </w:pPr>
      <w:bookmarkStart w:id="3" w:name="_Toc15377196"/>
      <w:bookmarkStart w:id="4" w:name="_Toc15396599"/>
      <w:r>
        <w:rPr>
          <w:rFonts w:hint="eastAsia"/>
          <w:sz w:val="24"/>
        </w:rPr>
        <w:t>第一部分单位概况</w:t>
      </w:r>
      <w:r>
        <w:rPr>
          <w:rFonts w:hint="eastAsia"/>
          <w:sz w:val="24"/>
        </w:rPr>
        <w:tab/>
      </w:r>
      <w:r>
        <w:rPr>
          <w:rFonts w:hint="eastAsia"/>
          <w:sz w:val="24"/>
          <w:lang w:val="en-US" w:eastAsia="zh-CN"/>
        </w:rPr>
        <w:t>3</w:t>
      </w:r>
    </w:p>
    <w:p>
      <w:pPr>
        <w:pStyle w:val="11"/>
        <w:adjustRightInd w:val="0"/>
        <w:snapToGrid w:val="0"/>
        <w:spacing w:line="440" w:lineRule="exact"/>
        <w:jc w:val="left"/>
        <w:rPr>
          <w:rFonts w:hint="eastAsia" w:eastAsia="宋体"/>
          <w:sz w:val="24"/>
          <w:lang w:eastAsia="zh-CN"/>
        </w:rPr>
      </w:pPr>
      <w:r>
        <w:rPr>
          <w:rFonts w:hint="eastAsia"/>
          <w:sz w:val="24"/>
        </w:rPr>
        <w:t>一、主要职责</w:t>
      </w:r>
      <w:r>
        <w:rPr>
          <w:rFonts w:hint="eastAsia"/>
          <w:sz w:val="24"/>
        </w:rPr>
        <w:tab/>
      </w:r>
      <w:r>
        <w:rPr>
          <w:rFonts w:hint="eastAsia"/>
          <w:sz w:val="24"/>
          <w:lang w:val="en-US" w:eastAsia="zh-CN"/>
        </w:rPr>
        <w:t>3</w:t>
      </w:r>
    </w:p>
    <w:p>
      <w:pPr>
        <w:pStyle w:val="11"/>
        <w:adjustRightInd w:val="0"/>
        <w:snapToGrid w:val="0"/>
        <w:spacing w:line="440" w:lineRule="exact"/>
        <w:jc w:val="left"/>
        <w:rPr>
          <w:rFonts w:hint="eastAsia" w:eastAsia="宋体"/>
          <w:lang w:eastAsia="zh-CN"/>
        </w:rPr>
      </w:pPr>
      <w:r>
        <w:rPr>
          <w:rFonts w:hint="eastAsia"/>
          <w:sz w:val="24"/>
        </w:rPr>
        <w:t>二、机构设置</w:t>
      </w:r>
      <w:r>
        <w:rPr>
          <w:rFonts w:hint="eastAsia"/>
          <w:sz w:val="24"/>
        </w:rPr>
        <w:tab/>
      </w:r>
      <w:r>
        <w:rPr>
          <w:rFonts w:hint="eastAsia"/>
          <w:sz w:val="24"/>
          <w:lang w:val="en-US" w:eastAsia="zh-CN"/>
        </w:rPr>
        <w:t>4</w:t>
      </w:r>
    </w:p>
    <w:p>
      <w:pPr>
        <w:pStyle w:val="10"/>
        <w:adjustRightInd w:val="0"/>
        <w:snapToGrid w:val="0"/>
        <w:spacing w:before="0" w:line="440" w:lineRule="exact"/>
        <w:jc w:val="left"/>
        <w:rPr>
          <w:rFonts w:hint="eastAsia" w:eastAsia="仿宋"/>
          <w:sz w:val="24"/>
          <w:szCs w:val="24"/>
          <w:lang w:eastAsia="zh-CN"/>
        </w:rPr>
      </w:pPr>
      <w:r>
        <w:rPr>
          <w:rFonts w:hint="eastAsia"/>
          <w:sz w:val="24"/>
        </w:rPr>
        <w:t>第二部分 202</w:t>
      </w:r>
      <w:r>
        <w:rPr>
          <w:rFonts w:hint="eastAsia"/>
          <w:sz w:val="24"/>
          <w:lang w:val="en-US" w:eastAsia="zh-CN"/>
        </w:rPr>
        <w:t>3</w:t>
      </w:r>
      <w:r>
        <w:rPr>
          <w:rFonts w:hint="eastAsia"/>
          <w:sz w:val="24"/>
        </w:rPr>
        <w:t>年度单位决算情况说明</w:t>
      </w:r>
      <w:r>
        <w:rPr>
          <w:rFonts w:hint="eastAsia"/>
          <w:sz w:val="24"/>
        </w:rPr>
        <w:tab/>
      </w:r>
      <w:r>
        <w:rPr>
          <w:rFonts w:hint="eastAsia"/>
          <w:sz w:val="24"/>
          <w:lang w:val="en-US" w:eastAsia="zh-CN"/>
        </w:rPr>
        <w:t>5</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一、收入支出决算总体情况说明</w:t>
      </w:r>
      <w:r>
        <w:rPr>
          <w:rFonts w:hint="eastAsia"/>
          <w:sz w:val="24"/>
        </w:rPr>
        <w:tab/>
      </w:r>
      <w:r>
        <w:rPr>
          <w:rFonts w:hint="eastAsia"/>
          <w:sz w:val="24"/>
          <w:lang w:val="en-US" w:eastAsia="zh-CN"/>
        </w:rPr>
        <w:t>5</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hint="eastAsia"/>
          <w:sz w:val="24"/>
        </w:rPr>
        <w:tab/>
      </w:r>
      <w:r>
        <w:rPr>
          <w:rFonts w:hint="eastAsia"/>
          <w:sz w:val="24"/>
          <w:lang w:val="en-US" w:eastAsia="zh-CN"/>
        </w:rPr>
        <w:t>5</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三、支出决算情况说明</w:t>
      </w:r>
      <w:r>
        <w:rPr>
          <w:rFonts w:hint="eastAsia"/>
          <w:sz w:val="24"/>
        </w:rPr>
        <w:tab/>
      </w:r>
      <w:r>
        <w:rPr>
          <w:rFonts w:hint="eastAsia"/>
          <w:sz w:val="24"/>
          <w:lang w:val="en-US" w:eastAsia="zh-CN"/>
        </w:rPr>
        <w:t>6</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hint="eastAsia"/>
          <w:sz w:val="24"/>
        </w:rPr>
        <w:tab/>
      </w:r>
      <w:r>
        <w:rPr>
          <w:rFonts w:hint="eastAsia"/>
          <w:sz w:val="24"/>
          <w:lang w:val="en-US" w:eastAsia="zh-CN"/>
        </w:rPr>
        <w:t>6</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五、一般公共预算财政拨款支出决算情况说明</w:t>
      </w:r>
      <w:r>
        <w:rPr>
          <w:rFonts w:hint="eastAsia"/>
          <w:sz w:val="24"/>
        </w:rPr>
        <w:tab/>
      </w:r>
      <w:r>
        <w:rPr>
          <w:rFonts w:hint="eastAsia"/>
          <w:sz w:val="24"/>
          <w:lang w:val="en-US" w:eastAsia="zh-CN"/>
        </w:rPr>
        <w:t>7</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六、一般公共预算财政拨款基本支出决算情况说明</w:t>
      </w:r>
      <w:r>
        <w:rPr>
          <w:rFonts w:hint="eastAsia"/>
          <w:sz w:val="24"/>
        </w:rPr>
        <w:tab/>
      </w:r>
      <w:r>
        <w:rPr>
          <w:rFonts w:hint="eastAsia"/>
          <w:sz w:val="24"/>
        </w:rPr>
        <w:t>1</w:t>
      </w:r>
      <w:r>
        <w:rPr>
          <w:rFonts w:hint="eastAsia"/>
          <w:sz w:val="24"/>
          <w:lang w:val="en-US" w:eastAsia="zh-CN"/>
        </w:rPr>
        <w:t>0</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七、财政拨款“三公”经费支出决算情况说明</w:t>
      </w:r>
      <w:r>
        <w:rPr>
          <w:rFonts w:hint="eastAsia"/>
          <w:sz w:val="24"/>
        </w:rPr>
        <w:tab/>
      </w:r>
      <w:r>
        <w:rPr>
          <w:rFonts w:hint="eastAsia"/>
          <w:sz w:val="24"/>
        </w:rPr>
        <w:t>1</w:t>
      </w:r>
      <w:r>
        <w:rPr>
          <w:rFonts w:hint="eastAsia"/>
          <w:sz w:val="24"/>
          <w:lang w:val="en-US" w:eastAsia="zh-CN"/>
        </w:rPr>
        <w:t>0</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八、政府性基金预算支出决算情况说明</w:t>
      </w:r>
      <w:r>
        <w:rPr>
          <w:rFonts w:hint="eastAsia"/>
          <w:sz w:val="24"/>
        </w:rPr>
        <w:tab/>
      </w:r>
      <w:r>
        <w:rPr>
          <w:rFonts w:hint="eastAsia"/>
          <w:sz w:val="24"/>
        </w:rPr>
        <w:t>1</w:t>
      </w:r>
      <w:r>
        <w:rPr>
          <w:rFonts w:hint="eastAsia"/>
          <w:sz w:val="24"/>
          <w:lang w:val="en-US" w:eastAsia="zh-CN"/>
        </w:rPr>
        <w:t>2</w:t>
      </w:r>
    </w:p>
    <w:p>
      <w:pPr>
        <w:pStyle w:val="11"/>
        <w:adjustRightInd w:val="0"/>
        <w:snapToGrid w:val="0"/>
        <w:spacing w:line="440" w:lineRule="exact"/>
        <w:jc w:val="left"/>
        <w:rPr>
          <w:rFonts w:hint="eastAsia" w:eastAsia="宋体"/>
          <w:sz w:val="24"/>
          <w:lang w:eastAsia="zh-CN"/>
        </w:rPr>
      </w:pPr>
      <w:r>
        <w:rPr>
          <w:rFonts w:hint="eastAsia"/>
          <w:sz w:val="24"/>
        </w:rPr>
        <w:t>九、国有资本经营预算支出决算情况说明</w:t>
      </w:r>
      <w:r>
        <w:rPr>
          <w:rFonts w:hint="eastAsia"/>
          <w:sz w:val="24"/>
        </w:rPr>
        <w:tab/>
      </w:r>
      <w:r>
        <w:rPr>
          <w:rFonts w:hint="eastAsia"/>
          <w:sz w:val="24"/>
        </w:rPr>
        <w:t>1</w:t>
      </w:r>
      <w:r>
        <w:rPr>
          <w:rFonts w:hint="eastAsia"/>
          <w:sz w:val="24"/>
          <w:lang w:val="en-US" w:eastAsia="zh-CN"/>
        </w:rPr>
        <w:t>2</w:t>
      </w:r>
    </w:p>
    <w:p>
      <w:pPr>
        <w:pStyle w:val="11"/>
        <w:adjustRightInd w:val="0"/>
        <w:snapToGrid w:val="0"/>
        <w:spacing w:line="440" w:lineRule="exact"/>
        <w:jc w:val="left"/>
        <w:rPr>
          <w:rFonts w:hint="eastAsia" w:eastAsia="宋体"/>
          <w:sz w:val="24"/>
          <w:lang w:eastAsia="zh-CN"/>
        </w:rPr>
      </w:pPr>
      <w:r>
        <w:rPr>
          <w:rFonts w:hint="eastAsia"/>
          <w:sz w:val="24"/>
        </w:rPr>
        <w:t>十、其他重要事项的情况说明</w:t>
      </w:r>
      <w:r>
        <w:rPr>
          <w:rFonts w:hint="eastAsia"/>
          <w:sz w:val="24"/>
        </w:rPr>
        <w:tab/>
      </w:r>
      <w:r>
        <w:rPr>
          <w:rFonts w:hint="eastAsia"/>
          <w:sz w:val="24"/>
        </w:rPr>
        <w:t>1</w:t>
      </w:r>
      <w:r>
        <w:rPr>
          <w:rFonts w:hint="eastAsia"/>
          <w:sz w:val="24"/>
          <w:lang w:val="en-US" w:eastAsia="zh-CN"/>
        </w:rPr>
        <w:t>2</w:t>
      </w:r>
    </w:p>
    <w:p>
      <w:pPr>
        <w:pStyle w:val="10"/>
        <w:adjustRightInd w:val="0"/>
        <w:snapToGrid w:val="0"/>
        <w:spacing w:before="0" w:line="440" w:lineRule="exact"/>
        <w:jc w:val="left"/>
        <w:rPr>
          <w:rFonts w:hint="eastAsia" w:eastAsia="仿宋" w:cstheme="minorBidi"/>
          <w:sz w:val="24"/>
          <w:szCs w:val="24"/>
          <w:lang w:eastAsia="zh-CN"/>
        </w:rPr>
      </w:pPr>
      <w:r>
        <w:rPr>
          <w:rFonts w:hint="eastAsia"/>
          <w:sz w:val="24"/>
        </w:rPr>
        <w:t>第三部分名词解释</w:t>
      </w:r>
      <w:r>
        <w:rPr>
          <w:rFonts w:hint="eastAsia"/>
          <w:sz w:val="24"/>
        </w:rPr>
        <w:tab/>
      </w:r>
      <w:r>
        <w:rPr>
          <w:rFonts w:hint="eastAsia"/>
          <w:sz w:val="24"/>
        </w:rPr>
        <w:t>1</w:t>
      </w:r>
      <w:r>
        <w:rPr>
          <w:rFonts w:hint="eastAsia"/>
          <w:sz w:val="24"/>
          <w:lang w:val="en-US" w:eastAsia="zh-CN"/>
        </w:rPr>
        <w:t>4</w:t>
      </w:r>
    </w:p>
    <w:p>
      <w:pPr>
        <w:pStyle w:val="10"/>
        <w:adjustRightInd w:val="0"/>
        <w:snapToGrid w:val="0"/>
        <w:spacing w:before="0" w:line="440" w:lineRule="exact"/>
        <w:jc w:val="left"/>
        <w:rPr>
          <w:rFonts w:hint="eastAsia"/>
          <w:sz w:val="24"/>
          <w:lang w:val="en-US" w:eastAsia="zh-CN"/>
        </w:rPr>
      </w:pPr>
      <w:r>
        <w:rPr>
          <w:rFonts w:hint="eastAsia"/>
          <w:sz w:val="24"/>
        </w:rPr>
        <w:t>第四部分附件</w:t>
      </w:r>
      <w:r>
        <w:rPr>
          <w:rFonts w:hint="eastAsia"/>
          <w:sz w:val="24"/>
        </w:rPr>
        <w:tab/>
      </w:r>
      <w:r>
        <w:rPr>
          <w:rFonts w:hint="eastAsia"/>
          <w:sz w:val="24"/>
        </w:rPr>
        <w:t>1</w:t>
      </w:r>
      <w:r>
        <w:rPr>
          <w:rFonts w:hint="eastAsia"/>
          <w:sz w:val="24"/>
          <w:lang w:val="en-US" w:eastAsia="zh-CN"/>
        </w:rPr>
        <w:t>6</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第五部分附表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rPr>
        <w:tab/>
      </w:r>
      <w:r>
        <w:rPr>
          <w:rFonts w:hint="eastAsia"/>
          <w:sz w:val="24"/>
          <w:lang w:val="en-US" w:eastAsia="zh-CN"/>
        </w:rPr>
        <w:t>18</w:t>
      </w:r>
    </w:p>
    <w:p>
      <w:pPr>
        <w:pStyle w:val="11"/>
        <w:adjustRightInd w:val="0"/>
        <w:snapToGrid w:val="0"/>
        <w:spacing w:line="440" w:lineRule="exact"/>
        <w:jc w:val="left"/>
        <w:rPr>
          <w:rFonts w:hint="eastAsia"/>
          <w:sz w:val="24"/>
          <w:lang w:val="en-US" w:eastAsia="zh-CN"/>
        </w:rPr>
      </w:pPr>
      <w:r>
        <w:rPr>
          <w:rFonts w:hint="eastAsia"/>
          <w:sz w:val="24"/>
        </w:rPr>
        <w:t>七、一般公共预算财政拨款支出决算明细表</w:t>
      </w:r>
      <w:r>
        <w:rPr>
          <w:rFonts w:hint="eastAsia"/>
          <w:sz w:val="24"/>
        </w:rPr>
        <w:tab/>
      </w:r>
      <w:r>
        <w:rPr>
          <w:rFonts w:hint="eastAsia"/>
          <w:sz w:val="24"/>
          <w:lang w:val="en-US" w:eastAsia="zh-CN"/>
        </w:rPr>
        <w:t>18</w:t>
      </w:r>
    </w:p>
    <w:p>
      <w:pPr>
        <w:pStyle w:val="11"/>
        <w:adjustRightInd w:val="0"/>
        <w:snapToGrid w:val="0"/>
        <w:spacing w:line="440" w:lineRule="exact"/>
        <w:jc w:val="left"/>
        <w:rPr>
          <w:rFonts w:hint="eastAsia"/>
          <w:sz w:val="24"/>
          <w:lang w:val="en-US" w:eastAsia="zh-CN"/>
        </w:rPr>
      </w:pPr>
      <w:r>
        <w:rPr>
          <w:rFonts w:hint="eastAsia"/>
          <w:sz w:val="24"/>
        </w:rPr>
        <w:t>八、一般公共预算财政拨款基本支出决算明细表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rPr>
        <w:tab/>
      </w:r>
      <w:r>
        <w:rPr>
          <w:rFonts w:hint="eastAsia"/>
          <w:sz w:val="24"/>
          <w:lang w:val="en-US" w:eastAsia="zh-CN"/>
        </w:rPr>
        <w:t>18</w:t>
      </w:r>
    </w:p>
    <w:p>
      <w:pPr>
        <w:pStyle w:val="11"/>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rPr>
        <w:tab/>
      </w:r>
      <w:r>
        <w:rPr>
          <w:rFonts w:hint="eastAsia"/>
          <w:sz w:val="24"/>
          <w:lang w:val="en-US" w:eastAsia="zh-CN"/>
        </w:rPr>
        <w:t>18</w:t>
      </w:r>
    </w:p>
    <w:p>
      <w:pPr>
        <w:pStyle w:val="2"/>
        <w:ind w:firstLine="2200" w:firstLineChars="500"/>
        <w:rPr>
          <w:rFonts w:ascii="黑体" w:hAnsi="黑体" w:eastAsia="黑体"/>
          <w:b w:val="0"/>
        </w:rPr>
      </w:pPr>
    </w:p>
    <w:p>
      <w:pPr>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5"/>
        <w:spacing w:before="93"/>
        <w:rPr>
          <w:rFonts w:ascii="黑体" w:hAnsi="黑体" w:eastAsia="黑体"/>
        </w:rPr>
      </w:pPr>
    </w:p>
    <w:p>
      <w:pPr>
        <w:pStyle w:val="2"/>
        <w:ind w:firstLine="2200" w:firstLineChars="500"/>
        <w:rPr>
          <w:rFonts w:ascii="黑体" w:eastAsia="黑体"/>
          <w:sz w:val="32"/>
          <w:szCs w:val="32"/>
        </w:rPr>
      </w:pPr>
      <w:r>
        <w:rPr>
          <w:rFonts w:hint="eastAsia" w:ascii="黑体" w:hAnsi="黑体" w:eastAsia="黑体"/>
          <w:b w:val="0"/>
        </w:rPr>
        <w:t>第一部分 单位</w:t>
      </w:r>
      <w:r>
        <w:rPr>
          <w:rStyle w:val="24"/>
          <w:rFonts w:hint="eastAsia" w:ascii="黑体" w:hAnsi="黑体" w:eastAsia="黑体"/>
          <w:b w:val="0"/>
          <w:bCs w:val="0"/>
        </w:rPr>
        <w:t>概况</w:t>
      </w:r>
      <w:bookmarkEnd w:id="3"/>
      <w:bookmarkEnd w:id="4"/>
    </w:p>
    <w:p>
      <w:pPr>
        <w:pStyle w:val="3"/>
        <w:numPr>
          <w:ilvl w:val="0"/>
          <w:numId w:val="1"/>
        </w:numPr>
        <w:rPr>
          <w:rStyle w:val="25"/>
          <w:rFonts w:ascii="黑体" w:hAnsi="黑体" w:eastAsia="黑体"/>
          <w:b w:val="0"/>
          <w:bCs w:val="0"/>
        </w:rPr>
      </w:pPr>
      <w:bookmarkStart w:id="5" w:name="_Toc15377197"/>
      <w:bookmarkStart w:id="6" w:name="_Toc15396600"/>
      <w:r>
        <w:rPr>
          <w:rStyle w:val="25"/>
          <w:rFonts w:hint="eastAsia" w:ascii="黑体" w:hAnsi="黑体" w:eastAsia="黑体"/>
          <w:b w:val="0"/>
          <w:bCs w:val="0"/>
        </w:rPr>
        <w:t>主要职责</w:t>
      </w:r>
    </w:p>
    <w:p>
      <w:pPr>
        <w:pStyle w:val="23"/>
        <w:widowControl/>
        <w:shd w:val="clear" w:color="auto" w:fill="FFFFFF"/>
        <w:ind w:left="660" w:firstLine="0" w:firstLineChars="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1.负责贯彻党的教育方针，正确执行上级主管部门的决</w:t>
      </w:r>
    </w:p>
    <w:p>
      <w:pPr>
        <w:widowControl/>
        <w:shd w:val="clear" w:color="auto" w:fill="FFFFFF"/>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议和指示全面实施素质教育，培养德、智、体、美等方面全面发展的社会主义事业的建设者和接班人。</w:t>
      </w:r>
    </w:p>
    <w:p>
      <w:pPr>
        <w:pStyle w:val="23"/>
        <w:widowControl/>
        <w:shd w:val="clear" w:color="auto" w:fill="FFFFFF"/>
        <w:ind w:left="660" w:firstLine="0" w:firstLineChars="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2.根据教育规律、社会要求和学校实际，组织制定学校</w:t>
      </w:r>
    </w:p>
    <w:p>
      <w:pPr>
        <w:widowControl/>
        <w:shd w:val="clear" w:color="auto" w:fill="FFFFFF"/>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发展的远景规划、近期目标、学年和学期各项工作计划以及各项工作指标并组织实施。</w:t>
      </w:r>
    </w:p>
    <w:p>
      <w:pPr>
        <w:widowControl/>
        <w:shd w:val="clear" w:color="auto" w:fill="FFFFFF"/>
        <w:ind w:firstLine="800" w:firstLineChars="25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3.负责领导和组织学校的教学工作，坚持以教学为中心，保证教学计划的贯彻执行。大力推进学校改革，加强科研工作的组织领导。</w:t>
      </w:r>
    </w:p>
    <w:p>
      <w:pPr>
        <w:widowControl/>
        <w:shd w:val="clear" w:color="auto" w:fill="FFFFFF"/>
        <w:ind w:firstLine="800" w:firstLineChars="25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4.加强学校的科学化管理，制定和健全各项规章制度，规范办学行为，培养良好校风，逐步实现管理决策的科学化，管理方法的定量化和管理手段的现代化。</w:t>
      </w:r>
    </w:p>
    <w:p>
      <w:pPr>
        <w:widowControl/>
        <w:shd w:val="clear" w:color="auto" w:fill="FFFFFF"/>
        <w:ind w:firstLine="640" w:firstLineChars="200"/>
        <w:jc w:val="left"/>
        <w:rPr>
          <w:rFonts w:ascii="仿宋" w:hAnsi="仿宋" w:eastAsia="仿宋" w:cs="华文楷体"/>
          <w:sz w:val="32"/>
          <w:szCs w:val="32"/>
        </w:rPr>
      </w:pPr>
      <w:r>
        <w:rPr>
          <w:rFonts w:hint="eastAsia" w:ascii="仿宋" w:hAnsi="仿宋" w:eastAsia="仿宋" w:cs="华文楷体"/>
          <w:kern w:val="0"/>
          <w:sz w:val="32"/>
          <w:szCs w:val="32"/>
          <w:shd w:val="clear" w:color="auto" w:fill="FFFFFF"/>
        </w:rPr>
        <w:t>5.负责教师队伍建设工作，制定教师队伍建设计划，不断提高他们的政治素质、文化业务水平和科研水平。</w:t>
      </w:r>
    </w:p>
    <w:p>
      <w:pPr>
        <w:widowControl/>
        <w:shd w:val="clear" w:color="auto" w:fill="FFFFFF"/>
        <w:ind w:firstLine="640" w:firstLineChars="20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6.领导和组织学校的思想政治工作，把德育放在首位。教育全体教职工做到教书育人、管理育人、服务育人、搞好学校、社会、家庭三结合教育。</w:t>
      </w:r>
    </w:p>
    <w:p>
      <w:pPr>
        <w:widowControl/>
        <w:shd w:val="clear" w:color="auto" w:fill="FFFFFF"/>
        <w:ind w:firstLine="640" w:firstLineChars="20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rPr>
        <w:t>7.组织制定和实施校舍建设和校园建设规划，加强对财务工作的领导，正确使用各项经费，不断改善办学条件，强化安全</w:t>
      </w:r>
      <w:r>
        <w:rPr>
          <w:rFonts w:hint="eastAsia" w:ascii="仿宋" w:hAnsi="仿宋" w:eastAsia="仿宋" w:cs="华文楷体"/>
          <w:kern w:val="0"/>
          <w:sz w:val="32"/>
          <w:szCs w:val="32"/>
          <w:shd w:val="clear" w:color="auto" w:fill="FFFFFF"/>
          <w:lang w:eastAsia="zh-CN"/>
        </w:rPr>
        <w:t>管理工作</w:t>
      </w:r>
      <w:r>
        <w:rPr>
          <w:rFonts w:hint="eastAsia" w:ascii="仿宋" w:hAnsi="仿宋" w:eastAsia="仿宋" w:cs="华文楷体"/>
          <w:kern w:val="0"/>
          <w:sz w:val="32"/>
          <w:szCs w:val="32"/>
          <w:shd w:val="clear" w:color="auto" w:fill="FFFFFF"/>
        </w:rPr>
        <w:t>及安全保卫工作，创造良好的育人环境。</w:t>
      </w:r>
    </w:p>
    <w:p>
      <w:pPr>
        <w:pStyle w:val="3"/>
        <w:rPr>
          <w:rFonts w:ascii="黑体" w:hAnsi="黑体" w:eastAsia="黑体"/>
          <w:b w:val="0"/>
        </w:rPr>
      </w:pPr>
      <w:r>
        <w:rPr>
          <w:rFonts w:hint="eastAsia" w:ascii="黑体" w:hAnsi="黑体" w:eastAsia="黑体"/>
          <w:b w:val="0"/>
        </w:rPr>
        <w:t>二、机构设置</w:t>
      </w:r>
    </w:p>
    <w:p>
      <w:pPr>
        <w:widowControl/>
        <w:shd w:val="clear" w:color="auto" w:fill="FFFFFF"/>
        <w:ind w:firstLine="640" w:firstLineChars="200"/>
        <w:jc w:val="left"/>
        <w:rPr>
          <w:rFonts w:ascii="仿宋" w:hAnsi="仿宋" w:eastAsia="仿宋" w:cs="华文楷体"/>
          <w:kern w:val="0"/>
          <w:sz w:val="32"/>
          <w:szCs w:val="32"/>
          <w:shd w:val="clear" w:color="auto" w:fill="FFFFFF"/>
        </w:rPr>
      </w:pPr>
      <w:r>
        <w:rPr>
          <w:rFonts w:ascii="仿宋" w:hAnsi="仿宋" w:eastAsia="仿宋" w:cs="华文楷体"/>
          <w:kern w:val="0"/>
          <w:sz w:val="32"/>
          <w:szCs w:val="32"/>
          <w:shd w:val="clear" w:color="auto" w:fill="FFFFFF"/>
        </w:rPr>
        <w:t>我</w:t>
      </w:r>
      <w:r>
        <w:rPr>
          <w:rFonts w:hint="eastAsia" w:ascii="仿宋" w:hAnsi="仿宋" w:eastAsia="仿宋" w:cs="华文楷体"/>
          <w:kern w:val="0"/>
          <w:sz w:val="32"/>
          <w:szCs w:val="32"/>
          <w:shd w:val="clear" w:color="auto" w:fill="FFFFFF"/>
        </w:rPr>
        <w:t>校为船山区教育和体育局二级单位，本单位无</w:t>
      </w:r>
      <w:r>
        <w:rPr>
          <w:rFonts w:hint="eastAsia" w:ascii="仿宋" w:hAnsi="仿宋" w:eastAsia="仿宋"/>
          <w:sz w:val="32"/>
          <w:szCs w:val="32"/>
          <w:lang w:val="en-US" w:eastAsia="zh-CN"/>
        </w:rPr>
        <w:t>下属</w:t>
      </w:r>
      <w:r>
        <w:rPr>
          <w:rFonts w:hint="eastAsia" w:ascii="仿宋" w:hAnsi="仿宋" w:eastAsia="仿宋"/>
          <w:sz w:val="32"/>
          <w:szCs w:val="32"/>
        </w:rPr>
        <w:t>预算单位。</w:t>
      </w:r>
    </w:p>
    <w:p/>
    <w:bookmarkEnd w:id="5"/>
    <w:bookmarkEnd w:id="6"/>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4"/>
          <w:rFonts w:ascii="黑体" w:hAnsi="黑体" w:eastAsia="黑体"/>
          <w:b w:val="0"/>
          <w:bCs/>
        </w:rPr>
      </w:pPr>
      <w:bookmarkStart w:id="7" w:name="_Toc15377204"/>
      <w:bookmarkStart w:id="8" w:name="_Toc15396602"/>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24"/>
          <w:rFonts w:hint="eastAsia" w:ascii="黑体" w:hAnsi="黑体" w:eastAsia="黑体"/>
          <w:b w:val="0"/>
          <w:bCs/>
        </w:rPr>
        <w:t>单位决算情况说明</w:t>
      </w:r>
      <w:bookmarkEnd w:id="7"/>
      <w:bookmarkEnd w:id="8"/>
    </w:p>
    <w:p/>
    <w:p>
      <w:pPr>
        <w:pStyle w:val="23"/>
        <w:numPr>
          <w:ilvl w:val="0"/>
          <w:numId w:val="2"/>
        </w:numPr>
        <w:spacing w:line="600" w:lineRule="exact"/>
        <w:ind w:firstLineChars="0"/>
        <w:outlineLvl w:val="1"/>
        <w:rPr>
          <w:rStyle w:val="25"/>
          <w:rFonts w:ascii="黑体" w:hAnsi="黑体" w:eastAsia="黑体"/>
          <w:b w:val="0"/>
        </w:rPr>
      </w:pPr>
      <w:bookmarkStart w:id="9" w:name="_Toc15377205"/>
      <w:bookmarkStart w:id="1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9"/>
      <w:bookmarkEnd w:id="10"/>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年度收、支总计854.47万元。与202</w:t>
      </w:r>
      <w:r>
        <w:rPr>
          <w:rFonts w:hint="eastAsia" w:ascii="仿宋" w:hAnsi="仿宋" w:eastAsia="仿宋"/>
          <w:sz w:val="32"/>
          <w:szCs w:val="32"/>
          <w:lang w:val="en-US" w:eastAsia="zh-CN"/>
        </w:rPr>
        <w:t>2</w:t>
      </w:r>
      <w:r>
        <w:rPr>
          <w:rFonts w:hint="eastAsia" w:ascii="仿宋" w:hAnsi="仿宋" w:eastAsia="仿宋"/>
          <w:sz w:val="32"/>
          <w:szCs w:val="32"/>
        </w:rPr>
        <w:t>年相比，收、支总计各</w:t>
      </w:r>
      <w:r>
        <w:rPr>
          <w:rFonts w:hint="eastAsia" w:ascii="仿宋" w:hAnsi="仿宋" w:eastAsia="仿宋"/>
          <w:sz w:val="32"/>
          <w:szCs w:val="32"/>
          <w:lang w:val="en-US" w:eastAsia="zh-CN"/>
        </w:rPr>
        <w:t>减少6.01</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0.70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r>
        <w:rPr>
          <w:rFonts w:hint="eastAsia" w:ascii="仿宋" w:hAnsi="仿宋" w:eastAsia="仿宋"/>
          <w:sz w:val="32"/>
          <w:szCs w:val="32"/>
        </w:rPr>
        <w:t>。</w:t>
      </w:r>
    </w:p>
    <w:p>
      <w:pPr>
        <w:pStyle w:val="5"/>
        <w:spacing w:before="93"/>
        <w:rPr>
          <w:rFonts w:ascii="仿宋" w:hAnsi="仿宋" w:eastAsia="仿宋"/>
          <w:sz w:val="32"/>
          <w:szCs w:val="32"/>
        </w:rPr>
      </w:pPr>
      <w:r>
        <w:drawing>
          <wp:inline distT="0" distB="0" distL="114300" distR="114300">
            <wp:extent cx="5248275" cy="2990850"/>
            <wp:effectExtent l="4445" t="4445" r="5080"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3"/>
        <w:numPr>
          <w:ilvl w:val="0"/>
          <w:numId w:val="2"/>
        </w:numPr>
        <w:spacing w:line="600" w:lineRule="exact"/>
        <w:ind w:firstLineChars="0"/>
        <w:outlineLvl w:val="1"/>
        <w:rPr>
          <w:rStyle w:val="25"/>
          <w:rFonts w:ascii="黑体" w:hAnsi="黑体" w:eastAsia="黑体"/>
          <w:b w:val="0"/>
        </w:rPr>
      </w:pPr>
      <w:bookmarkStart w:id="11" w:name="_Toc15396604"/>
      <w:bookmarkStart w:id="12" w:name="_Toc15377206"/>
      <w:r>
        <w:rPr>
          <w:rFonts w:hint="eastAsia" w:ascii="黑体" w:hAnsi="黑体" w:eastAsia="黑体"/>
          <w:sz w:val="32"/>
          <w:szCs w:val="32"/>
        </w:rPr>
        <w:t>收</w:t>
      </w:r>
      <w:r>
        <w:rPr>
          <w:rStyle w:val="25"/>
          <w:rFonts w:hint="eastAsia" w:ascii="黑体" w:hAnsi="黑体" w:eastAsia="黑体"/>
          <w:b w:val="0"/>
        </w:rPr>
        <w:t>入决算情况说明</w:t>
      </w:r>
      <w:bookmarkEnd w:id="11"/>
      <w:bookmarkEnd w:id="1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年本年收入合计827.54万元，其中：一般公共预算财政拨款收入713.23万元，占</w:t>
      </w:r>
      <w:r>
        <w:rPr>
          <w:rFonts w:hint="eastAsia" w:ascii="仿宋" w:hAnsi="仿宋" w:eastAsia="仿宋"/>
          <w:sz w:val="32"/>
          <w:szCs w:val="32"/>
          <w:lang w:val="en-US" w:eastAsia="zh-CN"/>
        </w:rPr>
        <w:t>86</w:t>
      </w:r>
      <w:r>
        <w:rPr>
          <w:rFonts w:hint="eastAsia" w:ascii="仿宋" w:hAnsi="仿宋" w:eastAsia="仿宋"/>
          <w:sz w:val="32"/>
          <w:szCs w:val="32"/>
        </w:rPr>
        <w:t>.</w:t>
      </w:r>
      <w:r>
        <w:rPr>
          <w:rFonts w:hint="eastAsia" w:ascii="仿宋" w:hAnsi="仿宋" w:eastAsia="仿宋"/>
          <w:sz w:val="32"/>
          <w:szCs w:val="32"/>
          <w:lang w:val="en-US" w:eastAsia="zh-CN"/>
        </w:rPr>
        <w:t>19</w:t>
      </w:r>
      <w:r>
        <w:rPr>
          <w:rFonts w:ascii="仿宋" w:hAnsi="仿宋" w:eastAsia="仿宋"/>
          <w:sz w:val="32"/>
          <w:szCs w:val="32"/>
        </w:rPr>
        <w:t>%</w:t>
      </w:r>
      <w:r>
        <w:rPr>
          <w:rFonts w:hint="eastAsia" w:ascii="仿宋" w:hAnsi="仿宋" w:eastAsia="仿宋"/>
          <w:sz w:val="32"/>
          <w:szCs w:val="32"/>
        </w:rPr>
        <w:t>；政府性基金预算财政拨款收入0.32万元，占0.</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；其他收入113.99万元，占</w:t>
      </w:r>
      <w:r>
        <w:rPr>
          <w:rFonts w:hint="eastAsia" w:ascii="仿宋" w:hAnsi="仿宋" w:eastAsia="仿宋"/>
          <w:sz w:val="32"/>
          <w:szCs w:val="32"/>
          <w:lang w:val="en-US" w:eastAsia="zh-CN"/>
        </w:rPr>
        <w:t>13</w:t>
      </w:r>
      <w:r>
        <w:rPr>
          <w:rFonts w:hint="eastAsia" w:ascii="仿宋" w:hAnsi="仿宋" w:eastAsia="仿宋"/>
          <w:sz w:val="32"/>
          <w:szCs w:val="32"/>
        </w:rPr>
        <w:t>.</w:t>
      </w:r>
      <w:r>
        <w:rPr>
          <w:rFonts w:hint="eastAsia" w:ascii="仿宋" w:hAnsi="仿宋" w:eastAsia="仿宋"/>
          <w:sz w:val="32"/>
          <w:szCs w:val="32"/>
          <w:lang w:val="en-US" w:eastAsia="zh-CN"/>
        </w:rPr>
        <w:t>77</w:t>
      </w:r>
      <w:r>
        <w:rPr>
          <w:rFonts w:ascii="仿宋" w:hAnsi="仿宋" w:eastAsia="仿宋"/>
          <w:sz w:val="32"/>
          <w:szCs w:val="32"/>
        </w:rPr>
        <w:t>%</w:t>
      </w:r>
      <w:r>
        <w:rPr>
          <w:rFonts w:hint="eastAsia" w:ascii="仿宋" w:hAnsi="仿宋" w:eastAsia="仿宋"/>
          <w:sz w:val="32"/>
          <w:szCs w:val="32"/>
        </w:rPr>
        <w:t>。</w:t>
      </w:r>
    </w:p>
    <w:p>
      <w:pPr>
        <w:pStyle w:val="5"/>
        <w:spacing w:before="93"/>
        <w:rPr>
          <w:rFonts w:ascii="仿宋" w:hAnsi="仿宋" w:eastAsia="仿宋"/>
          <w:sz w:val="32"/>
          <w:szCs w:val="32"/>
        </w:rPr>
      </w:pPr>
    </w:p>
    <w:p>
      <w:pPr>
        <w:pStyle w:val="5"/>
        <w:spacing w:before="93"/>
        <w:rPr>
          <w:rFonts w:ascii="仿宋" w:hAnsi="仿宋" w:eastAsia="仿宋"/>
          <w:sz w:val="32"/>
          <w:szCs w:val="32"/>
        </w:rPr>
      </w:pPr>
      <w:r>
        <w:drawing>
          <wp:inline distT="0" distB="0" distL="114300" distR="114300">
            <wp:extent cx="5102225" cy="2511425"/>
            <wp:effectExtent l="4445" t="4445" r="11430" b="1143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（图2：收入决算结构图）（饼状图）</w:t>
      </w:r>
    </w:p>
    <w:p>
      <w:pPr>
        <w:pStyle w:val="5"/>
        <w:spacing w:before="93"/>
      </w:pPr>
    </w:p>
    <w:p>
      <w:pPr>
        <w:pStyle w:val="23"/>
        <w:numPr>
          <w:ilvl w:val="0"/>
          <w:numId w:val="2"/>
        </w:numPr>
        <w:spacing w:line="600" w:lineRule="exact"/>
        <w:ind w:firstLineChars="0"/>
        <w:outlineLvl w:val="1"/>
        <w:rPr>
          <w:rStyle w:val="25"/>
          <w:rFonts w:ascii="黑体" w:hAnsi="黑体" w:eastAsia="黑体"/>
          <w:b w:val="0"/>
        </w:rPr>
      </w:pPr>
      <w:bookmarkStart w:id="13" w:name="_Toc15396605"/>
      <w:bookmarkStart w:id="14" w:name="_Toc15377207"/>
      <w:r>
        <w:rPr>
          <w:rFonts w:hint="eastAsia" w:ascii="黑体" w:hAnsi="黑体" w:eastAsia="黑体"/>
          <w:sz w:val="32"/>
          <w:szCs w:val="32"/>
        </w:rPr>
        <w:t>支</w:t>
      </w:r>
      <w:r>
        <w:rPr>
          <w:rStyle w:val="25"/>
          <w:rFonts w:hint="eastAsia" w:ascii="黑体" w:hAnsi="黑体" w:eastAsia="黑体"/>
          <w:b w:val="0"/>
        </w:rPr>
        <w:t>出决算情况说明</w:t>
      </w:r>
      <w:bookmarkEnd w:id="13"/>
      <w:bookmarkEnd w:id="1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年本年支出合计823.37万元，其中：基本支出669.59万元，占8</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32</w:t>
      </w:r>
      <w:r>
        <w:rPr>
          <w:rFonts w:ascii="仿宋" w:hAnsi="仿宋" w:eastAsia="仿宋"/>
          <w:sz w:val="32"/>
          <w:szCs w:val="32"/>
        </w:rPr>
        <w:t>%</w:t>
      </w:r>
      <w:r>
        <w:rPr>
          <w:rFonts w:hint="eastAsia" w:ascii="仿宋" w:hAnsi="仿宋" w:eastAsia="仿宋"/>
          <w:sz w:val="32"/>
          <w:szCs w:val="32"/>
        </w:rPr>
        <w:t>；项目支出153.79万元，占1</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68</w:t>
      </w:r>
      <w:r>
        <w:rPr>
          <w:rFonts w:ascii="仿宋" w:hAnsi="仿宋" w:eastAsia="仿宋"/>
          <w:sz w:val="32"/>
          <w:szCs w:val="32"/>
        </w:rPr>
        <w:t>%</w:t>
      </w:r>
      <w:r>
        <w:rPr>
          <w:rFonts w:hint="eastAsia" w:ascii="仿宋" w:hAnsi="仿宋" w:eastAsia="仿宋"/>
          <w:sz w:val="32"/>
          <w:szCs w:val="32"/>
        </w:rPr>
        <w:t>。</w:t>
      </w:r>
    </w:p>
    <w:p>
      <w:pPr>
        <w:pStyle w:val="5"/>
        <w:spacing w:before="93"/>
      </w:pPr>
      <w:r>
        <w:drawing>
          <wp:inline distT="0" distB="0" distL="114300" distR="114300">
            <wp:extent cx="4890770" cy="2854325"/>
            <wp:effectExtent l="4445" t="4445" r="6985" b="1143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（图3：支出决算结构图）（饼状图）</w:t>
      </w:r>
    </w:p>
    <w:p>
      <w:pPr>
        <w:pStyle w:val="5"/>
        <w:spacing w:before="93"/>
      </w:pPr>
    </w:p>
    <w:p>
      <w:pPr>
        <w:spacing w:line="600" w:lineRule="exact"/>
        <w:ind w:firstLine="640" w:firstLineChars="200"/>
        <w:outlineLvl w:val="1"/>
        <w:rPr>
          <w:rStyle w:val="25"/>
          <w:rFonts w:ascii="黑体" w:hAnsi="黑体" w:eastAsia="黑体"/>
          <w:b w:val="0"/>
        </w:rPr>
      </w:pPr>
      <w:bookmarkStart w:id="15" w:name="_Toc15396606"/>
      <w:bookmarkStart w:id="16"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15"/>
      <w:bookmarkEnd w:id="1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年财政拨款收、支总计713.55万元。与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年相比，财政拨款收、支总计各</w:t>
      </w:r>
      <w:r>
        <w:rPr>
          <w:rFonts w:hint="eastAsia" w:ascii="仿宋" w:hAnsi="仿宋" w:eastAsia="仿宋"/>
          <w:sz w:val="32"/>
          <w:szCs w:val="32"/>
          <w:lang w:val="en-US" w:eastAsia="zh-CN"/>
        </w:rPr>
        <w:t>减少89.69</w:t>
      </w:r>
      <w:r>
        <w:rPr>
          <w:rFonts w:hint="eastAsia" w:ascii="仿宋" w:hAnsi="仿宋" w:eastAsia="仿宋"/>
          <w:sz w:val="32"/>
          <w:szCs w:val="32"/>
        </w:rPr>
        <w:t>万元，</w:t>
      </w:r>
      <w:r>
        <w:rPr>
          <w:rFonts w:hint="eastAsia" w:ascii="仿宋" w:hAnsi="仿宋" w:eastAsia="仿宋"/>
          <w:sz w:val="32"/>
          <w:szCs w:val="32"/>
          <w:lang w:val="en-US" w:eastAsia="zh-CN"/>
        </w:rPr>
        <w:t>下降</w:t>
      </w:r>
      <w:r>
        <w:rPr>
          <w:rFonts w:hint="eastAsia" w:ascii="仿宋" w:hAnsi="仿宋" w:eastAsia="仿宋"/>
          <w:sz w:val="32"/>
          <w:szCs w:val="32"/>
        </w:rPr>
        <w:t>1</w:t>
      </w:r>
      <w:r>
        <w:rPr>
          <w:rFonts w:hint="eastAsia" w:ascii="仿宋" w:hAnsi="仿宋" w:eastAsia="仿宋"/>
          <w:sz w:val="32"/>
          <w:szCs w:val="32"/>
          <w:lang w:val="en-US" w:eastAsia="zh-CN"/>
        </w:rPr>
        <w:t>1.17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w:t>
      </w:r>
      <w:r>
        <w:rPr>
          <w:rFonts w:hint="eastAsia" w:ascii="仿宋" w:hAnsi="仿宋" w:eastAsia="仿宋"/>
          <w:sz w:val="32"/>
          <w:szCs w:val="32"/>
        </w:rPr>
        <w:t>经费</w:t>
      </w:r>
      <w:r>
        <w:rPr>
          <w:rFonts w:hint="eastAsia" w:ascii="仿宋" w:hAnsi="仿宋" w:eastAsia="仿宋"/>
          <w:sz w:val="32"/>
          <w:szCs w:val="32"/>
          <w:lang w:val="en-US" w:eastAsia="zh-CN"/>
        </w:rPr>
        <w:t>减少</w:t>
      </w:r>
      <w:r>
        <w:rPr>
          <w:rFonts w:hint="eastAsia" w:ascii="仿宋" w:hAnsi="仿宋" w:eastAsia="仿宋"/>
          <w:sz w:val="32"/>
          <w:szCs w:val="32"/>
        </w:rPr>
        <w:t>。</w:t>
      </w:r>
    </w:p>
    <w:p>
      <w:pPr>
        <w:pStyle w:val="5"/>
        <w:spacing w:before="93"/>
        <w:rPr>
          <w:rFonts w:ascii="仿宋" w:hAnsi="仿宋" w:eastAsia="仿宋"/>
          <w:sz w:val="32"/>
          <w:szCs w:val="32"/>
        </w:rPr>
      </w:pPr>
      <w:r>
        <w:drawing>
          <wp:inline distT="0" distB="0" distL="114300" distR="114300">
            <wp:extent cx="5054600" cy="2933700"/>
            <wp:effectExtent l="5080" t="4445" r="7620"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17" w:name="_Toc15396607"/>
      <w:bookmarkStart w:id="18"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17"/>
      <w:bookmarkEnd w:id="18"/>
    </w:p>
    <w:p>
      <w:pPr>
        <w:spacing w:line="600" w:lineRule="exact"/>
        <w:ind w:firstLine="643" w:firstLineChars="200"/>
        <w:outlineLvl w:val="2"/>
        <w:rPr>
          <w:rFonts w:ascii="仿宋" w:hAnsi="仿宋" w:eastAsia="仿宋"/>
          <w:b/>
          <w:sz w:val="32"/>
          <w:szCs w:val="32"/>
        </w:rPr>
      </w:pPr>
      <w:bookmarkStart w:id="19" w:name="_Toc15377210"/>
      <w:r>
        <w:rPr>
          <w:rFonts w:hint="eastAsia" w:ascii="仿宋" w:hAnsi="仿宋" w:eastAsia="仿宋"/>
          <w:b/>
          <w:sz w:val="32"/>
          <w:szCs w:val="32"/>
        </w:rPr>
        <w:t>（一）一般公共预算财政拨款支出决算总体情况</w:t>
      </w:r>
      <w:bookmarkEnd w:id="1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年一般公共预算财政拨款支出713.</w:t>
      </w:r>
      <w:r>
        <w:rPr>
          <w:rFonts w:hint="eastAsia" w:ascii="仿宋" w:hAnsi="仿宋" w:eastAsia="仿宋"/>
          <w:sz w:val="32"/>
          <w:szCs w:val="32"/>
          <w:lang w:val="en-US" w:eastAsia="zh-CN"/>
        </w:rPr>
        <w:t>23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年相比，一般公共预算财政拨款支出</w:t>
      </w:r>
      <w:r>
        <w:rPr>
          <w:rFonts w:hint="eastAsia" w:ascii="仿宋" w:hAnsi="仿宋" w:eastAsia="仿宋"/>
          <w:sz w:val="32"/>
          <w:szCs w:val="32"/>
          <w:lang w:val="en-US" w:eastAsia="zh-CN"/>
        </w:rPr>
        <w:t>减少86.75</w:t>
      </w:r>
      <w:r>
        <w:rPr>
          <w:rFonts w:hint="eastAsia" w:ascii="仿宋" w:hAnsi="仿宋" w:eastAsia="仿宋"/>
          <w:sz w:val="32"/>
          <w:szCs w:val="32"/>
        </w:rPr>
        <w:t>万元，</w:t>
      </w:r>
      <w:r>
        <w:rPr>
          <w:rFonts w:hint="eastAsia" w:ascii="仿宋" w:hAnsi="仿宋" w:eastAsia="仿宋"/>
          <w:sz w:val="32"/>
          <w:szCs w:val="32"/>
          <w:lang w:val="en-US" w:eastAsia="zh-CN"/>
        </w:rPr>
        <w:t>降低</w:t>
      </w:r>
      <w:r>
        <w:rPr>
          <w:rFonts w:hint="eastAsia" w:ascii="仿宋" w:hAnsi="仿宋" w:eastAsia="仿宋"/>
          <w:sz w:val="32"/>
          <w:szCs w:val="32"/>
        </w:rPr>
        <w:t>1</w:t>
      </w:r>
      <w:r>
        <w:rPr>
          <w:rFonts w:hint="eastAsia" w:ascii="仿宋" w:hAnsi="仿宋" w:eastAsia="仿宋"/>
          <w:sz w:val="32"/>
          <w:szCs w:val="32"/>
          <w:lang w:val="en-US" w:eastAsia="zh-CN"/>
        </w:rPr>
        <w:t>2.16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w:t>
      </w:r>
      <w:r>
        <w:rPr>
          <w:rFonts w:hint="eastAsia" w:ascii="仿宋" w:hAnsi="仿宋" w:eastAsia="仿宋"/>
          <w:sz w:val="32"/>
          <w:szCs w:val="32"/>
        </w:rPr>
        <w:t>经费</w:t>
      </w:r>
      <w:r>
        <w:rPr>
          <w:rFonts w:hint="eastAsia" w:ascii="仿宋" w:hAnsi="仿宋" w:eastAsia="仿宋"/>
          <w:sz w:val="32"/>
          <w:szCs w:val="32"/>
          <w:lang w:val="en-US" w:eastAsia="zh-CN"/>
        </w:rPr>
        <w:t>减少</w:t>
      </w:r>
      <w:r>
        <w:rPr>
          <w:rFonts w:hint="eastAsia" w:ascii="仿宋" w:hAnsi="仿宋" w:eastAsia="仿宋"/>
          <w:sz w:val="32"/>
          <w:szCs w:val="32"/>
        </w:rPr>
        <w:t>。</w:t>
      </w:r>
    </w:p>
    <w:p>
      <w:pPr>
        <w:pStyle w:val="5"/>
        <w:tabs>
          <w:tab w:val="left" w:pos="3360"/>
        </w:tabs>
        <w:spacing w:before="93"/>
        <w:rPr>
          <w:rFonts w:ascii="仿宋" w:hAnsi="仿宋" w:eastAsia="仿宋"/>
          <w:sz w:val="32"/>
          <w:szCs w:val="32"/>
        </w:rPr>
      </w:pPr>
      <w:r>
        <w:drawing>
          <wp:inline distT="0" distB="0" distL="114300" distR="114300">
            <wp:extent cx="5271770" cy="2743835"/>
            <wp:effectExtent l="4445" t="4445" r="6985" b="762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0" w:name="_Toc15377211"/>
      <w:r>
        <w:rPr>
          <w:rFonts w:hint="eastAsia" w:ascii="仿宋" w:hAnsi="仿宋" w:eastAsia="仿宋"/>
          <w:b/>
          <w:sz w:val="32"/>
          <w:szCs w:val="32"/>
        </w:rPr>
        <w:t>（二）一般公共预算财政拨款支出决算结构情况</w:t>
      </w:r>
      <w:bookmarkEnd w:id="2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年一般公共预算财政拨款支出7</w:t>
      </w:r>
      <w:r>
        <w:rPr>
          <w:rFonts w:hint="eastAsia" w:ascii="仿宋" w:hAnsi="仿宋" w:eastAsia="仿宋"/>
          <w:sz w:val="32"/>
          <w:szCs w:val="32"/>
          <w:lang w:val="en-US" w:eastAsia="zh-CN"/>
        </w:rPr>
        <w:t>13.23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530.4</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74.37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98.95万元，占</w:t>
      </w:r>
      <w:r>
        <w:rPr>
          <w:rFonts w:hint="eastAsia" w:ascii="仿宋" w:hAnsi="仿宋" w:eastAsia="仿宋"/>
          <w:sz w:val="32"/>
          <w:szCs w:val="32"/>
          <w:lang w:val="en-US" w:eastAsia="zh-CN"/>
        </w:rPr>
        <w:t>13.87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卫生健康支出34.32</w:t>
      </w:r>
      <w:r>
        <w:rPr>
          <w:rFonts w:hint="eastAsia" w:ascii="仿宋" w:hAnsi="仿宋" w:eastAsia="仿宋"/>
          <w:sz w:val="32"/>
          <w:szCs w:val="32"/>
        </w:rPr>
        <w:t>万元，占4.</w:t>
      </w:r>
      <w:r>
        <w:rPr>
          <w:rFonts w:hint="eastAsia" w:ascii="仿宋" w:hAnsi="仿宋" w:eastAsia="仿宋"/>
          <w:sz w:val="32"/>
          <w:szCs w:val="32"/>
          <w:lang w:val="en-US" w:eastAsia="zh-CN"/>
        </w:rPr>
        <w:t>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49.56万元，占6.</w:t>
      </w:r>
      <w:r>
        <w:rPr>
          <w:rFonts w:hint="eastAsia" w:ascii="仿宋" w:hAnsi="仿宋" w:eastAsia="仿宋"/>
          <w:sz w:val="32"/>
          <w:szCs w:val="32"/>
          <w:lang w:val="en-US" w:eastAsia="zh-CN"/>
        </w:rPr>
        <w:t>95</w:t>
      </w:r>
      <w:r>
        <w:rPr>
          <w:rFonts w:ascii="仿宋" w:hAnsi="仿宋" w:eastAsia="仿宋"/>
          <w:sz w:val="32"/>
          <w:szCs w:val="32"/>
        </w:rPr>
        <w:t>%</w:t>
      </w:r>
      <w:r>
        <w:rPr>
          <w:rFonts w:hint="eastAsia" w:ascii="仿宋" w:hAnsi="仿宋" w:eastAsia="仿宋"/>
          <w:sz w:val="32"/>
          <w:szCs w:val="32"/>
        </w:rPr>
        <w:t>。</w:t>
      </w:r>
    </w:p>
    <w:p>
      <w:pPr>
        <w:pStyle w:val="5"/>
        <w:spacing w:before="93"/>
        <w:rPr>
          <w:rFonts w:ascii="仿宋" w:hAnsi="仿宋" w:eastAsia="仿宋"/>
          <w:b/>
          <w:sz w:val="32"/>
          <w:szCs w:val="32"/>
        </w:rPr>
      </w:pPr>
      <w:r>
        <w:drawing>
          <wp:inline distT="0" distB="0" distL="114300" distR="114300">
            <wp:extent cx="4981575" cy="2806700"/>
            <wp:effectExtent l="4445" t="4445" r="5080" b="82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21" w:name="_Toc15377212"/>
      <w:r>
        <w:rPr>
          <w:rFonts w:hint="eastAsia" w:ascii="仿宋" w:hAnsi="仿宋" w:eastAsia="仿宋"/>
          <w:b/>
          <w:sz w:val="32"/>
          <w:szCs w:val="32"/>
        </w:rPr>
        <w:t>（三）一般公共预算财政拨款支出决算具体情况</w:t>
      </w:r>
      <w:bookmarkEnd w:id="21"/>
    </w:p>
    <w:p>
      <w:pPr>
        <w:spacing w:line="600" w:lineRule="exact"/>
        <w:ind w:firstLine="643" w:firstLineChars="200"/>
        <w:outlineLvl w:val="2"/>
        <w:rPr>
          <w:rFonts w:ascii="仿宋" w:hAnsi="仿宋" w:eastAsia="仿宋"/>
          <w:sz w:val="32"/>
          <w:szCs w:val="32"/>
        </w:rPr>
      </w:pPr>
      <w:bookmarkStart w:id="22" w:name="_Toc15377213"/>
      <w:bookmarkStart w:id="23" w:name="_Toc15378460"/>
      <w:bookmarkStart w:id="24" w:name="_Toc15377444"/>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ascii="仿宋" w:hAnsi="仿宋" w:eastAsia="仿宋"/>
          <w:sz w:val="32"/>
          <w:szCs w:val="32"/>
        </w:rPr>
        <w:t>713.23万元，</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22"/>
      <w:bookmarkEnd w:id="23"/>
      <w:bookmarkEnd w:id="24"/>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教育支出（类）普通教育（款）小学教育（项）</w:t>
      </w:r>
      <w:r>
        <w:rPr>
          <w:rStyle w:val="14"/>
          <w:rFonts w:ascii="仿宋" w:hAnsi="仿宋" w:eastAsia="仿宋"/>
          <w:bCs/>
          <w:sz w:val="32"/>
          <w:szCs w:val="32"/>
        </w:rPr>
        <w:t>:</w:t>
      </w:r>
      <w:r>
        <w:rPr>
          <w:rStyle w:val="14"/>
          <w:rFonts w:hint="eastAsia" w:ascii="仿宋" w:hAnsi="仿宋" w:eastAsia="仿宋"/>
          <w:b w:val="0"/>
          <w:bCs/>
          <w:sz w:val="32"/>
          <w:szCs w:val="32"/>
        </w:rPr>
        <w:t>支出决算为530.40万元，完成预算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社会保障和就业支出（类）行政事业单位养老支出（款）事业单位离退休（项）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支出决算为3.38万元，完成预算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社会保障和就业支出（类）行政事业单位养老支出（款）机关事业单位基本养老保险缴费支出（项）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支出决算为60.40万元，完成预算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社会保障和就业支出（类）行政事业单位养老支出（款）机关事业单位职业年金缴费支出（项）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支出决算为11.86万元，完成预算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5</w:t>
      </w:r>
      <w:r>
        <w:rPr>
          <w:rStyle w:val="14"/>
          <w:rFonts w:ascii="仿宋" w:hAnsi="仿宋" w:eastAsia="仿宋"/>
          <w:bCs/>
          <w:sz w:val="32"/>
          <w:szCs w:val="32"/>
        </w:rPr>
        <w:t>.</w:t>
      </w:r>
      <w:r>
        <w:rPr>
          <w:rStyle w:val="14"/>
          <w:rFonts w:hint="eastAsia" w:ascii="仿宋" w:hAnsi="仿宋" w:eastAsia="仿宋"/>
          <w:bCs/>
          <w:sz w:val="32"/>
          <w:szCs w:val="32"/>
        </w:rPr>
        <w:t>社会保障和就业支出（类）抚恤（款）死亡抚恤（项）</w:t>
      </w:r>
      <w:r>
        <w:rPr>
          <w:rStyle w:val="14"/>
          <w:rFonts w:ascii="仿宋" w:hAnsi="仿宋" w:eastAsia="仿宋"/>
          <w:bCs/>
          <w:sz w:val="32"/>
          <w:szCs w:val="32"/>
        </w:rPr>
        <w:t>:</w:t>
      </w:r>
      <w:r>
        <w:rPr>
          <w:rStyle w:val="14"/>
          <w:rFonts w:hint="eastAsia" w:ascii="仿宋" w:hAnsi="仿宋" w:eastAsia="仿宋"/>
          <w:b w:val="0"/>
          <w:bCs/>
          <w:sz w:val="32"/>
          <w:szCs w:val="32"/>
        </w:rPr>
        <w:t>支出决算为10.47万元，完成预算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6</w:t>
      </w:r>
      <w:r>
        <w:rPr>
          <w:rStyle w:val="14"/>
          <w:rFonts w:ascii="仿宋" w:hAnsi="仿宋" w:eastAsia="仿宋"/>
          <w:bCs/>
          <w:sz w:val="32"/>
          <w:szCs w:val="32"/>
        </w:rPr>
        <w:t>.</w:t>
      </w:r>
      <w:r>
        <w:rPr>
          <w:rStyle w:val="14"/>
          <w:rFonts w:hint="eastAsia" w:ascii="仿宋" w:hAnsi="仿宋" w:eastAsia="仿宋"/>
          <w:bCs/>
          <w:sz w:val="32"/>
          <w:szCs w:val="32"/>
        </w:rPr>
        <w:t>社会保障和就业支出（类）残疾人事业（款）残疾人就业（项）</w:t>
      </w:r>
      <w:r>
        <w:rPr>
          <w:rStyle w:val="14"/>
          <w:rFonts w:ascii="仿宋" w:hAnsi="仿宋" w:eastAsia="仿宋"/>
          <w:bCs/>
          <w:sz w:val="32"/>
          <w:szCs w:val="32"/>
        </w:rPr>
        <w:t>:</w:t>
      </w:r>
      <w:r>
        <w:rPr>
          <w:rStyle w:val="14"/>
          <w:rFonts w:hint="eastAsia" w:ascii="仿宋" w:hAnsi="仿宋" w:eastAsia="仿宋"/>
          <w:b w:val="0"/>
          <w:bCs/>
          <w:sz w:val="32"/>
          <w:szCs w:val="32"/>
        </w:rPr>
        <w:t>支出决算为4.</w:t>
      </w:r>
      <w:r>
        <w:rPr>
          <w:rStyle w:val="14"/>
          <w:rFonts w:hint="eastAsia" w:ascii="仿宋" w:hAnsi="仿宋" w:eastAsia="仿宋"/>
          <w:b w:val="0"/>
          <w:bCs/>
          <w:sz w:val="32"/>
          <w:szCs w:val="32"/>
          <w:lang w:val="en-US" w:eastAsia="zh-CN"/>
        </w:rPr>
        <w:t>67</w:t>
      </w:r>
      <w:r>
        <w:rPr>
          <w:rStyle w:val="14"/>
          <w:rFonts w:hint="eastAsia" w:ascii="仿宋" w:hAnsi="仿宋" w:eastAsia="仿宋"/>
          <w:b w:val="0"/>
          <w:bCs/>
          <w:sz w:val="32"/>
          <w:szCs w:val="32"/>
        </w:rPr>
        <w:t>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7</w:t>
      </w:r>
      <w:r>
        <w:rPr>
          <w:rStyle w:val="14"/>
          <w:rFonts w:ascii="仿宋" w:hAnsi="仿宋" w:eastAsia="仿宋"/>
          <w:bCs/>
          <w:sz w:val="32"/>
          <w:szCs w:val="32"/>
        </w:rPr>
        <w:t>.</w:t>
      </w:r>
      <w:r>
        <w:rPr>
          <w:rStyle w:val="14"/>
          <w:rFonts w:hint="eastAsia" w:ascii="仿宋" w:hAnsi="仿宋" w:eastAsia="仿宋"/>
          <w:bCs/>
          <w:sz w:val="32"/>
          <w:szCs w:val="32"/>
        </w:rPr>
        <w:t>社会保障和就业支出（类）其他社会保障和就业支出（款）其他社会保障和就业支出（项）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支出决算为8.17万元，完成预算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8</w:t>
      </w:r>
      <w:r>
        <w:rPr>
          <w:rStyle w:val="14"/>
          <w:rFonts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支出决算为23.34万元，完成预算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9</w:t>
      </w:r>
      <w:r>
        <w:rPr>
          <w:rStyle w:val="14"/>
          <w:rFonts w:ascii="仿宋" w:hAnsi="仿宋" w:eastAsia="仿宋"/>
          <w:bCs/>
          <w:sz w:val="32"/>
          <w:szCs w:val="32"/>
        </w:rPr>
        <w:t>.</w:t>
      </w:r>
      <w:r>
        <w:rPr>
          <w:rFonts w:hint="eastAsia" w:ascii="仿宋" w:hAnsi="仿宋" w:eastAsia="仿宋"/>
          <w:b/>
          <w:bCs/>
          <w:sz w:val="32"/>
          <w:szCs w:val="32"/>
        </w:rPr>
        <w:t>卫生健康支出</w:t>
      </w:r>
      <w:r>
        <w:rPr>
          <w:rStyle w:val="14"/>
          <w:rFonts w:hint="eastAsia" w:ascii="仿宋" w:hAnsi="仿宋" w:eastAsia="仿宋"/>
          <w:bCs/>
          <w:sz w:val="32"/>
          <w:szCs w:val="32"/>
        </w:rPr>
        <w:t>（类）行政事业单位医疗（款）公务员医疗补助（项）</w:t>
      </w:r>
      <w:r>
        <w:rPr>
          <w:rStyle w:val="14"/>
          <w:rFonts w:ascii="仿宋" w:hAnsi="仿宋" w:eastAsia="仿宋"/>
          <w:bCs/>
          <w:sz w:val="32"/>
          <w:szCs w:val="32"/>
        </w:rPr>
        <w:t>:</w:t>
      </w:r>
      <w:r>
        <w:rPr>
          <w:rStyle w:val="14"/>
          <w:rFonts w:hint="eastAsia" w:ascii="仿宋" w:hAnsi="仿宋" w:eastAsia="仿宋"/>
          <w:b w:val="0"/>
          <w:bCs/>
          <w:sz w:val="32"/>
          <w:szCs w:val="32"/>
        </w:rPr>
        <w:t>支出决算为10.98万元，完成预算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。主要是</w:t>
      </w:r>
      <w:r>
        <w:rPr>
          <w:rStyle w:val="14"/>
          <w:rFonts w:hint="eastAsia" w:ascii="仿宋" w:hAnsi="仿宋" w:eastAsia="仿宋"/>
          <w:b w:val="0"/>
          <w:bCs/>
          <w:color w:val="000000"/>
          <w:sz w:val="32"/>
          <w:szCs w:val="32"/>
        </w:rPr>
        <w:t>用于单位人员医疗补助</w:t>
      </w:r>
      <w:r>
        <w:rPr>
          <w:rStyle w:val="14"/>
          <w:rFonts w:hint="eastAsia" w:ascii="仿宋" w:hAnsi="仿宋" w:eastAsia="仿宋"/>
          <w:b w:val="0"/>
          <w:bCs/>
          <w:sz w:val="32"/>
          <w:szCs w:val="32"/>
        </w:rPr>
        <w:t>支出。</w:t>
      </w:r>
    </w:p>
    <w:p>
      <w:pPr>
        <w:spacing w:line="600" w:lineRule="exact"/>
        <w:ind w:firstLine="643" w:firstLineChars="200"/>
        <w:rPr>
          <w:rFonts w:ascii="仿宋" w:hAnsi="仿宋" w:eastAsia="仿宋"/>
          <w:b/>
          <w:sz w:val="32"/>
          <w:szCs w:val="32"/>
        </w:rPr>
      </w:pPr>
      <w:r>
        <w:rPr>
          <w:rStyle w:val="14"/>
          <w:rFonts w:hint="eastAsia" w:ascii="仿宋" w:hAnsi="仿宋" w:eastAsia="仿宋" w:cstheme="minorBidi"/>
          <w:bCs/>
          <w:sz w:val="32"/>
          <w:szCs w:val="32"/>
          <w:lang w:val="en-US" w:eastAsia="zh-CN"/>
        </w:rPr>
        <w:t>10</w:t>
      </w:r>
      <w:r>
        <w:rPr>
          <w:rStyle w:val="14"/>
          <w:rFonts w:ascii="仿宋" w:hAnsi="仿宋" w:eastAsia="仿宋"/>
          <w:bCs/>
          <w:sz w:val="32"/>
          <w:szCs w:val="32"/>
        </w:rPr>
        <w:t>.</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支出决算为49.56万元，完成预算</w:t>
      </w:r>
      <w:r>
        <w:rPr>
          <w:rStyle w:val="14"/>
          <w:rFonts w:hint="eastAsia" w:ascii="仿宋" w:hAnsi="仿宋" w:eastAsia="仿宋"/>
          <w:bCs/>
          <w:sz w:val="32"/>
          <w:szCs w:val="32"/>
        </w:rPr>
        <w:t>100</w:t>
      </w:r>
      <w:r>
        <w:rPr>
          <w:rStyle w:val="14"/>
          <w:rFonts w:ascii="仿宋" w:hAnsi="仿宋" w:eastAsia="仿宋"/>
          <w:bCs/>
          <w:sz w:val="32"/>
          <w:szCs w:val="32"/>
        </w:rPr>
        <w:t>%</w:t>
      </w:r>
      <w:r>
        <w:rPr>
          <w:rStyle w:val="14"/>
          <w:rFonts w:hint="eastAsia" w:ascii="仿宋" w:hAnsi="仿宋" w:eastAsia="仿宋"/>
          <w:b w:val="0"/>
          <w:bCs/>
          <w:sz w:val="32"/>
          <w:szCs w:val="32"/>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25" w:name="_Toc15377214"/>
      <w:bookmarkStart w:id="2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25"/>
      <w:bookmarkEnd w:id="26"/>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年一般公共预算财政拨款基本支出669.35万元，其中：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人员经费642.48万元，主要包括：基本工资</w:t>
      </w:r>
      <w:r>
        <w:rPr>
          <w:rFonts w:hint="eastAsia" w:ascii="仿宋" w:hAnsi="仿宋" w:eastAsia="仿宋"/>
          <w:sz w:val="32"/>
          <w:szCs w:val="32"/>
          <w:lang w:eastAsia="zh-CN"/>
        </w:rPr>
        <w:t>、</w:t>
      </w:r>
      <w:r>
        <w:rPr>
          <w:rFonts w:hint="eastAsia" w:ascii="仿宋" w:hAnsi="仿宋" w:eastAsia="仿宋"/>
          <w:sz w:val="32"/>
          <w:szCs w:val="32"/>
        </w:rPr>
        <w:t>津贴补贴</w:t>
      </w:r>
      <w:r>
        <w:rPr>
          <w:rFonts w:hint="eastAsia" w:ascii="仿宋" w:hAnsi="仿宋" w:eastAsia="仿宋"/>
          <w:sz w:val="32"/>
          <w:szCs w:val="32"/>
          <w:lang w:eastAsia="zh-CN"/>
        </w:rPr>
        <w:t>、</w:t>
      </w:r>
      <w:r>
        <w:rPr>
          <w:rFonts w:hint="eastAsia" w:ascii="仿宋" w:hAnsi="仿宋" w:eastAsia="仿宋"/>
          <w:sz w:val="32"/>
          <w:szCs w:val="32"/>
        </w:rPr>
        <w:t>绩效工资</w:t>
      </w:r>
      <w:r>
        <w:rPr>
          <w:rFonts w:hint="eastAsia" w:ascii="仿宋" w:hAnsi="仿宋" w:eastAsia="仿宋"/>
          <w:sz w:val="32"/>
          <w:szCs w:val="32"/>
          <w:lang w:eastAsia="zh-CN"/>
        </w:rPr>
        <w:t>、</w:t>
      </w:r>
      <w:r>
        <w:rPr>
          <w:rFonts w:hint="eastAsia" w:ascii="仿宋" w:hAnsi="仿宋" w:eastAsia="仿宋"/>
          <w:sz w:val="32"/>
          <w:szCs w:val="32"/>
        </w:rPr>
        <w:t>机关事业单位基本养老保险缴费</w:t>
      </w:r>
      <w:r>
        <w:rPr>
          <w:rFonts w:hint="eastAsia" w:ascii="仿宋" w:hAnsi="仿宋" w:eastAsia="仿宋"/>
          <w:sz w:val="32"/>
          <w:szCs w:val="32"/>
          <w:lang w:eastAsia="zh-CN"/>
        </w:rPr>
        <w:t>、</w:t>
      </w:r>
      <w:r>
        <w:rPr>
          <w:rFonts w:hint="eastAsia" w:ascii="仿宋" w:hAnsi="仿宋" w:eastAsia="仿宋"/>
          <w:sz w:val="32"/>
          <w:szCs w:val="32"/>
        </w:rPr>
        <w:t>职业年金缴费</w:t>
      </w:r>
      <w:r>
        <w:rPr>
          <w:rFonts w:hint="eastAsia" w:ascii="仿宋" w:hAnsi="仿宋" w:eastAsia="仿宋"/>
          <w:sz w:val="32"/>
          <w:szCs w:val="32"/>
          <w:lang w:eastAsia="zh-CN"/>
        </w:rPr>
        <w:t>、</w:t>
      </w:r>
      <w:r>
        <w:rPr>
          <w:rFonts w:hint="eastAsia" w:ascii="仿宋" w:hAnsi="仿宋" w:eastAsia="仿宋"/>
          <w:sz w:val="32"/>
          <w:szCs w:val="32"/>
        </w:rPr>
        <w:t>职工基本医疗保险缴费</w:t>
      </w:r>
      <w:r>
        <w:rPr>
          <w:rFonts w:hint="eastAsia" w:ascii="仿宋" w:hAnsi="仿宋" w:eastAsia="仿宋"/>
          <w:sz w:val="32"/>
          <w:szCs w:val="32"/>
          <w:lang w:eastAsia="zh-CN"/>
        </w:rPr>
        <w:t>、</w:t>
      </w:r>
      <w:r>
        <w:rPr>
          <w:rFonts w:hint="eastAsia" w:ascii="仿宋" w:hAnsi="仿宋" w:eastAsia="仿宋"/>
          <w:sz w:val="32"/>
          <w:szCs w:val="32"/>
        </w:rPr>
        <w:t>公务员医疗补助缴费</w:t>
      </w:r>
      <w:r>
        <w:rPr>
          <w:rFonts w:hint="eastAsia" w:ascii="仿宋" w:hAnsi="仿宋" w:eastAsia="仿宋"/>
          <w:sz w:val="32"/>
          <w:szCs w:val="32"/>
          <w:lang w:eastAsia="zh-CN"/>
        </w:rPr>
        <w:t>、</w:t>
      </w:r>
      <w:r>
        <w:rPr>
          <w:rFonts w:hint="eastAsia" w:ascii="仿宋" w:hAnsi="仿宋" w:eastAsia="仿宋"/>
          <w:sz w:val="32"/>
          <w:szCs w:val="32"/>
        </w:rPr>
        <w:t>其他社会保障缴费</w:t>
      </w:r>
      <w:r>
        <w:rPr>
          <w:rFonts w:hint="eastAsia" w:ascii="仿宋" w:hAnsi="仿宋" w:eastAsia="仿宋"/>
          <w:sz w:val="32"/>
          <w:szCs w:val="32"/>
          <w:lang w:eastAsia="zh-CN"/>
        </w:rPr>
        <w:t>、</w:t>
      </w:r>
      <w:r>
        <w:rPr>
          <w:rFonts w:hint="eastAsia" w:ascii="仿宋" w:hAnsi="仿宋" w:eastAsia="仿宋"/>
          <w:sz w:val="32"/>
          <w:szCs w:val="32"/>
        </w:rPr>
        <w:t>住房公积金</w:t>
      </w:r>
      <w:r>
        <w:rPr>
          <w:rFonts w:hint="eastAsia" w:ascii="仿宋" w:hAnsi="仿宋" w:eastAsia="仿宋"/>
          <w:sz w:val="32"/>
          <w:szCs w:val="32"/>
          <w:lang w:eastAsia="zh-CN"/>
        </w:rPr>
        <w:t>、</w:t>
      </w:r>
      <w:r>
        <w:rPr>
          <w:rFonts w:hint="eastAsia" w:ascii="仿宋" w:hAnsi="仿宋" w:eastAsia="仿宋"/>
          <w:sz w:val="32"/>
          <w:szCs w:val="32"/>
        </w:rPr>
        <w:t>其他工资福利支出</w:t>
      </w:r>
      <w:r>
        <w:rPr>
          <w:rFonts w:hint="eastAsia" w:ascii="仿宋" w:hAnsi="仿宋" w:eastAsia="仿宋"/>
          <w:sz w:val="32"/>
          <w:szCs w:val="32"/>
          <w:lang w:eastAsia="zh-CN"/>
        </w:rPr>
        <w:t>、</w:t>
      </w:r>
      <w:r>
        <w:rPr>
          <w:rFonts w:hint="eastAsia" w:ascii="仿宋" w:hAnsi="仿宋" w:eastAsia="仿宋"/>
          <w:sz w:val="32"/>
          <w:szCs w:val="32"/>
        </w:rPr>
        <w:t>抚恤金</w:t>
      </w:r>
      <w:r>
        <w:rPr>
          <w:rFonts w:hint="eastAsia" w:ascii="仿宋" w:hAnsi="仿宋" w:eastAsia="仿宋"/>
          <w:sz w:val="32"/>
          <w:szCs w:val="32"/>
          <w:lang w:eastAsia="zh-CN"/>
        </w:rPr>
        <w:t>、</w:t>
      </w:r>
      <w:r>
        <w:rPr>
          <w:rFonts w:hint="eastAsia" w:ascii="仿宋" w:hAnsi="仿宋" w:eastAsia="仿宋"/>
          <w:sz w:val="32"/>
          <w:szCs w:val="32"/>
        </w:rPr>
        <w:t>生活补助</w:t>
      </w:r>
      <w:r>
        <w:rPr>
          <w:rFonts w:hint="eastAsia" w:ascii="仿宋" w:hAnsi="仿宋" w:eastAsia="仿宋"/>
          <w:sz w:val="32"/>
          <w:szCs w:val="32"/>
          <w:lang w:eastAsia="zh-CN"/>
        </w:rPr>
        <w:t>、</w:t>
      </w:r>
      <w:r>
        <w:rPr>
          <w:rFonts w:hint="eastAsia" w:ascii="仿宋" w:hAnsi="仿宋" w:eastAsia="仿宋"/>
          <w:sz w:val="32"/>
          <w:szCs w:val="32"/>
        </w:rPr>
        <w:t>其他对个人和家庭的补助。</w:t>
      </w:r>
    </w:p>
    <w:p>
      <w:pPr>
        <w:spacing w:line="600" w:lineRule="exact"/>
        <w:ind w:firstLine="645"/>
        <w:rPr>
          <w:rFonts w:ascii="仿宋" w:hAnsi="仿宋" w:eastAsia="仿宋"/>
          <w:sz w:val="32"/>
          <w:szCs w:val="32"/>
        </w:rPr>
      </w:pPr>
      <w:r>
        <w:rPr>
          <w:rFonts w:hint="eastAsia" w:ascii="仿宋" w:hAnsi="仿宋" w:eastAsia="仿宋"/>
          <w:sz w:val="32"/>
          <w:szCs w:val="32"/>
        </w:rPr>
        <w:t>公用经费26.86万元，主要包括：办公费</w:t>
      </w:r>
      <w:r>
        <w:rPr>
          <w:rFonts w:hint="eastAsia" w:ascii="仿宋" w:hAnsi="仿宋" w:eastAsia="仿宋"/>
          <w:sz w:val="32"/>
          <w:szCs w:val="32"/>
          <w:lang w:eastAsia="zh-CN"/>
        </w:rPr>
        <w:t>、</w:t>
      </w:r>
      <w:r>
        <w:rPr>
          <w:rFonts w:hint="eastAsia" w:ascii="仿宋" w:hAnsi="仿宋" w:eastAsia="仿宋"/>
          <w:sz w:val="32"/>
          <w:szCs w:val="32"/>
        </w:rPr>
        <w:t>水费</w:t>
      </w:r>
      <w:r>
        <w:rPr>
          <w:rFonts w:hint="eastAsia" w:ascii="仿宋" w:hAnsi="仿宋" w:eastAsia="仿宋"/>
          <w:sz w:val="32"/>
          <w:szCs w:val="32"/>
          <w:lang w:eastAsia="zh-CN"/>
        </w:rPr>
        <w:t>、</w:t>
      </w:r>
      <w:r>
        <w:rPr>
          <w:rFonts w:hint="eastAsia" w:ascii="仿宋" w:hAnsi="仿宋" w:eastAsia="仿宋"/>
          <w:sz w:val="32"/>
          <w:szCs w:val="32"/>
        </w:rPr>
        <w:t>电费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其他交通费用</w:t>
      </w:r>
      <w:r>
        <w:rPr>
          <w:rFonts w:hint="eastAsia" w:ascii="仿宋" w:hAnsi="仿宋" w:eastAsia="仿宋"/>
          <w:sz w:val="32"/>
          <w:szCs w:val="32"/>
          <w:lang w:eastAsia="zh-CN"/>
        </w:rPr>
        <w:t>、</w:t>
      </w:r>
      <w:r>
        <w:rPr>
          <w:rFonts w:hint="eastAsia" w:ascii="仿宋" w:hAnsi="仿宋" w:eastAsia="仿宋"/>
          <w:sz w:val="32"/>
          <w:szCs w:val="32"/>
        </w:rPr>
        <w:t>其他商品和服务支出。</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27" w:name="_Toc15396609"/>
      <w:bookmarkStart w:id="28"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27"/>
      <w:bookmarkEnd w:id="28"/>
    </w:p>
    <w:p>
      <w:pPr>
        <w:spacing w:line="600" w:lineRule="exact"/>
        <w:ind w:firstLine="640"/>
        <w:outlineLvl w:val="2"/>
        <w:rPr>
          <w:rFonts w:ascii="仿宋" w:hAnsi="仿宋" w:eastAsia="仿宋"/>
          <w:b/>
          <w:sz w:val="32"/>
          <w:szCs w:val="32"/>
        </w:rPr>
      </w:pPr>
      <w:bookmarkStart w:id="29" w:name="_Toc15377216"/>
      <w:r>
        <w:rPr>
          <w:rFonts w:hint="eastAsia" w:ascii="仿宋" w:hAnsi="仿宋" w:eastAsia="仿宋"/>
          <w:b/>
          <w:sz w:val="32"/>
          <w:szCs w:val="32"/>
        </w:rPr>
        <w:t>（一）“三公”经费财政拨款支出决算总体情况说明</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年“三公”经费财政拨款支出决算为0万元，完成预算0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0" w:name="_Toc15377217"/>
      <w:r>
        <w:rPr>
          <w:rFonts w:hint="eastAsia" w:ascii="仿宋" w:hAnsi="仿宋" w:eastAsia="仿宋"/>
          <w:b/>
          <w:sz w:val="32"/>
          <w:szCs w:val="32"/>
        </w:rPr>
        <w:t>（二）“三公”经费财政拨款支出决算具体情况说明</w:t>
      </w:r>
      <w:bookmarkEnd w:id="30"/>
    </w:p>
    <w:p>
      <w:pPr>
        <w:pStyle w:val="5"/>
        <w:spacing w:before="93"/>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年持平。其中：</w:t>
      </w:r>
    </w:p>
    <w:p>
      <w:pPr>
        <w:spacing w:line="600" w:lineRule="exact"/>
        <w:ind w:firstLine="640"/>
        <w:rPr>
          <w:rFonts w:ascii="仿宋_GB2312" w:eastAsia="仿宋_GB2312"/>
          <w:sz w:val="32"/>
          <w:szCs w:val="32"/>
        </w:rPr>
      </w:pPr>
      <w:bookmarkStart w:id="31" w:name="_Toc15377218"/>
      <w:bookmarkStart w:id="32" w:name="_Toc15396610"/>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31"/>
      <w:bookmarkEnd w:id="3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0.32</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33" w:name="_Toc15396611"/>
      <w:bookmarkStart w:id="34" w:name="_Toc15377219"/>
      <w:r>
        <w:rPr>
          <w:rStyle w:val="25"/>
          <w:rFonts w:hint="eastAsia" w:ascii="黑体" w:hAnsi="黑体" w:eastAsia="黑体"/>
          <w:b w:val="0"/>
        </w:rPr>
        <w:t>国有资本经营预算支出决算情况说明</w:t>
      </w:r>
      <w:bookmarkEnd w:id="33"/>
      <w:bookmarkEnd w:id="3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35" w:name="_Toc15396612"/>
      <w:bookmarkStart w:id="36" w:name="_Toc15377221"/>
      <w:r>
        <w:rPr>
          <w:rStyle w:val="25"/>
          <w:rFonts w:hint="eastAsia" w:ascii="黑体" w:hAnsi="黑体" w:eastAsia="黑体"/>
          <w:b w:val="0"/>
        </w:rPr>
        <w:t>其他重要事项的情况说明</w:t>
      </w:r>
      <w:bookmarkEnd w:id="35"/>
      <w:bookmarkEnd w:id="36"/>
    </w:p>
    <w:p>
      <w:pPr>
        <w:spacing w:line="600" w:lineRule="exact"/>
        <w:ind w:firstLine="643" w:firstLineChars="200"/>
        <w:outlineLvl w:val="2"/>
        <w:rPr>
          <w:rFonts w:ascii="仿宋" w:hAnsi="仿宋" w:eastAsia="仿宋"/>
          <w:sz w:val="32"/>
          <w:szCs w:val="32"/>
        </w:rPr>
      </w:pPr>
      <w:bookmarkStart w:id="37" w:name="_Toc15377222"/>
      <w:r>
        <w:rPr>
          <w:rFonts w:hint="eastAsia" w:ascii="仿宋" w:hAnsi="仿宋" w:eastAsia="仿宋"/>
          <w:b/>
          <w:sz w:val="32"/>
          <w:szCs w:val="32"/>
        </w:rPr>
        <w:t>（一）机关运行经费支出情况</w:t>
      </w:r>
      <w:bookmarkEnd w:id="37"/>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学校</w:t>
      </w:r>
      <w:r>
        <w:rPr>
          <w:rFonts w:hint="eastAsia" w:ascii="仿宋_GB2312" w:eastAsia="仿宋_GB2312"/>
          <w:sz w:val="32"/>
          <w:szCs w:val="32"/>
        </w:rPr>
        <w:t>机关运行经费支出0万元，</w:t>
      </w:r>
      <w:bookmarkStart w:id="38" w:name="OLE_LINK1"/>
      <w:r>
        <w:rPr>
          <w:rFonts w:hint="eastAsia" w:ascii="仿宋_GB2312" w:eastAsia="仿宋_GB2312" w:cs="Times New Roman"/>
          <w:color w:val="auto"/>
          <w:sz w:val="32"/>
          <w:szCs w:val="32"/>
          <w:highlight w:val="none"/>
          <w:lang w:val="en-US" w:eastAsia="zh-CN"/>
        </w:rPr>
        <w:t>本单位是全额拨款事业单位，没有预算机关运行经费</w:t>
      </w:r>
      <w:bookmarkEnd w:id="38"/>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39" w:name="_Toc15377223"/>
      <w:r>
        <w:rPr>
          <w:rFonts w:hint="eastAsia" w:ascii="仿宋" w:hAnsi="仿宋" w:eastAsia="仿宋"/>
          <w:b/>
          <w:sz w:val="32"/>
          <w:szCs w:val="32"/>
        </w:rPr>
        <w:t>（二）政府采购支出情况</w:t>
      </w:r>
      <w:bookmarkEnd w:id="3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 w:hAnsi="仿宋" w:eastAsia="仿宋"/>
          <w:sz w:val="32"/>
          <w:szCs w:val="32"/>
        </w:rPr>
        <w:t>学校政府采购支出总额</w:t>
      </w:r>
      <w:r>
        <w:rPr>
          <w:rFonts w:hint="eastAsia" w:ascii="仿宋" w:hAnsi="仿宋" w:eastAsia="仿宋"/>
          <w:sz w:val="32"/>
          <w:szCs w:val="32"/>
          <w:lang w:val="en-US" w:eastAsia="zh-CN"/>
        </w:rPr>
        <w:t>29.99</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29.99</w:t>
      </w:r>
      <w:r>
        <w:rPr>
          <w:rFonts w:hint="eastAsia" w:ascii="仿宋" w:hAnsi="仿宋" w:eastAsia="仿宋"/>
          <w:sz w:val="32"/>
          <w:szCs w:val="32"/>
        </w:rPr>
        <w:t>万元、政府采购工程支出0万元、政府采购服务支出0万元。主要</w:t>
      </w:r>
      <w:r>
        <w:rPr>
          <w:rFonts w:hint="eastAsia" w:ascii="仿宋" w:hAnsi="仿宋" w:eastAsia="仿宋"/>
          <w:sz w:val="32"/>
          <w:szCs w:val="32"/>
          <w:lang w:eastAsia="zh-CN"/>
        </w:rPr>
        <w:t>用于办公设备购置</w:t>
      </w:r>
      <w:r>
        <w:rPr>
          <w:rFonts w:hint="eastAsia" w:ascii="仿宋" w:hAnsi="仿宋" w:eastAsia="仿宋"/>
          <w:sz w:val="32"/>
          <w:szCs w:val="32"/>
        </w:rPr>
        <w:t>。授予中小企业合同金额</w:t>
      </w:r>
      <w:r>
        <w:rPr>
          <w:rFonts w:hint="eastAsia" w:ascii="仿宋" w:hAnsi="仿宋" w:eastAsia="仿宋"/>
          <w:sz w:val="32"/>
          <w:szCs w:val="32"/>
          <w:lang w:val="en-US" w:eastAsia="zh-CN"/>
        </w:rPr>
        <w:t>29.99</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10</w:t>
      </w:r>
      <w:r>
        <w:rPr>
          <w:rFonts w:hint="eastAsia" w:ascii="仿宋" w:hAnsi="仿宋" w:eastAsia="仿宋"/>
          <w:sz w:val="32"/>
          <w:szCs w:val="32"/>
        </w:rPr>
        <w:t>0</w:t>
      </w:r>
      <w:r>
        <w:rPr>
          <w:rFonts w:ascii="仿宋" w:hAnsi="仿宋" w:eastAsia="仿宋"/>
          <w:sz w:val="32"/>
          <w:szCs w:val="32"/>
        </w:rPr>
        <w:t>%</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29.99</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10</w:t>
      </w:r>
      <w:r>
        <w:rPr>
          <w:rFonts w:hint="eastAsia" w:ascii="仿宋" w:hAnsi="仿宋" w:eastAsia="仿宋"/>
          <w:sz w:val="32"/>
          <w:szCs w:val="32"/>
        </w:rPr>
        <w:t>0</w:t>
      </w:r>
      <w:r>
        <w:rPr>
          <w:rFonts w:ascii="仿宋" w:hAnsi="仿宋" w:eastAsia="仿宋"/>
          <w:sz w:val="32"/>
          <w:szCs w:val="32"/>
        </w:rPr>
        <w:t>%</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0" w:name="_Toc15377224"/>
      <w:r>
        <w:rPr>
          <w:rFonts w:hint="eastAsia" w:ascii="仿宋" w:hAnsi="仿宋" w:eastAsia="仿宋"/>
          <w:b/>
          <w:sz w:val="32"/>
          <w:szCs w:val="32"/>
        </w:rPr>
        <w:t>（三）国有资产占有使用情况</w:t>
      </w:r>
      <w:bookmarkEnd w:id="4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日，学校</w:t>
      </w:r>
      <w:r>
        <w:rPr>
          <w:rFonts w:hint="eastAsia" w:ascii="仿宋" w:hAnsi="仿宋" w:eastAsia="仿宋"/>
          <w:sz w:val="32"/>
          <w:szCs w:val="32"/>
        </w:rPr>
        <w:t>共有车辆0辆，其中：主要领导干部用车0辆、机要通信用车0辆、应急保障用车0辆、其他用车0辆。单价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w:t>
      </w:r>
      <w:r>
        <w:rPr>
          <w:rFonts w:hint="eastAsia" w:hAnsi="仿宋_GB2312" w:cs="仿宋_GB2312"/>
          <w:sz w:val="32"/>
          <w:szCs w:val="32"/>
          <w:lang w:val="en-US" w:eastAsia="zh-CN"/>
        </w:rPr>
        <w:t>3</w:t>
      </w:r>
      <w:r>
        <w:rPr>
          <w:rFonts w:hint="eastAsia" w:hAnsi="仿宋_GB2312" w:cs="仿宋_GB2312"/>
          <w:sz w:val="32"/>
          <w:szCs w:val="32"/>
        </w:rPr>
        <w:t>年度预算编制阶段没有需要开展事前评估的项目，故未开展预算绩效评估。本单位组织对人员类、运转类、特定目标类等</w:t>
      </w:r>
      <w:r>
        <w:rPr>
          <w:rFonts w:hint="eastAsia" w:hAnsi="仿宋_GB2312" w:cs="仿宋_GB2312"/>
          <w:sz w:val="32"/>
          <w:szCs w:val="32"/>
          <w:lang w:val="en-US" w:eastAsia="zh-CN"/>
        </w:rPr>
        <w:t>32</w:t>
      </w:r>
      <w:r>
        <w:rPr>
          <w:rFonts w:hint="eastAsia" w:hAnsi="仿宋_GB2312" w:cs="仿宋_GB2312"/>
          <w:sz w:val="32"/>
          <w:szCs w:val="32"/>
        </w:rPr>
        <w:t>个项目编制了绩效目标，预算执行过程中，选取1个项目开展绩效监控，组织对1个项目开展绩效自评。绩效自评表详见第四部分附件。</w:t>
      </w:r>
    </w:p>
    <w:p>
      <w:pPr>
        <w:spacing w:line="580" w:lineRule="exact"/>
        <w:ind w:firstLine="420" w:firstLineChars="200"/>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1" w:name="_Toc15396613"/>
      <w:bookmarkStart w:id="42" w:name="_Toc15377225"/>
      <w:r>
        <w:rPr>
          <w:rFonts w:hint="eastAsia" w:ascii="黑体" w:hAnsi="黑体" w:eastAsia="黑体"/>
          <w:sz w:val="44"/>
          <w:szCs w:val="44"/>
        </w:rPr>
        <w:t>名</w:t>
      </w:r>
      <w:r>
        <w:rPr>
          <w:rStyle w:val="24"/>
          <w:rFonts w:hint="eastAsia" w:ascii="黑体" w:hAnsi="黑体" w:eastAsia="黑体"/>
          <w:b w:val="0"/>
        </w:rPr>
        <w:t>词解释</w:t>
      </w:r>
      <w:bookmarkEnd w:id="41"/>
      <w:bookmarkEnd w:id="42"/>
    </w:p>
    <w:p>
      <w:pPr>
        <w:spacing w:line="600" w:lineRule="exact"/>
        <w:jc w:val="left"/>
        <w:rPr>
          <w:rFonts w:ascii="宋体"/>
          <w:b/>
          <w:sz w:val="44"/>
          <w:szCs w:val="44"/>
        </w:rPr>
      </w:pPr>
    </w:p>
    <w:p>
      <w:pPr>
        <w:pStyle w:val="2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w:t>
      </w:r>
    </w:p>
    <w:p>
      <w:pPr>
        <w:pStyle w:val="2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22"/>
        <w:spacing w:line="560" w:lineRule="exact"/>
        <w:ind w:firstLine="640" w:firstLineChars="200"/>
        <w:rPr>
          <w:rFonts w:hAnsi="仿宋"/>
          <w:sz w:val="32"/>
          <w:szCs w:val="32"/>
        </w:rPr>
      </w:pPr>
      <w:r>
        <w:rPr>
          <w:rFonts w:hint="eastAsia" w:hAnsi="仿宋"/>
          <w:sz w:val="32"/>
          <w:szCs w:val="32"/>
          <w:lang w:val="en-US" w:eastAsia="zh-CN"/>
        </w:rPr>
        <w:t>5</w:t>
      </w:r>
      <w:r>
        <w:rPr>
          <w:rFonts w:hAnsi="仿宋"/>
          <w:sz w:val="32"/>
          <w:szCs w:val="32"/>
        </w:rPr>
        <w:t>.</w:t>
      </w:r>
      <w:r>
        <w:rPr>
          <w:rFonts w:hint="eastAsia" w:hAnsi="仿宋"/>
          <w:sz w:val="32"/>
          <w:szCs w:val="32"/>
        </w:rPr>
        <w:t>教育（类）普通教育（款）小学教育（项）</w:t>
      </w:r>
      <w:r>
        <w:rPr>
          <w:rFonts w:hAnsi="仿宋"/>
          <w:sz w:val="32"/>
          <w:szCs w:val="32"/>
        </w:rPr>
        <w:t xml:space="preserve">: </w:t>
      </w:r>
      <w:r>
        <w:rPr>
          <w:rFonts w:hint="eastAsia" w:hAnsi="仿宋"/>
          <w:sz w:val="32"/>
          <w:szCs w:val="32"/>
        </w:rPr>
        <w:t>反映各部门举办的小学教育支出。政府各部门对社会中介组织等举办的小学的资助，如各类捐赠、补贴等，也在本科目中反映。</w:t>
      </w:r>
    </w:p>
    <w:p>
      <w:pPr>
        <w:pStyle w:val="22"/>
        <w:spacing w:line="560" w:lineRule="exact"/>
        <w:ind w:firstLine="640" w:firstLineChars="200"/>
        <w:rPr>
          <w:rFonts w:hAnsi="仿宋"/>
          <w:sz w:val="32"/>
          <w:szCs w:val="32"/>
        </w:rPr>
      </w:pPr>
      <w:r>
        <w:rPr>
          <w:rFonts w:hint="eastAsia" w:hAnsi="仿宋"/>
          <w:sz w:val="32"/>
          <w:szCs w:val="32"/>
          <w:lang w:val="en-US" w:eastAsia="zh-CN"/>
        </w:rPr>
        <w:t>6</w:t>
      </w:r>
      <w:r>
        <w:rPr>
          <w:rFonts w:hAnsi="仿宋"/>
          <w:sz w:val="32"/>
          <w:szCs w:val="32"/>
        </w:rPr>
        <w:t>.</w:t>
      </w:r>
      <w:r>
        <w:rPr>
          <w:rFonts w:hint="eastAsia" w:hAnsi="仿宋"/>
          <w:sz w:val="32"/>
          <w:szCs w:val="32"/>
        </w:rPr>
        <w:t>社会保障和就业（类）行政事业单位养老支出（款）机关事业单位基本养老保险缴费支出（项）</w:t>
      </w:r>
      <w:r>
        <w:rPr>
          <w:rFonts w:hAnsi="仿宋"/>
          <w:sz w:val="32"/>
          <w:szCs w:val="32"/>
        </w:rPr>
        <w:t xml:space="preserve">: </w:t>
      </w:r>
      <w:r>
        <w:rPr>
          <w:rFonts w:hint="eastAsia" w:hAnsi="仿宋"/>
          <w:sz w:val="32"/>
          <w:szCs w:val="32"/>
        </w:rPr>
        <w:t>反映机关事业单位实施养老保险制度由单位缴纳的基本养老保险费支出。</w:t>
      </w:r>
    </w:p>
    <w:p>
      <w:pPr>
        <w:pStyle w:val="22"/>
        <w:spacing w:line="560" w:lineRule="exact"/>
        <w:ind w:firstLine="640" w:firstLineChars="200"/>
        <w:rPr>
          <w:rFonts w:hAnsi="仿宋"/>
          <w:sz w:val="32"/>
          <w:szCs w:val="32"/>
        </w:rPr>
      </w:pPr>
      <w:r>
        <w:rPr>
          <w:rFonts w:hint="eastAsia" w:hAnsi="仿宋"/>
          <w:sz w:val="32"/>
          <w:szCs w:val="32"/>
          <w:lang w:val="en-US" w:eastAsia="zh-CN"/>
        </w:rPr>
        <w:t>7</w:t>
      </w:r>
      <w:r>
        <w:rPr>
          <w:rFonts w:hint="eastAsia" w:hAnsi="仿宋"/>
          <w:sz w:val="32"/>
          <w:szCs w:val="32"/>
        </w:rPr>
        <w:t>.社会保障和就业（类）其他社会保障和就业支出（款）其他社会保障和就业支出（项）</w:t>
      </w:r>
      <w:r>
        <w:rPr>
          <w:rFonts w:hAnsi="仿宋"/>
          <w:sz w:val="32"/>
          <w:szCs w:val="32"/>
        </w:rPr>
        <w:t xml:space="preserve">: </w:t>
      </w:r>
      <w:r>
        <w:rPr>
          <w:rFonts w:hint="eastAsia" w:hAnsi="仿宋"/>
          <w:sz w:val="32"/>
          <w:szCs w:val="32"/>
        </w:rPr>
        <w:t>反映上述项目以外</w:t>
      </w:r>
      <w:r>
        <w:rPr>
          <w:rFonts w:hint="eastAsia" w:hAnsi="仿宋"/>
          <w:sz w:val="32"/>
          <w:szCs w:val="32"/>
          <w:lang w:eastAsia="zh-CN"/>
        </w:rPr>
        <w:t>其他用于</w:t>
      </w:r>
      <w:r>
        <w:rPr>
          <w:rFonts w:hint="eastAsia" w:hAnsi="仿宋"/>
          <w:sz w:val="32"/>
          <w:szCs w:val="32"/>
        </w:rPr>
        <w:t>社会保障和就业方面的支出。</w:t>
      </w:r>
    </w:p>
    <w:p>
      <w:pPr>
        <w:pStyle w:val="22"/>
        <w:spacing w:line="560" w:lineRule="exact"/>
        <w:ind w:firstLine="640" w:firstLineChars="200"/>
        <w:rPr>
          <w:rFonts w:hAnsi="仿宋"/>
          <w:sz w:val="32"/>
          <w:szCs w:val="32"/>
        </w:rPr>
      </w:pPr>
      <w:r>
        <w:rPr>
          <w:rFonts w:hint="eastAsia" w:hAnsi="仿宋"/>
          <w:sz w:val="32"/>
          <w:szCs w:val="32"/>
          <w:lang w:val="en-US" w:eastAsia="zh-CN"/>
        </w:rPr>
        <w:t>8</w:t>
      </w:r>
      <w:r>
        <w:rPr>
          <w:rFonts w:hAnsi="仿宋"/>
          <w:sz w:val="32"/>
          <w:szCs w:val="32"/>
        </w:rPr>
        <w:t>.</w:t>
      </w:r>
      <w:r>
        <w:rPr>
          <w:rFonts w:hint="eastAsia" w:hAnsi="仿宋"/>
          <w:sz w:val="32"/>
          <w:szCs w:val="32"/>
        </w:rPr>
        <w:t>医疗卫生与计划生育（类）行政事业单位医疗（款）事业单位医疗（项）</w:t>
      </w:r>
      <w:r>
        <w:rPr>
          <w:rFonts w:hAnsi="仿宋"/>
          <w:sz w:val="32"/>
          <w:szCs w:val="32"/>
        </w:rPr>
        <w:t>:</w:t>
      </w:r>
      <w:r>
        <w:rPr>
          <w:rFonts w:hint="eastAsia" w:hAnsi="仿宋"/>
          <w:sz w:val="32"/>
          <w:szCs w:val="32"/>
        </w:rPr>
        <w:t>反映财政部门集中安排的事业单位基本医疗保险缴费经费，未参加医疗保险的事业单位的公费医疗经费，按国家规定享受离休人员待遇的医疗经费。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Ansi="仿宋"/>
          <w:sz w:val="32"/>
          <w:szCs w:val="32"/>
        </w:rPr>
      </w:pPr>
      <w:r>
        <w:rPr>
          <w:rFonts w:hint="eastAsia" w:hAnsi="仿宋"/>
          <w:sz w:val="32"/>
          <w:szCs w:val="32"/>
          <w:lang w:val="en-US" w:eastAsia="zh-CN"/>
        </w:rPr>
        <w:t>9</w:t>
      </w:r>
      <w:r>
        <w:rPr>
          <w:rFonts w:hAnsi="仿宋"/>
          <w:sz w:val="32"/>
          <w:szCs w:val="32"/>
        </w:rPr>
        <w:t>.</w:t>
      </w:r>
      <w:r>
        <w:rPr>
          <w:rFonts w:hint="eastAsia" w:hAnsi="仿宋"/>
          <w:sz w:val="32"/>
          <w:szCs w:val="32"/>
        </w:rPr>
        <w:t>医疗卫生与计划生育（类）行政事业单位医疗（款）公务员医疗补助（项）</w:t>
      </w:r>
      <w:r>
        <w:rPr>
          <w:rFonts w:hAnsi="仿宋"/>
          <w:sz w:val="32"/>
          <w:szCs w:val="32"/>
        </w:rPr>
        <w:t>:</w:t>
      </w:r>
      <w:r>
        <w:rPr>
          <w:rFonts w:hint="eastAsia" w:hAnsi="仿宋"/>
          <w:sz w:val="32"/>
          <w:szCs w:val="32"/>
        </w:rPr>
        <w:t>反映财政部门集中安排的公务员医疗补助经费。</w:t>
      </w:r>
    </w:p>
    <w:p>
      <w:pPr>
        <w:pStyle w:val="22"/>
        <w:spacing w:line="560" w:lineRule="exact"/>
        <w:ind w:firstLine="640" w:firstLineChars="200"/>
        <w:rPr>
          <w:rFonts w:hAnsi="仿宋"/>
          <w:sz w:val="32"/>
          <w:szCs w:val="32"/>
        </w:rPr>
      </w:pPr>
      <w:r>
        <w:rPr>
          <w:rFonts w:hint="eastAsia" w:hAnsi="仿宋"/>
          <w:sz w:val="32"/>
          <w:szCs w:val="32"/>
          <w:lang w:val="en-US" w:eastAsia="zh-CN"/>
        </w:rPr>
        <w:t>10</w:t>
      </w:r>
      <w:r>
        <w:rPr>
          <w:rFonts w:hAnsi="仿宋"/>
          <w:sz w:val="32"/>
          <w:szCs w:val="32"/>
        </w:rPr>
        <w:t>.</w:t>
      </w:r>
      <w:r>
        <w:rPr>
          <w:rFonts w:hint="eastAsia" w:hAnsi="仿宋"/>
          <w:sz w:val="32"/>
          <w:szCs w:val="32"/>
        </w:rPr>
        <w:t>住房保障支出（类）住房改革支出（款）住房公积金（项）</w:t>
      </w:r>
      <w:r>
        <w:rPr>
          <w:rFonts w:hAnsi="仿宋"/>
          <w:sz w:val="32"/>
          <w:szCs w:val="32"/>
        </w:rPr>
        <w:t>:</w:t>
      </w:r>
      <w:r>
        <w:rPr>
          <w:rFonts w:hint="eastAsia" w:hAnsi="仿宋"/>
          <w:sz w:val="32"/>
          <w:szCs w:val="32"/>
        </w:rPr>
        <w:t>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2"/>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4"/>
          <w:rFonts w:ascii="黑体" w:hAnsi="黑体" w:eastAsia="黑体"/>
          <w:b w:val="0"/>
        </w:rPr>
      </w:pPr>
      <w:bookmarkStart w:id="43" w:name="_Toc15377226"/>
      <w:r>
        <w:rPr>
          <w:rFonts w:ascii="宋体"/>
          <w:b/>
          <w:sz w:val="44"/>
          <w:szCs w:val="44"/>
        </w:rPr>
        <w:br w:type="page"/>
      </w:r>
      <w:bookmarkStart w:id="44" w:name="_Toc15396614"/>
      <w:r>
        <w:rPr>
          <w:rFonts w:hint="eastAsia" w:ascii="黑体" w:hAnsi="黑体" w:eastAsia="黑体"/>
          <w:sz w:val="44"/>
          <w:szCs w:val="44"/>
        </w:rPr>
        <w:t>第</w:t>
      </w:r>
      <w:r>
        <w:rPr>
          <w:rStyle w:val="24"/>
          <w:rFonts w:hint="eastAsia" w:ascii="黑体" w:hAnsi="黑体" w:eastAsia="黑体"/>
          <w:b w:val="0"/>
        </w:rPr>
        <w:t>四部分 附件</w:t>
      </w:r>
      <w:bookmarkEnd w:id="44"/>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45" w:name="_Toc15396618"/>
      <w:r>
        <w:rPr>
          <w:rFonts w:hint="eastAsia" w:ascii="宋体" w:hAnsi="宋体" w:cs="宋体"/>
          <w:kern w:val="0"/>
          <w:sz w:val="32"/>
          <w:szCs w:val="32"/>
        </w:rPr>
        <w:t>部门预算项目支出绩效自评表（202</w:t>
      </w:r>
      <w:r>
        <w:rPr>
          <w:rFonts w:hint="eastAsia" w:ascii="宋体" w:hAnsi="宋体" w:cs="宋体"/>
          <w:kern w:val="0"/>
          <w:sz w:val="32"/>
          <w:szCs w:val="32"/>
          <w:lang w:val="en-US" w:eastAsia="zh-CN"/>
        </w:rPr>
        <w:t>3</w:t>
      </w:r>
      <w:r>
        <w:rPr>
          <w:rFonts w:hint="eastAsia" w:ascii="宋体" w:hAnsi="宋体" w:cs="宋体"/>
          <w:kern w:val="0"/>
          <w:sz w:val="32"/>
          <w:szCs w:val="32"/>
        </w:rPr>
        <w:t>年度）</w:t>
      </w:r>
    </w:p>
    <w:tbl>
      <w:tblPr>
        <w:tblStyle w:val="12"/>
        <w:tblW w:w="8551" w:type="dxa"/>
        <w:tblInd w:w="93" w:type="dxa"/>
        <w:tblLayout w:type="autofit"/>
        <w:tblCellMar>
          <w:top w:w="0" w:type="dxa"/>
          <w:left w:w="108" w:type="dxa"/>
          <w:bottom w:w="0" w:type="dxa"/>
          <w:right w:w="108" w:type="dxa"/>
        </w:tblCellMar>
      </w:tblPr>
      <w:tblGrid>
        <w:gridCol w:w="576"/>
        <w:gridCol w:w="1146"/>
        <w:gridCol w:w="696"/>
        <w:gridCol w:w="1062"/>
        <w:gridCol w:w="396"/>
        <w:gridCol w:w="829"/>
        <w:gridCol w:w="396"/>
        <w:gridCol w:w="756"/>
        <w:gridCol w:w="486"/>
        <w:gridCol w:w="396"/>
        <w:gridCol w:w="1812"/>
      </w:tblGrid>
      <w:tr>
        <w:tblPrEx>
          <w:tblCellMar>
            <w:top w:w="0" w:type="dxa"/>
            <w:left w:w="108" w:type="dxa"/>
            <w:bottom w:w="0" w:type="dxa"/>
            <w:right w:w="108" w:type="dxa"/>
          </w:tblCellMar>
        </w:tblPrEx>
        <w:trPr>
          <w:trHeight w:val="904" w:hRule="atLeast"/>
        </w:trPr>
        <w:tc>
          <w:tcPr>
            <w:tcW w:w="85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黑体" w:eastAsia="黑体" w:cs="宋体"/>
                <w:b/>
                <w:bCs/>
                <w:color w:val="000000"/>
                <w:kern w:val="0"/>
                <w:sz w:val="30"/>
                <w:szCs w:val="30"/>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CellMar>
            <w:top w:w="0" w:type="dxa"/>
            <w:left w:w="108" w:type="dxa"/>
            <w:bottom w:w="0" w:type="dxa"/>
            <w:right w:w="108" w:type="dxa"/>
          </w:tblCellMar>
        </w:tblPrEx>
        <w:trPr>
          <w:trHeight w:val="285" w:hRule="atLeast"/>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51090323T000008239682-四类学生课后服务保障经费（城市）</w:t>
            </w:r>
          </w:p>
        </w:tc>
      </w:tr>
      <w:tr>
        <w:tblPrEx>
          <w:tblCellMar>
            <w:top w:w="0" w:type="dxa"/>
            <w:left w:w="108" w:type="dxa"/>
            <w:bottom w:w="0" w:type="dxa"/>
            <w:right w:w="108" w:type="dxa"/>
          </w:tblCellMar>
        </w:tblPrEx>
        <w:trPr>
          <w:trHeight w:val="514" w:hRule="atLeast"/>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主管部门</w:t>
            </w:r>
          </w:p>
        </w:tc>
        <w:tc>
          <w:tcPr>
            <w:tcW w:w="3379"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四川省遂宁市船山区教育体育局部门</w:t>
            </w:r>
          </w:p>
        </w:tc>
        <w:tc>
          <w:tcPr>
            <w:tcW w:w="7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实施单位 （盖章）</w:t>
            </w:r>
          </w:p>
        </w:tc>
        <w:tc>
          <w:tcPr>
            <w:tcW w:w="2694"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四川省遂宁市船山区大南街小学校</w:t>
            </w:r>
          </w:p>
        </w:tc>
      </w:tr>
      <w:tr>
        <w:tblPrEx>
          <w:tblCellMar>
            <w:top w:w="0" w:type="dxa"/>
            <w:left w:w="108" w:type="dxa"/>
            <w:bottom w:w="0" w:type="dxa"/>
            <w:right w:w="108" w:type="dxa"/>
          </w:tblCellMar>
        </w:tblPrEx>
        <w:trPr>
          <w:trHeight w:val="28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项目基本情况</w:t>
            </w:r>
          </w:p>
        </w:tc>
        <w:tc>
          <w:tcPr>
            <w:tcW w:w="114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379"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项目年度目标</w:t>
            </w:r>
          </w:p>
        </w:tc>
        <w:tc>
          <w:tcPr>
            <w:tcW w:w="345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CellMar>
            <w:top w:w="0" w:type="dxa"/>
            <w:left w:w="108" w:type="dxa"/>
            <w:bottom w:w="0" w:type="dxa"/>
            <w:right w:w="108" w:type="dxa"/>
          </w:tblCellMar>
        </w:tblPrEx>
        <w:trPr>
          <w:trHeight w:val="709" w:hRule="atLeast"/>
        </w:trPr>
        <w:tc>
          <w:tcPr>
            <w:tcW w:w="57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4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3379"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2023年城市四类学生课后服务补助，我校有13人。每天将开展2节课的文化和兴趣特长课，通过该项目的实施 ，为贫困家庭学生解决实际困难，所有学生同发展，共进步，所有孩子都能参加课后服务；最终将得到学生、家长和社会的好评。</w:t>
            </w:r>
          </w:p>
        </w:tc>
        <w:tc>
          <w:tcPr>
            <w:tcW w:w="345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通过该项目的实施 ，为贫困家庭学生解决了实际困难，所有学生同发展，共进步，所有孩子都参加了课后服务；最终将得到了学生、家长和社会的好评。</w:t>
            </w:r>
          </w:p>
        </w:tc>
      </w:tr>
      <w:tr>
        <w:tblPrEx>
          <w:tblCellMar>
            <w:top w:w="0" w:type="dxa"/>
            <w:left w:w="108" w:type="dxa"/>
            <w:bottom w:w="0" w:type="dxa"/>
            <w:right w:w="108" w:type="dxa"/>
          </w:tblCellMar>
        </w:tblPrEx>
        <w:trPr>
          <w:trHeight w:val="694" w:hRule="atLeast"/>
        </w:trPr>
        <w:tc>
          <w:tcPr>
            <w:tcW w:w="57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color w:val="000000"/>
                <w:kern w:val="0"/>
                <w:sz w:val="18"/>
                <w:szCs w:val="18"/>
              </w:rPr>
            </w:pP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我校每天将开展2节课后服务的文化和兴趣特长课，对这四类学生进行免费课后服务，让学生能</w:t>
            </w:r>
            <w:r>
              <w:rPr>
                <w:rFonts w:hint="eastAsia" w:ascii="宋体" w:hAnsi="宋体" w:cs="宋体"/>
                <w:i w:val="0"/>
                <w:iCs w:val="0"/>
                <w:color w:val="000000"/>
                <w:kern w:val="0"/>
                <w:sz w:val="18"/>
                <w:szCs w:val="18"/>
                <w:u w:val="none"/>
                <w:lang w:val="en-US" w:eastAsia="zh-CN" w:bidi="ar"/>
              </w:rPr>
              <w:t>更好地接受</w:t>
            </w:r>
            <w:bookmarkStart w:id="59" w:name="_GoBack"/>
            <w:bookmarkEnd w:id="59"/>
            <w:r>
              <w:rPr>
                <w:rFonts w:hint="eastAsia" w:ascii="宋体" w:hAnsi="宋体" w:eastAsia="宋体" w:cs="宋体"/>
                <w:i w:val="0"/>
                <w:iCs w:val="0"/>
                <w:color w:val="000000"/>
                <w:kern w:val="0"/>
                <w:sz w:val="18"/>
                <w:szCs w:val="18"/>
                <w:u w:val="none"/>
                <w:lang w:val="en-US" w:eastAsia="zh-CN" w:bidi="ar"/>
              </w:rPr>
              <w:t>课后服务，对学生的成长具有持续性的帮助。</w:t>
            </w:r>
          </w:p>
        </w:tc>
      </w:tr>
      <w:tr>
        <w:tblPrEx>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预算执行情况（10分）</w:t>
            </w: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年度预算数（万元）</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年初预算</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调整后预算数</w:t>
            </w:r>
          </w:p>
        </w:tc>
        <w:tc>
          <w:tcPr>
            <w:tcW w:w="16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预算执行数</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预算执行率</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原因</w:t>
            </w:r>
          </w:p>
        </w:tc>
      </w:tr>
      <w:tr>
        <w:tblPrEx>
          <w:tblCellMar>
            <w:top w:w="0" w:type="dxa"/>
            <w:left w:w="108" w:type="dxa"/>
            <w:bottom w:w="0" w:type="dxa"/>
            <w:right w:w="108" w:type="dxa"/>
          </w:tblCellMar>
        </w:tblPrEx>
        <w:trPr>
          <w:trHeight w:val="387"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总额</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2.13</w:t>
            </w:r>
          </w:p>
        </w:tc>
        <w:tc>
          <w:tcPr>
            <w:tcW w:w="16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46.98%</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5</w:t>
            </w:r>
          </w:p>
        </w:tc>
        <w:tc>
          <w:tcPr>
            <w:tcW w:w="181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i/>
                <w:iCs/>
                <w:color w:val="000000"/>
                <w:kern w:val="0"/>
                <w:sz w:val="18"/>
                <w:szCs w:val="18"/>
              </w:rPr>
            </w:pPr>
            <w:r>
              <w:rPr>
                <w:rFonts w:hint="eastAsia" w:ascii="宋体" w:hAnsi="宋体" w:eastAsia="宋体" w:cs="宋体"/>
                <w:i w:val="0"/>
                <w:iCs w:val="0"/>
                <w:color w:val="000000"/>
                <w:kern w:val="0"/>
                <w:sz w:val="18"/>
                <w:szCs w:val="18"/>
                <w:u w:val="none"/>
                <w:lang w:val="en-US" w:eastAsia="zh-CN" w:bidi="ar"/>
              </w:rPr>
              <w:t>下期四类学生经费在2024年初支出的，影响了2023年执行率；由于上下期各年级四类学生人数有变，所以进行了预算调整。</w:t>
            </w:r>
          </w:p>
        </w:tc>
      </w:tr>
      <w:tr>
        <w:tblPrEx>
          <w:tblCellMar>
            <w:top w:w="0" w:type="dxa"/>
            <w:left w:w="108" w:type="dxa"/>
            <w:bottom w:w="0" w:type="dxa"/>
            <w:right w:w="108" w:type="dxa"/>
          </w:tblCellMar>
        </w:tblPrEx>
        <w:trPr>
          <w:trHeight w:val="432"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其中：财政资金</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2.13</w:t>
            </w:r>
          </w:p>
        </w:tc>
        <w:tc>
          <w:tcPr>
            <w:tcW w:w="16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46.98%</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12" w:type="dxa"/>
            <w:vMerge w:val="continue"/>
            <w:tcBorders>
              <w:top w:val="nil"/>
              <w:left w:val="nil"/>
              <w:bottom w:val="single" w:color="000000" w:sz="4" w:space="0"/>
              <w:right w:val="single" w:color="000000" w:sz="4" w:space="0"/>
            </w:tcBorders>
            <w:shd w:val="clear" w:color="auto" w:fill="auto"/>
            <w:vAlign w:val="center"/>
          </w:tcPr>
          <w:p>
            <w:pPr>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财政专户管理资金</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6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12" w:type="dxa"/>
            <w:vMerge w:val="continue"/>
            <w:tcBorders>
              <w:top w:val="nil"/>
              <w:left w:val="nil"/>
              <w:bottom w:val="single" w:color="000000" w:sz="4" w:space="0"/>
              <w:right w:val="single" w:color="000000" w:sz="4" w:space="0"/>
            </w:tcBorders>
            <w:shd w:val="clear" w:color="auto" w:fill="auto"/>
            <w:vAlign w:val="center"/>
          </w:tcPr>
          <w:p>
            <w:pPr>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单位资金</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6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12" w:type="dxa"/>
            <w:vMerge w:val="continue"/>
            <w:tcBorders>
              <w:top w:val="nil"/>
              <w:left w:val="nil"/>
              <w:bottom w:val="single" w:color="000000" w:sz="4" w:space="0"/>
              <w:right w:val="single" w:color="000000" w:sz="4" w:space="0"/>
            </w:tcBorders>
            <w:shd w:val="clear" w:color="auto" w:fill="auto"/>
            <w:vAlign w:val="center"/>
          </w:tcPr>
          <w:p>
            <w:pPr>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其他资金</w:t>
            </w:r>
          </w:p>
        </w:tc>
        <w:tc>
          <w:tcPr>
            <w:tcW w:w="69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062"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1621"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756"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12" w:type="dxa"/>
            <w:vMerge w:val="continue"/>
            <w:tcBorders>
              <w:top w:val="nil"/>
              <w:left w:val="nil"/>
              <w:bottom w:val="single" w:color="000000" w:sz="4" w:space="0"/>
              <w:right w:val="single" w:color="000000" w:sz="4" w:space="0"/>
            </w:tcBorders>
            <w:shd w:val="clear" w:color="auto" w:fill="auto"/>
            <w:vAlign w:val="center"/>
          </w:tcPr>
          <w:p>
            <w:pPr>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绩效指标（90分）</w:t>
            </w: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一级指标</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二级指标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三级指标</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指标性质</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指标值</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度量单位</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完成值</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未完成原因分析</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产出指标</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数量指标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保障人数</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人</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13</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20</w:t>
            </w:r>
          </w:p>
        </w:tc>
        <w:tc>
          <w:tcPr>
            <w:tcW w:w="1812"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质量指标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覆盖率</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20</w:t>
            </w:r>
          </w:p>
        </w:tc>
        <w:tc>
          <w:tcPr>
            <w:tcW w:w="1812"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时效指标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及时</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2023</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年</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2023年</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w:t>
            </w:r>
          </w:p>
        </w:tc>
        <w:tc>
          <w:tcPr>
            <w:tcW w:w="1812"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效益指标</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社会效益指标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减轻</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95</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指标设置无法进行有效衡量</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18"/>
                <w:szCs w:val="18"/>
              </w:rPr>
            </w:pP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可持续发展指标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完备</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98</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98</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w:t>
            </w:r>
          </w:p>
        </w:tc>
        <w:tc>
          <w:tcPr>
            <w:tcW w:w="18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指标设置无法进行有效衡量</w:t>
            </w:r>
          </w:p>
        </w:tc>
      </w:tr>
      <w:tr>
        <w:tblPrEx>
          <w:tblCellMar>
            <w:top w:w="0" w:type="dxa"/>
            <w:left w:w="108" w:type="dxa"/>
            <w:bottom w:w="0" w:type="dxa"/>
            <w:right w:w="108" w:type="dxa"/>
          </w:tblCellMar>
        </w:tblPrEx>
        <w:trPr>
          <w:trHeight w:val="338"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满意度指标</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满意率</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95</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812"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p>
        </w:tc>
        <w:tc>
          <w:tcPr>
            <w:tcW w:w="11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成本指标</w:t>
            </w:r>
          </w:p>
        </w:tc>
        <w:tc>
          <w:tcPr>
            <w:tcW w:w="6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经济成本指标</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课后服务费  元/年</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1530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元/年</w:t>
            </w:r>
          </w:p>
        </w:tc>
        <w:tc>
          <w:tcPr>
            <w:tcW w:w="7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1530</w:t>
            </w:r>
          </w:p>
        </w:tc>
        <w:tc>
          <w:tcPr>
            <w:tcW w:w="4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812" w:type="dxa"/>
            <w:tcBorders>
              <w:top w:val="nil"/>
              <w:left w:val="nil"/>
              <w:bottom w:val="single" w:color="000000" w:sz="4" w:space="0"/>
              <w:right w:val="single" w:color="000000" w:sz="4" w:space="0"/>
            </w:tcBorders>
            <w:shd w:val="clear" w:color="auto" w:fill="auto"/>
            <w:vAlign w:val="center"/>
          </w:tcPr>
          <w:p>
            <w:pPr>
              <w:jc w:val="center"/>
              <w:rPr>
                <w:rFonts w:ascii="微软雅黑" w:hAnsi="微软雅黑" w:eastAsia="微软雅黑" w:cs="宋体"/>
                <w:i/>
                <w:iCs/>
                <w:color w:val="000000"/>
                <w:kern w:val="0"/>
                <w:sz w:val="16"/>
                <w:szCs w:val="16"/>
              </w:rPr>
            </w:pPr>
          </w:p>
        </w:tc>
      </w:tr>
      <w:tr>
        <w:tblPrEx>
          <w:tblCellMar>
            <w:top w:w="0" w:type="dxa"/>
            <w:left w:w="108" w:type="dxa"/>
            <w:bottom w:w="0" w:type="dxa"/>
            <w:right w:w="108" w:type="dxa"/>
          </w:tblCellMar>
        </w:tblPrEx>
        <w:trPr>
          <w:trHeight w:val="285" w:hRule="atLeast"/>
        </w:trPr>
        <w:tc>
          <w:tcPr>
            <w:tcW w:w="58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92</w:t>
            </w:r>
          </w:p>
        </w:tc>
        <w:tc>
          <w:tcPr>
            <w:tcW w:w="181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60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评价结论</w:t>
            </w:r>
          </w:p>
        </w:tc>
        <w:tc>
          <w:tcPr>
            <w:tcW w:w="7975"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四类学生的课后学习科目均未额外收取费用，减轻了学生家长经济压力，同时促进了学生各项全面发展，但指标设置不够合理，我校2023年四类学生课后服务补助项目支出绩效自评得分92分。</w:t>
            </w:r>
          </w:p>
        </w:tc>
      </w:tr>
      <w:tr>
        <w:tblPrEx>
          <w:tblCellMar>
            <w:top w:w="0" w:type="dxa"/>
            <w:left w:w="108" w:type="dxa"/>
            <w:bottom w:w="0" w:type="dxa"/>
            <w:right w:w="108" w:type="dxa"/>
          </w:tblCellMar>
        </w:tblPrEx>
        <w:trPr>
          <w:trHeight w:val="57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存在问题</w:t>
            </w:r>
          </w:p>
        </w:tc>
        <w:tc>
          <w:tcPr>
            <w:tcW w:w="7975"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在绩效考评指标的设计上流于形式，项目事前绩效评估、绩效目标指标设置还不够完整、合理。</w:t>
            </w:r>
          </w:p>
        </w:tc>
      </w:tr>
      <w:tr>
        <w:tblPrEx>
          <w:tblCellMar>
            <w:top w:w="0" w:type="dxa"/>
            <w:left w:w="108" w:type="dxa"/>
            <w:bottom w:w="0" w:type="dxa"/>
            <w:right w:w="108" w:type="dxa"/>
          </w:tblCellMar>
        </w:tblPrEx>
        <w:trPr>
          <w:trHeight w:val="634"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改进措施</w:t>
            </w:r>
          </w:p>
        </w:tc>
        <w:tc>
          <w:tcPr>
            <w:tcW w:w="7975"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tblPrEx>
          <w:tblCellMar>
            <w:top w:w="0" w:type="dxa"/>
            <w:left w:w="108" w:type="dxa"/>
            <w:bottom w:w="0" w:type="dxa"/>
            <w:right w:w="108" w:type="dxa"/>
          </w:tblCellMar>
        </w:tblPrEx>
        <w:trPr>
          <w:trHeight w:val="285" w:hRule="atLeast"/>
        </w:trPr>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Courier New" w:hAnsi="Courier New" w:cs="Courier New"/>
                <w:color w:val="000000"/>
                <w:kern w:val="0"/>
                <w:sz w:val="18"/>
                <w:szCs w:val="18"/>
              </w:rPr>
            </w:pPr>
            <w:r>
              <w:rPr>
                <w:rFonts w:hint="eastAsia" w:ascii="黑体" w:hAnsi="黑体" w:eastAsia="黑体" w:cs="黑体"/>
                <w:i w:val="0"/>
                <w:iCs w:val="0"/>
                <w:color w:val="000000"/>
                <w:kern w:val="0"/>
                <w:sz w:val="18"/>
                <w:szCs w:val="18"/>
                <w:u w:val="none"/>
                <w:lang w:val="en-US" w:eastAsia="zh-CN" w:bidi="ar"/>
              </w:rPr>
              <w:t>项目负责人：雷健</w:t>
            </w:r>
          </w:p>
        </w:tc>
        <w:tc>
          <w:tcPr>
            <w:tcW w:w="4675"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ourier New" w:hAnsi="Courier New" w:cs="Courier New"/>
                <w:color w:val="000000"/>
                <w:kern w:val="0"/>
                <w:sz w:val="18"/>
                <w:szCs w:val="18"/>
                <w:lang w:val="en-US"/>
              </w:rPr>
            </w:pPr>
            <w:r>
              <w:rPr>
                <w:rFonts w:hint="eastAsia" w:ascii="黑体" w:hAnsi="黑体" w:eastAsia="黑体" w:cs="黑体"/>
                <w:i w:val="0"/>
                <w:iCs w:val="0"/>
                <w:color w:val="000000"/>
                <w:kern w:val="0"/>
                <w:sz w:val="18"/>
                <w:szCs w:val="18"/>
                <w:u w:val="none"/>
                <w:lang w:val="en-US" w:eastAsia="zh-CN" w:bidi="ar"/>
              </w:rPr>
              <w:t>财务负责人：陈东</w:t>
            </w:r>
          </w:p>
        </w:tc>
      </w:tr>
    </w:tbl>
    <w:p>
      <w:pPr>
        <w:pStyle w:val="5"/>
        <w:spacing w:before="93"/>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43"/>
      <w:bookmarkEnd w:id="45"/>
      <w:bookmarkStart w:id="46" w:name="_Toc15396619"/>
    </w:p>
    <w:p>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46"/>
    </w:p>
    <w:p>
      <w:pPr>
        <w:pStyle w:val="3"/>
        <w:rPr>
          <w:rFonts w:ascii="仿宋" w:hAnsi="仿宋" w:eastAsia="仿宋"/>
        </w:rPr>
      </w:pPr>
      <w:bookmarkStart w:id="47" w:name="_Toc15396620"/>
      <w:r>
        <w:rPr>
          <w:rFonts w:hint="eastAsia" w:ascii="仿宋" w:hAnsi="仿宋" w:eastAsia="仿宋"/>
          <w:b w:val="0"/>
        </w:rPr>
        <w:t>二、收</w:t>
      </w:r>
      <w:r>
        <w:rPr>
          <w:rStyle w:val="25"/>
          <w:rFonts w:hint="eastAsia" w:ascii="仿宋" w:hAnsi="仿宋" w:eastAsia="仿宋"/>
          <w:b w:val="0"/>
          <w:bCs w:val="0"/>
        </w:rPr>
        <w:t>入决算表</w:t>
      </w:r>
      <w:bookmarkEnd w:id="47"/>
    </w:p>
    <w:p>
      <w:pPr>
        <w:pStyle w:val="3"/>
        <w:rPr>
          <w:rFonts w:ascii="仿宋" w:hAnsi="仿宋" w:eastAsia="仿宋"/>
        </w:rPr>
      </w:pPr>
      <w:bookmarkStart w:id="48"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48"/>
    </w:p>
    <w:p>
      <w:pPr>
        <w:pStyle w:val="3"/>
        <w:rPr>
          <w:rFonts w:ascii="仿宋" w:hAnsi="仿宋" w:eastAsia="仿宋"/>
          <w:b w:val="0"/>
        </w:rPr>
      </w:pPr>
      <w:bookmarkStart w:id="49"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49"/>
    </w:p>
    <w:p>
      <w:pPr>
        <w:pStyle w:val="3"/>
        <w:rPr>
          <w:rStyle w:val="25"/>
          <w:rFonts w:ascii="仿宋" w:hAnsi="仿宋" w:eastAsia="仿宋"/>
          <w:b w:val="0"/>
          <w:bCs w:val="0"/>
        </w:rPr>
      </w:pPr>
      <w:bookmarkStart w:id="50"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0"/>
      <w:bookmarkStart w:id="51" w:name="_Toc15396624"/>
    </w:p>
    <w:p>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1"/>
    </w:p>
    <w:p>
      <w:pPr>
        <w:pStyle w:val="3"/>
        <w:rPr>
          <w:rFonts w:ascii="仿宋" w:hAnsi="仿宋" w:eastAsia="仿宋"/>
        </w:rPr>
      </w:pPr>
      <w:bookmarkStart w:id="5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52"/>
    </w:p>
    <w:p>
      <w:pPr>
        <w:pStyle w:val="3"/>
        <w:rPr>
          <w:rFonts w:ascii="仿宋" w:hAnsi="仿宋" w:eastAsia="仿宋"/>
        </w:rPr>
      </w:pPr>
      <w:bookmarkStart w:id="5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53"/>
    </w:p>
    <w:p>
      <w:pPr>
        <w:pStyle w:val="3"/>
        <w:rPr>
          <w:rFonts w:ascii="仿宋" w:hAnsi="仿宋" w:eastAsia="仿宋"/>
        </w:rPr>
      </w:pPr>
      <w:bookmarkStart w:id="5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54"/>
    </w:p>
    <w:p>
      <w:pPr>
        <w:pStyle w:val="3"/>
        <w:rPr>
          <w:rFonts w:ascii="仿宋" w:hAnsi="仿宋" w:eastAsia="仿宋"/>
        </w:rPr>
      </w:pPr>
      <w:bookmarkStart w:id="55" w:name="_Toc15396628"/>
      <w:r>
        <w:rPr>
          <w:rStyle w:val="25"/>
          <w:rFonts w:hint="eastAsia" w:ascii="仿宋" w:hAnsi="仿宋" w:eastAsia="仿宋"/>
          <w:b w:val="0"/>
          <w:bCs w:val="0"/>
        </w:rPr>
        <w:t>十、</w:t>
      </w:r>
      <w:bookmarkEnd w:id="55"/>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3"/>
        <w:rPr>
          <w:rFonts w:ascii="仿宋" w:hAnsi="仿宋" w:eastAsia="仿宋"/>
        </w:rPr>
      </w:pPr>
      <w:bookmarkStart w:id="56" w:name="_Toc15396629"/>
      <w:r>
        <w:rPr>
          <w:rStyle w:val="25"/>
          <w:rFonts w:hint="eastAsia" w:ascii="仿宋" w:hAnsi="仿宋" w:eastAsia="仿宋"/>
          <w:b w:val="0"/>
          <w:bCs w:val="0"/>
        </w:rPr>
        <w:t>十一、</w:t>
      </w:r>
      <w:bookmarkEnd w:id="56"/>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3"/>
        <w:rPr>
          <w:rFonts w:ascii="仿宋" w:hAnsi="仿宋" w:eastAsia="仿宋"/>
        </w:rPr>
      </w:pPr>
      <w:bookmarkStart w:id="57" w:name="_Toc15396630"/>
      <w:r>
        <w:rPr>
          <w:rStyle w:val="25"/>
          <w:rFonts w:hint="eastAsia" w:ascii="仿宋" w:hAnsi="仿宋" w:eastAsia="仿宋"/>
          <w:b w:val="0"/>
          <w:bCs w:val="0"/>
        </w:rPr>
        <w:t>十二、</w:t>
      </w:r>
      <w:bookmarkEnd w:id="57"/>
      <w:r>
        <w:rPr>
          <w:rStyle w:val="25"/>
          <w:rFonts w:hint="eastAsia" w:ascii="仿宋" w:hAnsi="仿宋" w:eastAsia="仿宋"/>
          <w:b w:val="0"/>
          <w:bCs w:val="0"/>
        </w:rPr>
        <w:t>国有资本经营预算财政拨款支出决算表</w:t>
      </w:r>
    </w:p>
    <w:p>
      <w:pPr>
        <w:pStyle w:val="3"/>
        <w:rPr>
          <w:rFonts w:eastAsia="仿宋"/>
        </w:rPr>
      </w:pPr>
      <w:bookmarkStart w:id="58" w:name="_Toc15396631"/>
      <w:r>
        <w:rPr>
          <w:rStyle w:val="25"/>
          <w:rFonts w:hint="eastAsia" w:ascii="仿宋" w:hAnsi="仿宋" w:eastAsia="仿宋"/>
          <w:b w:val="0"/>
          <w:bCs w:val="0"/>
        </w:rPr>
        <w:t>十三、</w:t>
      </w:r>
      <w:bookmarkEnd w:id="58"/>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3NTM3NGMzYzk5OWQ0YzYwMmE4NTI3ODY2ODYxZmEifQ=="/>
  </w:docVars>
  <w:rsids>
    <w:rsidRoot w:val="00F1361C"/>
    <w:rsid w:val="000222C6"/>
    <w:rsid w:val="0002549F"/>
    <w:rsid w:val="000263E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4141"/>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003E"/>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4CB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67F6"/>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4774"/>
    <w:rsid w:val="00F45853"/>
    <w:rsid w:val="00F602DF"/>
    <w:rsid w:val="00F754A1"/>
    <w:rsid w:val="00F81FD9"/>
    <w:rsid w:val="00F841AA"/>
    <w:rsid w:val="00F84A94"/>
    <w:rsid w:val="00F87E96"/>
    <w:rsid w:val="00FA23E8"/>
    <w:rsid w:val="00FD3CC1"/>
    <w:rsid w:val="00FF1E02"/>
    <w:rsid w:val="00FF30B4"/>
    <w:rsid w:val="019360F0"/>
    <w:rsid w:val="053A62B5"/>
    <w:rsid w:val="06A349F0"/>
    <w:rsid w:val="072249D5"/>
    <w:rsid w:val="0A2032A3"/>
    <w:rsid w:val="0A4E2877"/>
    <w:rsid w:val="0ACF7563"/>
    <w:rsid w:val="0B8A37D8"/>
    <w:rsid w:val="0B9C1282"/>
    <w:rsid w:val="0E250A77"/>
    <w:rsid w:val="10C055FF"/>
    <w:rsid w:val="118107EC"/>
    <w:rsid w:val="11DD6519"/>
    <w:rsid w:val="12F27141"/>
    <w:rsid w:val="1374358A"/>
    <w:rsid w:val="139615DF"/>
    <w:rsid w:val="15655579"/>
    <w:rsid w:val="16BB723D"/>
    <w:rsid w:val="18015F3F"/>
    <w:rsid w:val="194160A8"/>
    <w:rsid w:val="1A347D76"/>
    <w:rsid w:val="1BE8440E"/>
    <w:rsid w:val="1C856C45"/>
    <w:rsid w:val="1D155CEE"/>
    <w:rsid w:val="1E7D1481"/>
    <w:rsid w:val="1E876319"/>
    <w:rsid w:val="1EAD699A"/>
    <w:rsid w:val="200B6AF0"/>
    <w:rsid w:val="203A625D"/>
    <w:rsid w:val="20F57F95"/>
    <w:rsid w:val="219B4F13"/>
    <w:rsid w:val="22437F02"/>
    <w:rsid w:val="240371BF"/>
    <w:rsid w:val="25711CC6"/>
    <w:rsid w:val="25C741E6"/>
    <w:rsid w:val="26E61FC0"/>
    <w:rsid w:val="27842671"/>
    <w:rsid w:val="28636B05"/>
    <w:rsid w:val="28A854F6"/>
    <w:rsid w:val="29FD04D3"/>
    <w:rsid w:val="2ABE7A3E"/>
    <w:rsid w:val="2C612E71"/>
    <w:rsid w:val="2CA234A8"/>
    <w:rsid w:val="2EFA178C"/>
    <w:rsid w:val="2F2A2B97"/>
    <w:rsid w:val="2F9D52DD"/>
    <w:rsid w:val="30B46D73"/>
    <w:rsid w:val="319F7F4E"/>
    <w:rsid w:val="3216604B"/>
    <w:rsid w:val="367E5D98"/>
    <w:rsid w:val="383D272C"/>
    <w:rsid w:val="39AE70AB"/>
    <w:rsid w:val="3BB371F1"/>
    <w:rsid w:val="3C0C0783"/>
    <w:rsid w:val="3EBC1815"/>
    <w:rsid w:val="3F9F3A96"/>
    <w:rsid w:val="40BD51D0"/>
    <w:rsid w:val="44421112"/>
    <w:rsid w:val="48BF60AB"/>
    <w:rsid w:val="48DD79CB"/>
    <w:rsid w:val="493C27E9"/>
    <w:rsid w:val="496F39ED"/>
    <w:rsid w:val="49DB6E7F"/>
    <w:rsid w:val="49FF41D3"/>
    <w:rsid w:val="4BE068DB"/>
    <w:rsid w:val="4BF6002B"/>
    <w:rsid w:val="4ECE2238"/>
    <w:rsid w:val="4FDA2B47"/>
    <w:rsid w:val="51DB4B86"/>
    <w:rsid w:val="52A247A4"/>
    <w:rsid w:val="54687217"/>
    <w:rsid w:val="55333C3E"/>
    <w:rsid w:val="56677639"/>
    <w:rsid w:val="5B167803"/>
    <w:rsid w:val="5D3C6BEF"/>
    <w:rsid w:val="60FF202A"/>
    <w:rsid w:val="618E553F"/>
    <w:rsid w:val="619E0800"/>
    <w:rsid w:val="62727AB3"/>
    <w:rsid w:val="63AE1EC8"/>
    <w:rsid w:val="64CA39A1"/>
    <w:rsid w:val="66996E60"/>
    <w:rsid w:val="69630ADE"/>
    <w:rsid w:val="6B481F19"/>
    <w:rsid w:val="6C4A05C8"/>
    <w:rsid w:val="6D3B1A89"/>
    <w:rsid w:val="6D6304A2"/>
    <w:rsid w:val="6FB84CCF"/>
    <w:rsid w:val="71BF4EC2"/>
    <w:rsid w:val="72734D90"/>
    <w:rsid w:val="7412278C"/>
    <w:rsid w:val="76D718DF"/>
    <w:rsid w:val="78B43685"/>
    <w:rsid w:val="79E7B28D"/>
    <w:rsid w:val="7B97298E"/>
    <w:rsid w:val="7F225CB5"/>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137023-&#36930;&#23425;&#24066;&#33337;&#23665;&#21306;&#22823;&#21335;&#34903;&#23567;&#23398;&#26657;2023&#24180;&#20915;&#31639;&#20844;&#24320;\&#20915;&#31639;&#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37023-&#36930;&#23425;&#24066;&#33337;&#23665;&#21306;&#22823;&#21335;&#34903;&#23567;&#23398;&#26657;2023&#24180;&#20915;&#31639;&#20844;&#24320;\&#20915;&#31639;&#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37023-&#36930;&#23425;&#24066;&#33337;&#23665;&#21306;&#22823;&#21335;&#34903;&#23567;&#23398;&#26657;2023&#24180;&#20915;&#31639;&#20844;&#24320;\&#20915;&#31639;&#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37023-&#36930;&#23425;&#24066;&#33337;&#23665;&#21306;&#22823;&#21335;&#34903;&#23567;&#23398;&#26657;2023&#24180;&#20915;&#31639;&#20844;&#24320;\&#20915;&#31639;&#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137023-&#36930;&#23425;&#24066;&#33337;&#23665;&#21306;&#22823;&#21335;&#34903;&#23567;&#23398;&#26657;2023&#24180;&#20915;&#31639;&#20844;&#24320;\&#20915;&#31639;&#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137023-&#36930;&#23425;&#24066;&#33337;&#23665;&#21306;&#22823;&#21335;&#34903;&#23567;&#23398;&#26657;2023&#24180;&#20915;&#31639;&#20844;&#2432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收入支出总体情况表  （单位：万元）</a:t>
            </a:r>
            <a:endParaRPr lang="zh-CN" altLang="en-US"/>
          </a:p>
        </c:rich>
      </c:tx>
      <c:layout/>
      <c:overlay val="0"/>
    </c:title>
    <c:autoTitleDeleted val="0"/>
    <c:plotArea>
      <c:layout/>
      <c:barChart>
        <c:barDir val="col"/>
        <c:grouping val="clustered"/>
        <c:varyColors val="0"/>
        <c:ser>
          <c:idx val="0"/>
          <c:order val="0"/>
          <c:invertIfNegative val="0"/>
          <c:dLbls>
            <c:delete val="1"/>
          </c:dLbls>
          <c:cat>
            <c:strRef>
              <c:f>'[决算图表.xlsx]Sheet1 (2)'!$A$3:$A$4</c:f>
              <c:strCache>
                <c:ptCount val="2"/>
                <c:pt idx="0">
                  <c:v>2022年</c:v>
                </c:pt>
                <c:pt idx="1">
                  <c:v>2023年</c:v>
                </c:pt>
              </c:strCache>
            </c:strRef>
          </c:cat>
          <c:val>
            <c:numRef>
              <c:f>'[决算图表.xlsx]Sheet1 (2)'!$B$3:$B$4</c:f>
              <c:numCache>
                <c:formatCode>General</c:formatCode>
                <c:ptCount val="2"/>
                <c:pt idx="0">
                  <c:v>860.48</c:v>
                </c:pt>
                <c:pt idx="1">
                  <c:v>854.47</c:v>
                </c:pt>
              </c:numCache>
            </c:numRef>
          </c:val>
        </c:ser>
        <c:dLbls>
          <c:showLegendKey val="0"/>
          <c:showVal val="0"/>
          <c:showCatName val="0"/>
          <c:showSerName val="0"/>
          <c:showPercent val="0"/>
          <c:showBubbleSize val="0"/>
        </c:dLbls>
        <c:gapWidth val="150"/>
        <c:axId val="146729600"/>
        <c:axId val="146887040"/>
      </c:barChart>
      <c:catAx>
        <c:axId val="1467296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887040"/>
        <c:crosses val="autoZero"/>
        <c:auto val="1"/>
        <c:lblAlgn val="ctr"/>
        <c:lblOffset val="100"/>
        <c:noMultiLvlLbl val="0"/>
      </c:catAx>
      <c:valAx>
        <c:axId val="1468870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72960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二、 收入决算情况</a:t>
            </a:r>
            <a:r>
              <a:rPr lang="en-US" altLang="zh-CN" sz="1800" b="1" i="0" baseline="0"/>
              <a:t>(</a:t>
            </a:r>
            <a:r>
              <a:rPr lang="zh-CN" altLang="zh-CN" sz="1800" b="1" i="0" baseline="0"/>
              <a:t>万元</a:t>
            </a:r>
            <a:r>
              <a:rPr lang="en-US" altLang="zh-CN" sz="1800" b="1" i="0" baseline="0"/>
              <a:t>)</a:t>
            </a:r>
            <a:endParaRPr lang="zh-CN" altLang="zh-CN" sz="1800" b="1" i="0" baseline="0"/>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[决算图表.xlsx]Sheet1!$A$20:$A$27</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[决算图表.xlsx]Sheet1!$B$20:$B$27</c:f>
              <c:numCache>
                <c:formatCode>#,##0.00</c:formatCode>
                <c:ptCount val="8"/>
                <c:pt idx="0">
                  <c:v>713.23</c:v>
                </c:pt>
                <c:pt idx="1">
                  <c:v>0.32</c:v>
                </c:pt>
                <c:pt idx="7">
                  <c:v>113.99</c:v>
                </c:pt>
              </c:numCache>
            </c:numRef>
          </c:val>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三、 支出决算情况(万元)</a:t>
            </a:r>
            <a:endParaRPr lang="zh-CN" altLang="zh-CN"/>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manualLayout>
          <c:xMode val="edge"/>
          <c:yMode val="edge"/>
          <c:x val="0.241694444444445"/>
          <c:y val="0"/>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'[决算图表.xlsx]Sheet1 (3)'!$A$35:$A$39</c:f>
              <c:strCache>
                <c:ptCount val="5"/>
                <c:pt idx="0">
                  <c:v>基本支出</c:v>
                </c:pt>
                <c:pt idx="1">
                  <c:v>项目支出</c:v>
                </c:pt>
              </c:strCache>
            </c:strRef>
          </c:cat>
          <c:val>
            <c:numRef>
              <c:f>'[决算图表.xlsx]Sheet1 (3)'!$B$35:$B$39</c:f>
              <c:numCache>
                <c:formatCode>#,##0.00</c:formatCode>
                <c:ptCount val="5"/>
                <c:pt idx="0">
                  <c:v>669.59</c:v>
                </c:pt>
                <c:pt idx="1">
                  <c:v>153.79</c:v>
                </c:pt>
              </c:numCache>
            </c:numRef>
          </c:val>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legendEntry>
        <c:idx val="4"/>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四、财政拨款收、支决算总计变动情况 （单位：万元）</a:t>
            </a:r>
            <a:endParaRPr lang="zh-CN" altLang="zh-CN" sz="1800" b="1" i="0" baseline="0"/>
          </a:p>
        </c:rich>
      </c:tx>
      <c:layout/>
      <c:overlay val="0"/>
    </c:title>
    <c:autoTitleDeleted val="0"/>
    <c:plotArea>
      <c:layout/>
      <c:barChart>
        <c:barDir val="col"/>
        <c:grouping val="stacked"/>
        <c:varyColors val="0"/>
        <c:ser>
          <c:idx val="0"/>
          <c:order val="0"/>
          <c:invertIfNegative val="0"/>
          <c:dLbls>
            <c:delete val="1"/>
          </c:dLbls>
          <c:cat>
            <c:strRef>
              <c:f>'[决算图表.xlsx]Sheet1 (3)'!$A$49:$A$50</c:f>
              <c:strCache>
                <c:ptCount val="2"/>
                <c:pt idx="0">
                  <c:v>2022年财政拨款收、支总计</c:v>
                </c:pt>
                <c:pt idx="1">
                  <c:v>2023年财政拨款收、支总计</c:v>
                </c:pt>
              </c:strCache>
            </c:strRef>
          </c:cat>
          <c:val>
            <c:numRef>
              <c:f>'[决算图表.xlsx]Sheet1 (3)'!$B$49:$B$50</c:f>
              <c:numCache>
                <c:formatCode>General</c:formatCode>
                <c:ptCount val="2"/>
                <c:pt idx="0">
                  <c:v>803.24</c:v>
                </c:pt>
                <c:pt idx="1">
                  <c:v>713.55</c:v>
                </c:pt>
              </c:numCache>
            </c:numRef>
          </c:val>
        </c:ser>
        <c:dLbls>
          <c:showLegendKey val="0"/>
          <c:showVal val="0"/>
          <c:showCatName val="0"/>
          <c:showSerName val="0"/>
          <c:showPercent val="0"/>
          <c:showBubbleSize val="0"/>
        </c:dLbls>
        <c:gapWidth val="95"/>
        <c:overlap val="100"/>
        <c:axId val="111259008"/>
        <c:axId val="111273856"/>
      </c:barChart>
      <c:catAx>
        <c:axId val="1112590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273856"/>
        <c:crosses val="autoZero"/>
        <c:auto val="1"/>
        <c:lblAlgn val="ctr"/>
        <c:lblOffset val="100"/>
        <c:noMultiLvlLbl val="0"/>
      </c:catAx>
      <c:valAx>
        <c:axId val="11127385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25900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r>
              <a:rPr lang="zh-CN" altLang="zh-CN" sz="1800" b="1" i="0" baseline="0"/>
              <a:t>五、一般公共预算财政拨款支出（万元）</a:t>
            </a:r>
            <a:endParaRPr lang="zh-CN" altLang="zh-CN"/>
          </a:p>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solidFill>
                <a:latin typeface="+mn-lt"/>
                <a:ea typeface="+mn-ea"/>
                <a:cs typeface="+mn-cs"/>
              </a:defRPr>
            </a:pPr>
            <a:endParaRPr lang="zh-CN" altLang="en-US"/>
          </a:p>
        </c:rich>
      </c:tx>
      <c:layout>
        <c:manualLayout>
          <c:xMode val="edge"/>
          <c:yMode val="edge"/>
          <c:x val="0.184768856447689"/>
          <c:y val="0.0413793103448276"/>
        </c:manualLayout>
      </c:layout>
      <c:overlay val="0"/>
    </c:title>
    <c:autoTitleDeleted val="0"/>
    <c:plotArea>
      <c:layout/>
      <c:barChart>
        <c:barDir val="col"/>
        <c:grouping val="stacked"/>
        <c:varyColors val="0"/>
        <c:ser>
          <c:idx val="0"/>
          <c:order val="0"/>
          <c:invertIfNegative val="0"/>
          <c:dLbls>
            <c:delete val="1"/>
          </c:dLbls>
          <c:cat>
            <c:strRef>
              <c:f>'[决算图表.xlsx]Sheet1 (3)'!$A$67:$A$68</c:f>
              <c:strCache>
                <c:ptCount val="2"/>
                <c:pt idx="0">
                  <c:v>2022年一般公共预算财政拨款</c:v>
                </c:pt>
                <c:pt idx="1">
                  <c:v>2023年一般公共预算财政拨款</c:v>
                </c:pt>
              </c:strCache>
            </c:strRef>
          </c:cat>
          <c:val>
            <c:numRef>
              <c:f>'[决算图表.xlsx]Sheet1 (3)'!$B$67:$B$68</c:f>
              <c:numCache>
                <c:formatCode>General</c:formatCode>
                <c:ptCount val="2"/>
                <c:pt idx="0">
                  <c:v>799.98</c:v>
                </c:pt>
                <c:pt idx="1">
                  <c:v>713.23</c:v>
                </c:pt>
              </c:numCache>
            </c:numRef>
          </c:val>
        </c:ser>
        <c:dLbls>
          <c:showLegendKey val="0"/>
          <c:showVal val="0"/>
          <c:showCatName val="0"/>
          <c:showSerName val="0"/>
          <c:showPercent val="0"/>
          <c:showBubbleSize val="0"/>
        </c:dLbls>
        <c:gapWidth val="95"/>
        <c:overlap val="100"/>
        <c:axId val="111551616"/>
        <c:axId val="111553152"/>
      </c:barChart>
      <c:catAx>
        <c:axId val="11155161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553152"/>
        <c:crosses val="autoZero"/>
        <c:auto val="1"/>
        <c:lblAlgn val="ctr"/>
        <c:lblOffset val="100"/>
        <c:noMultiLvlLbl val="0"/>
      </c:catAx>
      <c:valAx>
        <c:axId val="1115531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55161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六、一般公共预算财政拨款支出决算(万元)</a:t>
            </a:r>
            <a:endParaRPr lang="zh-CN" altLang="zh-CN"/>
          </a:p>
        </c:rich>
      </c:tx>
      <c:layout>
        <c:manualLayout>
          <c:xMode val="edge"/>
          <c:yMode val="edge"/>
          <c:x val="0.088476357267951"/>
          <c:y val="0"/>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4"/>
              <c:layout>
                <c:manualLayout>
                  <c:x val="0.0706339120715386"/>
                  <c:y val="0.018446542114218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'[决算图表.xlsx]Sheet1 (3)'!$A$86:$A$90</c:f>
              <c:strCache>
                <c:ptCount val="5"/>
                <c:pt idx="0">
                  <c:v>教育支出</c:v>
                </c:pt>
                <c:pt idx="1">
                  <c:v>社会保障和就业</c:v>
                </c:pt>
                <c:pt idx="2">
                  <c:v>卫生健康支出</c:v>
                </c:pt>
                <c:pt idx="3">
                  <c:v>住房保障支出</c:v>
                </c:pt>
              </c:strCache>
            </c:strRef>
          </c:cat>
          <c:val>
            <c:numRef>
              <c:f>'[决算图表.xlsx]Sheet1 (3)'!$B$86:$B$90</c:f>
              <c:numCache>
                <c:formatCode>General</c:formatCode>
                <c:ptCount val="5"/>
                <c:pt idx="0">
                  <c:v>530.4</c:v>
                </c:pt>
                <c:pt idx="1">
                  <c:v>98.95</c:v>
                </c:pt>
                <c:pt idx="2">
                  <c:v>34.32</c:v>
                </c:pt>
                <c:pt idx="3">
                  <c:v>49.56</c:v>
                </c:pt>
              </c:numCache>
            </c:numRef>
          </c:val>
        </c:ser>
        <c:dLbls>
          <c:showLegendKey val="0"/>
          <c:showVal val="0"/>
          <c:showCatName val="0"/>
          <c:showSerName val="0"/>
          <c:showPercent val="1"/>
          <c:showBubbleSize val="0"/>
          <c:showLeaderLines val="1"/>
        </c:dLbls>
        <c:firstSliceAng val="0"/>
      </c:pieChart>
    </c:plotArea>
    <c:legend>
      <c:legendPos val="r"/>
      <c:legendEntry>
        <c:idx val="4"/>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5357</Words>
  <Characters>5903</Characters>
  <Lines>46</Lines>
  <Paragraphs>13</Paragraphs>
  <TotalTime>3</TotalTime>
  <ScaleCrop>false</ScaleCrop>
  <LinksUpToDate>false</LinksUpToDate>
  <CharactersWithSpaces>5948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2024-09-23T02:44:50Z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247F92AA0E9E4196AC1935E0BDEA58ED_12</vt:lpwstr>
  </property>
</Properties>
</file>