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E7985">
      <w:pPr>
        <w:spacing w:line="600" w:lineRule="exact"/>
        <w:jc w:val="left"/>
        <w:outlineLvl w:val="9"/>
        <w:rPr>
          <w:rFonts w:ascii="方正小标宋简体" w:hAnsi="宋体" w:eastAsia="方正小标宋简体"/>
          <w:color w:val="auto"/>
          <w:sz w:val="21"/>
          <w:szCs w:val="21"/>
          <w:highlight w:val="none"/>
        </w:rPr>
      </w:pPr>
      <w:bookmarkStart w:id="0" w:name="_Toc15306267"/>
    </w:p>
    <w:p w14:paraId="49876374">
      <w:pPr>
        <w:spacing w:line="600" w:lineRule="exact"/>
        <w:jc w:val="center"/>
        <w:outlineLvl w:val="9"/>
        <w:rPr>
          <w:rFonts w:ascii="方正小标宋简体" w:hAnsi="宋体" w:eastAsia="方正小标宋简体"/>
          <w:color w:val="auto"/>
          <w:sz w:val="72"/>
          <w:szCs w:val="72"/>
          <w:highlight w:val="none"/>
        </w:rPr>
      </w:pPr>
    </w:p>
    <w:p w14:paraId="3E3005D9">
      <w:pPr>
        <w:spacing w:line="600" w:lineRule="exact"/>
        <w:jc w:val="center"/>
        <w:outlineLvl w:val="9"/>
        <w:rPr>
          <w:rFonts w:ascii="方正小标宋简体" w:hAnsi="宋体" w:eastAsia="方正小标宋简体"/>
          <w:color w:val="auto"/>
          <w:sz w:val="72"/>
          <w:szCs w:val="72"/>
          <w:highlight w:val="none"/>
        </w:rPr>
      </w:pPr>
    </w:p>
    <w:p w14:paraId="1649AC67">
      <w:pP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96597"/>
      <w:bookmarkStart w:id="3" w:name="_Toc15396475"/>
      <w:bookmarkStart w:id="4" w:name="_Toc15377193"/>
      <w:bookmarkStart w:id="5" w:name="_Toc1537844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bookmarkEnd w:id="0"/>
    <w:p w14:paraId="13D787E7">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6270"/>
      <w:bookmarkStart w:id="7" w:name="_Toc3435"/>
      <w:bookmarkStart w:id="8" w:name="_Toc15378442"/>
      <w:bookmarkStart w:id="9" w:name="_Toc15377426"/>
      <w:bookmarkStart w:id="10" w:name="_Toc15396598"/>
      <w:bookmarkStart w:id="11" w:name="_Toc15396476"/>
      <w:bookmarkStart w:id="12" w:name="_Toc15377194"/>
      <w:r>
        <w:rPr>
          <w:rFonts w:hint="eastAsia" w:ascii="方正小标宋简体" w:hAnsi="方正小标宋简体" w:eastAsia="方正小标宋简体" w:cs="方正小标宋简体"/>
          <w:color w:val="auto"/>
          <w:sz w:val="72"/>
          <w:szCs w:val="72"/>
          <w:highlight w:val="none"/>
        </w:rPr>
        <w:t>四川省</w:t>
      </w:r>
      <w:bookmarkStart w:id="13" w:name="_Toc15306268"/>
      <w:r>
        <w:rPr>
          <w:rFonts w:hint="eastAsia" w:ascii="方正小标宋简体" w:hAnsi="方正小标宋简体" w:eastAsia="方正小标宋简体" w:cs="方正小标宋简体"/>
          <w:color w:val="auto"/>
          <w:sz w:val="72"/>
          <w:szCs w:val="72"/>
          <w:highlight w:val="none"/>
        </w:rPr>
        <w:t>遂宁市船山区</w:t>
      </w:r>
      <w:bookmarkEnd w:id="6"/>
      <w:bookmarkEnd w:id="7"/>
    </w:p>
    <w:p w14:paraId="31BFC360">
      <w:pP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光荣院</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8"/>
      <w:bookmarkEnd w:id="9"/>
      <w:bookmarkEnd w:id="10"/>
      <w:bookmarkEnd w:id="11"/>
      <w:bookmarkEnd w:id="12"/>
      <w:bookmarkEnd w:id="13"/>
    </w:p>
    <w:p w14:paraId="20FF2D92">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sdt>
      <w:sdtPr>
        <w:rPr>
          <w:rFonts w:ascii="宋体" w:hAnsi="宋体" w:eastAsia="宋体" w:cs="Times New Roman"/>
          <w:kern w:val="2"/>
          <w:sz w:val="21"/>
          <w:szCs w:val="24"/>
          <w:lang w:val="en-US" w:eastAsia="zh-CN" w:bidi="ar-SA"/>
        </w:rPr>
        <w:id w:val="147463888"/>
        <w15:color w:val="DBDBDB"/>
        <w:docPartObj>
          <w:docPartGallery w:val="Table of Contents"/>
          <w:docPartUnique/>
        </w:docPartObj>
      </w:sdtPr>
      <w:sdtEndPr>
        <w:rPr>
          <w:rFonts w:ascii="仿宋_GB2312" w:hAnsi="Times New Roman" w:eastAsia="仿宋_GB2312" w:cs="Times New Roman"/>
          <w:b/>
          <w:kern w:val="0"/>
          <w:sz w:val="30"/>
          <w:szCs w:val="24"/>
          <w:lang w:val="en-US" w:eastAsia="zh-CN" w:bidi="ar-SA"/>
        </w:rPr>
      </w:sdtEndPr>
      <w:sdtContent>
        <w:p w14:paraId="527D3352">
          <w:pPr>
            <w:pStyle w:val="16"/>
            <w:tabs>
              <w:tab w:val="right" w:leader="dot" w:pos="8306"/>
            </w:tabs>
            <w:rPr>
              <w:b/>
            </w:rPr>
          </w:pPr>
          <w:r>
            <w:fldChar w:fldCharType="begin"/>
          </w:r>
          <w:r>
            <w:instrText xml:space="preserve">TOC \o "1-2" \h \u </w:instrText>
          </w:r>
          <w:r>
            <w:fldChar w:fldCharType="separate"/>
          </w:r>
          <w:r>
            <w:rPr>
              <w:b/>
            </w:rPr>
            <w:fldChar w:fldCharType="begin"/>
          </w:r>
          <w:r>
            <w:rPr>
              <w:b/>
            </w:rPr>
            <w:instrText xml:space="preserve"> HYPERLINK \l _Toc6137 </w:instrText>
          </w:r>
          <w:r>
            <w:rPr>
              <w:b/>
            </w:rPr>
            <w:fldChar w:fldCharType="separate"/>
          </w:r>
          <w:r>
            <w:rPr>
              <w:rFonts w:hint="eastAsia" w:ascii="黑体" w:hAnsi="黑体" w:eastAsia="黑体"/>
              <w:b/>
              <w:highlight w:val="none"/>
            </w:rPr>
            <w:t xml:space="preserve">第一部分 </w:t>
          </w:r>
          <w:r>
            <w:rPr>
              <w:rFonts w:hint="eastAsia" w:ascii="黑体" w:hAnsi="黑体" w:eastAsia="黑体"/>
              <w:b/>
              <w:highlight w:val="none"/>
              <w:lang w:eastAsia="zh-CN"/>
            </w:rPr>
            <w:t>单位</w:t>
          </w:r>
          <w:r>
            <w:rPr>
              <w:rFonts w:hint="eastAsia" w:ascii="黑体" w:hAnsi="黑体" w:eastAsia="黑体"/>
              <w:b/>
              <w:bCs w:val="0"/>
              <w:highlight w:val="none"/>
            </w:rPr>
            <w:t>概况</w:t>
          </w:r>
          <w:r>
            <w:rPr>
              <w:b/>
            </w:rPr>
            <w:tab/>
          </w:r>
          <w:r>
            <w:rPr>
              <w:b/>
            </w:rPr>
            <w:fldChar w:fldCharType="begin"/>
          </w:r>
          <w:r>
            <w:rPr>
              <w:b/>
            </w:rPr>
            <w:instrText xml:space="preserve"> PAGEREF _Toc6137 \h </w:instrText>
          </w:r>
          <w:r>
            <w:rPr>
              <w:b/>
            </w:rPr>
            <w:fldChar w:fldCharType="separate"/>
          </w:r>
          <w:r>
            <w:rPr>
              <w:b/>
            </w:rPr>
            <w:t>1</w:t>
          </w:r>
          <w:r>
            <w:rPr>
              <w:b/>
            </w:rPr>
            <w:fldChar w:fldCharType="end"/>
          </w:r>
          <w:r>
            <w:rPr>
              <w:b/>
            </w:rPr>
            <w:fldChar w:fldCharType="end"/>
          </w:r>
        </w:p>
        <w:p w14:paraId="231B2DD2">
          <w:pPr>
            <w:pStyle w:val="17"/>
            <w:tabs>
              <w:tab w:val="right" w:leader="dot" w:pos="8306"/>
            </w:tabs>
          </w:pPr>
          <w:r>
            <w:fldChar w:fldCharType="begin"/>
          </w:r>
          <w:r>
            <w:instrText xml:space="preserve"> HYPERLINK \l _Toc2149 </w:instrText>
          </w:r>
          <w:r>
            <w:fldChar w:fldCharType="separate"/>
          </w:r>
          <w:r>
            <w:rPr>
              <w:rFonts w:hint="eastAsia" w:ascii="黑体" w:hAnsi="黑体" w:eastAsia="黑体"/>
              <w:bCs w:val="0"/>
              <w:lang w:eastAsia="zh-CN"/>
            </w:rPr>
            <w:t xml:space="preserve">一、 </w:t>
          </w:r>
          <w:r>
            <w:rPr>
              <w:rFonts w:hint="eastAsia" w:ascii="黑体" w:hAnsi="黑体" w:eastAsia="黑体"/>
              <w:bCs w:val="0"/>
              <w:highlight w:val="none"/>
              <w:lang w:eastAsia="zh-CN"/>
            </w:rPr>
            <w:t>主要职责</w:t>
          </w:r>
          <w:r>
            <w:tab/>
          </w:r>
          <w:r>
            <w:fldChar w:fldCharType="begin"/>
          </w:r>
          <w:r>
            <w:instrText xml:space="preserve"> PAGEREF _Toc2149 \h </w:instrText>
          </w:r>
          <w:r>
            <w:fldChar w:fldCharType="separate"/>
          </w:r>
          <w:r>
            <w:t>1</w:t>
          </w:r>
          <w:r>
            <w:fldChar w:fldCharType="end"/>
          </w:r>
          <w:r>
            <w:fldChar w:fldCharType="end"/>
          </w:r>
        </w:p>
        <w:p w14:paraId="55604CCD">
          <w:pPr>
            <w:pStyle w:val="17"/>
            <w:tabs>
              <w:tab w:val="right" w:leader="dot" w:pos="8306"/>
            </w:tabs>
          </w:pPr>
          <w:r>
            <w:fldChar w:fldCharType="begin"/>
          </w:r>
          <w:r>
            <w:instrText xml:space="preserve"> HYPERLINK \l _Toc26959 </w:instrText>
          </w:r>
          <w:r>
            <w:fldChar w:fldCharType="separate"/>
          </w:r>
          <w:r>
            <w:rPr>
              <w:rFonts w:hint="eastAsia" w:ascii="黑体" w:hAnsi="黑体" w:eastAsia="黑体"/>
              <w:highlight w:val="none"/>
              <w:lang w:val="en-US" w:eastAsia="zh-CN"/>
            </w:rPr>
            <w:t>二、机构设置</w:t>
          </w:r>
          <w:r>
            <w:tab/>
          </w:r>
          <w:r>
            <w:fldChar w:fldCharType="begin"/>
          </w:r>
          <w:r>
            <w:instrText xml:space="preserve"> PAGEREF _Toc26959 \h </w:instrText>
          </w:r>
          <w:r>
            <w:fldChar w:fldCharType="separate"/>
          </w:r>
          <w:r>
            <w:t>1</w:t>
          </w:r>
          <w:r>
            <w:fldChar w:fldCharType="end"/>
          </w:r>
          <w:r>
            <w:fldChar w:fldCharType="end"/>
          </w:r>
        </w:p>
        <w:p w14:paraId="5DE19B37">
          <w:pPr>
            <w:pStyle w:val="16"/>
            <w:tabs>
              <w:tab w:val="right" w:leader="dot" w:pos="8306"/>
            </w:tabs>
            <w:rPr>
              <w:b/>
            </w:rPr>
          </w:pPr>
          <w:r>
            <w:rPr>
              <w:b/>
            </w:rPr>
            <w:fldChar w:fldCharType="begin"/>
          </w:r>
          <w:r>
            <w:rPr>
              <w:b/>
            </w:rPr>
            <w:instrText xml:space="preserve"> HYPERLINK \l _Toc18612 </w:instrText>
          </w:r>
          <w:r>
            <w:rPr>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w:t>
          </w:r>
          <w:r>
            <w:rPr>
              <w:rFonts w:hint="eastAsia" w:ascii="黑体" w:hAnsi="黑体" w:eastAsia="黑体"/>
              <w:b/>
              <w:bCs/>
              <w:highlight w:val="none"/>
              <w:lang w:eastAsia="zh-CN"/>
            </w:rPr>
            <w:t>单位</w:t>
          </w:r>
          <w:r>
            <w:rPr>
              <w:rFonts w:hint="eastAsia" w:ascii="黑体" w:hAnsi="黑体" w:eastAsia="黑体"/>
              <w:b/>
              <w:bCs/>
              <w:highlight w:val="none"/>
            </w:rPr>
            <w:t>决算情况说明</w:t>
          </w:r>
          <w:r>
            <w:rPr>
              <w:b/>
            </w:rPr>
            <w:tab/>
          </w:r>
          <w:r>
            <w:rPr>
              <w:b/>
            </w:rPr>
            <w:fldChar w:fldCharType="begin"/>
          </w:r>
          <w:r>
            <w:rPr>
              <w:b/>
            </w:rPr>
            <w:instrText xml:space="preserve"> PAGEREF _Toc18612 \h </w:instrText>
          </w:r>
          <w:r>
            <w:rPr>
              <w:b/>
            </w:rPr>
            <w:fldChar w:fldCharType="separate"/>
          </w:r>
          <w:r>
            <w:rPr>
              <w:b/>
            </w:rPr>
            <w:t>2</w:t>
          </w:r>
          <w:r>
            <w:rPr>
              <w:b/>
            </w:rPr>
            <w:fldChar w:fldCharType="end"/>
          </w:r>
          <w:r>
            <w:rPr>
              <w:b/>
            </w:rPr>
            <w:fldChar w:fldCharType="end"/>
          </w:r>
        </w:p>
        <w:p w14:paraId="4EFA1719">
          <w:pPr>
            <w:pStyle w:val="17"/>
            <w:tabs>
              <w:tab w:val="right" w:leader="dot" w:pos="8306"/>
            </w:tabs>
          </w:pPr>
          <w:r>
            <w:fldChar w:fldCharType="begin"/>
          </w:r>
          <w:r>
            <w:instrText xml:space="preserve"> HYPERLINK \l _Toc6662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_Toc6662 \h </w:instrText>
          </w:r>
          <w:r>
            <w:fldChar w:fldCharType="separate"/>
          </w:r>
          <w:r>
            <w:t>2</w:t>
          </w:r>
          <w:r>
            <w:fldChar w:fldCharType="end"/>
          </w:r>
          <w:r>
            <w:fldChar w:fldCharType="end"/>
          </w:r>
        </w:p>
        <w:p w14:paraId="15F9E8BA">
          <w:pPr>
            <w:pStyle w:val="17"/>
            <w:tabs>
              <w:tab w:val="right" w:leader="dot" w:pos="8306"/>
            </w:tabs>
          </w:pPr>
          <w:r>
            <w:fldChar w:fldCharType="begin"/>
          </w:r>
          <w:r>
            <w:instrText xml:space="preserve"> HYPERLINK \l _Toc13756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_Toc13756 \h </w:instrText>
          </w:r>
          <w:r>
            <w:fldChar w:fldCharType="separate"/>
          </w:r>
          <w:r>
            <w:t>2</w:t>
          </w:r>
          <w:r>
            <w:fldChar w:fldCharType="end"/>
          </w:r>
          <w:r>
            <w:fldChar w:fldCharType="end"/>
          </w:r>
        </w:p>
        <w:p w14:paraId="5AAC3149">
          <w:pPr>
            <w:pStyle w:val="17"/>
            <w:tabs>
              <w:tab w:val="right" w:leader="dot" w:pos="8306"/>
            </w:tabs>
          </w:pPr>
          <w:r>
            <w:fldChar w:fldCharType="begin"/>
          </w:r>
          <w:r>
            <w:instrText xml:space="preserve"> HYPERLINK \l _Toc22793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_Toc22793 \h </w:instrText>
          </w:r>
          <w:r>
            <w:fldChar w:fldCharType="separate"/>
          </w:r>
          <w:r>
            <w:t>3</w:t>
          </w:r>
          <w:r>
            <w:fldChar w:fldCharType="end"/>
          </w:r>
          <w:r>
            <w:fldChar w:fldCharType="end"/>
          </w:r>
        </w:p>
        <w:p w14:paraId="2FC0FCBD">
          <w:pPr>
            <w:pStyle w:val="17"/>
            <w:tabs>
              <w:tab w:val="right" w:leader="dot" w:pos="8306"/>
            </w:tabs>
          </w:pPr>
          <w:r>
            <w:fldChar w:fldCharType="begin"/>
          </w:r>
          <w:r>
            <w:instrText xml:space="preserve"> HYPERLINK \l _Toc23427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_Toc23427 \h </w:instrText>
          </w:r>
          <w:r>
            <w:fldChar w:fldCharType="separate"/>
          </w:r>
          <w:r>
            <w:t>4</w:t>
          </w:r>
          <w:r>
            <w:fldChar w:fldCharType="end"/>
          </w:r>
          <w:r>
            <w:fldChar w:fldCharType="end"/>
          </w:r>
        </w:p>
        <w:p w14:paraId="75CC1F3F">
          <w:pPr>
            <w:pStyle w:val="17"/>
            <w:tabs>
              <w:tab w:val="right" w:leader="dot" w:pos="8306"/>
            </w:tabs>
          </w:pPr>
          <w:r>
            <w:fldChar w:fldCharType="begin"/>
          </w:r>
          <w:r>
            <w:instrText xml:space="preserve"> HYPERLINK \l _Toc24549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_Toc24549 \h </w:instrText>
          </w:r>
          <w:r>
            <w:fldChar w:fldCharType="separate"/>
          </w:r>
          <w:r>
            <w:t>4</w:t>
          </w:r>
          <w:r>
            <w:fldChar w:fldCharType="end"/>
          </w:r>
          <w:r>
            <w:fldChar w:fldCharType="end"/>
          </w:r>
        </w:p>
        <w:p w14:paraId="2F44E8EA">
          <w:pPr>
            <w:pStyle w:val="17"/>
            <w:tabs>
              <w:tab w:val="right" w:leader="dot" w:pos="8306"/>
            </w:tabs>
          </w:pPr>
          <w:r>
            <w:fldChar w:fldCharType="begin"/>
          </w:r>
          <w:r>
            <w:instrText xml:space="preserve"> HYPERLINK \l _Toc499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_Toc499 \h </w:instrText>
          </w:r>
          <w:r>
            <w:fldChar w:fldCharType="separate"/>
          </w:r>
          <w:r>
            <w:t>7</w:t>
          </w:r>
          <w:r>
            <w:fldChar w:fldCharType="end"/>
          </w:r>
          <w:r>
            <w:fldChar w:fldCharType="end"/>
          </w:r>
        </w:p>
        <w:p w14:paraId="76951953">
          <w:pPr>
            <w:pStyle w:val="17"/>
            <w:tabs>
              <w:tab w:val="right" w:leader="dot" w:pos="8306"/>
            </w:tabs>
          </w:pPr>
          <w:r>
            <w:fldChar w:fldCharType="begin"/>
          </w:r>
          <w:r>
            <w:instrText xml:space="preserve"> HYPERLINK \l _Toc5767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_Toc5767 \h </w:instrText>
          </w:r>
          <w:r>
            <w:fldChar w:fldCharType="separate"/>
          </w:r>
          <w:r>
            <w:t>8</w:t>
          </w:r>
          <w:r>
            <w:fldChar w:fldCharType="end"/>
          </w:r>
          <w:r>
            <w:fldChar w:fldCharType="end"/>
          </w:r>
        </w:p>
        <w:p w14:paraId="72BAE19D">
          <w:pPr>
            <w:pStyle w:val="17"/>
            <w:tabs>
              <w:tab w:val="right" w:leader="dot" w:pos="8306"/>
            </w:tabs>
          </w:pPr>
          <w:r>
            <w:fldChar w:fldCharType="begin"/>
          </w:r>
          <w:r>
            <w:instrText xml:space="preserve"> HYPERLINK \l _Toc1495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_Toc1495 \h </w:instrText>
          </w:r>
          <w:r>
            <w:fldChar w:fldCharType="separate"/>
          </w:r>
          <w:r>
            <w:t>9</w:t>
          </w:r>
          <w:r>
            <w:fldChar w:fldCharType="end"/>
          </w:r>
          <w:r>
            <w:fldChar w:fldCharType="end"/>
          </w:r>
        </w:p>
        <w:p w14:paraId="5E91D605">
          <w:pPr>
            <w:pStyle w:val="17"/>
            <w:tabs>
              <w:tab w:val="right" w:leader="dot" w:pos="8306"/>
            </w:tabs>
          </w:pPr>
          <w:r>
            <w:fldChar w:fldCharType="begin"/>
          </w:r>
          <w:r>
            <w:instrText xml:space="preserve"> HYPERLINK \l _Toc7407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_Toc7407 \h </w:instrText>
          </w:r>
          <w:r>
            <w:fldChar w:fldCharType="separate"/>
          </w:r>
          <w:r>
            <w:t>9</w:t>
          </w:r>
          <w:r>
            <w:fldChar w:fldCharType="end"/>
          </w:r>
          <w:r>
            <w:fldChar w:fldCharType="end"/>
          </w:r>
        </w:p>
        <w:p w14:paraId="317E169E">
          <w:pPr>
            <w:pStyle w:val="17"/>
            <w:tabs>
              <w:tab w:val="right" w:leader="dot" w:pos="8306"/>
            </w:tabs>
          </w:pPr>
          <w:r>
            <w:fldChar w:fldCharType="begin"/>
          </w:r>
          <w:r>
            <w:instrText xml:space="preserve"> HYPERLINK \l _Toc9215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_Toc9215 \h </w:instrText>
          </w:r>
          <w:r>
            <w:fldChar w:fldCharType="separate"/>
          </w:r>
          <w:r>
            <w:t>9</w:t>
          </w:r>
          <w:r>
            <w:fldChar w:fldCharType="end"/>
          </w:r>
          <w:r>
            <w:fldChar w:fldCharType="end"/>
          </w:r>
        </w:p>
        <w:p w14:paraId="1C8F5D73">
          <w:pPr>
            <w:pStyle w:val="16"/>
            <w:tabs>
              <w:tab w:val="right" w:leader="dot" w:pos="8306"/>
            </w:tabs>
          </w:pPr>
          <w:r>
            <w:rPr>
              <w:b/>
            </w:rPr>
            <w:fldChar w:fldCharType="begin"/>
          </w:r>
          <w:r>
            <w:rPr>
              <w:b/>
            </w:rPr>
            <w:instrText xml:space="preserve"> HYPERLINK \l _Toc30584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_Toc30584 \h </w:instrText>
          </w:r>
          <w:r>
            <w:rPr>
              <w:b/>
            </w:rPr>
            <w:fldChar w:fldCharType="separate"/>
          </w:r>
          <w:r>
            <w:rPr>
              <w:b/>
            </w:rPr>
            <w:t>10</w:t>
          </w:r>
          <w:r>
            <w:rPr>
              <w:b/>
            </w:rPr>
            <w:fldChar w:fldCharType="end"/>
          </w:r>
          <w:r>
            <w:rPr>
              <w:b/>
            </w:rPr>
            <w:fldChar w:fldCharType="end"/>
          </w:r>
        </w:p>
        <w:p w14:paraId="3A027519">
          <w:pPr>
            <w:pStyle w:val="16"/>
            <w:tabs>
              <w:tab w:val="right" w:leader="dot" w:pos="8306"/>
            </w:tabs>
            <w:rPr>
              <w:b/>
            </w:rPr>
          </w:pPr>
          <w:r>
            <w:rPr>
              <w:b/>
            </w:rPr>
            <w:fldChar w:fldCharType="begin"/>
          </w:r>
          <w:r>
            <w:rPr>
              <w:b/>
            </w:rPr>
            <w:instrText xml:space="preserve"> HYPERLINK \l _Toc523 </w:instrText>
          </w:r>
          <w:r>
            <w:rPr>
              <w:b/>
            </w:rPr>
            <w:fldChar w:fldCharType="separate"/>
          </w:r>
          <w:r>
            <w:rPr>
              <w:rFonts w:hint="eastAsia" w:ascii="黑体" w:hAnsi="黑体" w:eastAsia="黑体" w:cs="黑体"/>
              <w:b/>
              <w:szCs w:val="44"/>
            </w:rPr>
            <w:t xml:space="preserve">第四部分 </w:t>
          </w:r>
          <w:r>
            <w:rPr>
              <w:rFonts w:hint="eastAsia" w:ascii="黑体" w:hAnsi="黑体" w:eastAsia="黑体"/>
              <w:b/>
              <w:highlight w:val="none"/>
            </w:rPr>
            <w:t>附件</w:t>
          </w:r>
          <w:r>
            <w:rPr>
              <w:b/>
            </w:rPr>
            <w:tab/>
          </w:r>
          <w:r>
            <w:rPr>
              <w:b/>
            </w:rPr>
            <w:fldChar w:fldCharType="begin"/>
          </w:r>
          <w:r>
            <w:rPr>
              <w:b/>
            </w:rPr>
            <w:instrText xml:space="preserve"> PAGEREF _Toc523 \h </w:instrText>
          </w:r>
          <w:r>
            <w:rPr>
              <w:b/>
            </w:rPr>
            <w:fldChar w:fldCharType="separate"/>
          </w:r>
          <w:r>
            <w:rPr>
              <w:b/>
            </w:rPr>
            <w:t>14</w:t>
          </w:r>
          <w:r>
            <w:rPr>
              <w:b/>
            </w:rPr>
            <w:fldChar w:fldCharType="end"/>
          </w:r>
          <w:r>
            <w:rPr>
              <w:b/>
            </w:rPr>
            <w:fldChar w:fldCharType="end"/>
          </w:r>
        </w:p>
        <w:p w14:paraId="60F89A8E">
          <w:pPr>
            <w:pStyle w:val="16"/>
            <w:tabs>
              <w:tab w:val="right" w:leader="dot" w:pos="8306"/>
            </w:tabs>
            <w:rPr>
              <w:b/>
            </w:rPr>
          </w:pPr>
          <w:r>
            <w:rPr>
              <w:b/>
            </w:rPr>
            <w:fldChar w:fldCharType="begin"/>
          </w:r>
          <w:r>
            <w:rPr>
              <w:b/>
            </w:rPr>
            <w:instrText xml:space="preserve"> HYPERLINK \l _Toc12368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_Toc12368 \h </w:instrText>
          </w:r>
          <w:r>
            <w:rPr>
              <w:b/>
            </w:rPr>
            <w:fldChar w:fldCharType="separate"/>
          </w:r>
          <w:r>
            <w:rPr>
              <w:b/>
            </w:rPr>
            <w:t>20</w:t>
          </w:r>
          <w:r>
            <w:rPr>
              <w:b/>
            </w:rPr>
            <w:fldChar w:fldCharType="end"/>
          </w:r>
          <w:r>
            <w:rPr>
              <w:b/>
            </w:rPr>
            <w:fldChar w:fldCharType="end"/>
          </w:r>
        </w:p>
        <w:p w14:paraId="09DD86E7">
          <w:pPr>
            <w:pStyle w:val="17"/>
            <w:tabs>
              <w:tab w:val="right" w:leader="dot" w:pos="8306"/>
            </w:tabs>
          </w:pPr>
          <w:r>
            <w:fldChar w:fldCharType="begin"/>
          </w:r>
          <w:r>
            <w:instrText xml:space="preserve"> HYPERLINK \l _Toc22217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_Toc22217 \h </w:instrText>
          </w:r>
          <w:r>
            <w:fldChar w:fldCharType="separate"/>
          </w:r>
          <w:r>
            <w:t>20</w:t>
          </w:r>
          <w:r>
            <w:fldChar w:fldCharType="end"/>
          </w:r>
          <w:r>
            <w:fldChar w:fldCharType="end"/>
          </w:r>
        </w:p>
        <w:p w14:paraId="1D2E5960">
          <w:pPr>
            <w:pStyle w:val="17"/>
            <w:tabs>
              <w:tab w:val="right" w:leader="dot" w:pos="8306"/>
            </w:tabs>
          </w:pPr>
          <w:r>
            <w:fldChar w:fldCharType="begin"/>
          </w:r>
          <w:r>
            <w:instrText xml:space="preserve"> HYPERLINK \l _Toc2483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_Toc2483 \h </w:instrText>
          </w:r>
          <w:r>
            <w:fldChar w:fldCharType="separate"/>
          </w:r>
          <w:r>
            <w:t>20</w:t>
          </w:r>
          <w:r>
            <w:fldChar w:fldCharType="end"/>
          </w:r>
          <w:r>
            <w:fldChar w:fldCharType="end"/>
          </w:r>
        </w:p>
        <w:p w14:paraId="576B609C">
          <w:pPr>
            <w:pStyle w:val="17"/>
            <w:tabs>
              <w:tab w:val="right" w:leader="dot" w:pos="8306"/>
            </w:tabs>
          </w:pPr>
          <w:r>
            <w:fldChar w:fldCharType="begin"/>
          </w:r>
          <w:r>
            <w:instrText xml:space="preserve"> HYPERLINK \l _Toc3939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_Toc3939 \h </w:instrText>
          </w:r>
          <w:r>
            <w:fldChar w:fldCharType="separate"/>
          </w:r>
          <w:r>
            <w:t>20</w:t>
          </w:r>
          <w:r>
            <w:fldChar w:fldCharType="end"/>
          </w:r>
          <w:r>
            <w:fldChar w:fldCharType="end"/>
          </w:r>
        </w:p>
        <w:p w14:paraId="3DE0A4A0">
          <w:pPr>
            <w:pStyle w:val="17"/>
            <w:tabs>
              <w:tab w:val="right" w:leader="dot" w:pos="8306"/>
            </w:tabs>
          </w:pPr>
          <w:r>
            <w:fldChar w:fldCharType="begin"/>
          </w:r>
          <w:r>
            <w:instrText xml:space="preserve"> HYPERLINK \l _Toc11959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_Toc11959 \h </w:instrText>
          </w:r>
          <w:r>
            <w:fldChar w:fldCharType="separate"/>
          </w:r>
          <w:r>
            <w:t>20</w:t>
          </w:r>
          <w:r>
            <w:fldChar w:fldCharType="end"/>
          </w:r>
          <w:r>
            <w:fldChar w:fldCharType="end"/>
          </w:r>
        </w:p>
        <w:p w14:paraId="47E4555A">
          <w:pPr>
            <w:pStyle w:val="17"/>
            <w:tabs>
              <w:tab w:val="right" w:leader="dot" w:pos="8306"/>
            </w:tabs>
          </w:pPr>
          <w:r>
            <w:fldChar w:fldCharType="begin"/>
          </w:r>
          <w:r>
            <w:instrText xml:space="preserve"> HYPERLINK \l _Toc23683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_Toc23683 \h </w:instrText>
          </w:r>
          <w:r>
            <w:fldChar w:fldCharType="separate"/>
          </w:r>
          <w:r>
            <w:t>20</w:t>
          </w:r>
          <w:r>
            <w:fldChar w:fldCharType="end"/>
          </w:r>
          <w:r>
            <w:fldChar w:fldCharType="end"/>
          </w:r>
        </w:p>
        <w:p w14:paraId="3DBE00BC">
          <w:pPr>
            <w:pStyle w:val="17"/>
            <w:tabs>
              <w:tab w:val="right" w:leader="dot" w:pos="8306"/>
            </w:tabs>
          </w:pPr>
          <w:r>
            <w:fldChar w:fldCharType="begin"/>
          </w:r>
          <w:r>
            <w:instrText xml:space="preserve"> HYPERLINK \l _Toc6391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_Toc6391 \h </w:instrText>
          </w:r>
          <w:r>
            <w:fldChar w:fldCharType="separate"/>
          </w:r>
          <w:r>
            <w:t>20</w:t>
          </w:r>
          <w:r>
            <w:fldChar w:fldCharType="end"/>
          </w:r>
          <w:r>
            <w:fldChar w:fldCharType="end"/>
          </w:r>
        </w:p>
        <w:p w14:paraId="0C523802">
          <w:pPr>
            <w:pStyle w:val="17"/>
            <w:tabs>
              <w:tab w:val="right" w:leader="dot" w:pos="8306"/>
            </w:tabs>
          </w:pPr>
          <w:r>
            <w:fldChar w:fldCharType="begin"/>
          </w:r>
          <w:r>
            <w:instrText xml:space="preserve"> HYPERLINK \l _Toc14271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_Toc14271 \h </w:instrText>
          </w:r>
          <w:r>
            <w:fldChar w:fldCharType="separate"/>
          </w:r>
          <w:r>
            <w:t>20</w:t>
          </w:r>
          <w:r>
            <w:fldChar w:fldCharType="end"/>
          </w:r>
          <w:r>
            <w:fldChar w:fldCharType="end"/>
          </w:r>
        </w:p>
        <w:p w14:paraId="19DA4B6B">
          <w:pPr>
            <w:pStyle w:val="17"/>
            <w:tabs>
              <w:tab w:val="right" w:leader="dot" w:pos="8306"/>
            </w:tabs>
          </w:pPr>
          <w:r>
            <w:fldChar w:fldCharType="begin"/>
          </w:r>
          <w:r>
            <w:instrText xml:space="preserve"> HYPERLINK \l _Toc11853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_Toc11853 \h </w:instrText>
          </w:r>
          <w:r>
            <w:fldChar w:fldCharType="separate"/>
          </w:r>
          <w:r>
            <w:t>20</w:t>
          </w:r>
          <w:r>
            <w:fldChar w:fldCharType="end"/>
          </w:r>
          <w:r>
            <w:fldChar w:fldCharType="end"/>
          </w:r>
        </w:p>
        <w:p w14:paraId="134866DD">
          <w:pPr>
            <w:pStyle w:val="17"/>
            <w:tabs>
              <w:tab w:val="right" w:leader="dot" w:pos="8306"/>
            </w:tabs>
          </w:pPr>
          <w:r>
            <w:fldChar w:fldCharType="begin"/>
          </w:r>
          <w:r>
            <w:instrText xml:space="preserve"> HYPERLINK \l _Toc1079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_Toc1079 \h </w:instrText>
          </w:r>
          <w:r>
            <w:fldChar w:fldCharType="separate"/>
          </w:r>
          <w:r>
            <w:t>20</w:t>
          </w:r>
          <w:r>
            <w:fldChar w:fldCharType="end"/>
          </w:r>
          <w:r>
            <w:fldChar w:fldCharType="end"/>
          </w:r>
        </w:p>
        <w:p w14:paraId="7ECE680F">
          <w:pPr>
            <w:pStyle w:val="17"/>
            <w:tabs>
              <w:tab w:val="right" w:leader="dot" w:pos="8306"/>
            </w:tabs>
          </w:pPr>
          <w:r>
            <w:fldChar w:fldCharType="begin"/>
          </w:r>
          <w:r>
            <w:instrText xml:space="preserve"> HYPERLINK \l _Toc15663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_Toc15663 \h </w:instrText>
          </w:r>
          <w:r>
            <w:fldChar w:fldCharType="separate"/>
          </w:r>
          <w:r>
            <w:t>20</w:t>
          </w:r>
          <w:r>
            <w:fldChar w:fldCharType="end"/>
          </w:r>
          <w:r>
            <w:fldChar w:fldCharType="end"/>
          </w:r>
        </w:p>
        <w:p w14:paraId="502A25EE">
          <w:pPr>
            <w:pStyle w:val="17"/>
            <w:tabs>
              <w:tab w:val="right" w:leader="dot" w:pos="8306"/>
            </w:tabs>
          </w:pPr>
          <w:r>
            <w:fldChar w:fldCharType="begin"/>
          </w:r>
          <w:r>
            <w:instrText xml:space="preserve"> HYPERLINK \l _Toc27601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_Toc27601 \h </w:instrText>
          </w:r>
          <w:r>
            <w:fldChar w:fldCharType="separate"/>
          </w:r>
          <w:r>
            <w:t>20</w:t>
          </w:r>
          <w:r>
            <w:fldChar w:fldCharType="end"/>
          </w:r>
          <w:r>
            <w:fldChar w:fldCharType="end"/>
          </w:r>
        </w:p>
        <w:p w14:paraId="42BE71D2">
          <w:pPr>
            <w:pStyle w:val="17"/>
            <w:tabs>
              <w:tab w:val="right" w:leader="dot" w:pos="8306"/>
            </w:tabs>
          </w:pPr>
          <w:r>
            <w:fldChar w:fldCharType="begin"/>
          </w:r>
          <w:r>
            <w:instrText xml:space="preserve"> HYPERLINK \l _Toc30263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_Toc30263 \h </w:instrText>
          </w:r>
          <w:r>
            <w:fldChar w:fldCharType="separate"/>
          </w:r>
          <w:r>
            <w:t>20</w:t>
          </w:r>
          <w:r>
            <w:fldChar w:fldCharType="end"/>
          </w:r>
          <w:r>
            <w:fldChar w:fldCharType="end"/>
          </w:r>
        </w:p>
        <w:p w14:paraId="5A525566">
          <w:pPr>
            <w:pStyle w:val="17"/>
            <w:tabs>
              <w:tab w:val="right" w:leader="dot" w:pos="8306"/>
            </w:tabs>
          </w:pPr>
          <w:r>
            <w:fldChar w:fldCharType="begin"/>
          </w:r>
          <w:r>
            <w:instrText xml:space="preserve"> HYPERLINK \l _Toc27474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_Toc27474 \h </w:instrText>
          </w:r>
          <w:r>
            <w:fldChar w:fldCharType="separate"/>
          </w:r>
          <w:r>
            <w:t>20</w:t>
          </w:r>
          <w:r>
            <w:fldChar w:fldCharType="end"/>
          </w:r>
          <w:r>
            <w:fldChar w:fldCharType="end"/>
          </w:r>
        </w:p>
        <w:p w14:paraId="01CE3E17">
          <w:pPr>
            <w:pStyle w:val="2"/>
            <w:rPr>
              <w:rFonts w:ascii="仿宋_GB2312" w:hAnsi="Times New Roman" w:eastAsia="仿宋_GB2312" w:cs="Times New Roman"/>
              <w:b/>
              <w:kern w:val="0"/>
              <w:sz w:val="30"/>
              <w:szCs w:val="24"/>
              <w:lang w:val="en-US" w:eastAsia="zh-CN" w:bidi="ar-SA"/>
            </w:rPr>
          </w:pPr>
          <w:r>
            <w:rPr>
              <w:b/>
            </w:rPr>
            <w:fldChar w:fldCharType="end"/>
          </w:r>
        </w:p>
      </w:sdtContent>
    </w:sdt>
    <w:p w14:paraId="4E0FA4A2">
      <w:pPr>
        <w:pStyle w:val="2"/>
        <w:rPr>
          <w:rFonts w:ascii="仿宋_GB2312" w:hAnsi="Times New Roman" w:eastAsia="仿宋_GB2312" w:cs="Times New Roman"/>
          <w:b/>
          <w:kern w:val="0"/>
          <w:sz w:val="30"/>
          <w:szCs w:val="24"/>
          <w:lang w:val="en-US" w:eastAsia="zh-CN" w:bidi="ar-SA"/>
        </w:rPr>
      </w:pPr>
    </w:p>
    <w:p w14:paraId="1CBB30DE">
      <w:pPr>
        <w:pStyle w:val="2"/>
      </w:pPr>
    </w:p>
    <w:p w14:paraId="7A562F9B">
      <w:pPr>
        <w:pStyle w:val="2"/>
      </w:pPr>
    </w:p>
    <w:p w14:paraId="7ABA39F3">
      <w:pPr>
        <w:pStyle w:val="2"/>
      </w:pPr>
    </w:p>
    <w:p w14:paraId="026E2F4D">
      <w:pPr>
        <w:pStyle w:val="2"/>
        <w:sectPr>
          <w:pgSz w:w="11906" w:h="16838"/>
          <w:pgMar w:top="1440" w:right="1800" w:bottom="1440" w:left="1800" w:header="851" w:footer="992" w:gutter="0"/>
          <w:cols w:space="425" w:num="1"/>
          <w:docGrid w:type="lines" w:linePitch="312" w:charSpace="0"/>
        </w:sectPr>
      </w:pPr>
    </w:p>
    <w:p w14:paraId="2996B6A5">
      <w:pPr>
        <w:pStyle w:val="2"/>
      </w:pPr>
    </w:p>
    <w:p w14:paraId="426506BB">
      <w:pPr>
        <w:pStyle w:val="3"/>
        <w:jc w:val="center"/>
        <w:rPr>
          <w:rStyle w:val="12"/>
          <w:rFonts w:ascii="黑体" w:hAnsi="黑体" w:eastAsia="黑体"/>
          <w:b/>
          <w:bCs w:val="0"/>
          <w:color w:val="auto"/>
          <w:highlight w:val="none"/>
        </w:rPr>
      </w:pPr>
      <w:bookmarkStart w:id="14" w:name="_Toc17114"/>
      <w:bookmarkStart w:id="15" w:name="_Toc10153"/>
      <w:bookmarkStart w:id="16" w:name="_Toc6137"/>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12"/>
          <w:rFonts w:hint="eastAsia" w:ascii="黑体" w:hAnsi="黑体" w:eastAsia="黑体"/>
          <w:b w:val="0"/>
          <w:bCs w:val="0"/>
          <w:color w:val="auto"/>
          <w:highlight w:val="none"/>
        </w:rPr>
        <w:t>概况</w:t>
      </w:r>
      <w:bookmarkEnd w:id="14"/>
      <w:bookmarkEnd w:id="15"/>
      <w:bookmarkEnd w:id="16"/>
    </w:p>
    <w:p w14:paraId="0D188FB2">
      <w:pPr>
        <w:widowControl/>
        <w:jc w:val="left"/>
        <w:rPr>
          <w:rFonts w:ascii="黑体" w:eastAsia="黑体"/>
          <w:color w:val="auto"/>
          <w:sz w:val="32"/>
          <w:szCs w:val="32"/>
          <w:highlight w:val="none"/>
        </w:rPr>
      </w:pPr>
    </w:p>
    <w:p w14:paraId="4E9F4842">
      <w:pPr>
        <w:pStyle w:val="4"/>
        <w:numPr>
          <w:ilvl w:val="0"/>
          <w:numId w:val="1"/>
        </w:numPr>
        <w:rPr>
          <w:rStyle w:val="13"/>
          <w:rFonts w:hint="eastAsia" w:ascii="黑体" w:hAnsi="黑体" w:eastAsia="黑体"/>
          <w:b w:val="0"/>
          <w:bCs w:val="0"/>
          <w:color w:val="auto"/>
          <w:highlight w:val="none"/>
          <w:lang w:eastAsia="zh-CN"/>
        </w:rPr>
      </w:pPr>
      <w:bookmarkStart w:id="17" w:name="_Toc7607"/>
      <w:bookmarkStart w:id="18" w:name="_Toc22182"/>
      <w:bookmarkStart w:id="19" w:name="_Toc2149"/>
      <w:bookmarkStart w:id="20" w:name="_Toc15396600"/>
      <w:bookmarkStart w:id="21" w:name="_Toc15377197"/>
      <w:r>
        <w:rPr>
          <w:rStyle w:val="13"/>
          <w:rFonts w:hint="eastAsia" w:ascii="黑体" w:hAnsi="黑体" w:eastAsia="黑体"/>
          <w:b w:val="0"/>
          <w:bCs w:val="0"/>
          <w:color w:val="auto"/>
          <w:highlight w:val="none"/>
          <w:lang w:eastAsia="zh-CN"/>
        </w:rPr>
        <w:t>主要职责</w:t>
      </w:r>
      <w:bookmarkEnd w:id="17"/>
      <w:bookmarkEnd w:id="18"/>
      <w:bookmarkEnd w:id="19"/>
    </w:p>
    <w:p w14:paraId="76DA9830">
      <w:pPr>
        <w:ind w:firstLine="600" w:firstLineChars="200"/>
        <w:rPr>
          <w:rFonts w:hint="eastAsia"/>
          <w:lang w:eastAsia="zh-CN"/>
        </w:rPr>
      </w:pPr>
      <w:r>
        <w:rPr>
          <w:rFonts w:hint="eastAsia" w:ascii="仿宋" w:hAnsi="仿宋" w:eastAsia="仿宋"/>
          <w:b w:val="0"/>
          <w:bCs w:val="0"/>
          <w:color w:val="auto"/>
          <w:sz w:val="30"/>
          <w:szCs w:val="30"/>
          <w:highlight w:val="none"/>
        </w:rPr>
        <w:t>改善</w:t>
      </w:r>
      <w:r>
        <w:rPr>
          <w:rFonts w:hint="eastAsia" w:ascii="仿宋" w:hAnsi="仿宋" w:eastAsia="仿宋"/>
          <w:b w:val="0"/>
          <w:bCs w:val="0"/>
          <w:color w:val="auto"/>
          <w:sz w:val="30"/>
          <w:szCs w:val="30"/>
          <w:highlight w:val="none"/>
          <w:lang w:eastAsia="zh-CN"/>
        </w:rPr>
        <w:t>院内</w:t>
      </w:r>
      <w:r>
        <w:rPr>
          <w:rFonts w:hint="eastAsia" w:ascii="仿宋" w:hAnsi="仿宋" w:eastAsia="仿宋"/>
          <w:b w:val="0"/>
          <w:bCs w:val="0"/>
          <w:color w:val="auto"/>
          <w:sz w:val="30"/>
          <w:szCs w:val="30"/>
          <w:highlight w:val="none"/>
        </w:rPr>
        <w:t>老人生活条件和提高</w:t>
      </w:r>
      <w:r>
        <w:rPr>
          <w:rFonts w:hint="eastAsia" w:ascii="仿宋" w:hAnsi="仿宋" w:eastAsia="仿宋"/>
          <w:b w:val="0"/>
          <w:bCs w:val="0"/>
          <w:color w:val="auto"/>
          <w:sz w:val="30"/>
          <w:szCs w:val="30"/>
          <w:highlight w:val="none"/>
          <w:lang w:eastAsia="zh-CN"/>
        </w:rPr>
        <w:t>院内</w:t>
      </w:r>
      <w:r>
        <w:rPr>
          <w:rFonts w:hint="eastAsia" w:ascii="仿宋" w:hAnsi="仿宋" w:eastAsia="仿宋"/>
          <w:b w:val="0"/>
          <w:bCs w:val="0"/>
          <w:color w:val="auto"/>
          <w:sz w:val="30"/>
          <w:szCs w:val="30"/>
          <w:highlight w:val="none"/>
        </w:rPr>
        <w:t>老人生活水平为重要内容，为院内老人</w:t>
      </w:r>
      <w:r>
        <w:rPr>
          <w:rFonts w:hint="eastAsia" w:ascii="仿宋" w:hAnsi="仿宋" w:eastAsia="仿宋"/>
          <w:b w:val="0"/>
          <w:bCs w:val="0"/>
          <w:color w:val="auto"/>
          <w:sz w:val="30"/>
          <w:szCs w:val="30"/>
          <w:highlight w:val="none"/>
          <w:lang w:eastAsia="zh-CN"/>
        </w:rPr>
        <w:t>休</w:t>
      </w:r>
      <w:r>
        <w:rPr>
          <w:rFonts w:hint="eastAsia" w:ascii="仿宋" w:hAnsi="仿宋" w:eastAsia="仿宋"/>
          <w:b w:val="0"/>
          <w:bCs w:val="0"/>
          <w:color w:val="auto"/>
          <w:sz w:val="30"/>
          <w:szCs w:val="30"/>
          <w:highlight w:val="none"/>
        </w:rPr>
        <w:t>养康复创造宁静、和谐、温馨的环境，为休养人员服好务，</w:t>
      </w:r>
      <w:r>
        <w:rPr>
          <w:rFonts w:hint="eastAsia" w:ascii="仿宋" w:hAnsi="仿宋" w:eastAsia="仿宋"/>
          <w:b w:val="0"/>
          <w:bCs w:val="0"/>
          <w:color w:val="auto"/>
          <w:sz w:val="30"/>
          <w:szCs w:val="30"/>
          <w:highlight w:val="none"/>
          <w:lang w:eastAsia="zh-CN"/>
        </w:rPr>
        <w:t>让</w:t>
      </w:r>
      <w:r>
        <w:rPr>
          <w:rFonts w:hint="eastAsia" w:ascii="仿宋" w:hAnsi="仿宋" w:eastAsia="仿宋"/>
          <w:b w:val="0"/>
          <w:bCs w:val="0"/>
          <w:color w:val="auto"/>
          <w:sz w:val="30"/>
          <w:szCs w:val="30"/>
          <w:highlight w:val="none"/>
        </w:rPr>
        <w:t>他们感到晚年幸福。</w:t>
      </w:r>
      <w:r>
        <w:rPr>
          <w:rFonts w:hint="eastAsia" w:ascii="仿宋" w:hAnsi="仿宋" w:eastAsia="仿宋"/>
          <w:b w:val="0"/>
          <w:bCs w:val="0"/>
          <w:color w:val="auto"/>
          <w:szCs w:val="30"/>
          <w:highlight w:val="none"/>
          <w:lang w:eastAsia="zh-CN"/>
        </w:rPr>
        <w:t xml:space="preserve">  </w:t>
      </w:r>
    </w:p>
    <w:p w14:paraId="261FEA2D">
      <w:pPr>
        <w:ind w:firstLine="420" w:firstLineChars="200"/>
        <w:rPr>
          <w:rFonts w:hint="eastAsia"/>
          <w:highlight w:val="none"/>
          <w:lang w:eastAsia="zh-CN"/>
        </w:rPr>
      </w:pPr>
      <w:r>
        <w:rPr>
          <w:rFonts w:hint="eastAsia" w:ascii="仿宋" w:hAnsi="仿宋" w:eastAsia="仿宋"/>
          <w:bCs/>
          <w:color w:val="auto"/>
          <w:szCs w:val="30"/>
          <w:highlight w:val="none"/>
          <w:lang w:eastAsia="zh-CN"/>
        </w:rPr>
        <w:t xml:space="preserve">       </w:t>
      </w:r>
    </w:p>
    <w:p w14:paraId="284BA1CA">
      <w:pPr>
        <w:pStyle w:val="4"/>
        <w:numPr>
          <w:ilvl w:val="0"/>
          <w:numId w:val="0"/>
        </w:numPr>
        <w:rPr>
          <w:rFonts w:hint="eastAsia" w:ascii="黑体" w:hAnsi="黑体" w:eastAsia="黑体"/>
          <w:b w:val="0"/>
          <w:color w:val="auto"/>
          <w:highlight w:val="none"/>
          <w:lang w:val="en-US" w:eastAsia="zh-CN"/>
        </w:rPr>
      </w:pPr>
      <w:bookmarkStart w:id="22" w:name="_Toc12916"/>
      <w:bookmarkStart w:id="23" w:name="_Toc22788"/>
      <w:bookmarkStart w:id="24" w:name="_Toc26959"/>
      <w:r>
        <w:rPr>
          <w:rFonts w:hint="eastAsia" w:ascii="黑体" w:hAnsi="黑体" w:eastAsia="黑体"/>
          <w:b w:val="0"/>
          <w:color w:val="auto"/>
          <w:highlight w:val="none"/>
          <w:lang w:val="en-US" w:eastAsia="zh-CN"/>
        </w:rPr>
        <w:t>二、机构设置</w:t>
      </w:r>
      <w:bookmarkEnd w:id="22"/>
      <w:bookmarkEnd w:id="23"/>
      <w:bookmarkEnd w:id="24"/>
    </w:p>
    <w:bookmarkEnd w:id="20"/>
    <w:bookmarkEnd w:id="21"/>
    <w:p w14:paraId="4A3A6425">
      <w:pPr>
        <w:widowControl/>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sz w:val="32"/>
          <w:szCs w:val="32"/>
          <w:lang w:eastAsia="zh-CN"/>
        </w:rPr>
        <w:t>光荣院</w:t>
      </w:r>
      <w:r>
        <w:rPr>
          <w:rFonts w:hint="eastAsia" w:ascii="仿宋" w:hAnsi="仿宋" w:eastAsia="仿宋" w:cs="仿宋"/>
          <w:color w:val="auto"/>
          <w:sz w:val="32"/>
          <w:szCs w:val="32"/>
        </w:rPr>
        <w:t>下属二级预算单位</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个，其中行政单位</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个，参照公务员法管理的事业单位</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个，其他事业单位</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w:t>
      </w:r>
    </w:p>
    <w:p w14:paraId="5C15A27B">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26DF898A">
      <w:pPr>
        <w:pStyle w:val="3"/>
        <w:ind w:right="440"/>
        <w:jc w:val="center"/>
        <w:rPr>
          <w:rStyle w:val="12"/>
          <w:rFonts w:ascii="黑体" w:hAnsi="黑体" w:eastAsia="黑体"/>
          <w:b w:val="0"/>
          <w:bCs/>
          <w:color w:val="auto"/>
          <w:highlight w:val="none"/>
        </w:rPr>
      </w:pPr>
      <w:bookmarkStart w:id="25" w:name="_Toc13013"/>
      <w:bookmarkStart w:id="26" w:name="_Toc18612"/>
      <w:bookmarkStart w:id="27" w:name="_Toc28913"/>
      <w:bookmarkStart w:id="28" w:name="_Toc15377204"/>
      <w:bookmarkStart w:id="29"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12"/>
          <w:rFonts w:hint="eastAsia" w:ascii="黑体" w:hAnsi="黑体" w:eastAsia="黑体"/>
          <w:b w:val="0"/>
          <w:bCs/>
          <w:color w:val="auto"/>
          <w:highlight w:val="none"/>
          <w:lang w:eastAsia="zh-CN"/>
        </w:rPr>
        <w:t>单位</w:t>
      </w:r>
      <w:r>
        <w:rPr>
          <w:rStyle w:val="12"/>
          <w:rFonts w:hint="eastAsia" w:ascii="黑体" w:hAnsi="黑体" w:eastAsia="黑体"/>
          <w:b w:val="0"/>
          <w:bCs/>
          <w:color w:val="auto"/>
          <w:highlight w:val="none"/>
        </w:rPr>
        <w:t>决算情况说明</w:t>
      </w:r>
      <w:bookmarkEnd w:id="25"/>
      <w:bookmarkEnd w:id="26"/>
      <w:bookmarkEnd w:id="27"/>
      <w:bookmarkEnd w:id="28"/>
      <w:bookmarkEnd w:id="29"/>
    </w:p>
    <w:p w14:paraId="0CD195C0">
      <w:pPr>
        <w:rPr>
          <w:color w:val="auto"/>
          <w:highlight w:val="none"/>
        </w:rPr>
      </w:pPr>
    </w:p>
    <w:p w14:paraId="3B4D1748">
      <w:pPr>
        <w:pStyle w:val="14"/>
        <w:numPr>
          <w:ilvl w:val="0"/>
          <w:numId w:val="2"/>
        </w:numPr>
        <w:spacing w:line="600" w:lineRule="exact"/>
        <w:ind w:firstLineChars="0"/>
        <w:outlineLvl w:val="1"/>
        <w:rPr>
          <w:rStyle w:val="13"/>
          <w:rFonts w:ascii="黑体" w:hAnsi="黑体" w:eastAsia="黑体"/>
          <w:b w:val="0"/>
          <w:color w:val="auto"/>
          <w:highlight w:val="none"/>
        </w:rPr>
      </w:pPr>
      <w:bookmarkStart w:id="30" w:name="_Toc15377205"/>
      <w:bookmarkStart w:id="31" w:name="_Toc15396603"/>
      <w:bookmarkStart w:id="32" w:name="_Toc5587"/>
      <w:bookmarkStart w:id="33" w:name="_Toc14667"/>
      <w:bookmarkStart w:id="34" w:name="_Toc6662"/>
      <w:r>
        <w:rPr>
          <w:rFonts w:hint="eastAsia" w:ascii="黑体" w:hAnsi="黑体" w:eastAsia="黑体"/>
          <w:color w:val="auto"/>
          <w:sz w:val="32"/>
          <w:szCs w:val="32"/>
          <w:highlight w:val="none"/>
        </w:rPr>
        <w:t>收</w:t>
      </w:r>
      <w:r>
        <w:rPr>
          <w:rStyle w:val="13"/>
          <w:rFonts w:hint="eastAsia" w:ascii="黑体" w:hAnsi="黑体" w:eastAsia="黑体"/>
          <w:b w:val="0"/>
          <w:color w:val="auto"/>
          <w:highlight w:val="none"/>
        </w:rPr>
        <w:t>入支出决算总体情况说明</w:t>
      </w:r>
      <w:bookmarkEnd w:id="30"/>
      <w:bookmarkEnd w:id="31"/>
      <w:bookmarkEnd w:id="32"/>
      <w:bookmarkEnd w:id="33"/>
      <w:bookmarkEnd w:id="34"/>
    </w:p>
    <w:p w14:paraId="62D5243B">
      <w:pPr>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196.77</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val="en-US" w:eastAsia="zh-CN"/>
        </w:rPr>
        <w:t>增加4.16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增长2.15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w:t>
      </w:r>
      <w:r>
        <w:rPr>
          <w:rFonts w:hint="eastAsia" w:ascii="仿宋" w:hAnsi="仿宋" w:eastAsia="仿宋"/>
          <w:color w:val="auto"/>
          <w:sz w:val="32"/>
          <w:szCs w:val="32"/>
          <w:highlight w:val="none"/>
          <w:lang w:val="en-US" w:eastAsia="zh-CN"/>
        </w:rPr>
        <w:t>因新增人员调入、优抚老人增加。</w:t>
      </w:r>
    </w:p>
    <w:p w14:paraId="12E6DADA">
      <w:pPr>
        <w:spacing w:line="600" w:lineRule="exact"/>
        <w:ind w:firstLine="640" w:firstLineChars="200"/>
        <w:rPr>
          <w:rFonts w:hint="default" w:ascii="仿宋" w:hAnsi="仿宋" w:eastAsia="仿宋"/>
          <w:color w:val="auto"/>
          <w:sz w:val="32"/>
          <w:szCs w:val="32"/>
          <w:highlight w:val="none"/>
          <w:lang w:val="en-US" w:eastAsia="zh-CN"/>
        </w:rPr>
      </w:pPr>
    </w:p>
    <w:p w14:paraId="35606388">
      <w:pPr>
        <w:pStyle w:val="2"/>
      </w:pPr>
    </w:p>
    <w:p w14:paraId="347BF8EE">
      <w:pPr>
        <w:pStyle w:val="2"/>
      </w:pPr>
    </w:p>
    <w:p w14:paraId="0795212C">
      <w:pPr>
        <w:pStyle w:val="2"/>
      </w:pPr>
      <w:r>
        <w:drawing>
          <wp:inline distT="0" distB="0" distL="114300" distR="114300">
            <wp:extent cx="4658360" cy="2743200"/>
            <wp:effectExtent l="4445" t="5080" r="23495"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F41D02E">
      <w:pPr>
        <w:spacing w:line="600" w:lineRule="exact"/>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14:paraId="51E3C069">
      <w:pPr>
        <w:pStyle w:val="14"/>
        <w:numPr>
          <w:ilvl w:val="0"/>
          <w:numId w:val="2"/>
        </w:numPr>
        <w:spacing w:line="600" w:lineRule="exact"/>
        <w:ind w:firstLineChars="0"/>
        <w:outlineLvl w:val="1"/>
        <w:rPr>
          <w:rStyle w:val="13"/>
          <w:rFonts w:ascii="黑体" w:hAnsi="黑体" w:eastAsia="黑体"/>
          <w:b w:val="0"/>
          <w:color w:val="auto"/>
          <w:highlight w:val="none"/>
        </w:rPr>
      </w:pPr>
      <w:bookmarkStart w:id="35" w:name="_Toc8700"/>
      <w:bookmarkStart w:id="36" w:name="_Toc15396604"/>
      <w:bookmarkStart w:id="37" w:name="_Toc9984"/>
      <w:bookmarkStart w:id="38" w:name="_Toc15377206"/>
      <w:bookmarkStart w:id="39" w:name="_Toc13756"/>
      <w:r>
        <w:rPr>
          <w:rFonts w:hint="eastAsia" w:ascii="黑体" w:hAnsi="黑体" w:eastAsia="黑体"/>
          <w:color w:val="auto"/>
          <w:sz w:val="32"/>
          <w:szCs w:val="32"/>
          <w:highlight w:val="none"/>
        </w:rPr>
        <w:t>收</w:t>
      </w:r>
      <w:r>
        <w:rPr>
          <w:rStyle w:val="13"/>
          <w:rFonts w:hint="eastAsia" w:ascii="黑体" w:hAnsi="黑体" w:eastAsia="黑体"/>
          <w:b w:val="0"/>
          <w:color w:val="auto"/>
          <w:highlight w:val="none"/>
        </w:rPr>
        <w:t>入决算情况说明</w:t>
      </w:r>
      <w:bookmarkEnd w:id="35"/>
      <w:bookmarkEnd w:id="36"/>
      <w:bookmarkEnd w:id="37"/>
      <w:bookmarkEnd w:id="38"/>
      <w:bookmarkEnd w:id="39"/>
    </w:p>
    <w:p w14:paraId="5C0BD9FF">
      <w:pPr>
        <w:spacing w:line="600" w:lineRule="exact"/>
        <w:ind w:firstLine="640" w:firstLineChars="200"/>
        <w:outlineLvl w:val="9"/>
        <w:rPr>
          <w:rFonts w:ascii="仿宋_GB2312" w:eastAsia="仿宋_GB2312"/>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196.64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196.64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0CAAB2E0">
      <w:pPr>
        <w:pStyle w:val="2"/>
      </w:pPr>
      <w:r>
        <w:drawing>
          <wp:inline distT="0" distB="0" distL="114300" distR="114300">
            <wp:extent cx="4658360" cy="2743200"/>
            <wp:effectExtent l="4445" t="5080" r="23495" b="1397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8B5C726">
      <w:pPr>
        <w:pStyle w:val="2"/>
        <w:jc w:val="center"/>
      </w:pPr>
      <w:r>
        <w:rPr>
          <w:rFonts w:hint="eastAsia" w:ascii="仿宋" w:hAnsi="仿宋" w:eastAsia="仿宋"/>
          <w:color w:val="auto"/>
          <w:sz w:val="32"/>
          <w:szCs w:val="32"/>
          <w:highlight w:val="none"/>
        </w:rPr>
        <w:t>（图2：收入决算结构图</w:t>
      </w:r>
      <w:r>
        <w:rPr>
          <w:rFonts w:hint="eastAsia" w:ascii="仿宋" w:hAnsi="仿宋" w:eastAsia="仿宋"/>
          <w:color w:val="auto"/>
          <w:sz w:val="32"/>
          <w:szCs w:val="32"/>
          <w:highlight w:val="none"/>
          <w:lang w:eastAsia="zh-CN"/>
        </w:rPr>
        <w:t>）</w:t>
      </w:r>
    </w:p>
    <w:p w14:paraId="38157A79">
      <w:pPr>
        <w:pStyle w:val="14"/>
        <w:numPr>
          <w:ilvl w:val="0"/>
          <w:numId w:val="2"/>
        </w:numPr>
        <w:spacing w:line="600" w:lineRule="exact"/>
        <w:ind w:firstLineChars="0"/>
        <w:outlineLvl w:val="1"/>
        <w:rPr>
          <w:rStyle w:val="13"/>
          <w:rFonts w:ascii="黑体" w:hAnsi="黑体" w:eastAsia="黑体"/>
          <w:b w:val="0"/>
          <w:color w:val="auto"/>
          <w:highlight w:val="none"/>
        </w:rPr>
      </w:pPr>
      <w:bookmarkStart w:id="40" w:name="_Toc21254"/>
      <w:bookmarkStart w:id="41" w:name="_Toc2759"/>
      <w:bookmarkStart w:id="42" w:name="_Toc22793"/>
      <w:bookmarkStart w:id="43" w:name="_Toc15396605"/>
      <w:bookmarkStart w:id="44" w:name="_Toc15377207"/>
      <w:r>
        <w:rPr>
          <w:rFonts w:hint="eastAsia" w:ascii="黑体" w:hAnsi="黑体" w:eastAsia="黑体"/>
          <w:color w:val="auto"/>
          <w:sz w:val="32"/>
          <w:szCs w:val="32"/>
          <w:highlight w:val="none"/>
        </w:rPr>
        <w:t>支</w:t>
      </w:r>
      <w:r>
        <w:rPr>
          <w:rStyle w:val="13"/>
          <w:rFonts w:hint="eastAsia" w:ascii="黑体" w:hAnsi="黑体" w:eastAsia="黑体"/>
          <w:b w:val="0"/>
          <w:color w:val="auto"/>
          <w:highlight w:val="none"/>
        </w:rPr>
        <w:t>出决算情况说明</w:t>
      </w:r>
      <w:bookmarkEnd w:id="40"/>
      <w:bookmarkEnd w:id="41"/>
      <w:bookmarkEnd w:id="42"/>
      <w:bookmarkEnd w:id="43"/>
      <w:bookmarkEnd w:id="44"/>
    </w:p>
    <w:p w14:paraId="467DF228">
      <w:pPr>
        <w:spacing w:line="600" w:lineRule="exact"/>
        <w:ind w:firstLine="640" w:firstLineChars="200"/>
        <w:outlineLvl w:val="9"/>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196.64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113.02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57.48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83.62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42.52</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p>
    <w:p w14:paraId="5F0C27D2">
      <w:pPr>
        <w:spacing w:line="600" w:lineRule="exact"/>
        <w:ind w:firstLine="640" w:firstLineChars="200"/>
        <w:rPr>
          <w:rFonts w:ascii="仿宋_GB2312" w:eastAsia="仿宋_GB2312"/>
          <w:color w:val="auto"/>
          <w:sz w:val="32"/>
          <w:szCs w:val="32"/>
          <w:highlight w:val="none"/>
        </w:rPr>
      </w:pPr>
    </w:p>
    <w:p w14:paraId="29D072C5">
      <w:pPr>
        <w:pStyle w:val="2"/>
        <w:rPr>
          <w:rFonts w:ascii="仿宋_GB2312" w:eastAsia="仿宋_GB2312"/>
          <w:color w:val="auto"/>
          <w:sz w:val="32"/>
          <w:szCs w:val="32"/>
          <w:highlight w:val="none"/>
        </w:rPr>
      </w:pPr>
      <w:r>
        <w:drawing>
          <wp:inline distT="0" distB="0" distL="114300" distR="114300">
            <wp:extent cx="4739640" cy="2743200"/>
            <wp:effectExtent l="4445" t="4445" r="1841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A4FFB08">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14:paraId="296933DD">
      <w:pPr>
        <w:pStyle w:val="2"/>
        <w:rPr>
          <w:rFonts w:ascii="仿宋_GB2312" w:eastAsia="仿宋_GB2312"/>
          <w:color w:val="auto"/>
          <w:sz w:val="32"/>
          <w:szCs w:val="32"/>
          <w:highlight w:val="none"/>
        </w:rPr>
      </w:pPr>
    </w:p>
    <w:p w14:paraId="620E69A5">
      <w:pPr>
        <w:pStyle w:val="2"/>
        <w:rPr>
          <w:rFonts w:ascii="仿宋_GB2312" w:eastAsia="仿宋_GB2312"/>
          <w:color w:val="auto"/>
          <w:sz w:val="32"/>
          <w:szCs w:val="32"/>
          <w:highlight w:val="none"/>
        </w:rPr>
      </w:pPr>
    </w:p>
    <w:p w14:paraId="0B53E873">
      <w:pPr>
        <w:spacing w:line="600" w:lineRule="exact"/>
        <w:ind w:firstLine="640" w:firstLineChars="200"/>
        <w:outlineLvl w:val="1"/>
        <w:rPr>
          <w:rStyle w:val="13"/>
          <w:rFonts w:ascii="黑体" w:hAnsi="黑体" w:eastAsia="黑体"/>
          <w:b w:val="0"/>
          <w:color w:val="auto"/>
          <w:highlight w:val="none"/>
        </w:rPr>
      </w:pPr>
      <w:bookmarkStart w:id="45" w:name="_Toc15377208"/>
      <w:bookmarkStart w:id="46" w:name="_Toc25219"/>
      <w:bookmarkStart w:id="47" w:name="_Toc15396606"/>
      <w:bookmarkStart w:id="48" w:name="_Toc21299"/>
      <w:bookmarkStart w:id="49" w:name="_Toc23427"/>
      <w:r>
        <w:rPr>
          <w:rFonts w:hint="eastAsia" w:ascii="黑体" w:hAnsi="黑体" w:eastAsia="黑体"/>
          <w:color w:val="auto"/>
          <w:sz w:val="32"/>
          <w:szCs w:val="32"/>
          <w:highlight w:val="none"/>
        </w:rPr>
        <w:t>四、财</w:t>
      </w:r>
      <w:r>
        <w:rPr>
          <w:rStyle w:val="13"/>
          <w:rFonts w:hint="eastAsia" w:ascii="黑体" w:hAnsi="黑体" w:eastAsia="黑体"/>
          <w:b w:val="0"/>
          <w:color w:val="auto"/>
          <w:highlight w:val="none"/>
        </w:rPr>
        <w:t>政拨款收入支出决算总体情况说明</w:t>
      </w:r>
      <w:bookmarkEnd w:id="45"/>
      <w:bookmarkEnd w:id="46"/>
      <w:bookmarkEnd w:id="47"/>
      <w:bookmarkEnd w:id="48"/>
      <w:bookmarkEnd w:id="49"/>
    </w:p>
    <w:p w14:paraId="69939F43">
      <w:pPr>
        <w:spacing w:line="6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196.64</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val="en-US" w:eastAsia="zh-CN"/>
        </w:rPr>
        <w:t>增加4.16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增长2.16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Start w:id="50" w:name="_Toc15377209"/>
      <w:bookmarkStart w:id="51" w:name="_Toc15396607"/>
      <w:r>
        <w:rPr>
          <w:rFonts w:hint="eastAsia" w:ascii="仿宋" w:hAnsi="仿宋" w:eastAsia="仿宋"/>
          <w:color w:val="auto"/>
          <w:sz w:val="32"/>
          <w:szCs w:val="32"/>
          <w:highlight w:val="none"/>
        </w:rPr>
        <w:t>主要变动原</w:t>
      </w:r>
      <w:r>
        <w:rPr>
          <w:rFonts w:hint="eastAsia" w:ascii="仿宋" w:hAnsi="仿宋" w:eastAsia="仿宋"/>
          <w:color w:val="auto"/>
          <w:sz w:val="32"/>
          <w:szCs w:val="32"/>
          <w:highlight w:val="none"/>
          <w:lang w:val="en-US" w:eastAsia="zh-CN"/>
        </w:rPr>
        <w:t>因新增人员调入、优抚老人增加。</w:t>
      </w:r>
    </w:p>
    <w:p w14:paraId="2C672E4E">
      <w:pPr>
        <w:spacing w:line="600" w:lineRule="exact"/>
        <w:ind w:firstLine="640" w:firstLineChars="200"/>
        <w:rPr>
          <w:rFonts w:hint="default" w:ascii="仿宋" w:hAnsi="仿宋" w:eastAsia="仿宋"/>
          <w:color w:val="auto"/>
          <w:sz w:val="32"/>
          <w:szCs w:val="32"/>
          <w:highlight w:val="none"/>
          <w:lang w:val="en-US" w:eastAsia="zh-CN"/>
        </w:rPr>
      </w:pPr>
    </w:p>
    <w:p w14:paraId="00233F27">
      <w:pPr>
        <w:spacing w:line="600" w:lineRule="exact"/>
        <w:ind w:firstLine="640"/>
        <w:rPr>
          <w:rFonts w:hint="default" w:ascii="黑体" w:hAnsi="黑体" w:eastAsia="仿宋"/>
          <w:color w:val="auto"/>
          <w:sz w:val="32"/>
          <w:szCs w:val="32"/>
          <w:highlight w:val="none"/>
          <w:lang w:val="en-US" w:eastAsia="zh-CN"/>
        </w:rPr>
      </w:pPr>
    </w:p>
    <w:p w14:paraId="6AFDF7CC">
      <w:pPr>
        <w:pStyle w:val="2"/>
        <w:rPr>
          <w:rFonts w:hint="eastAsia" w:ascii="黑体" w:hAnsi="黑体" w:eastAsia="黑体"/>
          <w:color w:val="auto"/>
          <w:sz w:val="32"/>
          <w:szCs w:val="32"/>
          <w:highlight w:val="none"/>
        </w:rPr>
      </w:pPr>
      <w:r>
        <w:drawing>
          <wp:inline distT="0" distB="0" distL="114300" distR="114300">
            <wp:extent cx="4658360" cy="2743200"/>
            <wp:effectExtent l="4445" t="5080" r="23495" b="1397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A80EB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14:paraId="4CF751E6">
      <w:pPr>
        <w:spacing w:line="600" w:lineRule="exact"/>
        <w:ind w:firstLine="640" w:firstLineChars="200"/>
        <w:outlineLvl w:val="9"/>
        <w:rPr>
          <w:rFonts w:hint="eastAsia" w:ascii="黑体" w:hAnsi="黑体" w:eastAsia="黑体"/>
          <w:color w:val="auto"/>
          <w:sz w:val="32"/>
          <w:szCs w:val="32"/>
          <w:highlight w:val="none"/>
        </w:rPr>
      </w:pPr>
    </w:p>
    <w:p w14:paraId="3680469C">
      <w:pPr>
        <w:spacing w:line="600" w:lineRule="exact"/>
        <w:ind w:firstLine="640" w:firstLineChars="200"/>
        <w:outlineLvl w:val="1"/>
        <w:rPr>
          <w:rStyle w:val="13"/>
          <w:rFonts w:ascii="黑体" w:hAnsi="黑体" w:eastAsia="黑体"/>
          <w:b w:val="0"/>
          <w:color w:val="auto"/>
          <w:highlight w:val="none"/>
        </w:rPr>
      </w:pPr>
      <w:bookmarkStart w:id="52" w:name="_Toc23261"/>
      <w:bookmarkStart w:id="53" w:name="_Toc24549"/>
      <w:bookmarkStart w:id="54" w:name="_Toc14114"/>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3"/>
          <w:rFonts w:hint="eastAsia" w:ascii="黑体" w:hAnsi="黑体" w:eastAsia="黑体"/>
          <w:b w:val="0"/>
          <w:color w:val="auto"/>
          <w:highlight w:val="none"/>
        </w:rPr>
        <w:t>般公共预算财政拨款支出决算情况说明</w:t>
      </w:r>
      <w:bookmarkEnd w:id="50"/>
      <w:bookmarkEnd w:id="51"/>
      <w:bookmarkEnd w:id="52"/>
      <w:bookmarkEnd w:id="53"/>
      <w:bookmarkEnd w:id="54"/>
    </w:p>
    <w:p w14:paraId="0865FB53">
      <w:pPr>
        <w:spacing w:line="600" w:lineRule="exact"/>
        <w:ind w:firstLine="643" w:firstLineChars="200"/>
        <w:outlineLvl w:val="2"/>
        <w:rPr>
          <w:rFonts w:ascii="仿宋" w:hAnsi="仿宋" w:eastAsia="仿宋"/>
          <w:b/>
          <w:color w:val="auto"/>
          <w:sz w:val="32"/>
          <w:szCs w:val="32"/>
          <w:highlight w:val="none"/>
        </w:rPr>
      </w:pPr>
      <w:bookmarkStart w:id="55" w:name="_Toc15377210"/>
      <w:r>
        <w:rPr>
          <w:rFonts w:hint="eastAsia" w:ascii="仿宋" w:hAnsi="仿宋" w:eastAsia="仿宋"/>
          <w:b/>
          <w:color w:val="auto"/>
          <w:sz w:val="32"/>
          <w:szCs w:val="32"/>
          <w:highlight w:val="none"/>
        </w:rPr>
        <w:t>（一）一般公共预算财政拨款支出决算总体情况</w:t>
      </w:r>
      <w:bookmarkEnd w:id="55"/>
    </w:p>
    <w:p w14:paraId="1D2D0021">
      <w:pPr>
        <w:spacing w:line="6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196.64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4.16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2.16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Start w:id="56" w:name="_Toc15377211"/>
      <w:r>
        <w:rPr>
          <w:rFonts w:hint="eastAsia" w:ascii="仿宋" w:hAnsi="仿宋" w:eastAsia="仿宋"/>
          <w:color w:val="auto"/>
          <w:sz w:val="32"/>
          <w:szCs w:val="32"/>
          <w:highlight w:val="none"/>
        </w:rPr>
        <w:t>主要变动原</w:t>
      </w:r>
      <w:r>
        <w:rPr>
          <w:rFonts w:hint="eastAsia" w:ascii="仿宋" w:hAnsi="仿宋" w:eastAsia="仿宋"/>
          <w:color w:val="auto"/>
          <w:sz w:val="32"/>
          <w:szCs w:val="32"/>
          <w:highlight w:val="none"/>
          <w:lang w:val="en-US" w:eastAsia="zh-CN"/>
        </w:rPr>
        <w:t>因新增人员调入、优抚老人增加。</w:t>
      </w:r>
    </w:p>
    <w:p w14:paraId="0F3F13E6">
      <w:pPr>
        <w:spacing w:line="600" w:lineRule="exact"/>
        <w:ind w:firstLine="643" w:firstLineChars="200"/>
        <w:rPr>
          <w:rFonts w:hint="eastAsia" w:ascii="仿宋" w:hAnsi="仿宋" w:eastAsia="仿宋"/>
          <w:b/>
          <w:color w:val="auto"/>
          <w:sz w:val="32"/>
          <w:szCs w:val="32"/>
          <w:highlight w:val="none"/>
          <w:lang w:eastAsia="zh-CN"/>
        </w:rPr>
      </w:pPr>
    </w:p>
    <w:p w14:paraId="2CEA18AA">
      <w:pPr>
        <w:pStyle w:val="2"/>
      </w:pPr>
      <w:r>
        <w:drawing>
          <wp:inline distT="0" distB="0" distL="114300" distR="114300">
            <wp:extent cx="4658360" cy="2743200"/>
            <wp:effectExtent l="4445" t="5080" r="23495" b="13970"/>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828FA6">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14:paraId="73D60209">
      <w:pPr>
        <w:pStyle w:val="2"/>
        <w:rPr>
          <w:rFonts w:hint="eastAsia"/>
        </w:rPr>
      </w:pPr>
    </w:p>
    <w:p w14:paraId="055B3639">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56"/>
    </w:p>
    <w:p w14:paraId="00349D34">
      <w:pPr>
        <w:spacing w:line="600" w:lineRule="exact"/>
        <w:ind w:firstLine="640"/>
        <w:rPr>
          <w:rFonts w:ascii="仿宋" w:hAnsi="仿宋" w:eastAsia="仿宋"/>
          <w:color w:val="auto"/>
          <w:sz w:val="32"/>
          <w:szCs w:val="32"/>
          <w:highlight w:val="gree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196.64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000000"/>
          <w:sz w:val="32"/>
          <w:szCs w:val="32"/>
        </w:rPr>
        <w:t>社会保障和就业（208）</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184.14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93.64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卫生健康支出（210）</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4.82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2.45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住房保障支出（221）</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7.69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3.91</w:t>
      </w:r>
      <w:r>
        <w:rPr>
          <w:rFonts w:ascii="仿宋" w:hAnsi="仿宋" w:eastAsia="仿宋"/>
          <w:color w:val="000000"/>
          <w:sz w:val="32"/>
          <w:szCs w:val="32"/>
        </w:rPr>
        <w:t>%</w:t>
      </w:r>
      <w:r>
        <w:rPr>
          <w:rFonts w:hint="eastAsia" w:ascii="仿宋" w:hAnsi="仿宋" w:eastAsia="仿宋"/>
          <w:color w:val="000000"/>
          <w:sz w:val="32"/>
          <w:szCs w:val="32"/>
        </w:rPr>
        <w:t>。</w:t>
      </w:r>
    </w:p>
    <w:p w14:paraId="4BB457F0">
      <w:pPr>
        <w:pStyle w:val="2"/>
      </w:pPr>
      <w:r>
        <w:drawing>
          <wp:inline distT="0" distB="0" distL="114300" distR="114300">
            <wp:extent cx="5029200" cy="3218815"/>
            <wp:effectExtent l="4445" t="4445" r="14605" b="1524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CA33F8">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14:paraId="6158CC0C">
      <w:pPr>
        <w:pStyle w:val="2"/>
        <w:rPr>
          <w:rFonts w:ascii="仿宋" w:hAnsi="仿宋" w:eastAsia="仿宋"/>
          <w:color w:val="auto"/>
          <w:sz w:val="32"/>
          <w:szCs w:val="32"/>
          <w:highlight w:val="none"/>
        </w:rPr>
      </w:pPr>
    </w:p>
    <w:p w14:paraId="20C9F755">
      <w:pPr>
        <w:spacing w:line="600" w:lineRule="exact"/>
        <w:ind w:firstLine="643" w:firstLineChars="200"/>
        <w:outlineLvl w:val="2"/>
        <w:rPr>
          <w:rFonts w:ascii="仿宋" w:hAnsi="仿宋" w:eastAsia="仿宋"/>
          <w:b/>
          <w:color w:val="auto"/>
          <w:sz w:val="32"/>
          <w:szCs w:val="32"/>
          <w:highlight w:val="none"/>
        </w:rPr>
      </w:pPr>
      <w:bookmarkStart w:id="57" w:name="_Toc15377212"/>
      <w:r>
        <w:rPr>
          <w:rFonts w:hint="eastAsia" w:ascii="仿宋" w:hAnsi="仿宋" w:eastAsia="仿宋"/>
          <w:b/>
          <w:color w:val="auto"/>
          <w:sz w:val="32"/>
          <w:szCs w:val="32"/>
          <w:highlight w:val="none"/>
        </w:rPr>
        <w:t>（三）一般公共预算财政拨款支出决算具体情况</w:t>
      </w:r>
      <w:bookmarkEnd w:id="57"/>
    </w:p>
    <w:p w14:paraId="1342E9DE">
      <w:pPr>
        <w:spacing w:line="600" w:lineRule="exact"/>
        <w:ind w:firstLine="643" w:firstLineChars="200"/>
        <w:outlineLvl w:val="1"/>
        <w:rPr>
          <w:rStyle w:val="11"/>
          <w:rFonts w:hint="eastAsia" w:ascii="仿宋" w:hAnsi="仿宋" w:eastAsia="仿宋"/>
          <w:bCs/>
          <w:color w:val="auto"/>
          <w:sz w:val="32"/>
          <w:szCs w:val="32"/>
          <w:highlight w:val="none"/>
        </w:rPr>
      </w:pPr>
      <w:bookmarkStart w:id="58" w:name="_Toc15377444"/>
      <w:bookmarkStart w:id="59" w:name="_Toc31869"/>
      <w:bookmarkStart w:id="60" w:name="_Toc15378460"/>
      <w:bookmarkStart w:id="61" w:name="_Toc15377213"/>
      <w:bookmarkStart w:id="62" w:name="_Toc12091"/>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192.48</w:t>
      </w:r>
      <w:r>
        <w:rPr>
          <w:rFonts w:hint="eastAsia" w:ascii="仿宋" w:hAnsi="仿宋" w:eastAsia="仿宋"/>
          <w:color w:val="auto"/>
          <w:sz w:val="32"/>
          <w:szCs w:val="32"/>
          <w:highlight w:val="none"/>
        </w:rPr>
        <w:t>，</w:t>
      </w:r>
      <w:r>
        <w:rPr>
          <w:rStyle w:val="11"/>
          <w:rFonts w:hint="eastAsia" w:ascii="仿宋" w:hAnsi="仿宋" w:eastAsia="仿宋"/>
          <w:bCs/>
          <w:color w:val="auto"/>
          <w:sz w:val="32"/>
          <w:szCs w:val="32"/>
          <w:highlight w:val="none"/>
        </w:rPr>
        <w:t>完成预算</w:t>
      </w:r>
      <w:r>
        <w:rPr>
          <w:rStyle w:val="11"/>
          <w:rFonts w:hint="eastAsia" w:ascii="仿宋" w:hAnsi="仿宋" w:eastAsia="仿宋"/>
          <w:bCs/>
          <w:color w:val="auto"/>
          <w:sz w:val="32"/>
          <w:szCs w:val="32"/>
          <w:highlight w:val="none"/>
          <w:lang w:val="en-US" w:eastAsia="zh-CN"/>
        </w:rPr>
        <w:t>100.00</w:t>
      </w:r>
      <w:r>
        <w:rPr>
          <w:rStyle w:val="11"/>
          <w:rFonts w:ascii="仿宋" w:hAnsi="仿宋" w:eastAsia="仿宋"/>
          <w:bCs/>
          <w:color w:val="auto"/>
          <w:sz w:val="32"/>
          <w:szCs w:val="32"/>
          <w:highlight w:val="none"/>
        </w:rPr>
        <w:t>%</w:t>
      </w:r>
      <w:r>
        <w:rPr>
          <w:rStyle w:val="11"/>
          <w:rFonts w:hint="eastAsia" w:ascii="仿宋" w:hAnsi="仿宋" w:eastAsia="仿宋"/>
          <w:bCs/>
          <w:color w:val="auto"/>
          <w:sz w:val="32"/>
          <w:szCs w:val="32"/>
          <w:highlight w:val="none"/>
        </w:rPr>
        <w:t>。其中：</w:t>
      </w:r>
      <w:bookmarkEnd w:id="58"/>
      <w:bookmarkEnd w:id="59"/>
      <w:bookmarkEnd w:id="60"/>
      <w:bookmarkEnd w:id="61"/>
      <w:bookmarkEnd w:id="62"/>
    </w:p>
    <w:p w14:paraId="4F14FF9B">
      <w:pPr>
        <w:numPr>
          <w:ilvl w:val="0"/>
          <w:numId w:val="3"/>
        </w:numPr>
        <w:spacing w:line="600" w:lineRule="exact"/>
        <w:ind w:left="425" w:leftChars="0" w:hanging="425" w:firstLineChars="0"/>
        <w:rPr>
          <w:rStyle w:val="11"/>
          <w:rFonts w:hint="eastAsia" w:ascii="仿宋" w:hAnsi="仿宋" w:eastAsia="仿宋" w:cs="仿宋"/>
          <w:b w:val="0"/>
          <w:bCs/>
          <w:sz w:val="32"/>
          <w:szCs w:val="32"/>
        </w:rPr>
      </w:pPr>
      <w:r>
        <w:rPr>
          <w:rStyle w:val="11"/>
          <w:rFonts w:hint="eastAsia" w:ascii="仿宋" w:hAnsi="仿宋" w:eastAsia="仿宋" w:cs="仿宋"/>
          <w:color w:val="000000"/>
          <w:sz w:val="32"/>
          <w:szCs w:val="32"/>
        </w:rPr>
        <w:t>社会保</w:t>
      </w:r>
      <w:r>
        <w:rPr>
          <w:rStyle w:val="11"/>
          <w:rFonts w:hint="eastAsia" w:ascii="仿宋" w:hAnsi="仿宋" w:eastAsia="仿宋" w:cs="仿宋"/>
          <w:color w:val="auto"/>
          <w:sz w:val="32"/>
          <w:szCs w:val="32"/>
        </w:rPr>
        <w:t>障和就业</w:t>
      </w:r>
      <w:r>
        <w:rPr>
          <w:rStyle w:val="11"/>
          <w:rFonts w:hint="eastAsia" w:ascii="仿宋" w:hAnsi="仿宋" w:eastAsia="仿宋" w:cs="仿宋"/>
          <w:color w:val="auto"/>
          <w:sz w:val="32"/>
          <w:szCs w:val="32"/>
          <w:lang w:val="en-US" w:eastAsia="zh-CN"/>
        </w:rPr>
        <w:t>支出</w:t>
      </w:r>
      <w:r>
        <w:rPr>
          <w:rStyle w:val="11"/>
          <w:rFonts w:hint="eastAsia" w:ascii="仿宋" w:hAnsi="仿宋" w:eastAsia="仿宋" w:cs="仿宋"/>
          <w:color w:val="auto"/>
          <w:sz w:val="32"/>
          <w:szCs w:val="32"/>
        </w:rPr>
        <w:t>（208）行政事业单位</w:t>
      </w:r>
      <w:r>
        <w:rPr>
          <w:rStyle w:val="11"/>
          <w:rFonts w:hint="eastAsia" w:ascii="仿宋" w:hAnsi="仿宋" w:eastAsia="仿宋" w:cs="仿宋"/>
          <w:color w:val="auto"/>
          <w:sz w:val="32"/>
          <w:szCs w:val="32"/>
          <w:lang w:eastAsia="zh-CN"/>
        </w:rPr>
        <w:t>养老支出</w:t>
      </w:r>
      <w:r>
        <w:rPr>
          <w:rStyle w:val="11"/>
          <w:rFonts w:hint="eastAsia" w:ascii="仿宋" w:hAnsi="仿宋" w:eastAsia="仿宋" w:cs="仿宋"/>
          <w:color w:val="auto"/>
          <w:sz w:val="32"/>
          <w:szCs w:val="32"/>
        </w:rPr>
        <w:t>（05）</w:t>
      </w:r>
      <w:r>
        <w:rPr>
          <w:rStyle w:val="11"/>
          <w:rFonts w:hint="eastAsia" w:ascii="仿宋" w:hAnsi="仿宋" w:eastAsia="仿宋" w:cs="仿宋"/>
          <w:color w:val="auto"/>
          <w:sz w:val="32"/>
          <w:szCs w:val="32"/>
          <w:lang w:val="en-US" w:eastAsia="zh-CN"/>
        </w:rPr>
        <w:t>行政单位离退休（01）：</w:t>
      </w:r>
      <w:r>
        <w:rPr>
          <w:rStyle w:val="11"/>
          <w:rFonts w:hint="eastAsia" w:ascii="仿宋" w:hAnsi="仿宋" w:eastAsia="仿宋" w:cs="仿宋"/>
          <w:b w:val="0"/>
          <w:bCs/>
          <w:color w:val="auto"/>
          <w:sz w:val="32"/>
          <w:szCs w:val="32"/>
        </w:rPr>
        <w:t>支出决算为</w:t>
      </w:r>
      <w:r>
        <w:rPr>
          <w:rStyle w:val="11"/>
          <w:rFonts w:hint="eastAsia" w:ascii="仿宋" w:hAnsi="仿宋" w:eastAsia="仿宋" w:cs="仿宋"/>
          <w:b w:val="0"/>
          <w:bCs/>
          <w:color w:val="auto"/>
          <w:sz w:val="32"/>
          <w:szCs w:val="32"/>
          <w:lang w:val="en-US" w:eastAsia="zh-CN"/>
        </w:rPr>
        <w:t>0.89</w:t>
      </w:r>
      <w:r>
        <w:rPr>
          <w:rStyle w:val="11"/>
          <w:rFonts w:hint="eastAsia" w:ascii="仿宋" w:hAnsi="仿宋" w:eastAsia="仿宋" w:cs="仿宋"/>
          <w:b w:val="0"/>
          <w:bCs/>
          <w:color w:val="auto"/>
          <w:sz w:val="32"/>
          <w:szCs w:val="32"/>
        </w:rPr>
        <w:t>万元，</w:t>
      </w:r>
      <w:r>
        <w:rPr>
          <w:rStyle w:val="11"/>
          <w:rFonts w:hint="eastAsia" w:ascii="仿宋" w:hAnsi="仿宋" w:eastAsia="仿宋"/>
          <w:b w:val="0"/>
          <w:bCs/>
          <w:color w:val="000000"/>
          <w:sz w:val="32"/>
          <w:szCs w:val="32"/>
        </w:rPr>
        <w:t>完成</w:t>
      </w:r>
      <w:r>
        <w:rPr>
          <w:rStyle w:val="11"/>
          <w:rFonts w:hint="eastAsia" w:ascii="仿宋" w:hAnsi="仿宋" w:eastAsia="仿宋"/>
          <w:b w:val="0"/>
          <w:bCs/>
          <w:color w:val="auto"/>
          <w:sz w:val="32"/>
          <w:szCs w:val="32"/>
        </w:rPr>
        <w:t>预算</w:t>
      </w:r>
      <w:r>
        <w:rPr>
          <w:rStyle w:val="11"/>
          <w:rFonts w:hint="eastAsia" w:ascii="仿宋" w:hAnsi="仿宋" w:eastAsia="仿宋"/>
          <w:b w:val="0"/>
          <w:bCs/>
          <w:color w:val="auto"/>
          <w:sz w:val="32"/>
          <w:szCs w:val="32"/>
          <w:lang w:val="en-US" w:eastAsia="zh-CN"/>
        </w:rPr>
        <w:t>10</w:t>
      </w:r>
      <w:r>
        <w:rPr>
          <w:rStyle w:val="11"/>
          <w:rFonts w:hint="eastAsia" w:ascii="仿宋" w:hAnsi="仿宋" w:eastAsia="仿宋"/>
          <w:b w:val="0"/>
          <w:bCs/>
          <w:color w:val="auto"/>
          <w:sz w:val="32"/>
          <w:szCs w:val="32"/>
        </w:rPr>
        <w:t>0</w:t>
      </w:r>
      <w:r>
        <w:rPr>
          <w:rStyle w:val="11"/>
          <w:rFonts w:ascii="仿宋" w:hAnsi="仿宋" w:eastAsia="仿宋"/>
          <w:b w:val="0"/>
          <w:bCs/>
          <w:color w:val="auto"/>
          <w:sz w:val="32"/>
          <w:szCs w:val="32"/>
        </w:rPr>
        <w:t>%</w:t>
      </w:r>
      <w:r>
        <w:rPr>
          <w:rStyle w:val="11"/>
          <w:rFonts w:hint="eastAsia" w:ascii="仿宋" w:hAnsi="仿宋" w:eastAsia="仿宋" w:cs="仿宋"/>
          <w:b w:val="0"/>
          <w:bCs/>
          <w:color w:val="auto"/>
          <w:sz w:val="32"/>
          <w:szCs w:val="32"/>
        </w:rPr>
        <w:t>。</w:t>
      </w:r>
    </w:p>
    <w:p w14:paraId="4DCDD030">
      <w:pPr>
        <w:numPr>
          <w:ilvl w:val="0"/>
          <w:numId w:val="3"/>
        </w:numPr>
        <w:spacing w:line="600" w:lineRule="exact"/>
        <w:ind w:left="425" w:leftChars="0" w:hanging="425" w:firstLineChars="0"/>
        <w:rPr>
          <w:rStyle w:val="11"/>
          <w:rFonts w:hint="eastAsia" w:ascii="仿宋" w:hAnsi="仿宋" w:eastAsia="仿宋" w:cs="仿宋"/>
          <w:b w:val="0"/>
          <w:bCs/>
          <w:sz w:val="32"/>
          <w:szCs w:val="32"/>
        </w:rPr>
      </w:pPr>
      <w:r>
        <w:rPr>
          <w:rStyle w:val="11"/>
          <w:rFonts w:hint="eastAsia" w:ascii="仿宋" w:hAnsi="仿宋" w:eastAsia="仿宋" w:cs="仿宋"/>
          <w:color w:val="000000"/>
          <w:sz w:val="32"/>
          <w:szCs w:val="32"/>
        </w:rPr>
        <w:t>社会保</w:t>
      </w:r>
      <w:r>
        <w:rPr>
          <w:rStyle w:val="11"/>
          <w:rFonts w:hint="eastAsia" w:ascii="仿宋" w:hAnsi="仿宋" w:eastAsia="仿宋" w:cs="仿宋"/>
          <w:color w:val="auto"/>
          <w:sz w:val="32"/>
          <w:szCs w:val="32"/>
        </w:rPr>
        <w:t>障和就业</w:t>
      </w:r>
      <w:r>
        <w:rPr>
          <w:rStyle w:val="11"/>
          <w:rFonts w:hint="eastAsia" w:ascii="仿宋" w:hAnsi="仿宋" w:eastAsia="仿宋" w:cs="仿宋"/>
          <w:color w:val="auto"/>
          <w:sz w:val="32"/>
          <w:szCs w:val="32"/>
          <w:lang w:val="en-US" w:eastAsia="zh-CN"/>
        </w:rPr>
        <w:t>支出</w:t>
      </w:r>
      <w:r>
        <w:rPr>
          <w:rStyle w:val="11"/>
          <w:rFonts w:hint="eastAsia" w:ascii="仿宋" w:hAnsi="仿宋" w:eastAsia="仿宋" w:cs="仿宋"/>
          <w:color w:val="auto"/>
          <w:sz w:val="32"/>
          <w:szCs w:val="32"/>
        </w:rPr>
        <w:t>（208）行政事业单位</w:t>
      </w:r>
      <w:r>
        <w:rPr>
          <w:rStyle w:val="11"/>
          <w:rFonts w:hint="eastAsia" w:ascii="仿宋" w:hAnsi="仿宋" w:eastAsia="仿宋" w:cs="仿宋"/>
          <w:color w:val="auto"/>
          <w:sz w:val="32"/>
          <w:szCs w:val="32"/>
          <w:lang w:eastAsia="zh-CN"/>
        </w:rPr>
        <w:t>养老支出</w:t>
      </w:r>
      <w:r>
        <w:rPr>
          <w:rStyle w:val="11"/>
          <w:rFonts w:hint="eastAsia" w:ascii="仿宋" w:hAnsi="仿宋" w:eastAsia="仿宋" w:cs="仿宋"/>
          <w:color w:val="auto"/>
          <w:sz w:val="32"/>
          <w:szCs w:val="32"/>
        </w:rPr>
        <w:t>（05）机关事业单位基本养老保险缴费支出（05）</w:t>
      </w:r>
      <w:r>
        <w:rPr>
          <w:rStyle w:val="11"/>
          <w:rFonts w:hint="eastAsia" w:ascii="仿宋" w:hAnsi="仿宋" w:eastAsia="仿宋" w:cs="仿宋"/>
          <w:bCs/>
          <w:color w:val="auto"/>
          <w:sz w:val="32"/>
          <w:szCs w:val="32"/>
        </w:rPr>
        <w:t>:</w:t>
      </w:r>
      <w:r>
        <w:rPr>
          <w:rStyle w:val="11"/>
          <w:rFonts w:hint="eastAsia" w:ascii="仿宋" w:hAnsi="仿宋" w:eastAsia="仿宋" w:cs="仿宋"/>
          <w:b w:val="0"/>
          <w:bCs/>
          <w:color w:val="auto"/>
          <w:sz w:val="32"/>
          <w:szCs w:val="32"/>
        </w:rPr>
        <w:t xml:space="preserve"> 支出决算为</w:t>
      </w:r>
      <w:r>
        <w:rPr>
          <w:rStyle w:val="11"/>
          <w:rFonts w:hint="eastAsia" w:ascii="仿宋" w:hAnsi="仿宋" w:eastAsia="仿宋" w:cs="仿宋"/>
          <w:b w:val="0"/>
          <w:bCs/>
          <w:color w:val="auto"/>
          <w:sz w:val="32"/>
          <w:szCs w:val="32"/>
          <w:lang w:val="en-US" w:eastAsia="zh-CN"/>
        </w:rPr>
        <w:t>9.39</w:t>
      </w:r>
      <w:r>
        <w:rPr>
          <w:rStyle w:val="11"/>
          <w:rFonts w:hint="eastAsia" w:ascii="仿宋" w:hAnsi="仿宋" w:eastAsia="仿宋" w:cs="仿宋"/>
          <w:b w:val="0"/>
          <w:bCs/>
          <w:color w:val="auto"/>
          <w:sz w:val="32"/>
          <w:szCs w:val="32"/>
        </w:rPr>
        <w:t>万元，</w:t>
      </w:r>
      <w:r>
        <w:rPr>
          <w:rStyle w:val="11"/>
          <w:rFonts w:hint="eastAsia" w:ascii="仿宋" w:hAnsi="仿宋" w:eastAsia="仿宋"/>
          <w:b w:val="0"/>
          <w:bCs/>
          <w:color w:val="000000"/>
          <w:sz w:val="32"/>
          <w:szCs w:val="32"/>
        </w:rPr>
        <w:t>完成</w:t>
      </w:r>
      <w:r>
        <w:rPr>
          <w:rStyle w:val="11"/>
          <w:rFonts w:hint="eastAsia" w:ascii="仿宋" w:hAnsi="仿宋" w:eastAsia="仿宋"/>
          <w:b w:val="0"/>
          <w:bCs/>
          <w:color w:val="auto"/>
          <w:sz w:val="32"/>
          <w:szCs w:val="32"/>
        </w:rPr>
        <w:t>预算</w:t>
      </w:r>
      <w:r>
        <w:rPr>
          <w:rStyle w:val="11"/>
          <w:rFonts w:hint="eastAsia" w:ascii="仿宋" w:hAnsi="仿宋" w:eastAsia="仿宋"/>
          <w:b w:val="0"/>
          <w:bCs/>
          <w:color w:val="auto"/>
          <w:sz w:val="32"/>
          <w:szCs w:val="32"/>
          <w:lang w:val="en-US" w:eastAsia="zh-CN"/>
        </w:rPr>
        <w:t>10</w:t>
      </w:r>
      <w:r>
        <w:rPr>
          <w:rStyle w:val="11"/>
          <w:rFonts w:hint="eastAsia" w:ascii="仿宋" w:hAnsi="仿宋" w:eastAsia="仿宋"/>
          <w:b w:val="0"/>
          <w:bCs/>
          <w:color w:val="auto"/>
          <w:sz w:val="32"/>
          <w:szCs w:val="32"/>
        </w:rPr>
        <w:t>0</w:t>
      </w:r>
      <w:r>
        <w:rPr>
          <w:rStyle w:val="11"/>
          <w:rFonts w:ascii="仿宋" w:hAnsi="仿宋" w:eastAsia="仿宋"/>
          <w:b w:val="0"/>
          <w:bCs/>
          <w:color w:val="auto"/>
          <w:sz w:val="32"/>
          <w:szCs w:val="32"/>
        </w:rPr>
        <w:t>%</w:t>
      </w:r>
      <w:r>
        <w:rPr>
          <w:rStyle w:val="11"/>
          <w:rFonts w:hint="eastAsia" w:ascii="仿宋" w:hAnsi="仿宋" w:eastAsia="仿宋" w:cs="仿宋"/>
          <w:b w:val="0"/>
          <w:bCs/>
          <w:color w:val="auto"/>
          <w:sz w:val="32"/>
          <w:szCs w:val="32"/>
        </w:rPr>
        <w:t>。</w:t>
      </w:r>
    </w:p>
    <w:p w14:paraId="2872D8F0">
      <w:pPr>
        <w:numPr>
          <w:ilvl w:val="0"/>
          <w:numId w:val="3"/>
        </w:numPr>
        <w:spacing w:line="600" w:lineRule="exact"/>
        <w:ind w:left="425" w:leftChars="0" w:hanging="425" w:firstLineChars="0"/>
        <w:rPr>
          <w:rStyle w:val="11"/>
          <w:rFonts w:hint="eastAsia" w:ascii="仿宋" w:hAnsi="仿宋" w:eastAsia="仿宋" w:cs="仿宋"/>
          <w:b w:val="0"/>
          <w:bCs/>
          <w:color w:val="auto"/>
          <w:sz w:val="32"/>
          <w:szCs w:val="32"/>
        </w:rPr>
      </w:pPr>
      <w:r>
        <w:rPr>
          <w:rStyle w:val="11"/>
          <w:rFonts w:hint="eastAsia" w:ascii="仿宋" w:hAnsi="仿宋" w:eastAsia="仿宋" w:cs="仿宋"/>
          <w:color w:val="000000"/>
          <w:sz w:val="32"/>
          <w:szCs w:val="32"/>
        </w:rPr>
        <w:t>社会保障和就业</w:t>
      </w:r>
      <w:r>
        <w:rPr>
          <w:rStyle w:val="11"/>
          <w:rFonts w:hint="eastAsia" w:ascii="仿宋" w:hAnsi="仿宋" w:eastAsia="仿宋" w:cs="仿宋"/>
          <w:color w:val="000000"/>
          <w:sz w:val="32"/>
          <w:szCs w:val="32"/>
          <w:lang w:val="en-US" w:eastAsia="zh-CN"/>
        </w:rPr>
        <w:t>支出</w:t>
      </w:r>
      <w:r>
        <w:rPr>
          <w:rStyle w:val="11"/>
          <w:rFonts w:hint="eastAsia" w:ascii="仿宋" w:hAnsi="仿宋" w:eastAsia="仿宋" w:cs="仿宋"/>
          <w:color w:val="000000"/>
          <w:sz w:val="32"/>
          <w:szCs w:val="32"/>
        </w:rPr>
        <w:t>（208）抚恤（08）</w:t>
      </w:r>
      <w:r>
        <w:rPr>
          <w:rStyle w:val="11"/>
          <w:rFonts w:hint="eastAsia" w:ascii="仿宋" w:hAnsi="仿宋" w:eastAsia="仿宋" w:cs="仿宋"/>
          <w:color w:val="000000"/>
          <w:sz w:val="32"/>
          <w:szCs w:val="32"/>
          <w:lang w:val="en-US" w:eastAsia="zh-CN"/>
        </w:rPr>
        <w:t>光荣院</w:t>
      </w:r>
      <w:r>
        <w:rPr>
          <w:rStyle w:val="11"/>
          <w:rFonts w:hint="eastAsia" w:ascii="仿宋" w:hAnsi="仿宋" w:eastAsia="仿宋" w:cs="仿宋"/>
          <w:color w:val="000000"/>
          <w:sz w:val="32"/>
          <w:szCs w:val="32"/>
        </w:rPr>
        <w:t>（0</w:t>
      </w:r>
      <w:r>
        <w:rPr>
          <w:rStyle w:val="11"/>
          <w:rFonts w:hint="eastAsia" w:ascii="仿宋" w:hAnsi="仿宋" w:eastAsia="仿宋" w:cs="仿宋"/>
          <w:color w:val="000000"/>
          <w:sz w:val="32"/>
          <w:szCs w:val="32"/>
          <w:lang w:val="en-US" w:eastAsia="zh-CN"/>
        </w:rPr>
        <w:t>7</w:t>
      </w:r>
      <w:r>
        <w:rPr>
          <w:rStyle w:val="11"/>
          <w:rFonts w:hint="eastAsia" w:ascii="仿宋" w:hAnsi="仿宋" w:eastAsia="仿宋" w:cs="仿宋"/>
          <w:color w:val="000000"/>
          <w:sz w:val="32"/>
          <w:szCs w:val="32"/>
        </w:rPr>
        <w:t>）</w:t>
      </w:r>
      <w:r>
        <w:rPr>
          <w:rStyle w:val="11"/>
          <w:rFonts w:hint="eastAsia" w:ascii="仿宋" w:hAnsi="仿宋" w:eastAsia="仿宋" w:cs="仿宋"/>
          <w:bCs/>
          <w:color w:val="000000"/>
          <w:sz w:val="32"/>
          <w:szCs w:val="32"/>
        </w:rPr>
        <w:t>:</w:t>
      </w:r>
      <w:r>
        <w:rPr>
          <w:rStyle w:val="11"/>
          <w:rFonts w:hint="eastAsia" w:ascii="仿宋" w:hAnsi="仿宋" w:eastAsia="仿宋" w:cs="仿宋"/>
          <w:b w:val="0"/>
          <w:bCs/>
          <w:color w:val="000000"/>
          <w:sz w:val="32"/>
          <w:szCs w:val="32"/>
        </w:rPr>
        <w:t xml:space="preserve"> 支出决算为</w:t>
      </w:r>
      <w:r>
        <w:rPr>
          <w:rStyle w:val="11"/>
          <w:rFonts w:hint="eastAsia" w:ascii="仿宋" w:hAnsi="仿宋" w:eastAsia="仿宋" w:cs="仿宋"/>
          <w:b w:val="0"/>
          <w:bCs/>
          <w:color w:val="000000"/>
          <w:sz w:val="32"/>
          <w:szCs w:val="32"/>
          <w:lang w:val="en-US" w:eastAsia="zh-CN"/>
        </w:rPr>
        <w:t>172.82</w:t>
      </w:r>
      <w:r>
        <w:rPr>
          <w:rStyle w:val="11"/>
          <w:rFonts w:hint="eastAsia" w:ascii="仿宋" w:hAnsi="仿宋" w:eastAsia="仿宋" w:cs="仿宋"/>
          <w:b w:val="0"/>
          <w:bCs/>
          <w:color w:val="000000"/>
          <w:sz w:val="32"/>
          <w:szCs w:val="32"/>
        </w:rPr>
        <w:t>万元，</w:t>
      </w:r>
      <w:r>
        <w:rPr>
          <w:rStyle w:val="11"/>
          <w:rFonts w:hint="eastAsia" w:ascii="仿宋" w:hAnsi="仿宋" w:eastAsia="仿宋"/>
          <w:b w:val="0"/>
          <w:bCs/>
          <w:color w:val="000000"/>
          <w:sz w:val="32"/>
          <w:szCs w:val="32"/>
        </w:rPr>
        <w:t>完成</w:t>
      </w:r>
      <w:r>
        <w:rPr>
          <w:rStyle w:val="11"/>
          <w:rFonts w:hint="eastAsia" w:ascii="仿宋" w:hAnsi="仿宋" w:eastAsia="仿宋"/>
          <w:b w:val="0"/>
          <w:bCs/>
          <w:color w:val="auto"/>
          <w:sz w:val="32"/>
          <w:szCs w:val="32"/>
        </w:rPr>
        <w:t>预算</w:t>
      </w:r>
      <w:r>
        <w:rPr>
          <w:rStyle w:val="11"/>
          <w:rFonts w:hint="eastAsia" w:ascii="仿宋" w:hAnsi="仿宋" w:eastAsia="仿宋"/>
          <w:b w:val="0"/>
          <w:bCs/>
          <w:color w:val="auto"/>
          <w:sz w:val="32"/>
          <w:szCs w:val="32"/>
          <w:lang w:val="en-US" w:eastAsia="zh-CN"/>
        </w:rPr>
        <w:t>10</w:t>
      </w:r>
      <w:r>
        <w:rPr>
          <w:rStyle w:val="11"/>
          <w:rFonts w:hint="eastAsia" w:ascii="仿宋" w:hAnsi="仿宋" w:eastAsia="仿宋"/>
          <w:b w:val="0"/>
          <w:bCs/>
          <w:color w:val="auto"/>
          <w:sz w:val="32"/>
          <w:szCs w:val="32"/>
        </w:rPr>
        <w:t>0</w:t>
      </w:r>
      <w:r>
        <w:rPr>
          <w:rStyle w:val="11"/>
          <w:rFonts w:ascii="仿宋" w:hAnsi="仿宋" w:eastAsia="仿宋"/>
          <w:b w:val="0"/>
          <w:bCs/>
          <w:color w:val="auto"/>
          <w:sz w:val="32"/>
          <w:szCs w:val="32"/>
        </w:rPr>
        <w:t>%</w:t>
      </w:r>
      <w:r>
        <w:rPr>
          <w:rStyle w:val="11"/>
          <w:rFonts w:hint="eastAsia" w:ascii="仿宋" w:hAnsi="仿宋" w:eastAsia="仿宋" w:cs="仿宋"/>
          <w:b w:val="0"/>
          <w:bCs/>
          <w:color w:val="auto"/>
          <w:sz w:val="32"/>
          <w:szCs w:val="32"/>
        </w:rPr>
        <w:t>。</w:t>
      </w:r>
    </w:p>
    <w:p w14:paraId="7265CC04">
      <w:pPr>
        <w:pStyle w:val="2"/>
        <w:numPr>
          <w:ilvl w:val="0"/>
          <w:numId w:val="3"/>
        </w:numPr>
        <w:ind w:left="425" w:leftChars="0" w:hanging="425" w:firstLineChars="0"/>
        <w:rPr>
          <w:rFonts w:hint="default" w:eastAsia="仿宋"/>
          <w:lang w:val="en-US" w:eastAsia="zh-CN"/>
        </w:rPr>
      </w:pPr>
      <w:r>
        <w:rPr>
          <w:rStyle w:val="11"/>
          <w:rFonts w:hint="eastAsia" w:ascii="仿宋" w:hAnsi="仿宋" w:eastAsia="仿宋" w:cs="仿宋"/>
          <w:b/>
          <w:bCs w:val="0"/>
          <w:color w:val="auto"/>
          <w:sz w:val="32"/>
          <w:szCs w:val="32"/>
          <w:lang w:val="en-US" w:eastAsia="zh-CN"/>
        </w:rPr>
        <w:t>社会保障和就业支出（208）残疾人事业（11）残疾人就业（05）</w:t>
      </w:r>
      <w:r>
        <w:rPr>
          <w:rStyle w:val="11"/>
          <w:rFonts w:hint="eastAsia" w:ascii="仿宋" w:hAnsi="仿宋" w:eastAsia="仿宋" w:cs="仿宋"/>
          <w:b w:val="0"/>
          <w:bCs/>
          <w:color w:val="000000"/>
          <w:sz w:val="32"/>
          <w:szCs w:val="32"/>
        </w:rPr>
        <w:t>支出决算为</w:t>
      </w:r>
      <w:r>
        <w:rPr>
          <w:rStyle w:val="11"/>
          <w:rFonts w:hint="eastAsia" w:ascii="仿宋" w:hAnsi="仿宋" w:eastAsia="仿宋" w:cs="仿宋"/>
          <w:b w:val="0"/>
          <w:bCs/>
          <w:color w:val="000000"/>
          <w:sz w:val="32"/>
          <w:szCs w:val="32"/>
          <w:lang w:val="en-US" w:eastAsia="zh-CN"/>
        </w:rPr>
        <w:t>0.70</w:t>
      </w:r>
      <w:r>
        <w:rPr>
          <w:rStyle w:val="11"/>
          <w:rFonts w:hint="eastAsia" w:ascii="仿宋" w:hAnsi="仿宋" w:eastAsia="仿宋" w:cs="仿宋"/>
          <w:b w:val="0"/>
          <w:bCs/>
          <w:color w:val="000000"/>
          <w:sz w:val="32"/>
          <w:szCs w:val="32"/>
        </w:rPr>
        <w:t>万元，</w:t>
      </w:r>
      <w:r>
        <w:rPr>
          <w:rStyle w:val="11"/>
          <w:rFonts w:hint="eastAsia" w:ascii="仿宋" w:hAnsi="仿宋" w:eastAsia="仿宋"/>
          <w:b w:val="0"/>
          <w:bCs/>
          <w:color w:val="000000"/>
          <w:sz w:val="32"/>
          <w:szCs w:val="32"/>
        </w:rPr>
        <w:t>完成</w:t>
      </w:r>
      <w:r>
        <w:rPr>
          <w:rStyle w:val="11"/>
          <w:rFonts w:hint="eastAsia" w:ascii="仿宋" w:hAnsi="仿宋" w:eastAsia="仿宋"/>
          <w:b w:val="0"/>
          <w:bCs/>
          <w:color w:val="auto"/>
          <w:sz w:val="32"/>
          <w:szCs w:val="32"/>
        </w:rPr>
        <w:t>预算</w:t>
      </w:r>
      <w:r>
        <w:rPr>
          <w:rStyle w:val="11"/>
          <w:rFonts w:hint="eastAsia" w:ascii="仿宋" w:hAnsi="仿宋" w:eastAsia="仿宋"/>
          <w:b w:val="0"/>
          <w:bCs/>
          <w:color w:val="auto"/>
          <w:sz w:val="32"/>
          <w:szCs w:val="32"/>
          <w:lang w:val="en-US" w:eastAsia="zh-CN"/>
        </w:rPr>
        <w:t>10</w:t>
      </w:r>
      <w:r>
        <w:rPr>
          <w:rStyle w:val="11"/>
          <w:rFonts w:hint="eastAsia" w:ascii="仿宋" w:hAnsi="仿宋" w:eastAsia="仿宋"/>
          <w:b w:val="0"/>
          <w:bCs/>
          <w:color w:val="auto"/>
          <w:sz w:val="32"/>
          <w:szCs w:val="32"/>
        </w:rPr>
        <w:t>0</w:t>
      </w:r>
      <w:r>
        <w:rPr>
          <w:rStyle w:val="11"/>
          <w:rFonts w:ascii="仿宋" w:hAnsi="仿宋" w:eastAsia="仿宋"/>
          <w:b w:val="0"/>
          <w:bCs/>
          <w:color w:val="auto"/>
          <w:sz w:val="32"/>
          <w:szCs w:val="32"/>
        </w:rPr>
        <w:t>%</w:t>
      </w:r>
      <w:r>
        <w:rPr>
          <w:rStyle w:val="11"/>
          <w:rFonts w:hint="eastAsia" w:ascii="仿宋" w:hAnsi="仿宋" w:eastAsia="仿宋" w:cs="仿宋"/>
          <w:b w:val="0"/>
          <w:bCs/>
          <w:color w:val="auto"/>
          <w:sz w:val="32"/>
          <w:szCs w:val="32"/>
        </w:rPr>
        <w:t>。</w:t>
      </w:r>
    </w:p>
    <w:p w14:paraId="0045FD50">
      <w:pPr>
        <w:numPr>
          <w:ilvl w:val="0"/>
          <w:numId w:val="3"/>
        </w:numPr>
        <w:spacing w:line="600" w:lineRule="exact"/>
        <w:ind w:left="425" w:leftChars="0" w:hanging="425" w:firstLineChars="0"/>
        <w:rPr>
          <w:rStyle w:val="11"/>
          <w:rFonts w:hint="eastAsia" w:ascii="仿宋" w:hAnsi="仿宋" w:eastAsia="仿宋" w:cs="仿宋"/>
          <w:b w:val="0"/>
          <w:sz w:val="32"/>
          <w:szCs w:val="32"/>
        </w:rPr>
      </w:pPr>
      <w:r>
        <w:rPr>
          <w:rStyle w:val="11"/>
          <w:rFonts w:hint="eastAsia" w:ascii="仿宋" w:hAnsi="仿宋" w:eastAsia="仿宋" w:cs="仿宋"/>
          <w:bCs/>
          <w:color w:val="000000"/>
          <w:sz w:val="32"/>
          <w:szCs w:val="32"/>
        </w:rPr>
        <w:t>社会保障和就业支出（208）其他社会保障和就业支出（99）其他社会保障和就业支出（</w:t>
      </w:r>
      <w:r>
        <w:rPr>
          <w:rStyle w:val="11"/>
          <w:rFonts w:hint="eastAsia" w:ascii="仿宋" w:hAnsi="仿宋" w:eastAsia="仿宋" w:cs="仿宋"/>
          <w:bCs/>
          <w:color w:val="000000"/>
          <w:sz w:val="32"/>
          <w:szCs w:val="32"/>
          <w:lang w:val="en-US" w:eastAsia="zh-CN"/>
        </w:rPr>
        <w:t>99</w:t>
      </w:r>
      <w:r>
        <w:rPr>
          <w:rStyle w:val="11"/>
          <w:rFonts w:hint="eastAsia" w:ascii="仿宋" w:hAnsi="仿宋" w:eastAsia="仿宋" w:cs="仿宋"/>
          <w:bCs/>
          <w:color w:val="000000"/>
          <w:sz w:val="32"/>
          <w:szCs w:val="32"/>
        </w:rPr>
        <w:t>）:</w:t>
      </w:r>
      <w:r>
        <w:rPr>
          <w:rStyle w:val="11"/>
          <w:rFonts w:hint="eastAsia" w:ascii="仿宋" w:hAnsi="仿宋" w:eastAsia="仿宋" w:cs="仿宋"/>
          <w:b w:val="0"/>
          <w:color w:val="000000"/>
          <w:sz w:val="32"/>
          <w:szCs w:val="32"/>
        </w:rPr>
        <w:t>支出决算为0</w:t>
      </w:r>
      <w:r>
        <w:rPr>
          <w:rStyle w:val="11"/>
          <w:rFonts w:hint="eastAsia" w:ascii="仿宋" w:hAnsi="仿宋" w:eastAsia="仿宋" w:cs="仿宋"/>
          <w:b w:val="0"/>
          <w:color w:val="000000"/>
          <w:sz w:val="32"/>
          <w:szCs w:val="32"/>
          <w:lang w:val="en-US" w:eastAsia="zh-CN"/>
        </w:rPr>
        <w:t>.33</w:t>
      </w:r>
      <w:r>
        <w:rPr>
          <w:rStyle w:val="11"/>
          <w:rFonts w:hint="eastAsia" w:ascii="仿宋" w:hAnsi="仿宋" w:eastAsia="仿宋" w:cs="仿宋"/>
          <w:b w:val="0"/>
          <w:sz w:val="32"/>
          <w:szCs w:val="32"/>
        </w:rPr>
        <w:t>万元，</w:t>
      </w:r>
      <w:r>
        <w:rPr>
          <w:rStyle w:val="11"/>
          <w:rFonts w:hint="eastAsia" w:ascii="仿宋" w:hAnsi="仿宋" w:eastAsia="仿宋"/>
          <w:b w:val="0"/>
          <w:bCs/>
          <w:color w:val="000000"/>
          <w:sz w:val="32"/>
          <w:szCs w:val="32"/>
        </w:rPr>
        <w:t>完成</w:t>
      </w:r>
      <w:r>
        <w:rPr>
          <w:rStyle w:val="11"/>
          <w:rFonts w:hint="eastAsia" w:ascii="仿宋" w:hAnsi="仿宋" w:eastAsia="仿宋"/>
          <w:b w:val="0"/>
          <w:bCs/>
          <w:color w:val="auto"/>
          <w:sz w:val="32"/>
          <w:szCs w:val="32"/>
        </w:rPr>
        <w:t>预算</w:t>
      </w:r>
      <w:r>
        <w:rPr>
          <w:rStyle w:val="11"/>
          <w:rFonts w:hint="eastAsia" w:ascii="仿宋" w:hAnsi="仿宋" w:eastAsia="仿宋"/>
          <w:b w:val="0"/>
          <w:bCs/>
          <w:color w:val="auto"/>
          <w:sz w:val="32"/>
          <w:szCs w:val="32"/>
          <w:lang w:val="en-US" w:eastAsia="zh-CN"/>
        </w:rPr>
        <w:t>10</w:t>
      </w:r>
      <w:r>
        <w:rPr>
          <w:rStyle w:val="11"/>
          <w:rFonts w:hint="eastAsia" w:ascii="仿宋" w:hAnsi="仿宋" w:eastAsia="仿宋"/>
          <w:b w:val="0"/>
          <w:bCs/>
          <w:color w:val="auto"/>
          <w:sz w:val="32"/>
          <w:szCs w:val="32"/>
        </w:rPr>
        <w:t>0</w:t>
      </w:r>
      <w:r>
        <w:rPr>
          <w:rStyle w:val="11"/>
          <w:rFonts w:ascii="仿宋" w:hAnsi="仿宋" w:eastAsia="仿宋"/>
          <w:b w:val="0"/>
          <w:bCs/>
          <w:color w:val="auto"/>
          <w:sz w:val="32"/>
          <w:szCs w:val="32"/>
        </w:rPr>
        <w:t>%</w:t>
      </w:r>
      <w:r>
        <w:rPr>
          <w:rStyle w:val="11"/>
          <w:rFonts w:hint="eastAsia" w:ascii="仿宋" w:hAnsi="仿宋" w:eastAsia="仿宋" w:cs="仿宋"/>
          <w:b w:val="0"/>
          <w:bCs/>
          <w:color w:val="auto"/>
          <w:sz w:val="32"/>
          <w:szCs w:val="32"/>
        </w:rPr>
        <w:t>。</w:t>
      </w:r>
    </w:p>
    <w:p w14:paraId="1C36BE88">
      <w:pPr>
        <w:numPr>
          <w:ilvl w:val="0"/>
          <w:numId w:val="3"/>
        </w:numPr>
        <w:spacing w:line="600" w:lineRule="exact"/>
        <w:ind w:left="425" w:leftChars="0" w:hanging="425" w:firstLineChars="0"/>
        <w:rPr>
          <w:rStyle w:val="11"/>
          <w:rFonts w:hint="eastAsia" w:ascii="仿宋" w:hAnsi="仿宋" w:eastAsia="仿宋" w:cs="仿宋"/>
          <w:b w:val="0"/>
          <w:color w:val="auto"/>
          <w:sz w:val="32"/>
          <w:szCs w:val="32"/>
        </w:rPr>
      </w:pPr>
      <w:r>
        <w:rPr>
          <w:rStyle w:val="11"/>
          <w:rFonts w:hint="eastAsia" w:ascii="仿宋" w:hAnsi="仿宋" w:eastAsia="仿宋" w:cs="仿宋"/>
          <w:bCs/>
          <w:sz w:val="32"/>
          <w:szCs w:val="32"/>
        </w:rPr>
        <w:t>卫生健康支出（210）行政事业单位医疗（11）事业单位医疗（02）:</w:t>
      </w:r>
      <w:r>
        <w:rPr>
          <w:rStyle w:val="11"/>
          <w:rFonts w:hint="eastAsia" w:ascii="仿宋" w:hAnsi="仿宋" w:eastAsia="仿宋" w:cs="仿宋"/>
          <w:b w:val="0"/>
          <w:sz w:val="32"/>
          <w:szCs w:val="32"/>
        </w:rPr>
        <w:t>支出决算为</w:t>
      </w:r>
      <w:r>
        <w:rPr>
          <w:rStyle w:val="11"/>
          <w:rFonts w:hint="eastAsia" w:ascii="仿宋" w:hAnsi="仿宋" w:eastAsia="仿宋" w:cs="仿宋"/>
          <w:b w:val="0"/>
          <w:sz w:val="32"/>
          <w:szCs w:val="32"/>
          <w:lang w:val="en-US" w:eastAsia="zh-CN"/>
        </w:rPr>
        <w:t>3.10</w:t>
      </w:r>
      <w:r>
        <w:rPr>
          <w:rStyle w:val="11"/>
          <w:rFonts w:hint="eastAsia" w:ascii="仿宋" w:hAnsi="仿宋" w:eastAsia="仿宋" w:cs="仿宋"/>
          <w:b w:val="0"/>
          <w:sz w:val="32"/>
          <w:szCs w:val="32"/>
        </w:rPr>
        <w:t>万元，</w:t>
      </w:r>
      <w:r>
        <w:rPr>
          <w:rStyle w:val="11"/>
          <w:rFonts w:hint="eastAsia" w:ascii="仿宋" w:hAnsi="仿宋" w:eastAsia="仿宋"/>
          <w:b w:val="0"/>
          <w:bCs/>
          <w:color w:val="000000"/>
          <w:sz w:val="32"/>
          <w:szCs w:val="32"/>
        </w:rPr>
        <w:t>完成</w:t>
      </w:r>
      <w:r>
        <w:rPr>
          <w:rStyle w:val="11"/>
          <w:rFonts w:hint="eastAsia" w:ascii="仿宋" w:hAnsi="仿宋" w:eastAsia="仿宋"/>
          <w:b w:val="0"/>
          <w:bCs/>
          <w:color w:val="auto"/>
          <w:sz w:val="32"/>
          <w:szCs w:val="32"/>
        </w:rPr>
        <w:t>预算</w:t>
      </w:r>
      <w:r>
        <w:rPr>
          <w:rStyle w:val="11"/>
          <w:rFonts w:hint="eastAsia" w:ascii="仿宋" w:hAnsi="仿宋" w:eastAsia="仿宋"/>
          <w:b w:val="0"/>
          <w:bCs/>
          <w:color w:val="auto"/>
          <w:sz w:val="32"/>
          <w:szCs w:val="32"/>
          <w:lang w:val="en-US" w:eastAsia="zh-CN"/>
        </w:rPr>
        <w:t>10</w:t>
      </w:r>
      <w:r>
        <w:rPr>
          <w:rStyle w:val="11"/>
          <w:rFonts w:hint="eastAsia" w:ascii="仿宋" w:hAnsi="仿宋" w:eastAsia="仿宋"/>
          <w:b w:val="0"/>
          <w:bCs/>
          <w:color w:val="auto"/>
          <w:sz w:val="32"/>
          <w:szCs w:val="32"/>
        </w:rPr>
        <w:t>0</w:t>
      </w:r>
      <w:r>
        <w:rPr>
          <w:rStyle w:val="11"/>
          <w:rFonts w:ascii="仿宋" w:hAnsi="仿宋" w:eastAsia="仿宋"/>
          <w:b w:val="0"/>
          <w:bCs/>
          <w:color w:val="auto"/>
          <w:sz w:val="32"/>
          <w:szCs w:val="32"/>
        </w:rPr>
        <w:t>%</w:t>
      </w:r>
      <w:r>
        <w:rPr>
          <w:rStyle w:val="11"/>
          <w:rFonts w:hint="eastAsia" w:ascii="仿宋" w:hAnsi="仿宋" w:eastAsia="仿宋" w:cs="仿宋"/>
          <w:b w:val="0"/>
          <w:color w:val="auto"/>
          <w:sz w:val="32"/>
          <w:szCs w:val="32"/>
        </w:rPr>
        <w:t>。</w:t>
      </w:r>
    </w:p>
    <w:p w14:paraId="3E32A942">
      <w:pPr>
        <w:numPr>
          <w:ilvl w:val="0"/>
          <w:numId w:val="3"/>
        </w:numPr>
        <w:spacing w:line="600" w:lineRule="exact"/>
        <w:ind w:left="425" w:leftChars="0" w:hanging="425" w:firstLineChars="0"/>
        <w:rPr>
          <w:rStyle w:val="11"/>
          <w:rFonts w:hint="eastAsia" w:ascii="仿宋" w:hAnsi="仿宋" w:eastAsia="仿宋" w:cs="仿宋"/>
          <w:b w:val="0"/>
          <w:bCs/>
          <w:color w:val="auto"/>
          <w:sz w:val="32"/>
          <w:szCs w:val="32"/>
        </w:rPr>
      </w:pPr>
      <w:r>
        <w:rPr>
          <w:rStyle w:val="11"/>
          <w:rFonts w:hint="eastAsia" w:ascii="仿宋" w:hAnsi="仿宋" w:eastAsia="仿宋" w:cs="仿宋"/>
          <w:bCs/>
          <w:color w:val="auto"/>
          <w:sz w:val="32"/>
          <w:szCs w:val="32"/>
        </w:rPr>
        <w:t>卫生健康支出（210）行政事业单位医疗（11）公务员医疗补助（03）:</w:t>
      </w:r>
      <w:r>
        <w:rPr>
          <w:rStyle w:val="11"/>
          <w:rFonts w:hint="eastAsia" w:ascii="仿宋" w:hAnsi="仿宋" w:eastAsia="仿宋" w:cs="仿宋"/>
          <w:b w:val="0"/>
          <w:color w:val="auto"/>
          <w:sz w:val="32"/>
          <w:szCs w:val="32"/>
        </w:rPr>
        <w:t>支出决算为</w:t>
      </w:r>
      <w:r>
        <w:rPr>
          <w:rStyle w:val="11"/>
          <w:rFonts w:hint="eastAsia" w:ascii="仿宋" w:hAnsi="仿宋" w:eastAsia="仿宋" w:cs="仿宋"/>
          <w:b w:val="0"/>
          <w:color w:val="auto"/>
          <w:sz w:val="32"/>
          <w:szCs w:val="32"/>
          <w:lang w:val="en-US" w:eastAsia="zh-CN"/>
        </w:rPr>
        <w:t>1.72</w:t>
      </w:r>
      <w:r>
        <w:rPr>
          <w:rStyle w:val="11"/>
          <w:rFonts w:hint="eastAsia" w:ascii="仿宋" w:hAnsi="仿宋" w:eastAsia="仿宋" w:cs="仿宋"/>
          <w:b w:val="0"/>
          <w:color w:val="auto"/>
          <w:sz w:val="32"/>
          <w:szCs w:val="32"/>
        </w:rPr>
        <w:t>万元，</w:t>
      </w:r>
      <w:r>
        <w:rPr>
          <w:rStyle w:val="11"/>
          <w:rFonts w:hint="eastAsia" w:ascii="仿宋" w:hAnsi="仿宋" w:eastAsia="仿宋"/>
          <w:b w:val="0"/>
          <w:bCs/>
          <w:color w:val="000000"/>
          <w:sz w:val="32"/>
          <w:szCs w:val="32"/>
        </w:rPr>
        <w:t>完成</w:t>
      </w:r>
      <w:r>
        <w:rPr>
          <w:rStyle w:val="11"/>
          <w:rFonts w:hint="eastAsia" w:ascii="仿宋" w:hAnsi="仿宋" w:eastAsia="仿宋"/>
          <w:b w:val="0"/>
          <w:bCs/>
          <w:color w:val="auto"/>
          <w:sz w:val="32"/>
          <w:szCs w:val="32"/>
        </w:rPr>
        <w:t>预算</w:t>
      </w:r>
      <w:r>
        <w:rPr>
          <w:rStyle w:val="11"/>
          <w:rFonts w:hint="eastAsia" w:ascii="仿宋" w:hAnsi="仿宋" w:eastAsia="仿宋"/>
          <w:b w:val="0"/>
          <w:bCs/>
          <w:color w:val="auto"/>
          <w:sz w:val="32"/>
          <w:szCs w:val="32"/>
          <w:lang w:val="en-US" w:eastAsia="zh-CN"/>
        </w:rPr>
        <w:t>10</w:t>
      </w:r>
      <w:r>
        <w:rPr>
          <w:rStyle w:val="11"/>
          <w:rFonts w:hint="eastAsia" w:ascii="仿宋" w:hAnsi="仿宋" w:eastAsia="仿宋"/>
          <w:b w:val="0"/>
          <w:bCs/>
          <w:color w:val="auto"/>
          <w:sz w:val="32"/>
          <w:szCs w:val="32"/>
        </w:rPr>
        <w:t>0</w:t>
      </w:r>
      <w:r>
        <w:rPr>
          <w:rStyle w:val="11"/>
          <w:rFonts w:ascii="仿宋" w:hAnsi="仿宋" w:eastAsia="仿宋"/>
          <w:b w:val="0"/>
          <w:bCs/>
          <w:color w:val="auto"/>
          <w:sz w:val="32"/>
          <w:szCs w:val="32"/>
        </w:rPr>
        <w:t>%</w:t>
      </w:r>
      <w:r>
        <w:rPr>
          <w:rStyle w:val="11"/>
          <w:rFonts w:hint="eastAsia" w:ascii="仿宋" w:hAnsi="仿宋" w:eastAsia="仿宋" w:cs="仿宋"/>
          <w:b w:val="0"/>
          <w:bCs/>
          <w:color w:val="auto"/>
          <w:sz w:val="32"/>
          <w:szCs w:val="32"/>
        </w:rPr>
        <w:t>。</w:t>
      </w:r>
    </w:p>
    <w:p w14:paraId="4001BC70">
      <w:pPr>
        <w:numPr>
          <w:ilvl w:val="0"/>
          <w:numId w:val="3"/>
        </w:numPr>
        <w:tabs>
          <w:tab w:val="left" w:pos="312"/>
        </w:tabs>
        <w:spacing w:line="600" w:lineRule="exact"/>
        <w:ind w:left="425" w:leftChars="0" w:hanging="425" w:firstLineChars="0"/>
        <w:rPr>
          <w:rFonts w:ascii="仿宋" w:hAnsi="仿宋" w:eastAsia="仿宋"/>
          <w:color w:val="000000"/>
          <w:sz w:val="32"/>
          <w:szCs w:val="32"/>
        </w:rPr>
      </w:pPr>
      <w:r>
        <w:rPr>
          <w:rStyle w:val="11"/>
          <w:rFonts w:hint="eastAsia" w:ascii="仿宋" w:hAnsi="仿宋" w:eastAsia="仿宋" w:cs="仿宋"/>
          <w:bCs/>
          <w:sz w:val="32"/>
          <w:szCs w:val="32"/>
        </w:rPr>
        <w:t>住房保障支出（221）住房改革支出（02）住房公积金（01）:</w:t>
      </w:r>
      <w:r>
        <w:rPr>
          <w:rStyle w:val="11"/>
          <w:rFonts w:hint="eastAsia" w:ascii="仿宋" w:hAnsi="仿宋" w:eastAsia="仿宋" w:cs="仿宋"/>
          <w:b w:val="0"/>
          <w:sz w:val="32"/>
          <w:szCs w:val="32"/>
        </w:rPr>
        <w:t>支出决算为</w:t>
      </w:r>
      <w:r>
        <w:rPr>
          <w:rStyle w:val="11"/>
          <w:rFonts w:hint="eastAsia" w:ascii="仿宋" w:hAnsi="仿宋" w:eastAsia="仿宋" w:cs="仿宋"/>
          <w:b w:val="0"/>
          <w:sz w:val="32"/>
          <w:szCs w:val="32"/>
          <w:lang w:val="en-US" w:eastAsia="zh-CN"/>
        </w:rPr>
        <w:t>7.69</w:t>
      </w:r>
      <w:r>
        <w:rPr>
          <w:rStyle w:val="11"/>
          <w:rFonts w:hint="eastAsia" w:ascii="仿宋" w:hAnsi="仿宋" w:eastAsia="仿宋" w:cs="仿宋"/>
          <w:b w:val="0"/>
          <w:sz w:val="32"/>
          <w:szCs w:val="32"/>
        </w:rPr>
        <w:t>万元，</w:t>
      </w:r>
      <w:r>
        <w:rPr>
          <w:rStyle w:val="11"/>
          <w:rFonts w:hint="eastAsia" w:ascii="仿宋" w:hAnsi="仿宋" w:eastAsia="仿宋"/>
          <w:b w:val="0"/>
          <w:bCs/>
          <w:color w:val="000000"/>
          <w:sz w:val="32"/>
          <w:szCs w:val="32"/>
        </w:rPr>
        <w:t>完成</w:t>
      </w:r>
      <w:r>
        <w:rPr>
          <w:rStyle w:val="11"/>
          <w:rFonts w:hint="eastAsia" w:ascii="仿宋" w:hAnsi="仿宋" w:eastAsia="仿宋"/>
          <w:b w:val="0"/>
          <w:bCs/>
          <w:color w:val="auto"/>
          <w:sz w:val="32"/>
          <w:szCs w:val="32"/>
        </w:rPr>
        <w:t>预算</w:t>
      </w:r>
      <w:r>
        <w:rPr>
          <w:rStyle w:val="11"/>
          <w:rFonts w:hint="eastAsia" w:ascii="仿宋" w:hAnsi="仿宋" w:eastAsia="仿宋"/>
          <w:b w:val="0"/>
          <w:bCs/>
          <w:color w:val="auto"/>
          <w:sz w:val="32"/>
          <w:szCs w:val="32"/>
          <w:lang w:val="en-US" w:eastAsia="zh-CN"/>
        </w:rPr>
        <w:t>10</w:t>
      </w:r>
      <w:r>
        <w:rPr>
          <w:rStyle w:val="11"/>
          <w:rFonts w:hint="eastAsia" w:ascii="仿宋" w:hAnsi="仿宋" w:eastAsia="仿宋"/>
          <w:b w:val="0"/>
          <w:bCs/>
          <w:color w:val="auto"/>
          <w:sz w:val="32"/>
          <w:szCs w:val="32"/>
        </w:rPr>
        <w:t>0</w:t>
      </w:r>
      <w:r>
        <w:rPr>
          <w:rStyle w:val="11"/>
          <w:rFonts w:ascii="仿宋" w:hAnsi="仿宋" w:eastAsia="仿宋"/>
          <w:b w:val="0"/>
          <w:bCs/>
          <w:color w:val="auto"/>
          <w:sz w:val="32"/>
          <w:szCs w:val="32"/>
        </w:rPr>
        <w:t>%</w:t>
      </w:r>
      <w:r>
        <w:rPr>
          <w:rStyle w:val="11"/>
          <w:rFonts w:hint="eastAsia" w:ascii="仿宋" w:hAnsi="仿宋" w:eastAsia="仿宋" w:cs="仿宋"/>
          <w:b w:val="0"/>
          <w:bCs/>
          <w:color w:val="auto"/>
          <w:sz w:val="32"/>
          <w:szCs w:val="32"/>
        </w:rPr>
        <w:t>。</w:t>
      </w:r>
    </w:p>
    <w:p w14:paraId="74B87E28">
      <w:pPr>
        <w:spacing w:line="600" w:lineRule="exact"/>
        <w:ind w:firstLine="640" w:firstLineChars="0"/>
        <w:rPr>
          <w:rFonts w:ascii="仿宋" w:hAnsi="仿宋" w:eastAsia="仿宋"/>
          <w:b/>
          <w:color w:val="auto"/>
          <w:sz w:val="32"/>
          <w:szCs w:val="32"/>
          <w:highlight w:val="none"/>
        </w:rPr>
      </w:pPr>
    </w:p>
    <w:p w14:paraId="7BADF551">
      <w:pPr>
        <w:tabs>
          <w:tab w:val="right" w:pos="8306"/>
        </w:tabs>
        <w:spacing w:line="600" w:lineRule="exact"/>
        <w:ind w:firstLine="640"/>
        <w:outlineLvl w:val="1"/>
        <w:rPr>
          <w:rStyle w:val="13"/>
          <w:color w:val="auto"/>
          <w:highlight w:val="none"/>
        </w:rPr>
      </w:pPr>
      <w:bookmarkStart w:id="63" w:name="_Toc2241"/>
      <w:bookmarkStart w:id="64" w:name="_Toc15396608"/>
      <w:bookmarkStart w:id="65" w:name="_Toc11396"/>
      <w:bookmarkStart w:id="66" w:name="_Toc15377214"/>
      <w:bookmarkStart w:id="67" w:name="_Toc499"/>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3"/>
          <w:rFonts w:hint="eastAsia" w:ascii="黑体" w:hAnsi="黑体" w:eastAsia="黑体"/>
          <w:b w:val="0"/>
          <w:color w:val="auto"/>
          <w:highlight w:val="none"/>
        </w:rPr>
        <w:t>般公共预算财政拨款基本支出决算情况说明</w:t>
      </w:r>
      <w:bookmarkEnd w:id="63"/>
      <w:bookmarkEnd w:id="64"/>
      <w:bookmarkEnd w:id="65"/>
      <w:bookmarkEnd w:id="66"/>
      <w:bookmarkEnd w:id="67"/>
      <w:r>
        <w:rPr>
          <w:rStyle w:val="13"/>
          <w:rFonts w:ascii="黑体" w:hAnsi="黑体" w:eastAsia="黑体"/>
          <w:b w:val="0"/>
          <w:color w:val="auto"/>
          <w:highlight w:val="none"/>
        </w:rPr>
        <w:tab/>
      </w:r>
    </w:p>
    <w:p w14:paraId="5FE56985">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113.02</w:t>
      </w:r>
      <w:r>
        <w:rPr>
          <w:rFonts w:hint="eastAsia" w:ascii="仿宋" w:hAnsi="仿宋" w:eastAsia="仿宋"/>
          <w:color w:val="auto"/>
          <w:sz w:val="32"/>
          <w:szCs w:val="32"/>
          <w:highlight w:val="none"/>
        </w:rPr>
        <w:t>万元，其中：</w:t>
      </w:r>
    </w:p>
    <w:p w14:paraId="52DA9759">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102.81</w:t>
      </w:r>
      <w:r>
        <w:rPr>
          <w:rFonts w:hint="eastAsia" w:ascii="仿宋" w:hAnsi="仿宋" w:eastAsia="仿宋"/>
          <w:color w:val="auto"/>
          <w:sz w:val="32"/>
          <w:szCs w:val="32"/>
          <w:highlight w:val="none"/>
        </w:rPr>
        <w:t>万元，主要包括：基本工资、津贴补贴、绩效工资、机关事业单位基本养老保险缴费、</w:t>
      </w:r>
      <w:r>
        <w:rPr>
          <w:rFonts w:hint="eastAsia" w:ascii="仿宋" w:hAnsi="仿宋" w:eastAsia="仿宋"/>
          <w:color w:val="000000"/>
          <w:sz w:val="32"/>
          <w:szCs w:val="32"/>
        </w:rPr>
        <w:t>职工基本医疗保险缴费、公务员医疗补助缴费、其他社会保障缴费、住房公积金、其他工资福利支出、其他对个人和家庭的补助支出</w:t>
      </w:r>
      <w:r>
        <w:rPr>
          <w:rFonts w:hint="eastAsia" w:ascii="仿宋" w:hAnsi="仿宋" w:eastAsia="仿宋"/>
          <w:color w:val="auto"/>
          <w:sz w:val="32"/>
          <w:szCs w:val="32"/>
          <w:highlight w:val="none"/>
        </w:rPr>
        <w:t>。</w:t>
      </w:r>
    </w:p>
    <w:p w14:paraId="753F583E">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10.21</w:t>
      </w:r>
      <w:r>
        <w:rPr>
          <w:rFonts w:hint="eastAsia" w:ascii="仿宋" w:hAnsi="仿宋" w:eastAsia="仿宋"/>
          <w:color w:val="auto"/>
          <w:sz w:val="32"/>
          <w:szCs w:val="32"/>
          <w:highlight w:val="none"/>
        </w:rPr>
        <w:t>万元，主要包括：</w:t>
      </w:r>
      <w:r>
        <w:rPr>
          <w:rFonts w:hint="eastAsia" w:ascii="仿宋" w:hAnsi="仿宋" w:eastAsia="仿宋"/>
          <w:color w:val="000000"/>
          <w:sz w:val="32"/>
          <w:szCs w:val="32"/>
        </w:rPr>
        <w:t>办公费、</w:t>
      </w:r>
      <w:r>
        <w:rPr>
          <w:rFonts w:hint="eastAsia" w:ascii="仿宋" w:hAnsi="仿宋" w:eastAsia="仿宋"/>
          <w:color w:val="000000"/>
          <w:sz w:val="32"/>
          <w:szCs w:val="32"/>
          <w:lang w:val="en-US" w:eastAsia="zh-CN"/>
        </w:rPr>
        <w:t>手续费</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邮电费、</w:t>
      </w:r>
      <w:r>
        <w:rPr>
          <w:rFonts w:hint="eastAsia" w:ascii="仿宋" w:hAnsi="仿宋" w:eastAsia="仿宋"/>
          <w:color w:val="000000"/>
          <w:sz w:val="32"/>
          <w:szCs w:val="32"/>
        </w:rPr>
        <w:t>劳务费、</w:t>
      </w:r>
      <w:r>
        <w:rPr>
          <w:rFonts w:hint="eastAsia" w:ascii="仿宋" w:hAnsi="仿宋" w:eastAsia="仿宋"/>
          <w:color w:val="000000"/>
          <w:sz w:val="32"/>
          <w:szCs w:val="32"/>
          <w:lang w:val="en-US" w:eastAsia="zh-CN"/>
        </w:rPr>
        <w:t>委托业务费、工会经费、</w:t>
      </w:r>
      <w:r>
        <w:rPr>
          <w:rFonts w:hint="eastAsia" w:ascii="仿宋" w:hAnsi="仿宋" w:eastAsia="仿宋"/>
          <w:color w:val="000000"/>
          <w:sz w:val="32"/>
          <w:szCs w:val="32"/>
        </w:rPr>
        <w:t>福利费、其他商品和服务支出</w:t>
      </w:r>
      <w:r>
        <w:rPr>
          <w:rFonts w:hint="eastAsia" w:ascii="仿宋" w:hAnsi="仿宋" w:eastAsia="仿宋"/>
          <w:color w:val="auto"/>
          <w:sz w:val="32"/>
          <w:szCs w:val="32"/>
          <w:highlight w:val="none"/>
        </w:rPr>
        <w:t>。</w:t>
      </w:r>
    </w:p>
    <w:p w14:paraId="60F785D6">
      <w:pPr>
        <w:spacing w:line="600" w:lineRule="exact"/>
        <w:ind w:firstLine="640"/>
        <w:rPr>
          <w:rFonts w:ascii="仿宋" w:hAnsi="仿宋" w:eastAsia="仿宋"/>
          <w:b/>
          <w:color w:val="auto"/>
          <w:sz w:val="32"/>
          <w:szCs w:val="32"/>
          <w:highlight w:val="none"/>
        </w:rPr>
      </w:pPr>
    </w:p>
    <w:p w14:paraId="011D6B13">
      <w:pPr>
        <w:spacing w:line="600" w:lineRule="exact"/>
        <w:ind w:firstLine="640"/>
        <w:outlineLvl w:val="1"/>
        <w:rPr>
          <w:rStyle w:val="13"/>
          <w:rFonts w:ascii="黑体" w:hAnsi="黑体" w:eastAsia="黑体"/>
          <w:b w:val="0"/>
          <w:color w:val="auto"/>
          <w:highlight w:val="none"/>
        </w:rPr>
      </w:pPr>
      <w:bookmarkStart w:id="68" w:name="_Toc14865"/>
      <w:bookmarkStart w:id="69" w:name="_Toc15377215"/>
      <w:bookmarkStart w:id="70" w:name="_Toc15396609"/>
      <w:bookmarkStart w:id="71" w:name="_Toc5767"/>
      <w:bookmarkStart w:id="72" w:name="_Toc2990"/>
      <w:r>
        <w:rPr>
          <w:rFonts w:hint="eastAsia" w:ascii="黑体" w:eastAsia="黑体"/>
          <w:color w:val="auto"/>
          <w:sz w:val="32"/>
          <w:szCs w:val="32"/>
          <w:highlight w:val="none"/>
        </w:rPr>
        <w:t>七、</w:t>
      </w:r>
      <w:r>
        <w:rPr>
          <w:rStyle w:val="13"/>
          <w:rFonts w:hint="eastAsia" w:ascii="黑体" w:hAnsi="黑体" w:eastAsia="黑体"/>
          <w:b w:val="0"/>
          <w:color w:val="auto"/>
          <w:highlight w:val="none"/>
        </w:rPr>
        <w:t>财政拨款</w:t>
      </w:r>
      <w:r>
        <w:rPr>
          <w:rStyle w:val="13"/>
          <w:rFonts w:hint="eastAsia" w:ascii="黑体" w:hAnsi="黑体" w:eastAsia="黑体"/>
          <w:color w:val="auto"/>
          <w:highlight w:val="none"/>
        </w:rPr>
        <w:t>“</w:t>
      </w:r>
      <w:r>
        <w:rPr>
          <w:rStyle w:val="13"/>
          <w:rFonts w:hint="eastAsia" w:ascii="黑体" w:hAnsi="黑体" w:eastAsia="黑体"/>
          <w:b w:val="0"/>
          <w:color w:val="auto"/>
          <w:highlight w:val="none"/>
        </w:rPr>
        <w:t>三公”经费支出决算情况说明</w:t>
      </w:r>
      <w:bookmarkEnd w:id="68"/>
      <w:bookmarkEnd w:id="69"/>
      <w:bookmarkEnd w:id="70"/>
      <w:bookmarkEnd w:id="71"/>
      <w:bookmarkEnd w:id="72"/>
    </w:p>
    <w:p w14:paraId="6C15E998">
      <w:pPr>
        <w:spacing w:line="600" w:lineRule="exact"/>
        <w:ind w:firstLine="640"/>
        <w:outlineLvl w:val="2"/>
        <w:rPr>
          <w:rFonts w:ascii="仿宋" w:hAnsi="仿宋" w:eastAsia="仿宋"/>
          <w:b/>
          <w:color w:val="auto"/>
          <w:sz w:val="32"/>
          <w:szCs w:val="32"/>
          <w:highlight w:val="none"/>
        </w:rPr>
      </w:pPr>
      <w:bookmarkStart w:id="73" w:name="_Toc15377216"/>
      <w:r>
        <w:rPr>
          <w:rFonts w:hint="eastAsia" w:ascii="仿宋" w:hAnsi="仿宋" w:eastAsia="仿宋"/>
          <w:b/>
          <w:color w:val="auto"/>
          <w:sz w:val="32"/>
          <w:szCs w:val="32"/>
          <w:highlight w:val="none"/>
        </w:rPr>
        <w:t>（一）“三公”经费财政拨款支出决算总体情况说明</w:t>
      </w:r>
      <w:bookmarkEnd w:id="73"/>
    </w:p>
    <w:p w14:paraId="4DBEF876">
      <w:pPr>
        <w:spacing w:line="600" w:lineRule="exact"/>
        <w:ind w:firstLine="640"/>
        <w:outlineLvl w:val="2"/>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，与预算数持平</w:t>
      </w:r>
      <w:bookmarkStart w:id="74" w:name="_Toc15377217"/>
      <w:r>
        <w:rPr>
          <w:rFonts w:hint="eastAsia" w:ascii="仿宋" w:hAnsi="仿宋" w:eastAsia="仿宋"/>
          <w:color w:val="auto"/>
          <w:sz w:val="32"/>
          <w:szCs w:val="32"/>
          <w:highlight w:val="none"/>
          <w:lang w:val="en-US" w:eastAsia="zh-CN"/>
        </w:rPr>
        <w:t>。</w:t>
      </w:r>
    </w:p>
    <w:p w14:paraId="16CDA4F1">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bookmarkEnd w:id="74"/>
    </w:p>
    <w:p w14:paraId="1C0953A3">
      <w:pPr>
        <w:spacing w:line="600" w:lineRule="exact"/>
        <w:ind w:firstLine="640"/>
        <w:rPr>
          <w:rFonts w:ascii="仿宋_GB2312" w:eastAsia="仿宋_GB2312"/>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2ABFFA08">
      <w:pPr>
        <w:spacing w:line="600" w:lineRule="exact"/>
        <w:ind w:firstLine="640"/>
        <w:rPr>
          <w:rFonts w:ascii="仿宋_GB2312" w:eastAsia="仿宋_GB2312"/>
          <w:color w:val="000000"/>
          <w:sz w:val="32"/>
          <w:szCs w:val="32"/>
        </w:rPr>
      </w:pPr>
      <w:bookmarkStart w:id="75" w:name="_Toc15377218"/>
      <w:bookmarkStart w:id="76" w:name="_Toc15396610"/>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w:t>
      </w:r>
      <w:r>
        <w:rPr>
          <w:rFonts w:hint="eastAsia" w:ascii="仿宋_GB2312" w:eastAsia="仿宋_GB2312"/>
          <w:color w:val="000000"/>
          <w:sz w:val="32"/>
          <w:szCs w:val="32"/>
          <w:lang w:val="en-US" w:eastAsia="zh-CN"/>
        </w:rPr>
        <w:t>.00</w:t>
      </w:r>
      <w:r>
        <w:rPr>
          <w:rFonts w:hint="eastAsia" w:ascii="仿宋_GB2312" w:eastAsia="仿宋_GB2312"/>
          <w:color w:val="000000"/>
          <w:sz w:val="32"/>
          <w:szCs w:val="32"/>
        </w:rPr>
        <w:t>万元，</w:t>
      </w:r>
      <w:r>
        <w:rPr>
          <w:rStyle w:val="11"/>
          <w:rFonts w:hint="eastAsia" w:ascii="仿宋" w:hAnsi="仿宋" w:eastAsia="仿宋"/>
          <w:b w:val="0"/>
          <w:bCs/>
          <w:color w:val="000000"/>
          <w:sz w:val="32"/>
          <w:szCs w:val="32"/>
        </w:rPr>
        <w:t>完成预算</w:t>
      </w:r>
      <w:r>
        <w:rPr>
          <w:rFonts w:hint="eastAsia" w:ascii="仿宋" w:hAnsi="仿宋" w:eastAsia="仿宋"/>
          <w:color w:val="auto"/>
          <w:sz w:val="32"/>
          <w:szCs w:val="32"/>
          <w:highlight w:val="none"/>
          <w:lang w:val="en-US" w:eastAsia="zh-CN"/>
        </w:rPr>
        <w:t>0.00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lang w:val="en-US" w:eastAsia="zh-CN"/>
          <w14:textFill>
            <w14:solidFill>
              <w14:schemeClr w14:val="tx1"/>
            </w14:solidFill>
          </w14:textFill>
        </w:rPr>
        <w:t>22</w:t>
      </w:r>
      <w:r>
        <w:rPr>
          <w:rFonts w:hint="eastAsia" w:ascii="仿宋_GB2312" w:eastAsia="仿宋_GB2312"/>
          <w:color w:val="000000"/>
          <w:sz w:val="32"/>
          <w:szCs w:val="32"/>
        </w:rPr>
        <w:t>年增加</w:t>
      </w:r>
      <w:r>
        <w:rPr>
          <w:rFonts w:hint="eastAsia" w:ascii="仿宋" w:hAnsi="仿宋" w:eastAsia="仿宋"/>
          <w:color w:val="auto"/>
          <w:sz w:val="32"/>
          <w:szCs w:val="32"/>
          <w:highlight w:val="none"/>
          <w:lang w:val="en-US" w:eastAsia="zh-CN"/>
        </w:rPr>
        <w:t>0.00</w:t>
      </w:r>
      <w:r>
        <w:rPr>
          <w:rFonts w:hint="eastAsia" w:ascii="仿宋_GB2312" w:eastAsia="仿宋_GB2312"/>
          <w:color w:val="000000"/>
          <w:sz w:val="32"/>
          <w:szCs w:val="32"/>
        </w:rPr>
        <w:t>万元，增长</w:t>
      </w:r>
      <w:r>
        <w:rPr>
          <w:rFonts w:hint="eastAsia" w:ascii="仿宋" w:hAnsi="仿宋" w:eastAsia="仿宋"/>
          <w:color w:val="auto"/>
          <w:sz w:val="32"/>
          <w:szCs w:val="32"/>
          <w:highlight w:val="none"/>
          <w:lang w:val="en-US" w:eastAsia="zh-CN"/>
        </w:rPr>
        <w:t>0.00</w:t>
      </w:r>
      <w:r>
        <w:rPr>
          <w:rFonts w:ascii="仿宋_GB2312" w:eastAsia="仿宋_GB2312"/>
          <w:color w:val="000000"/>
          <w:sz w:val="32"/>
          <w:szCs w:val="32"/>
        </w:rPr>
        <w:t>%</w:t>
      </w:r>
      <w:r>
        <w:rPr>
          <w:rFonts w:hint="eastAsia" w:ascii="仿宋_GB2312" w:eastAsia="仿宋_GB2312"/>
          <w:color w:val="000000"/>
          <w:sz w:val="32"/>
          <w:szCs w:val="32"/>
        </w:rPr>
        <w:t>。</w:t>
      </w:r>
    </w:p>
    <w:p w14:paraId="34132CF7">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 w:hAnsi="仿宋" w:eastAsia="仿宋"/>
          <w:color w:val="auto"/>
          <w:sz w:val="32"/>
          <w:szCs w:val="32"/>
          <w:highlight w:val="none"/>
          <w:lang w:val="en-US" w:eastAsia="zh-CN"/>
        </w:rPr>
        <w:t>0.00</w:t>
      </w:r>
      <w:r>
        <w:rPr>
          <w:rFonts w:hint="eastAsia" w:ascii="仿宋_GB2312" w:eastAsia="仿宋_GB2312"/>
          <w:color w:val="000000"/>
          <w:sz w:val="32"/>
          <w:szCs w:val="32"/>
        </w:rPr>
        <w:t>万元</w:t>
      </w:r>
      <w:r>
        <w:rPr>
          <w:rFonts w:ascii="仿宋_GB2312" w:eastAsia="仿宋_GB2312"/>
          <w:color w:val="000000"/>
          <w:sz w:val="32"/>
          <w:szCs w:val="32"/>
        </w:rPr>
        <w:t>,</w:t>
      </w:r>
      <w:r>
        <w:rPr>
          <w:rStyle w:val="11"/>
          <w:rFonts w:hint="eastAsia" w:ascii="仿宋" w:hAnsi="仿宋" w:eastAsia="仿宋"/>
          <w:b w:val="0"/>
          <w:bCs/>
          <w:color w:val="000000"/>
          <w:sz w:val="32"/>
          <w:szCs w:val="32"/>
        </w:rPr>
        <w:t>完成预算</w:t>
      </w:r>
      <w:r>
        <w:rPr>
          <w:rFonts w:hint="eastAsia" w:ascii="仿宋" w:hAnsi="仿宋" w:eastAsia="仿宋"/>
          <w:color w:val="auto"/>
          <w:sz w:val="32"/>
          <w:szCs w:val="32"/>
          <w:highlight w:val="none"/>
          <w:lang w:val="en-US" w:eastAsia="zh-CN"/>
        </w:rPr>
        <w:t>0.00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lang w:val="en-US" w:eastAsia="zh-CN"/>
          <w14:textFill>
            <w14:solidFill>
              <w14:schemeClr w14:val="tx1"/>
            </w14:solidFill>
          </w14:textFill>
        </w:rPr>
        <w:t>22</w:t>
      </w:r>
      <w:r>
        <w:rPr>
          <w:rFonts w:hint="eastAsia" w:ascii="仿宋_GB2312" w:eastAsia="仿宋_GB2312"/>
          <w:color w:val="000000"/>
          <w:sz w:val="32"/>
          <w:szCs w:val="32"/>
        </w:rPr>
        <w:t>年增加</w:t>
      </w:r>
      <w:r>
        <w:rPr>
          <w:rFonts w:hint="eastAsia" w:ascii="仿宋" w:hAnsi="仿宋" w:eastAsia="仿宋"/>
          <w:color w:val="auto"/>
          <w:sz w:val="32"/>
          <w:szCs w:val="32"/>
          <w:highlight w:val="none"/>
          <w:lang w:val="en-US" w:eastAsia="zh-CN"/>
        </w:rPr>
        <w:t>0.00</w:t>
      </w:r>
      <w:r>
        <w:rPr>
          <w:rFonts w:hint="eastAsia" w:ascii="仿宋_GB2312" w:eastAsia="仿宋_GB2312"/>
          <w:color w:val="000000"/>
          <w:sz w:val="32"/>
          <w:szCs w:val="32"/>
        </w:rPr>
        <w:t>万元，增长</w:t>
      </w:r>
      <w:r>
        <w:rPr>
          <w:rFonts w:hint="eastAsia" w:ascii="仿宋" w:hAnsi="仿宋" w:eastAsia="仿宋"/>
          <w:color w:val="auto"/>
          <w:sz w:val="32"/>
          <w:szCs w:val="32"/>
          <w:highlight w:val="none"/>
          <w:lang w:val="en-US" w:eastAsia="zh-CN"/>
        </w:rPr>
        <w:t>0.00</w:t>
      </w:r>
      <w:r>
        <w:rPr>
          <w:rFonts w:ascii="仿宋_GB2312" w:eastAsia="仿宋_GB2312"/>
          <w:color w:val="000000"/>
          <w:sz w:val="32"/>
          <w:szCs w:val="32"/>
        </w:rPr>
        <w:t>%</w:t>
      </w:r>
      <w:r>
        <w:rPr>
          <w:rFonts w:hint="eastAsia" w:ascii="仿宋_GB2312" w:eastAsia="仿宋_GB2312"/>
          <w:color w:val="000000"/>
          <w:sz w:val="32"/>
          <w:szCs w:val="32"/>
        </w:rPr>
        <w:t>。主要原因是无费用支出。</w:t>
      </w:r>
    </w:p>
    <w:p w14:paraId="7DE72669">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 w:hAnsi="仿宋" w:eastAsia="仿宋"/>
          <w:color w:val="auto"/>
          <w:sz w:val="32"/>
          <w:szCs w:val="32"/>
          <w:highlight w:val="none"/>
          <w:lang w:val="en-US" w:eastAsia="zh-CN"/>
        </w:rPr>
        <w:t>0.00</w:t>
      </w:r>
      <w:r>
        <w:rPr>
          <w:rFonts w:hint="eastAsia" w:ascii="仿宋_GB2312" w:eastAsia="仿宋_GB2312"/>
          <w:color w:val="000000"/>
          <w:sz w:val="32"/>
          <w:szCs w:val="32"/>
        </w:rPr>
        <w:t>万元。全年按规定更新购置公务用车0辆，其中：轿车0辆、金额</w:t>
      </w:r>
      <w:r>
        <w:rPr>
          <w:rFonts w:hint="eastAsia" w:ascii="仿宋" w:hAnsi="仿宋" w:eastAsia="仿宋"/>
          <w:color w:val="auto"/>
          <w:sz w:val="32"/>
          <w:szCs w:val="32"/>
          <w:highlight w:val="none"/>
          <w:lang w:val="en-US" w:eastAsia="zh-CN"/>
        </w:rPr>
        <w:t>0.00</w:t>
      </w:r>
      <w:r>
        <w:rPr>
          <w:rFonts w:hint="eastAsia" w:ascii="仿宋_GB2312" w:eastAsia="仿宋_GB2312"/>
          <w:color w:val="000000"/>
          <w:sz w:val="32"/>
          <w:szCs w:val="32"/>
        </w:rPr>
        <w:t>万元，越野车0辆、金额0万元，载客汽车0辆、金额</w:t>
      </w:r>
      <w:r>
        <w:rPr>
          <w:rFonts w:hint="eastAsia" w:ascii="仿宋" w:hAnsi="仿宋" w:eastAsia="仿宋"/>
          <w:color w:val="auto"/>
          <w:sz w:val="32"/>
          <w:szCs w:val="32"/>
          <w:highlight w:val="none"/>
          <w:lang w:val="en-US" w:eastAsia="zh-CN"/>
        </w:rPr>
        <w:t>0.00</w:t>
      </w:r>
      <w:r>
        <w:rPr>
          <w:rFonts w:hint="eastAsia" w:ascii="仿宋_GB2312" w:eastAsia="仿宋_GB2312"/>
          <w:color w:val="000000"/>
          <w:sz w:val="32"/>
          <w:szCs w:val="32"/>
        </w:rPr>
        <w:t>万元。截至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月底，单位共有公务用车0辆，其中：轿车0辆、越野车0辆、载客汽车0辆。</w:t>
      </w:r>
    </w:p>
    <w:p w14:paraId="3EA937B1">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 w:hAnsi="仿宋" w:eastAsia="仿宋"/>
          <w:color w:val="auto"/>
          <w:sz w:val="32"/>
          <w:szCs w:val="32"/>
          <w:highlight w:val="none"/>
          <w:lang w:val="en-US" w:eastAsia="zh-CN"/>
        </w:rPr>
        <w:t>0.00</w:t>
      </w:r>
      <w:r>
        <w:rPr>
          <w:rFonts w:hint="eastAsia" w:ascii="仿宋_GB2312" w:eastAsia="仿宋_GB2312"/>
          <w:color w:val="000000"/>
          <w:sz w:val="32"/>
          <w:szCs w:val="32"/>
        </w:rPr>
        <w:t>万元。</w:t>
      </w:r>
    </w:p>
    <w:p w14:paraId="3F100FD8">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color w:val="auto"/>
          <w:sz w:val="32"/>
          <w:szCs w:val="32"/>
          <w:highlight w:val="none"/>
          <w:lang w:val="en-US" w:eastAsia="zh-CN"/>
        </w:rPr>
        <w:t>0.00</w:t>
      </w:r>
      <w:r>
        <w:rPr>
          <w:rFonts w:hint="eastAsia" w:ascii="仿宋_GB2312" w:eastAsia="仿宋_GB2312"/>
          <w:color w:val="000000"/>
          <w:sz w:val="32"/>
          <w:szCs w:val="32"/>
        </w:rPr>
        <w:t>万元，</w:t>
      </w:r>
      <w:r>
        <w:rPr>
          <w:rStyle w:val="11"/>
          <w:rFonts w:hint="eastAsia" w:ascii="仿宋" w:hAnsi="仿宋" w:eastAsia="仿宋"/>
          <w:b w:val="0"/>
          <w:bCs/>
          <w:color w:val="000000"/>
          <w:sz w:val="32"/>
          <w:szCs w:val="32"/>
        </w:rPr>
        <w:t>完成预算</w:t>
      </w:r>
      <w:r>
        <w:rPr>
          <w:rFonts w:hint="eastAsia" w:ascii="仿宋" w:hAnsi="仿宋" w:eastAsia="仿宋"/>
          <w:color w:val="auto"/>
          <w:sz w:val="32"/>
          <w:szCs w:val="32"/>
          <w:highlight w:val="none"/>
          <w:lang w:val="en-US" w:eastAsia="zh-CN"/>
        </w:rPr>
        <w:t>0.00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22年</w:t>
      </w:r>
      <w:r>
        <w:rPr>
          <w:rFonts w:hint="eastAsia" w:ascii="仿宋_GB2312" w:eastAsia="仿宋_GB2312"/>
          <w:color w:val="000000"/>
          <w:sz w:val="32"/>
          <w:szCs w:val="32"/>
        </w:rPr>
        <w:t>增加</w:t>
      </w:r>
      <w:r>
        <w:rPr>
          <w:rFonts w:hint="eastAsia" w:ascii="仿宋" w:hAnsi="仿宋" w:eastAsia="仿宋"/>
          <w:color w:val="auto"/>
          <w:sz w:val="32"/>
          <w:szCs w:val="32"/>
          <w:highlight w:val="none"/>
          <w:lang w:val="en-US" w:eastAsia="zh-CN"/>
        </w:rPr>
        <w:t>0.00</w:t>
      </w:r>
      <w:r>
        <w:rPr>
          <w:rFonts w:hint="eastAsia" w:ascii="仿宋_GB2312" w:eastAsia="仿宋_GB2312"/>
          <w:color w:val="000000"/>
          <w:sz w:val="32"/>
          <w:szCs w:val="32"/>
        </w:rPr>
        <w:t>万元，增长</w:t>
      </w:r>
      <w:r>
        <w:rPr>
          <w:rFonts w:hint="eastAsia" w:ascii="仿宋" w:hAnsi="仿宋" w:eastAsia="仿宋"/>
          <w:color w:val="auto"/>
          <w:sz w:val="32"/>
          <w:szCs w:val="32"/>
          <w:highlight w:val="none"/>
          <w:lang w:val="en-US" w:eastAsia="zh-CN"/>
        </w:rPr>
        <w:t>0.00</w:t>
      </w:r>
      <w:r>
        <w:rPr>
          <w:rFonts w:ascii="仿宋_GB2312" w:eastAsia="仿宋_GB2312"/>
          <w:color w:val="000000"/>
          <w:sz w:val="32"/>
          <w:szCs w:val="32"/>
        </w:rPr>
        <w:t>%</w:t>
      </w:r>
      <w:r>
        <w:rPr>
          <w:rFonts w:hint="eastAsia" w:ascii="仿宋_GB2312" w:eastAsia="仿宋_GB2312"/>
          <w:color w:val="000000"/>
          <w:sz w:val="32"/>
          <w:szCs w:val="32"/>
        </w:rPr>
        <w:t>。主要原因是无公务接待费。其中：</w:t>
      </w:r>
    </w:p>
    <w:p w14:paraId="5381C08D">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auto"/>
          <w:sz w:val="32"/>
          <w:szCs w:val="32"/>
          <w:highlight w:val="none"/>
          <w:lang w:val="en-US" w:eastAsia="zh-CN"/>
        </w:rPr>
        <w:t>0.00</w:t>
      </w:r>
      <w:r>
        <w:rPr>
          <w:rFonts w:hint="eastAsia" w:ascii="仿宋_GB2312" w:eastAsia="仿宋_GB2312"/>
          <w:color w:val="000000"/>
          <w:sz w:val="32"/>
          <w:szCs w:val="32"/>
        </w:rPr>
        <w:t>万元。国内公务接待0批次，0人次（不包括陪同人员），共计支出</w:t>
      </w:r>
      <w:r>
        <w:rPr>
          <w:rFonts w:hint="eastAsia" w:ascii="仿宋" w:hAnsi="仿宋" w:eastAsia="仿宋"/>
          <w:color w:val="auto"/>
          <w:sz w:val="32"/>
          <w:szCs w:val="32"/>
          <w:highlight w:val="none"/>
          <w:lang w:val="en-US" w:eastAsia="zh-CN"/>
        </w:rPr>
        <w:t>0.00</w:t>
      </w:r>
      <w:r>
        <w:rPr>
          <w:rFonts w:hint="eastAsia" w:ascii="仿宋_GB2312" w:eastAsia="仿宋_GB2312"/>
          <w:color w:val="000000"/>
          <w:sz w:val="32"/>
          <w:szCs w:val="32"/>
        </w:rPr>
        <w:t>万元。</w:t>
      </w:r>
    </w:p>
    <w:p w14:paraId="076E22A6">
      <w:pPr>
        <w:spacing w:line="600" w:lineRule="exact"/>
        <w:ind w:firstLine="643" w:firstLineChars="200"/>
        <w:rPr>
          <w:rFonts w:hint="eastAsia"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auto"/>
          <w:sz w:val="32"/>
          <w:szCs w:val="32"/>
          <w:highlight w:val="none"/>
          <w:lang w:val="en-US" w:eastAsia="zh-CN"/>
        </w:rPr>
        <w:t>0.00</w:t>
      </w:r>
      <w:r>
        <w:rPr>
          <w:rFonts w:hint="eastAsia" w:ascii="仿宋_GB2312" w:eastAsia="仿宋_GB2312"/>
          <w:color w:val="000000"/>
          <w:sz w:val="32"/>
          <w:szCs w:val="32"/>
        </w:rPr>
        <w:t>万元，外事接待0批次，0人，共计支出</w:t>
      </w:r>
      <w:r>
        <w:rPr>
          <w:rFonts w:hint="eastAsia" w:ascii="仿宋" w:hAnsi="仿宋" w:eastAsia="仿宋"/>
          <w:color w:val="auto"/>
          <w:sz w:val="32"/>
          <w:szCs w:val="32"/>
          <w:highlight w:val="none"/>
          <w:lang w:val="en-US" w:eastAsia="zh-CN"/>
        </w:rPr>
        <w:t>0.00</w:t>
      </w:r>
      <w:r>
        <w:rPr>
          <w:rFonts w:hint="eastAsia" w:ascii="仿宋_GB2312" w:eastAsia="仿宋_GB2312"/>
          <w:color w:val="000000"/>
          <w:sz w:val="32"/>
          <w:szCs w:val="32"/>
        </w:rPr>
        <w:t>万元。</w:t>
      </w:r>
    </w:p>
    <w:p w14:paraId="74952046">
      <w:pPr>
        <w:spacing w:line="600" w:lineRule="exact"/>
        <w:ind w:firstLine="640"/>
        <w:outlineLvl w:val="9"/>
        <w:rPr>
          <w:rFonts w:ascii="黑体" w:eastAsia="黑体"/>
          <w:color w:val="auto"/>
          <w:sz w:val="32"/>
          <w:szCs w:val="32"/>
          <w:highlight w:val="none"/>
        </w:rPr>
      </w:pPr>
    </w:p>
    <w:p w14:paraId="2B1B9FAE">
      <w:pPr>
        <w:spacing w:line="600" w:lineRule="exact"/>
        <w:ind w:firstLine="640"/>
        <w:outlineLvl w:val="1"/>
        <w:rPr>
          <w:rStyle w:val="13"/>
          <w:rFonts w:ascii="黑体" w:hAnsi="黑体" w:eastAsia="黑体"/>
          <w:color w:val="auto"/>
          <w:highlight w:val="none"/>
        </w:rPr>
      </w:pPr>
      <w:bookmarkStart w:id="77" w:name="_Toc5263"/>
      <w:bookmarkStart w:id="78" w:name="_Toc1495"/>
      <w:bookmarkStart w:id="79" w:name="_Toc5531"/>
      <w:r>
        <w:rPr>
          <w:rFonts w:hint="eastAsia" w:ascii="黑体" w:eastAsia="黑体"/>
          <w:color w:val="auto"/>
          <w:sz w:val="32"/>
          <w:szCs w:val="32"/>
          <w:highlight w:val="none"/>
        </w:rPr>
        <w:t>八、</w:t>
      </w:r>
      <w:r>
        <w:rPr>
          <w:rStyle w:val="13"/>
          <w:rFonts w:hint="eastAsia" w:ascii="黑体" w:hAnsi="黑体" w:eastAsia="黑体"/>
          <w:b w:val="0"/>
          <w:color w:val="auto"/>
          <w:highlight w:val="none"/>
        </w:rPr>
        <w:t>政府性基金预算支出决算情况说明</w:t>
      </w:r>
      <w:bookmarkEnd w:id="75"/>
      <w:bookmarkEnd w:id="76"/>
      <w:bookmarkEnd w:id="77"/>
      <w:bookmarkEnd w:id="78"/>
      <w:bookmarkEnd w:id="79"/>
    </w:p>
    <w:p w14:paraId="1577EDCC">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 w:hAnsi="仿宋" w:eastAsia="仿宋"/>
          <w:color w:val="auto"/>
          <w:sz w:val="32"/>
          <w:szCs w:val="32"/>
          <w:highlight w:val="none"/>
          <w:lang w:val="en-US" w:eastAsia="zh-CN"/>
        </w:rPr>
        <w:t>0.00</w:t>
      </w:r>
      <w:r>
        <w:rPr>
          <w:rFonts w:hint="eastAsia" w:ascii="仿宋_GB2312" w:eastAsia="仿宋_GB2312"/>
          <w:color w:val="auto"/>
          <w:sz w:val="32"/>
          <w:szCs w:val="32"/>
          <w:highlight w:val="none"/>
        </w:rPr>
        <w:t>万元。</w:t>
      </w:r>
    </w:p>
    <w:p w14:paraId="78A254EC">
      <w:pPr>
        <w:spacing w:line="600" w:lineRule="exact"/>
        <w:ind w:firstLine="640"/>
        <w:rPr>
          <w:rFonts w:ascii="仿宋_GB2312" w:eastAsia="仿宋_GB2312"/>
          <w:color w:val="auto"/>
          <w:sz w:val="32"/>
          <w:szCs w:val="32"/>
          <w:highlight w:val="none"/>
        </w:rPr>
      </w:pPr>
    </w:p>
    <w:p w14:paraId="743D6E6A">
      <w:pPr>
        <w:numPr>
          <w:ilvl w:val="0"/>
          <w:numId w:val="4"/>
        </w:numPr>
        <w:spacing w:line="600" w:lineRule="exact"/>
        <w:ind w:firstLine="640"/>
        <w:outlineLvl w:val="1"/>
        <w:rPr>
          <w:rStyle w:val="13"/>
          <w:rFonts w:ascii="黑体" w:hAnsi="黑体" w:eastAsia="黑体"/>
          <w:b w:val="0"/>
          <w:color w:val="auto"/>
          <w:highlight w:val="none"/>
        </w:rPr>
      </w:pPr>
      <w:bookmarkStart w:id="80" w:name="_Toc7056"/>
      <w:bookmarkStart w:id="81" w:name="_Toc15396611"/>
      <w:bookmarkStart w:id="82" w:name="_Toc15398"/>
      <w:bookmarkStart w:id="83" w:name="_Toc15377219"/>
      <w:bookmarkStart w:id="84" w:name="_Toc7407"/>
      <w:r>
        <w:rPr>
          <w:rStyle w:val="13"/>
          <w:rFonts w:hint="eastAsia" w:ascii="黑体" w:hAnsi="黑体" w:eastAsia="黑体"/>
          <w:b w:val="0"/>
          <w:color w:val="auto"/>
          <w:highlight w:val="none"/>
        </w:rPr>
        <w:t>国有资本经营预算支出决算情况说明</w:t>
      </w:r>
      <w:bookmarkEnd w:id="80"/>
      <w:bookmarkEnd w:id="81"/>
      <w:bookmarkEnd w:id="82"/>
      <w:bookmarkEnd w:id="83"/>
      <w:bookmarkEnd w:id="84"/>
    </w:p>
    <w:p w14:paraId="25AC371D">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 w:hAnsi="仿宋" w:eastAsia="仿宋"/>
          <w:color w:val="auto"/>
          <w:sz w:val="32"/>
          <w:szCs w:val="32"/>
          <w:highlight w:val="none"/>
          <w:lang w:val="en-US" w:eastAsia="zh-CN"/>
        </w:rPr>
        <w:t>0.00</w:t>
      </w:r>
      <w:r>
        <w:rPr>
          <w:rFonts w:hint="eastAsia" w:ascii="仿宋_GB2312" w:eastAsia="仿宋_GB2312"/>
          <w:color w:val="auto"/>
          <w:sz w:val="32"/>
          <w:szCs w:val="32"/>
          <w:highlight w:val="none"/>
        </w:rPr>
        <w:t>万元。</w:t>
      </w:r>
    </w:p>
    <w:p w14:paraId="71062DB1">
      <w:pPr>
        <w:spacing w:line="580" w:lineRule="exact"/>
        <w:jc w:val="center"/>
        <w:rPr>
          <w:rFonts w:ascii="方正小标宋简体" w:hAnsi="方正小标宋简体" w:eastAsia="方正小标宋简体" w:cs="方正小标宋简体"/>
          <w:color w:val="auto"/>
          <w:sz w:val="44"/>
          <w:szCs w:val="44"/>
          <w:highlight w:val="none"/>
        </w:rPr>
      </w:pPr>
    </w:p>
    <w:p w14:paraId="0C455E8C">
      <w:pPr>
        <w:numPr>
          <w:ilvl w:val="0"/>
          <w:numId w:val="4"/>
        </w:numPr>
        <w:spacing w:line="600" w:lineRule="exact"/>
        <w:ind w:firstLine="640"/>
        <w:outlineLvl w:val="1"/>
        <w:rPr>
          <w:rStyle w:val="13"/>
          <w:rFonts w:hint="eastAsia" w:ascii="黑体" w:hAnsi="黑体" w:eastAsia="黑体"/>
          <w:b w:val="0"/>
          <w:color w:val="auto"/>
          <w:highlight w:val="none"/>
        </w:rPr>
      </w:pPr>
      <w:bookmarkStart w:id="85" w:name="_Toc9039"/>
      <w:bookmarkStart w:id="86" w:name="_Toc15377221"/>
      <w:bookmarkStart w:id="87" w:name="_Toc17980"/>
      <w:bookmarkStart w:id="88" w:name="_Toc15396612"/>
      <w:bookmarkStart w:id="89" w:name="_Toc9215"/>
      <w:r>
        <w:rPr>
          <w:rStyle w:val="13"/>
          <w:rFonts w:hint="eastAsia" w:ascii="黑体" w:hAnsi="黑体" w:eastAsia="黑体"/>
          <w:b w:val="0"/>
          <w:color w:val="auto"/>
          <w:highlight w:val="none"/>
        </w:rPr>
        <w:t>其他重要事项的情况说明</w:t>
      </w:r>
      <w:bookmarkEnd w:id="85"/>
      <w:bookmarkEnd w:id="86"/>
      <w:bookmarkEnd w:id="87"/>
      <w:bookmarkEnd w:id="88"/>
      <w:bookmarkEnd w:id="89"/>
    </w:p>
    <w:p w14:paraId="3CA39AB9">
      <w:pPr>
        <w:spacing w:line="600" w:lineRule="exact"/>
        <w:ind w:firstLine="643" w:firstLineChars="200"/>
        <w:outlineLvl w:val="2"/>
        <w:rPr>
          <w:rFonts w:ascii="仿宋" w:hAnsi="仿宋" w:eastAsia="仿宋"/>
          <w:color w:val="auto"/>
          <w:sz w:val="32"/>
          <w:szCs w:val="32"/>
          <w:highlight w:val="none"/>
        </w:rPr>
      </w:pPr>
      <w:bookmarkStart w:id="90" w:name="_Toc15377222"/>
      <w:r>
        <w:rPr>
          <w:rFonts w:hint="eastAsia" w:ascii="仿宋" w:hAnsi="仿宋" w:eastAsia="仿宋"/>
          <w:b/>
          <w:color w:val="auto"/>
          <w:sz w:val="32"/>
          <w:szCs w:val="32"/>
          <w:highlight w:val="none"/>
        </w:rPr>
        <w:t>（一）机关运行经费支出情况</w:t>
      </w:r>
      <w:bookmarkEnd w:id="90"/>
    </w:p>
    <w:p w14:paraId="71BDC340">
      <w:pPr>
        <w:autoSpaceDE w:val="0"/>
        <w:autoSpaceDN w:val="0"/>
        <w:adjustRightInd w:val="0"/>
        <w:spacing w:line="600" w:lineRule="exact"/>
        <w:ind w:firstLine="640" w:firstLineChars="200"/>
        <w:jc w:val="left"/>
        <w:outlineLvl w:val="3"/>
        <w:rPr>
          <w:rFonts w:hint="eastAsia" w:ascii="仿宋_GB2312" w:eastAsia="仿宋_GB2312"/>
          <w:color w:val="000000"/>
          <w:sz w:val="32"/>
          <w:szCs w:val="32"/>
        </w:rPr>
      </w:pPr>
      <w:bookmarkStart w:id="91" w:name="_Toc15377223"/>
      <w:r>
        <w:rPr>
          <w:rFonts w:hint="eastAsia" w:ascii="仿宋_GB2312" w:eastAsia="仿宋_GB2312"/>
          <w:color w:val="auto"/>
          <w:sz w:val="32"/>
          <w:szCs w:val="32"/>
          <w:highlight w:val="none"/>
          <w:lang w:val="en-US" w:eastAsia="zh-CN"/>
        </w:rPr>
        <w:t>区</w:t>
      </w:r>
      <w:r>
        <w:rPr>
          <w:rFonts w:hint="eastAsia" w:ascii="仿宋_GB2312" w:eastAsia="仿宋_GB2312"/>
          <w:color w:val="auto"/>
          <w:sz w:val="32"/>
          <w:szCs w:val="32"/>
          <w:highlight w:val="none"/>
          <w:lang w:eastAsia="zh-CN"/>
        </w:rPr>
        <w:t>光荣院</w:t>
      </w:r>
      <w:r>
        <w:rPr>
          <w:rFonts w:hint="eastAsia" w:ascii="仿宋_GB2312" w:eastAsia="仿宋_GB2312"/>
          <w:color w:val="000000"/>
          <w:sz w:val="32"/>
          <w:szCs w:val="32"/>
        </w:rPr>
        <w:t>为事业单位，无机关运行经费。</w:t>
      </w:r>
    </w:p>
    <w:p w14:paraId="55110636">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91"/>
    </w:p>
    <w:p w14:paraId="03045076">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区</w:t>
      </w:r>
      <w:r>
        <w:rPr>
          <w:rFonts w:hint="eastAsia" w:ascii="仿宋_GB2312" w:eastAsia="仿宋_GB2312"/>
          <w:color w:val="auto"/>
          <w:sz w:val="32"/>
          <w:szCs w:val="32"/>
          <w:highlight w:val="none"/>
          <w:lang w:eastAsia="zh-CN"/>
        </w:rPr>
        <w:t>光荣院</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老人房间设施设备更新</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5A3CEA79">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92" w:name="_Toc15377224"/>
      <w:r>
        <w:rPr>
          <w:rFonts w:hint="eastAsia" w:ascii="仿宋" w:hAnsi="仿宋" w:eastAsia="仿宋"/>
          <w:b/>
          <w:color w:val="auto"/>
          <w:sz w:val="32"/>
          <w:szCs w:val="32"/>
          <w:highlight w:val="none"/>
        </w:rPr>
        <w:t>（三）国有资产占有使用情况</w:t>
      </w:r>
      <w:bookmarkEnd w:id="92"/>
    </w:p>
    <w:p w14:paraId="68BF26E9">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光荣院</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w:t>
      </w:r>
      <w:r>
        <w:rPr>
          <w:rFonts w:hint="eastAsia" w:ascii="仿宋_GB2312" w:eastAsia="仿宋_GB2312"/>
          <w:color w:val="000000"/>
          <w:sz w:val="32"/>
          <w:szCs w:val="32"/>
        </w:rPr>
        <w:t>主要领导干部用车0辆、机要通信用车0辆、应急保障用车0辆、其他用车0辆。单价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1C340E16">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797CC63C">
      <w:pPr>
        <w:spacing w:line="580" w:lineRule="exact"/>
        <w:ind w:firstLine="640" w:firstLineChars="200"/>
        <w:rPr>
          <w:rFonts w:hint="eastAsia" w:ascii="仿宋_GB2312" w:eastAsia="仿宋_GB2312"/>
          <w:color w:val="000000"/>
          <w:sz w:val="32"/>
          <w:szCs w:val="32"/>
        </w:rPr>
      </w:pPr>
      <w:bookmarkStart w:id="93" w:name="_Toc21822"/>
      <w:bookmarkStart w:id="94" w:name="_Toc15377225"/>
      <w:bookmarkStart w:id="95" w:name="_Toc15396613"/>
      <w:r>
        <w:rPr>
          <w:rFonts w:hint="eastAsia" w:ascii="仿宋_GB2312" w:eastAsia="仿宋_GB2312"/>
          <w:color w:val="000000"/>
          <w:sz w:val="32"/>
          <w:szCs w:val="32"/>
        </w:rPr>
        <w:t>根据预算绩效管理要求，本单位在</w:t>
      </w:r>
      <w:r>
        <w:rPr>
          <w:rFonts w:hint="eastAsia" w:ascii="仿宋_GB2312" w:eastAsia="仿宋_GB2312"/>
          <w:color w:val="000000"/>
          <w:sz w:val="32"/>
          <w:szCs w:val="32"/>
          <w:lang w:val="en-US" w:eastAsia="zh-CN"/>
        </w:rPr>
        <w:t>2023年度</w:t>
      </w:r>
      <w:r>
        <w:rPr>
          <w:rFonts w:hint="eastAsia" w:ascii="仿宋_GB2312" w:eastAsia="仿宋_GB2312"/>
          <w:color w:val="000000"/>
          <w:sz w:val="32"/>
          <w:szCs w:val="32"/>
        </w:rPr>
        <w:t>预算编制阶段，组织对</w:t>
      </w:r>
      <w:r>
        <w:rPr>
          <w:rFonts w:hint="eastAsia" w:ascii="仿宋_GB2312" w:eastAsia="仿宋_GB2312"/>
          <w:color w:val="000000"/>
          <w:sz w:val="32"/>
          <w:szCs w:val="32"/>
          <w:lang w:val="en-US" w:eastAsia="zh-CN"/>
        </w:rPr>
        <w:t>优抚老人生活费</w:t>
      </w:r>
      <w:r>
        <w:rPr>
          <w:rFonts w:hint="eastAsia" w:ascii="仿宋_GB2312" w:eastAsia="仿宋_GB2312"/>
          <w:color w:val="000000"/>
          <w:sz w:val="32"/>
          <w:szCs w:val="32"/>
        </w:rPr>
        <w:t>项目</w:t>
      </w:r>
      <w:r>
        <w:rPr>
          <w:rFonts w:hint="eastAsia" w:ascii="仿宋_GB2312" w:eastAsia="仿宋_GB2312"/>
          <w:color w:val="000000"/>
          <w:sz w:val="32"/>
          <w:szCs w:val="32"/>
          <w:lang w:eastAsia="zh-CN"/>
        </w:rPr>
        <w:t>等</w:t>
      </w:r>
      <w:r>
        <w:rPr>
          <w:rFonts w:hint="eastAsia" w:ascii="仿宋_GB2312" w:eastAsia="仿宋_GB2312"/>
          <w:color w:val="000000"/>
          <w:sz w:val="32"/>
          <w:szCs w:val="32"/>
          <w:lang w:val="en-US" w:eastAsia="zh-CN"/>
        </w:rPr>
        <w:t>2个项目</w:t>
      </w:r>
      <w:r>
        <w:rPr>
          <w:rFonts w:hint="eastAsia" w:ascii="仿宋_GB2312" w:eastAsia="仿宋_GB2312"/>
          <w:color w:val="000000"/>
          <w:sz w:val="32"/>
          <w:szCs w:val="32"/>
        </w:rPr>
        <w:t>开展了预算事前绩效评估，对</w:t>
      </w:r>
      <w:r>
        <w:rPr>
          <w:rFonts w:hint="eastAsia" w:ascii="仿宋_GB2312" w:eastAsia="仿宋_GB2312"/>
          <w:color w:val="000000"/>
          <w:sz w:val="32"/>
          <w:szCs w:val="32"/>
          <w:lang w:val="en-US" w:eastAsia="zh-CN"/>
        </w:rPr>
        <w:t>此</w:t>
      </w:r>
      <w:r>
        <w:rPr>
          <w:rFonts w:hint="eastAsia" w:ascii="仿宋_GB2312" w:eastAsia="仿宋_GB2312"/>
          <w:color w:val="000000"/>
          <w:sz w:val="32"/>
          <w:szCs w:val="32"/>
        </w:rPr>
        <w:t>项目编制了绩效目标，预算执行过程中，选取</w:t>
      </w:r>
      <w:r>
        <w:rPr>
          <w:rFonts w:hint="eastAsia" w:ascii="仿宋_GB2312" w:eastAsia="仿宋_GB2312"/>
          <w:color w:val="000000"/>
          <w:sz w:val="32"/>
          <w:szCs w:val="32"/>
          <w:lang w:val="en-US" w:eastAsia="zh-CN"/>
        </w:rPr>
        <w:t>此</w:t>
      </w:r>
      <w:r>
        <w:rPr>
          <w:rFonts w:hint="eastAsia" w:ascii="仿宋_GB2312" w:eastAsia="仿宋_GB2312"/>
          <w:color w:val="000000"/>
          <w:sz w:val="32"/>
          <w:szCs w:val="32"/>
        </w:rPr>
        <w:t>项目开展绩效监控，年终执行完毕后，对</w:t>
      </w:r>
      <w:r>
        <w:rPr>
          <w:rFonts w:hint="eastAsia" w:ascii="仿宋_GB2312" w:eastAsia="仿宋_GB2312"/>
          <w:color w:val="000000"/>
          <w:sz w:val="32"/>
          <w:szCs w:val="32"/>
          <w:lang w:val="en-US" w:eastAsia="zh-CN"/>
        </w:rPr>
        <w:t>此</w:t>
      </w:r>
      <w:r>
        <w:rPr>
          <w:rFonts w:hint="eastAsia" w:ascii="仿宋_GB2312" w:eastAsia="仿宋_GB2312"/>
          <w:color w:val="000000"/>
          <w:sz w:val="32"/>
          <w:szCs w:val="32"/>
        </w:rPr>
        <w:t>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2022年特定目标类部门预算项目绩效目标自评表见附件（第四部分）</w:t>
      </w:r>
      <w:r>
        <w:rPr>
          <w:rFonts w:hint="eastAsia" w:ascii="仿宋_GB2312" w:hAnsi="仿宋_GB2312" w:eastAsia="仿宋_GB2312" w:cs="仿宋_GB2312"/>
          <w:color w:val="auto"/>
          <w:sz w:val="32"/>
          <w:szCs w:val="32"/>
          <w:highlight w:val="none"/>
        </w:rPr>
        <w:t>。</w:t>
      </w:r>
    </w:p>
    <w:p w14:paraId="3A9C5EDD">
      <w:pPr>
        <w:pStyle w:val="2"/>
        <w:rPr>
          <w:highlight w:val="yellow"/>
        </w:rPr>
      </w:pPr>
    </w:p>
    <w:p w14:paraId="373575D8">
      <w:pPr>
        <w:numPr>
          <w:ilvl w:val="0"/>
          <w:numId w:val="5"/>
        </w:numPr>
        <w:spacing w:line="600" w:lineRule="exact"/>
        <w:ind w:firstLine="660" w:firstLineChars="150"/>
        <w:jc w:val="center"/>
        <w:outlineLvl w:val="0"/>
        <w:rPr>
          <w:rStyle w:val="12"/>
          <w:rFonts w:ascii="黑体" w:hAnsi="黑体" w:eastAsia="黑体"/>
          <w:b w:val="0"/>
          <w:color w:val="auto"/>
          <w:highlight w:val="none"/>
        </w:rPr>
      </w:pPr>
      <w:bookmarkStart w:id="96" w:name="_Toc3781"/>
      <w:bookmarkStart w:id="97" w:name="_Toc30584"/>
      <w:r>
        <w:rPr>
          <w:rFonts w:hint="eastAsia" w:ascii="黑体" w:hAnsi="黑体" w:eastAsia="黑体"/>
          <w:color w:val="auto"/>
          <w:sz w:val="44"/>
          <w:szCs w:val="44"/>
          <w:highlight w:val="none"/>
        </w:rPr>
        <w:t>名</w:t>
      </w:r>
      <w:r>
        <w:rPr>
          <w:rStyle w:val="12"/>
          <w:rFonts w:hint="eastAsia" w:ascii="黑体" w:hAnsi="黑体" w:eastAsia="黑体"/>
          <w:b w:val="0"/>
          <w:color w:val="auto"/>
          <w:highlight w:val="none"/>
        </w:rPr>
        <w:t>词解释</w:t>
      </w:r>
      <w:bookmarkEnd w:id="93"/>
      <w:bookmarkEnd w:id="94"/>
      <w:bookmarkEnd w:id="95"/>
      <w:bookmarkEnd w:id="96"/>
      <w:bookmarkEnd w:id="97"/>
    </w:p>
    <w:p w14:paraId="22A54D84">
      <w:pPr>
        <w:spacing w:line="600" w:lineRule="exact"/>
        <w:jc w:val="left"/>
        <w:rPr>
          <w:rFonts w:ascii="宋体"/>
          <w:b/>
          <w:color w:val="auto"/>
          <w:sz w:val="44"/>
          <w:szCs w:val="44"/>
          <w:highlight w:val="none"/>
        </w:rPr>
      </w:pPr>
    </w:p>
    <w:p w14:paraId="3F342E6F">
      <w:pPr>
        <w:pStyle w:val="15"/>
        <w:spacing w:line="560" w:lineRule="exact"/>
        <w:ind w:firstLine="640" w:firstLineChars="200"/>
        <w:outlineLvl w:val="1"/>
        <w:rPr>
          <w:rFonts w:ascii="仿宋_GB2312" w:eastAsia="仿宋_GB2312"/>
          <w:color w:val="auto"/>
          <w:sz w:val="32"/>
          <w:szCs w:val="32"/>
          <w:highlight w:val="none"/>
        </w:rPr>
      </w:pPr>
      <w:bookmarkStart w:id="98" w:name="_Toc6656"/>
      <w:bookmarkStart w:id="99" w:name="_Toc8443"/>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98"/>
      <w:bookmarkEnd w:id="99"/>
    </w:p>
    <w:p w14:paraId="62C029A6">
      <w:pPr>
        <w:pStyle w:val="15"/>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487B23BA">
      <w:pPr>
        <w:pStyle w:val="15"/>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6220633C">
      <w:pPr>
        <w:pStyle w:val="15"/>
        <w:spacing w:line="560" w:lineRule="exact"/>
        <w:ind w:firstLine="640" w:firstLineChars="200"/>
        <w:outlineLvl w:val="1"/>
        <w:rPr>
          <w:rFonts w:ascii="仿宋_GB2312" w:eastAsia="仿宋_GB2312"/>
          <w:color w:val="auto"/>
          <w:sz w:val="32"/>
          <w:szCs w:val="32"/>
          <w:highlight w:val="none"/>
        </w:rPr>
      </w:pPr>
      <w:bookmarkStart w:id="100" w:name="_Toc1623"/>
      <w:bookmarkStart w:id="101" w:name="_Toc5818"/>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bookmarkEnd w:id="100"/>
      <w:bookmarkEnd w:id="101"/>
    </w:p>
    <w:p w14:paraId="69134021">
      <w:pPr>
        <w:pStyle w:val="1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3186A304">
      <w:pPr>
        <w:pStyle w:val="1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1CFA4754">
      <w:pPr>
        <w:pStyle w:val="1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3E59BFCC">
      <w:pPr>
        <w:pStyle w:val="15"/>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2C53D1C7">
      <w:pPr>
        <w:pStyle w:val="15"/>
        <w:spacing w:line="560" w:lineRule="exact"/>
        <w:ind w:firstLine="640" w:firstLineChars="200"/>
        <w:rPr>
          <w:rFonts w:hint="default" w:ascii="仿宋_GB2312" w:eastAsia="仿宋_GB2312"/>
          <w:sz w:val="32"/>
          <w:szCs w:val="32"/>
          <w:lang w:val="en-US" w:eastAsia="zh-CN"/>
        </w:rPr>
      </w:pPr>
      <w:r>
        <w:rPr>
          <w:rFonts w:hint="eastAsia" w:ascii="仿宋_GB2312" w:eastAsia="仿宋_GB2312"/>
          <w:color w:val="auto"/>
          <w:sz w:val="32"/>
          <w:szCs w:val="32"/>
          <w:highlight w:val="none"/>
          <w:lang w:val="en-US" w:eastAsia="zh-CN"/>
        </w:rPr>
        <w:t>9.</w:t>
      </w:r>
      <w:r>
        <w:rPr>
          <w:rFonts w:hint="eastAsia" w:ascii="仿宋_GB2312" w:eastAsia="仿宋_GB2312"/>
          <w:sz w:val="32"/>
          <w:szCs w:val="32"/>
        </w:rPr>
        <w:t>社会保障和就业支出（208）行政事业单位</w:t>
      </w:r>
      <w:r>
        <w:rPr>
          <w:rFonts w:hint="eastAsia" w:ascii="仿宋_GB2312" w:eastAsia="仿宋_GB2312"/>
          <w:sz w:val="32"/>
          <w:szCs w:val="32"/>
          <w:lang w:eastAsia="zh-CN"/>
        </w:rPr>
        <w:t>养老支出</w:t>
      </w:r>
      <w:r>
        <w:rPr>
          <w:rFonts w:hint="eastAsia" w:ascii="仿宋_GB2312" w:eastAsia="仿宋_GB2312"/>
          <w:sz w:val="32"/>
          <w:szCs w:val="32"/>
        </w:rPr>
        <w:t>（05）</w:t>
      </w:r>
      <w:r>
        <w:rPr>
          <w:rFonts w:hint="eastAsia" w:ascii="仿宋_GB2312" w:eastAsia="仿宋_GB2312"/>
          <w:sz w:val="32"/>
          <w:szCs w:val="32"/>
          <w:lang w:val="en-US" w:eastAsia="zh-CN"/>
        </w:rPr>
        <w:t>行政单位离退休（01);行政单位为开支的离退休经费。</w:t>
      </w:r>
    </w:p>
    <w:p w14:paraId="06EE84C9">
      <w:pPr>
        <w:ind w:firstLine="640" w:firstLineChars="200"/>
        <w:rPr>
          <w:rFonts w:hint="eastAsia" w:ascii="仿宋_GB2312" w:eastAsia="仿宋_GB2312"/>
          <w:sz w:val="32"/>
          <w:szCs w:val="32"/>
        </w:rPr>
      </w:pPr>
      <w:r>
        <w:rPr>
          <w:rFonts w:hint="eastAsia" w:ascii="仿宋_GB2312" w:eastAsia="仿宋_GB2312"/>
          <w:sz w:val="32"/>
          <w:szCs w:val="32"/>
        </w:rPr>
        <w:t>10.社会保障和就业支出（208）行政事业单位</w:t>
      </w:r>
      <w:r>
        <w:rPr>
          <w:rFonts w:hint="eastAsia" w:ascii="仿宋_GB2312" w:eastAsia="仿宋_GB2312"/>
          <w:sz w:val="32"/>
          <w:szCs w:val="32"/>
          <w:lang w:eastAsia="zh-CN"/>
        </w:rPr>
        <w:t>养老支出</w:t>
      </w:r>
      <w:r>
        <w:rPr>
          <w:rFonts w:hint="eastAsia" w:ascii="仿宋_GB2312" w:eastAsia="仿宋_GB2312"/>
          <w:sz w:val="32"/>
          <w:szCs w:val="32"/>
        </w:rPr>
        <w:t>（05）机关事业单位基本养老保险缴费支出（05）:反映机关事业单位实施养老保险制度由单位缴纳的基本养老保险支出。</w:t>
      </w:r>
    </w:p>
    <w:p w14:paraId="285328D7">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11.社会保障和就业（208）抚恤（08）</w:t>
      </w:r>
      <w:r>
        <w:rPr>
          <w:rFonts w:hint="eastAsia" w:ascii="仿宋_GB2312" w:eastAsia="仿宋_GB2312"/>
          <w:color w:val="000000"/>
          <w:sz w:val="32"/>
          <w:szCs w:val="32"/>
          <w:lang w:val="en-US" w:eastAsia="zh-CN"/>
        </w:rPr>
        <w:t>光荣院</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07</w:t>
      </w:r>
      <w:r>
        <w:rPr>
          <w:rFonts w:hint="eastAsia" w:ascii="仿宋_GB2312" w:eastAsia="仿宋_GB2312"/>
          <w:color w:val="000000"/>
          <w:sz w:val="32"/>
          <w:szCs w:val="32"/>
        </w:rPr>
        <w:t>）: 反映</w:t>
      </w:r>
      <w:r>
        <w:rPr>
          <w:rFonts w:hint="eastAsia" w:ascii="仿宋_GB2312" w:eastAsia="仿宋_GB2312"/>
          <w:color w:val="000000"/>
          <w:sz w:val="32"/>
          <w:szCs w:val="32"/>
          <w:lang w:val="en-US" w:eastAsia="zh-CN"/>
        </w:rPr>
        <w:t>光荣院运行及管理维护服务支出。</w:t>
      </w:r>
    </w:p>
    <w:p w14:paraId="786FDF06">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12.社会保障和就业支出（208）其他社会保障和就业支出（99）其他社会保障和就业支出（</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）:反映除上述项目外其他用于社会保障和就业方面的支出</w:t>
      </w:r>
      <w:r>
        <w:rPr>
          <w:rFonts w:hint="eastAsia" w:ascii="仿宋_GB2312" w:eastAsia="仿宋_GB2312"/>
          <w:color w:val="000000"/>
          <w:sz w:val="32"/>
          <w:szCs w:val="32"/>
          <w:lang w:eastAsia="zh-CN"/>
        </w:rPr>
        <w:t>。</w:t>
      </w:r>
    </w:p>
    <w:p w14:paraId="43CDA0D9">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卫生健康支出（210）行政事业单位医疗（11）事业单位医疗（02）:反映财政部门集中安排的事业单位基本医疗保险缴费经费，未参加医疗保险的事业单位的公费医疗经费，按国家规定享受离休人员待遇人员的医疗经费。</w:t>
      </w:r>
    </w:p>
    <w:p w14:paraId="404846A0">
      <w:pPr>
        <w:ind w:firstLine="640" w:firstLineChars="200"/>
        <w:rPr>
          <w:rFonts w:hint="eastAsia" w:ascii="仿宋_GB2312" w:eastAsia="仿宋_GB2312"/>
          <w:sz w:val="32"/>
          <w:szCs w:val="32"/>
        </w:rPr>
      </w:pPr>
      <w:r>
        <w:rPr>
          <w:rFonts w:hint="eastAsia" w:ascii="仿宋_GB2312" w:eastAsia="仿宋_GB2312"/>
          <w:sz w:val="32"/>
          <w:szCs w:val="32"/>
        </w:rPr>
        <w:t>14.卫生健康支出（210）行政事业单位医疗（11）公务员医疗补助（03）:反映财政部门集中安排的公务员医疗补助经费。</w:t>
      </w:r>
    </w:p>
    <w:p w14:paraId="5D8DFDA2">
      <w:pPr>
        <w:spacing w:line="600" w:lineRule="exact"/>
        <w:ind w:firstLine="640"/>
        <w:rPr>
          <w:rFonts w:hint="eastAsia" w:ascii="仿宋_GB2312" w:eastAsia="仿宋_GB2312"/>
          <w:sz w:val="32"/>
          <w:szCs w:val="32"/>
        </w:rPr>
      </w:pPr>
      <w:r>
        <w:rPr>
          <w:rFonts w:hint="eastAsia" w:ascii="仿宋_GB2312" w:eastAsia="仿宋_GB2312"/>
          <w:sz w:val="32"/>
          <w:szCs w:val="32"/>
        </w:rPr>
        <w:t>15.住房保障支出（221）住房改革支出（02）住房公积金（01）:反映行政事业单位按人力资源和社会保障部、财政部规定的基本工资和津贴补贴以及规定比例为职工缴纳的住房公积金。</w:t>
      </w:r>
    </w:p>
    <w:p w14:paraId="642A000F">
      <w:pPr>
        <w:ind w:firstLine="640" w:firstLineChars="200"/>
        <w:rPr>
          <w:rFonts w:hint="eastAsia" w:ascii="仿宋" w:hAnsi="仿宋" w:eastAsia="仿宋"/>
          <w:b w:val="0"/>
          <w:bCs/>
          <w:color w:val="auto"/>
          <w:sz w:val="32"/>
          <w:szCs w:val="32"/>
          <w:highlight w:val="none"/>
          <w:lang w:val="en-US" w:eastAsia="zh-CN"/>
        </w:rPr>
      </w:pPr>
      <w:r>
        <w:rPr>
          <w:rFonts w:hint="eastAsia" w:ascii="仿宋" w:hAnsi="仿宋" w:eastAsia="仿宋"/>
          <w:b w:val="0"/>
          <w:bCs/>
          <w:color w:val="auto"/>
          <w:sz w:val="32"/>
          <w:szCs w:val="32"/>
          <w:highlight w:val="none"/>
          <w:lang w:val="en-US" w:eastAsia="zh-CN"/>
        </w:rPr>
        <w:t>16.</w:t>
      </w:r>
      <w:r>
        <w:rPr>
          <w:rFonts w:hint="eastAsia" w:ascii="仿宋_GB2312" w:eastAsia="仿宋_GB2312"/>
          <w:sz w:val="32"/>
          <w:szCs w:val="32"/>
        </w:rPr>
        <w:t>其他支出（229）彩票公益金安排的支出（60）用于</w:t>
      </w:r>
      <w:r>
        <w:rPr>
          <w:rFonts w:hint="eastAsia" w:ascii="仿宋_GB2312" w:eastAsia="仿宋_GB2312"/>
          <w:sz w:val="32"/>
          <w:szCs w:val="32"/>
          <w:lang w:eastAsia="zh-CN"/>
        </w:rPr>
        <w:t>社会福利</w:t>
      </w:r>
      <w:r>
        <w:rPr>
          <w:rFonts w:hint="eastAsia" w:ascii="仿宋_GB2312" w:eastAsia="仿宋_GB2312"/>
          <w:sz w:val="32"/>
          <w:szCs w:val="32"/>
        </w:rPr>
        <w:t>的彩票公益金支出（</w:t>
      </w:r>
      <w:r>
        <w:rPr>
          <w:rFonts w:hint="eastAsia" w:ascii="仿宋_GB2312" w:eastAsia="仿宋_GB2312"/>
          <w:sz w:val="32"/>
          <w:szCs w:val="32"/>
          <w:lang w:val="en-US" w:eastAsia="zh-CN"/>
        </w:rPr>
        <w:t>02</w:t>
      </w:r>
      <w:r>
        <w:rPr>
          <w:rFonts w:hint="eastAsia" w:ascii="仿宋_GB2312" w:eastAsia="仿宋_GB2312"/>
          <w:sz w:val="32"/>
          <w:szCs w:val="32"/>
        </w:rPr>
        <w:t>）:反映用于</w:t>
      </w:r>
      <w:r>
        <w:rPr>
          <w:rFonts w:hint="eastAsia" w:ascii="仿宋_GB2312" w:eastAsia="仿宋_GB2312"/>
          <w:sz w:val="32"/>
          <w:szCs w:val="32"/>
          <w:lang w:eastAsia="zh-CN"/>
        </w:rPr>
        <w:t>社会福利</w:t>
      </w:r>
      <w:r>
        <w:rPr>
          <w:rFonts w:hint="eastAsia" w:ascii="仿宋_GB2312" w:eastAsia="仿宋_GB2312"/>
          <w:sz w:val="32"/>
          <w:szCs w:val="32"/>
        </w:rPr>
        <w:t>的彩票公益金支出。</w:t>
      </w:r>
    </w:p>
    <w:p w14:paraId="0ECE76E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7.</w:t>
      </w:r>
      <w:r>
        <w:rPr>
          <w:rFonts w:hint="eastAsia" w:ascii="仿宋_GB2312" w:eastAsia="仿宋_GB2312"/>
          <w:color w:val="auto"/>
          <w:sz w:val="32"/>
          <w:szCs w:val="32"/>
          <w:highlight w:val="none"/>
        </w:rPr>
        <w:t>基本支出：指为保障机构正常运转、完成日常工作任务而发生的人员支出和公用支出。</w:t>
      </w:r>
    </w:p>
    <w:p w14:paraId="519DE7E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2E964E23">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17652F07">
      <w:pPr>
        <w:pStyle w:val="1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0.</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A630A11">
      <w:pPr>
        <w:pStyle w:val="1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EDC7DA4"/>
    <w:p w14:paraId="3B6F83E8">
      <w:pPr>
        <w:pStyle w:val="2"/>
      </w:pPr>
    </w:p>
    <w:p w14:paraId="5E5DBB4E">
      <w:pPr>
        <w:numPr>
          <w:ilvl w:val="0"/>
          <w:numId w:val="0"/>
        </w:numPr>
        <w:tabs>
          <w:tab w:val="left" w:pos="397"/>
          <w:tab w:val="center" w:pos="5533"/>
        </w:tabs>
        <w:spacing w:line="600" w:lineRule="exact"/>
        <w:ind w:leftChars="150"/>
        <w:jc w:val="left"/>
        <w:outlineLvl w:val="9"/>
        <w:rPr>
          <w:rStyle w:val="12"/>
          <w:rFonts w:hint="eastAsia" w:ascii="黑体" w:hAnsi="黑体" w:eastAsia="黑体"/>
          <w:b w:val="0"/>
          <w:color w:val="auto"/>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102" w:name="_Toc9213"/>
      <w:r>
        <w:rPr>
          <w:rStyle w:val="12"/>
          <w:rFonts w:hint="eastAsia" w:ascii="黑体" w:hAnsi="黑体" w:eastAsia="黑体"/>
          <w:b w:val="0"/>
          <w:color w:val="auto"/>
          <w:highlight w:val="none"/>
          <w:lang w:val="en-US" w:eastAsia="zh-CN"/>
        </w:rPr>
        <w:t xml:space="preserve">  </w:t>
      </w:r>
      <w:r>
        <w:rPr>
          <w:rStyle w:val="12"/>
          <w:rFonts w:hint="eastAsia" w:ascii="黑体" w:hAnsi="黑体" w:eastAsia="黑体"/>
          <w:b w:val="0"/>
          <w:color w:val="auto"/>
          <w:highlight w:val="none"/>
          <w:lang w:eastAsia="zh-CN"/>
        </w:rPr>
        <w:tab/>
      </w:r>
    </w:p>
    <w:p w14:paraId="592BF3D6">
      <w:pPr>
        <w:numPr>
          <w:ilvl w:val="0"/>
          <w:numId w:val="5"/>
        </w:numPr>
        <w:tabs>
          <w:tab w:val="left" w:pos="397"/>
          <w:tab w:val="center" w:pos="5533"/>
        </w:tabs>
        <w:spacing w:line="600" w:lineRule="exact"/>
        <w:ind w:left="0" w:leftChars="0" w:firstLine="660" w:firstLineChars="150"/>
        <w:jc w:val="center"/>
        <w:outlineLvl w:val="0"/>
        <w:rPr>
          <w:rStyle w:val="12"/>
          <w:rFonts w:hint="eastAsia" w:ascii="黑体" w:hAnsi="黑体" w:eastAsia="黑体"/>
          <w:b w:val="0"/>
          <w:color w:val="auto"/>
          <w:highlight w:val="none"/>
        </w:rPr>
      </w:pPr>
      <w:bookmarkStart w:id="103" w:name="_Toc523"/>
      <w:r>
        <w:rPr>
          <w:rStyle w:val="12"/>
          <w:rFonts w:hint="eastAsia" w:ascii="黑体" w:hAnsi="黑体" w:eastAsia="黑体"/>
          <w:b w:val="0"/>
          <w:color w:val="auto"/>
          <w:highlight w:val="none"/>
        </w:rPr>
        <w:t>附件</w:t>
      </w:r>
      <w:bookmarkEnd w:id="102"/>
      <w:bookmarkEnd w:id="103"/>
    </w:p>
    <w:p w14:paraId="058D4F3C">
      <w:pPr>
        <w:spacing w:line="600" w:lineRule="exact"/>
        <w:ind w:firstLine="640" w:firstLineChars="200"/>
        <w:jc w:val="left"/>
        <w:outlineLvl w:val="9"/>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（备注：按照绩效自评工作安排，各单位可在预算管理一体化系统—综合报表查询—预算绩效报表模块中下载本单位“部门预算项目支出绩效自评表（2023年度）”，该表格应作为附件予以公开。）</w:t>
      </w:r>
    </w:p>
    <w:tbl>
      <w:tblPr>
        <w:tblStyle w:val="9"/>
        <w:tblW w:w="126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1"/>
        <w:gridCol w:w="1840"/>
        <w:gridCol w:w="1587"/>
        <w:gridCol w:w="2029"/>
        <w:gridCol w:w="473"/>
        <w:gridCol w:w="1504"/>
        <w:gridCol w:w="472"/>
        <w:gridCol w:w="984"/>
        <w:gridCol w:w="486"/>
        <w:gridCol w:w="405"/>
        <w:gridCol w:w="2296"/>
      </w:tblGrid>
      <w:tr w14:paraId="4142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103" w:type="dxa"/>
            <w:gridSpan w:val="4"/>
            <w:tcBorders>
              <w:top w:val="nil"/>
              <w:left w:val="nil"/>
              <w:bottom w:val="nil"/>
              <w:right w:val="nil"/>
            </w:tcBorders>
            <w:shd w:val="clear" w:color="auto" w:fill="auto"/>
            <w:vAlign w:val="center"/>
          </w:tcPr>
          <w:p w14:paraId="42875844">
            <w:pPr>
              <w:keepNext w:val="0"/>
              <w:keepLines w:val="0"/>
              <w:widowControl/>
              <w:suppressLineNumbers w:val="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表编号：510000_0013zp</w:t>
            </w:r>
          </w:p>
        </w:tc>
        <w:tc>
          <w:tcPr>
            <w:tcW w:w="473" w:type="dxa"/>
            <w:tcBorders>
              <w:top w:val="nil"/>
              <w:left w:val="nil"/>
              <w:bottom w:val="nil"/>
              <w:right w:val="nil"/>
            </w:tcBorders>
            <w:shd w:val="clear" w:color="auto" w:fill="auto"/>
            <w:noWrap/>
            <w:vAlign w:val="center"/>
          </w:tcPr>
          <w:p w14:paraId="623291E5">
            <w:pPr>
              <w:rPr>
                <w:rFonts w:hint="eastAsia" w:ascii="宋体" w:hAnsi="宋体" w:eastAsia="宋体" w:cs="宋体"/>
                <w:i w:val="0"/>
                <w:iCs w:val="0"/>
                <w:color w:val="000000"/>
                <w:sz w:val="22"/>
                <w:szCs w:val="22"/>
                <w:u w:val="none"/>
              </w:rPr>
            </w:pPr>
          </w:p>
        </w:tc>
        <w:tc>
          <w:tcPr>
            <w:tcW w:w="2971" w:type="dxa"/>
            <w:gridSpan w:val="3"/>
            <w:tcBorders>
              <w:top w:val="nil"/>
              <w:left w:val="nil"/>
              <w:bottom w:val="nil"/>
              <w:right w:val="nil"/>
            </w:tcBorders>
            <w:shd w:val="clear" w:color="auto" w:fill="auto"/>
            <w:vAlign w:val="center"/>
          </w:tcPr>
          <w:p w14:paraId="5669B373">
            <w:pPr>
              <w:rPr>
                <w:rFonts w:hint="eastAsia" w:ascii="宋体" w:hAnsi="宋体" w:eastAsia="宋体" w:cs="宋体"/>
                <w:i w:val="0"/>
                <w:iCs w:val="0"/>
                <w:color w:val="000000"/>
                <w:sz w:val="20"/>
                <w:szCs w:val="20"/>
                <w:u w:val="none"/>
              </w:rPr>
            </w:pPr>
          </w:p>
        </w:tc>
        <w:tc>
          <w:tcPr>
            <w:tcW w:w="459" w:type="dxa"/>
            <w:tcBorders>
              <w:top w:val="nil"/>
              <w:left w:val="nil"/>
              <w:bottom w:val="nil"/>
              <w:right w:val="nil"/>
            </w:tcBorders>
            <w:shd w:val="clear" w:color="auto" w:fill="auto"/>
            <w:noWrap/>
            <w:vAlign w:val="center"/>
          </w:tcPr>
          <w:p w14:paraId="55D80CAD">
            <w:pPr>
              <w:rPr>
                <w:rFonts w:hint="eastAsia" w:ascii="宋体" w:hAnsi="宋体" w:eastAsia="宋体" w:cs="宋体"/>
                <w:i w:val="0"/>
                <w:iCs w:val="0"/>
                <w:color w:val="000000"/>
                <w:sz w:val="22"/>
                <w:szCs w:val="22"/>
                <w:u w:val="none"/>
              </w:rPr>
            </w:pPr>
          </w:p>
        </w:tc>
        <w:tc>
          <w:tcPr>
            <w:tcW w:w="405" w:type="dxa"/>
            <w:tcBorders>
              <w:top w:val="nil"/>
              <w:left w:val="nil"/>
              <w:bottom w:val="nil"/>
              <w:right w:val="nil"/>
            </w:tcBorders>
            <w:shd w:val="clear" w:color="auto" w:fill="auto"/>
            <w:noWrap/>
            <w:vAlign w:val="center"/>
          </w:tcPr>
          <w:p w14:paraId="399ADCAE">
            <w:pPr>
              <w:rPr>
                <w:rFonts w:hint="eastAsia" w:ascii="宋体" w:hAnsi="宋体" w:eastAsia="宋体" w:cs="宋体"/>
                <w:i w:val="0"/>
                <w:iCs w:val="0"/>
                <w:color w:val="000000"/>
                <w:sz w:val="22"/>
                <w:szCs w:val="22"/>
                <w:u w:val="none"/>
              </w:rPr>
            </w:pPr>
          </w:p>
        </w:tc>
        <w:tc>
          <w:tcPr>
            <w:tcW w:w="2295" w:type="dxa"/>
            <w:tcBorders>
              <w:top w:val="nil"/>
              <w:left w:val="nil"/>
              <w:bottom w:val="nil"/>
              <w:right w:val="nil"/>
            </w:tcBorders>
            <w:shd w:val="clear" w:color="auto" w:fill="auto"/>
            <w:noWrap/>
            <w:vAlign w:val="center"/>
          </w:tcPr>
          <w:p w14:paraId="6FBAADFD">
            <w:pPr>
              <w:rPr>
                <w:rFonts w:hint="eastAsia" w:ascii="宋体" w:hAnsi="宋体" w:eastAsia="宋体" w:cs="宋体"/>
                <w:i w:val="0"/>
                <w:iCs w:val="0"/>
                <w:color w:val="000000"/>
                <w:sz w:val="22"/>
                <w:szCs w:val="22"/>
                <w:u w:val="none"/>
              </w:rPr>
            </w:pPr>
          </w:p>
        </w:tc>
      </w:tr>
      <w:tr w14:paraId="3748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A287A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2B4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8A6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454D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51090322T000000351491-优抚老人生活费</w:t>
            </w:r>
          </w:p>
        </w:tc>
      </w:tr>
      <w:tr w14:paraId="444A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FB0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025E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四川省遂宁市船山区退役军人事务局部门</w:t>
            </w:r>
          </w:p>
        </w:tc>
        <w:tc>
          <w:tcPr>
            <w:tcW w:w="986" w:type="dxa"/>
            <w:tcBorders>
              <w:top w:val="nil"/>
              <w:left w:val="nil"/>
              <w:bottom w:val="nil"/>
              <w:right w:val="nil"/>
            </w:tcBorders>
            <w:shd w:val="clear" w:color="auto" w:fill="auto"/>
            <w:vAlign w:val="center"/>
          </w:tcPr>
          <w:p w14:paraId="7D2E3EA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5F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四川省遂宁市船山区光荣院</w:t>
            </w:r>
          </w:p>
        </w:tc>
      </w:tr>
      <w:tr w14:paraId="7A741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622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459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BC4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01262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78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D5512">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3810B">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183F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预算金额500000元，优抚老人共计17人，主要包括：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1、伙食费：优抚老人每人500元/月，共计102000元；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2、老人服饰包括（冬装、内衣、内裤、夏装、秋装、冬鞋、凉鞋、被套、棉被等）：优抚老人1350元/人/年,共计22950元；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3、劳务费：护理费包括（瘫痪、危重病人的康复、护理、看护）130000元，心</w:t>
            </w:r>
            <w:r>
              <w:rPr>
                <w:rFonts w:hint="eastAsia" w:ascii="宋体" w:hAnsi="宋体" w:cs="宋体"/>
                <w:i w:val="0"/>
                <w:iCs w:val="0"/>
                <w:color w:val="000000"/>
                <w:kern w:val="0"/>
                <w:sz w:val="18"/>
                <w:szCs w:val="18"/>
                <w:u w:val="none"/>
                <w:lang w:val="en-US" w:eastAsia="zh-CN" w:bidi="ar"/>
              </w:rPr>
              <w:t>理</w:t>
            </w:r>
            <w:r>
              <w:rPr>
                <w:rFonts w:ascii="宋体" w:hAnsi="宋体" w:eastAsia="宋体" w:cs="宋体"/>
                <w:i w:val="0"/>
                <w:iCs w:val="0"/>
                <w:color w:val="000000"/>
                <w:kern w:val="0"/>
                <w:sz w:val="18"/>
                <w:szCs w:val="18"/>
                <w:u w:val="none"/>
                <w:lang w:val="en-US" w:eastAsia="zh-CN" w:bidi="ar"/>
              </w:rPr>
              <w:t>咨询费：19250元/年；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4、老人零花钱、过节费：优抚老人每人200元/月，共计40800元；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5、门诊费2500元/人/年，住院费2000元/人/年，体检费、购医保等共计80000元；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6、水费：8300元/年；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7、电费30000元/年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8、燃气费15000元/年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9、维修维护费：10000元；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10、文娱活动费：4500元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11、物业管理费：消防维保6000元/年，生活垃圾处理及花园清理费、清理下水道12000元/年；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12、老人外出用车3000元/年。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13、老人房间宽带安装费、使用费:16200元/年。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保障老年人的晚年日常生活及人</w:t>
            </w:r>
            <w:r>
              <w:rPr>
                <w:rFonts w:hint="eastAsia" w:ascii="宋体" w:hAnsi="宋体" w:cs="宋体"/>
                <w:i w:val="0"/>
                <w:iCs w:val="0"/>
                <w:color w:val="000000"/>
                <w:kern w:val="0"/>
                <w:sz w:val="18"/>
                <w:szCs w:val="18"/>
                <w:u w:val="none"/>
                <w:lang w:val="en-US" w:eastAsia="zh-CN" w:bidi="ar"/>
              </w:rPr>
              <w:t>身</w:t>
            </w:r>
            <w:bookmarkStart w:id="144" w:name="_GoBack"/>
            <w:bookmarkEnd w:id="144"/>
            <w:r>
              <w:rPr>
                <w:rFonts w:ascii="宋体" w:hAnsi="宋体" w:eastAsia="宋体" w:cs="宋体"/>
                <w:i w:val="0"/>
                <w:iCs w:val="0"/>
                <w:color w:val="000000"/>
                <w:kern w:val="0"/>
                <w:sz w:val="18"/>
                <w:szCs w:val="18"/>
                <w:u w:val="none"/>
                <w:lang w:val="en-US" w:eastAsia="zh-CN" w:bidi="ar"/>
              </w:rPr>
              <w:t>安全。</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06AF2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7DDD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2EE60">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29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807070">
            <w:pPr>
              <w:rPr>
                <w:rFonts w:hint="eastAsia" w:ascii="宋体" w:hAnsi="宋体" w:eastAsia="宋体" w:cs="宋体"/>
                <w:i w:val="0"/>
                <w:iCs w:val="0"/>
                <w:color w:val="000000"/>
                <w:sz w:val="18"/>
                <w:szCs w:val="18"/>
                <w:u w:val="none"/>
              </w:rPr>
            </w:pPr>
          </w:p>
        </w:tc>
      </w:tr>
      <w:tr w14:paraId="2F7D3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F5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9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4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8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04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9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6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6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9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023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D0FDA">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3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0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3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46.22</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DD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C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91.60%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6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AECD">
            <w:pPr>
              <w:jc w:val="center"/>
              <w:rPr>
                <w:rFonts w:hint="eastAsia" w:ascii="宋体" w:hAnsi="宋体" w:eastAsia="宋体" w:cs="宋体"/>
                <w:i w:val="0"/>
                <w:iCs w:val="0"/>
                <w:color w:val="000000"/>
                <w:sz w:val="18"/>
                <w:szCs w:val="18"/>
                <w:u w:val="none"/>
              </w:rPr>
            </w:pP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57D1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A6A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3F561">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9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C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6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46.22</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26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D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91.60%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3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F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300D3">
            <w:pPr>
              <w:rPr>
                <w:rFonts w:hint="eastAsia" w:ascii="黑体" w:hAnsi="黑体" w:eastAsia="黑体" w:cs="黑体"/>
                <w:i/>
                <w:iCs/>
                <w:color w:val="000000"/>
                <w:sz w:val="18"/>
                <w:szCs w:val="18"/>
                <w:u w:val="none"/>
              </w:rPr>
            </w:pPr>
          </w:p>
        </w:tc>
      </w:tr>
      <w:tr w14:paraId="689CD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67CA0">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1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A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5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22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1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2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A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2B538">
            <w:pPr>
              <w:rPr>
                <w:rFonts w:hint="eastAsia" w:ascii="黑体" w:hAnsi="黑体" w:eastAsia="黑体" w:cs="黑体"/>
                <w:i/>
                <w:iCs/>
                <w:color w:val="000000"/>
                <w:sz w:val="18"/>
                <w:szCs w:val="18"/>
                <w:u w:val="none"/>
              </w:rPr>
            </w:pPr>
          </w:p>
        </w:tc>
      </w:tr>
      <w:tr w14:paraId="1372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967B0">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8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E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4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6A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5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B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1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F1BAD">
            <w:pPr>
              <w:rPr>
                <w:rFonts w:hint="eastAsia" w:ascii="黑体" w:hAnsi="黑体" w:eastAsia="黑体" w:cs="黑体"/>
                <w:i/>
                <w:iCs/>
                <w:color w:val="000000"/>
                <w:sz w:val="18"/>
                <w:szCs w:val="18"/>
                <w:u w:val="none"/>
              </w:rPr>
            </w:pPr>
          </w:p>
        </w:tc>
      </w:tr>
      <w:tr w14:paraId="1695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10F7F">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7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069A">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3D09">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5A87D">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317E">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2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4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D4BC9">
            <w:pPr>
              <w:rPr>
                <w:rFonts w:hint="eastAsia" w:ascii="黑体" w:hAnsi="黑体" w:eastAsia="黑体" w:cs="黑体"/>
                <w:i/>
                <w:iCs/>
                <w:color w:val="000000"/>
                <w:sz w:val="18"/>
                <w:szCs w:val="18"/>
                <w:u w:val="none"/>
              </w:rPr>
            </w:pPr>
          </w:p>
        </w:tc>
      </w:tr>
      <w:tr w14:paraId="2EE5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02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4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E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B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F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2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9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C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8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B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3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6F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426DF">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0C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89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B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供养老人数量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8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9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0B87">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6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8733">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3184">
            <w:pPr>
              <w:jc w:val="center"/>
              <w:rPr>
                <w:rFonts w:hint="eastAsia" w:ascii="微软雅黑" w:hAnsi="微软雅黑" w:eastAsia="微软雅黑" w:cs="微软雅黑"/>
                <w:i/>
                <w:iCs/>
                <w:color w:val="000000"/>
                <w:sz w:val="16"/>
                <w:szCs w:val="16"/>
                <w:u w:val="none"/>
              </w:rPr>
            </w:pPr>
          </w:p>
        </w:tc>
      </w:tr>
      <w:tr w14:paraId="0835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2C579">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1FA75">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1A272">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4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值守人数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9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E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F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8745">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F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C6AC">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C073">
            <w:pPr>
              <w:jc w:val="center"/>
              <w:rPr>
                <w:rFonts w:hint="eastAsia" w:ascii="微软雅黑" w:hAnsi="微软雅黑" w:eastAsia="微软雅黑" w:cs="微软雅黑"/>
                <w:i/>
                <w:iCs/>
                <w:color w:val="000000"/>
                <w:sz w:val="16"/>
                <w:szCs w:val="16"/>
                <w:u w:val="none"/>
              </w:rPr>
            </w:pPr>
          </w:p>
        </w:tc>
      </w:tr>
      <w:tr w14:paraId="78EE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4A480">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D1785">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A631C">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7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聘请心理咨询师数量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A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E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2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7CA9">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B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B873">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3246">
            <w:pPr>
              <w:jc w:val="center"/>
              <w:rPr>
                <w:rFonts w:hint="eastAsia" w:ascii="微软雅黑" w:hAnsi="微软雅黑" w:eastAsia="微软雅黑" w:cs="微软雅黑"/>
                <w:i/>
                <w:iCs/>
                <w:color w:val="000000"/>
                <w:sz w:val="16"/>
                <w:szCs w:val="16"/>
                <w:u w:val="none"/>
              </w:rPr>
            </w:pPr>
          </w:p>
        </w:tc>
      </w:tr>
      <w:tr w14:paraId="2362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2766F">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4F5D1">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934DD">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C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消防维保巡检次数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2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5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6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5D63">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B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C025">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4001">
            <w:pPr>
              <w:jc w:val="center"/>
              <w:rPr>
                <w:rFonts w:hint="eastAsia" w:ascii="微软雅黑" w:hAnsi="微软雅黑" w:eastAsia="微软雅黑" w:cs="微软雅黑"/>
                <w:i/>
                <w:iCs/>
                <w:color w:val="000000"/>
                <w:sz w:val="16"/>
                <w:szCs w:val="16"/>
                <w:u w:val="none"/>
              </w:rPr>
            </w:pPr>
          </w:p>
        </w:tc>
      </w:tr>
      <w:tr w14:paraId="2780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238A0">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FEA64">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85FB4">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3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垃圾清理次数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8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E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8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D0FE">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4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542A">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FA8C">
            <w:pPr>
              <w:jc w:val="center"/>
              <w:rPr>
                <w:rFonts w:hint="eastAsia" w:ascii="微软雅黑" w:hAnsi="微软雅黑" w:eastAsia="微软雅黑" w:cs="微软雅黑"/>
                <w:i/>
                <w:iCs/>
                <w:color w:val="000000"/>
                <w:sz w:val="16"/>
                <w:szCs w:val="16"/>
                <w:u w:val="none"/>
              </w:rPr>
            </w:pPr>
          </w:p>
        </w:tc>
      </w:tr>
      <w:tr w14:paraId="3F49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1EE14">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956B1">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D49B2">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8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购买老年人服装数量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D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6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6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0F51">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3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F90C">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948C">
            <w:pPr>
              <w:jc w:val="center"/>
              <w:rPr>
                <w:rFonts w:hint="eastAsia" w:ascii="微软雅黑" w:hAnsi="微软雅黑" w:eastAsia="微软雅黑" w:cs="微软雅黑"/>
                <w:i/>
                <w:iCs/>
                <w:color w:val="000000"/>
                <w:sz w:val="16"/>
                <w:szCs w:val="16"/>
                <w:u w:val="none"/>
              </w:rPr>
            </w:pPr>
          </w:p>
        </w:tc>
      </w:tr>
      <w:tr w14:paraId="47166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1171C">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837FD">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8E615">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2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租车数量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0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D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A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BCB6">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1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E9CB">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43D3">
            <w:pPr>
              <w:jc w:val="center"/>
              <w:rPr>
                <w:rFonts w:hint="eastAsia" w:ascii="微软雅黑" w:hAnsi="微软雅黑" w:eastAsia="微软雅黑" w:cs="微软雅黑"/>
                <w:i/>
                <w:iCs/>
                <w:color w:val="000000"/>
                <w:sz w:val="16"/>
                <w:szCs w:val="16"/>
                <w:u w:val="none"/>
              </w:rPr>
            </w:pPr>
          </w:p>
        </w:tc>
      </w:tr>
      <w:tr w14:paraId="5979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96353">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74943">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2B380">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1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聘请护理人员</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8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2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2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D07C">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0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A169">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94E1">
            <w:pPr>
              <w:jc w:val="center"/>
              <w:rPr>
                <w:rFonts w:hint="eastAsia" w:ascii="微软雅黑" w:hAnsi="微软雅黑" w:eastAsia="微软雅黑" w:cs="微软雅黑"/>
                <w:i/>
                <w:iCs/>
                <w:color w:val="000000"/>
                <w:sz w:val="16"/>
                <w:szCs w:val="16"/>
                <w:u w:val="none"/>
              </w:rPr>
            </w:pPr>
          </w:p>
        </w:tc>
      </w:tr>
      <w:tr w14:paraId="0FD1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4657B">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AA7FD">
            <w:pPr>
              <w:jc w:val="center"/>
              <w:rPr>
                <w:rFonts w:hint="eastAsia" w:ascii="宋体" w:hAnsi="宋体" w:eastAsia="宋体" w:cs="宋体"/>
                <w:i w:val="0"/>
                <w:iCs w:val="0"/>
                <w:color w:val="000000"/>
                <w:sz w:val="18"/>
                <w:szCs w:val="18"/>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72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6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服装验收合格率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8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5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B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5664">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2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A111">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8669">
            <w:pPr>
              <w:jc w:val="center"/>
              <w:rPr>
                <w:rFonts w:hint="eastAsia" w:ascii="微软雅黑" w:hAnsi="微软雅黑" w:eastAsia="微软雅黑" w:cs="微软雅黑"/>
                <w:i/>
                <w:iCs/>
                <w:color w:val="000000"/>
                <w:sz w:val="16"/>
                <w:szCs w:val="16"/>
                <w:u w:val="none"/>
              </w:rPr>
            </w:pPr>
          </w:p>
        </w:tc>
      </w:tr>
      <w:tr w14:paraId="4A27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BA21A">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E76D4">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5BC20">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1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租车车辆验收合格率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5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3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E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BB63">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6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2617">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DFF3">
            <w:pPr>
              <w:jc w:val="center"/>
              <w:rPr>
                <w:rFonts w:hint="eastAsia" w:ascii="微软雅黑" w:hAnsi="微软雅黑" w:eastAsia="微软雅黑" w:cs="微软雅黑"/>
                <w:i/>
                <w:iCs/>
                <w:color w:val="000000"/>
                <w:sz w:val="16"/>
                <w:szCs w:val="16"/>
                <w:u w:val="none"/>
              </w:rPr>
            </w:pPr>
          </w:p>
        </w:tc>
      </w:tr>
      <w:tr w14:paraId="4974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F2330">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2F852">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683BB">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A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垃圾清理验收合格率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3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C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4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701B">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B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C20E">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71F4">
            <w:pPr>
              <w:jc w:val="center"/>
              <w:rPr>
                <w:rFonts w:hint="eastAsia" w:ascii="微软雅黑" w:hAnsi="微软雅黑" w:eastAsia="微软雅黑" w:cs="微软雅黑"/>
                <w:i/>
                <w:iCs/>
                <w:color w:val="000000"/>
                <w:sz w:val="16"/>
                <w:szCs w:val="16"/>
                <w:u w:val="none"/>
              </w:rPr>
            </w:pPr>
          </w:p>
        </w:tc>
      </w:tr>
      <w:tr w14:paraId="533C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992D7">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A04F3">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85902">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D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消防维保巡检验收合格率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C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D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3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1A5A">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D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B810">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F32E">
            <w:pPr>
              <w:jc w:val="center"/>
              <w:rPr>
                <w:rFonts w:hint="eastAsia" w:ascii="微软雅黑" w:hAnsi="微软雅黑" w:eastAsia="微软雅黑" w:cs="微软雅黑"/>
                <w:i/>
                <w:iCs/>
                <w:color w:val="000000"/>
                <w:sz w:val="16"/>
                <w:szCs w:val="16"/>
                <w:u w:val="none"/>
              </w:rPr>
            </w:pPr>
          </w:p>
        </w:tc>
      </w:tr>
      <w:tr w14:paraId="4704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CB828">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F6D48">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C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4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租车公司派车及时性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4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F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A873">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A797">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7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32E6">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F656">
            <w:pPr>
              <w:jc w:val="center"/>
              <w:rPr>
                <w:rFonts w:hint="eastAsia" w:ascii="微软雅黑" w:hAnsi="微软雅黑" w:eastAsia="微软雅黑" w:cs="微软雅黑"/>
                <w:i/>
                <w:iCs/>
                <w:color w:val="000000"/>
                <w:sz w:val="16"/>
                <w:szCs w:val="16"/>
                <w:u w:val="none"/>
              </w:rPr>
            </w:pPr>
          </w:p>
        </w:tc>
      </w:tr>
      <w:tr w14:paraId="52D9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BD046">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6A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86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9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消防事故发生情况</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A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7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6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881E">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5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2872">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1DCE">
            <w:pPr>
              <w:jc w:val="center"/>
              <w:rPr>
                <w:rFonts w:hint="eastAsia" w:ascii="微软雅黑" w:hAnsi="微软雅黑" w:eastAsia="微软雅黑" w:cs="微软雅黑"/>
                <w:i/>
                <w:iCs/>
                <w:color w:val="000000"/>
                <w:sz w:val="16"/>
                <w:szCs w:val="16"/>
                <w:u w:val="none"/>
              </w:rPr>
            </w:pPr>
          </w:p>
        </w:tc>
      </w:tr>
      <w:tr w14:paraId="0951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15DC3">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E3B17">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EF5D">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7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光荣院服务保障率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7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C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A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E493">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F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AC61">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B2D0">
            <w:pPr>
              <w:jc w:val="center"/>
              <w:rPr>
                <w:rFonts w:hint="eastAsia" w:ascii="微软雅黑" w:hAnsi="微软雅黑" w:eastAsia="微软雅黑" w:cs="微软雅黑"/>
                <w:i/>
                <w:iCs/>
                <w:color w:val="000000"/>
                <w:sz w:val="16"/>
                <w:szCs w:val="16"/>
                <w:u w:val="none"/>
              </w:rPr>
            </w:pPr>
          </w:p>
        </w:tc>
      </w:tr>
      <w:tr w14:paraId="6234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574F3">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288F2">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2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A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光荣院供养管理制度健全性</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7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D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D825">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C17C">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B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413E">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7050">
            <w:pPr>
              <w:jc w:val="center"/>
              <w:rPr>
                <w:rFonts w:hint="eastAsia" w:ascii="微软雅黑" w:hAnsi="微软雅黑" w:eastAsia="微软雅黑" w:cs="微软雅黑"/>
                <w:i/>
                <w:iCs/>
                <w:color w:val="000000"/>
                <w:sz w:val="16"/>
                <w:szCs w:val="16"/>
                <w:u w:val="none"/>
              </w:rPr>
            </w:pPr>
          </w:p>
        </w:tc>
      </w:tr>
      <w:tr w14:paraId="48B8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07475">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52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5A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0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委托方满意度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D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B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B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1C7D">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D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5701">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85D7">
            <w:pPr>
              <w:jc w:val="center"/>
              <w:rPr>
                <w:rFonts w:hint="eastAsia" w:ascii="微软雅黑" w:hAnsi="微软雅黑" w:eastAsia="微软雅黑" w:cs="微软雅黑"/>
                <w:i/>
                <w:iCs/>
                <w:color w:val="000000"/>
                <w:sz w:val="16"/>
                <w:szCs w:val="16"/>
                <w:u w:val="none"/>
              </w:rPr>
            </w:pPr>
          </w:p>
        </w:tc>
      </w:tr>
      <w:tr w14:paraId="1ECA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05DF0">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12482">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0BC03">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F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优抚老人满意度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F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6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6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FA51">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C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439F">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2BDC">
            <w:pPr>
              <w:jc w:val="center"/>
              <w:rPr>
                <w:rFonts w:hint="eastAsia" w:ascii="微软雅黑" w:hAnsi="微软雅黑" w:eastAsia="微软雅黑" w:cs="微软雅黑"/>
                <w:i/>
                <w:iCs/>
                <w:color w:val="000000"/>
                <w:sz w:val="16"/>
                <w:szCs w:val="16"/>
                <w:u w:val="none"/>
              </w:rPr>
            </w:pPr>
          </w:p>
        </w:tc>
      </w:tr>
      <w:tr w14:paraId="692D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13FED">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1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4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E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老人生活费总金额</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8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8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8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E05D">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D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43E5">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ACFC">
            <w:pPr>
              <w:jc w:val="center"/>
              <w:rPr>
                <w:rFonts w:hint="eastAsia" w:ascii="微软雅黑" w:hAnsi="微软雅黑" w:eastAsia="微软雅黑" w:cs="微软雅黑"/>
                <w:i/>
                <w:iCs/>
                <w:color w:val="000000"/>
                <w:sz w:val="16"/>
                <w:szCs w:val="16"/>
                <w:u w:val="none"/>
              </w:rPr>
            </w:pPr>
          </w:p>
        </w:tc>
      </w:tr>
      <w:tr w14:paraId="06F5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23A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8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2A5B">
            <w:pP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DAB5">
            <w:pPr>
              <w:rPr>
                <w:rFonts w:hint="eastAsia" w:ascii="宋体" w:hAnsi="宋体" w:eastAsia="宋体" w:cs="宋体"/>
                <w:i w:val="0"/>
                <w:iCs w:val="0"/>
                <w:color w:val="000000"/>
                <w:sz w:val="18"/>
                <w:szCs w:val="18"/>
                <w:u w:val="none"/>
              </w:rPr>
            </w:pPr>
          </w:p>
        </w:tc>
      </w:tr>
      <w:tr w14:paraId="130C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B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13B0E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14:paraId="13E8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9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F4464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7CF2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5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F9283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BF0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666CC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B09C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财务负责人：李敏</w:t>
            </w:r>
          </w:p>
        </w:tc>
      </w:tr>
      <w:tr w14:paraId="3241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tcBorders>
              <w:top w:val="nil"/>
              <w:left w:val="nil"/>
              <w:bottom w:val="nil"/>
              <w:right w:val="nil"/>
            </w:tcBorders>
            <w:shd w:val="clear" w:color="auto" w:fill="auto"/>
            <w:vAlign w:val="center"/>
          </w:tcPr>
          <w:p w14:paraId="54A71069">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4FA16640">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56F88D20">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32FDBFAA">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6E9BE65D">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64FB925D">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7313B92B">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27227B5D">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4B42EF53">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61C926C1">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6ABC2858">
            <w:pPr>
              <w:rPr>
                <w:rFonts w:hint="eastAsia" w:ascii="宋体" w:hAnsi="宋体" w:eastAsia="宋体" w:cs="宋体"/>
                <w:i w:val="0"/>
                <w:iCs w:val="0"/>
                <w:color w:val="000000"/>
                <w:sz w:val="18"/>
                <w:szCs w:val="18"/>
                <w:u w:val="none"/>
              </w:rPr>
            </w:pPr>
          </w:p>
        </w:tc>
      </w:tr>
      <w:tr w14:paraId="0640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7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66D86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C1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104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48BC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51090323T000008051774-光荣院提档升级</w:t>
            </w:r>
          </w:p>
        </w:tc>
      </w:tr>
      <w:tr w14:paraId="2EFE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F5C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642B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四川省遂宁市船山区退役军人事务局部门</w:t>
            </w:r>
          </w:p>
        </w:tc>
        <w:tc>
          <w:tcPr>
            <w:tcW w:w="986" w:type="dxa"/>
            <w:tcBorders>
              <w:top w:val="nil"/>
              <w:left w:val="nil"/>
              <w:bottom w:val="nil"/>
              <w:right w:val="nil"/>
            </w:tcBorders>
            <w:shd w:val="clear" w:color="auto" w:fill="auto"/>
            <w:vAlign w:val="center"/>
          </w:tcPr>
          <w:p w14:paraId="4BAFC1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BC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四川省遂宁市船山区光荣院</w:t>
            </w:r>
          </w:p>
        </w:tc>
      </w:tr>
      <w:tr w14:paraId="6B31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C0B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257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ACC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088EF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F71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A455">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65B25">
            <w:pPr>
              <w:rPr>
                <w:rFonts w:hint="eastAsia" w:ascii="宋体" w:hAnsi="宋体" w:eastAsia="宋体" w:cs="宋体"/>
                <w:i w:val="0"/>
                <w:iCs w:val="0"/>
                <w:color w:val="000000"/>
                <w:sz w:val="18"/>
                <w:szCs w:val="18"/>
                <w:u w:val="none"/>
              </w:rPr>
            </w:pP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72C261">
            <w:pPr>
              <w:rPr>
                <w:rFonts w:hint="eastAsia" w:ascii="宋体" w:hAnsi="宋体" w:eastAsia="宋体" w:cs="宋体"/>
                <w:i w:val="0"/>
                <w:iCs w:val="0"/>
                <w:color w:val="000000"/>
                <w:sz w:val="18"/>
                <w:szCs w:val="18"/>
                <w:u w:val="none"/>
              </w:rPr>
            </w:pP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4969D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896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41435">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1E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1795FD">
            <w:pPr>
              <w:rPr>
                <w:rFonts w:hint="eastAsia" w:ascii="宋体" w:hAnsi="宋体" w:eastAsia="宋体" w:cs="宋体"/>
                <w:i w:val="0"/>
                <w:iCs w:val="0"/>
                <w:color w:val="000000"/>
                <w:sz w:val="18"/>
                <w:szCs w:val="18"/>
                <w:u w:val="none"/>
              </w:rPr>
            </w:pPr>
          </w:p>
        </w:tc>
      </w:tr>
      <w:tr w14:paraId="2FA8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71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0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5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2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3A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C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6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E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E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4AB5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9C837">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2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C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8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CD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41.29</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9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6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DBB0">
            <w:pPr>
              <w:jc w:val="center"/>
              <w:rPr>
                <w:rFonts w:hint="eastAsia" w:ascii="宋体" w:hAnsi="宋体" w:eastAsia="宋体" w:cs="宋体"/>
                <w:i w:val="0"/>
                <w:iCs w:val="0"/>
                <w:color w:val="000000"/>
                <w:sz w:val="18"/>
                <w:szCs w:val="18"/>
                <w:u w:val="none"/>
              </w:rPr>
            </w:pP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5090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AC6D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ED0BF">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7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8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3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54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41.29</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5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8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4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58076">
            <w:pPr>
              <w:rPr>
                <w:rFonts w:hint="eastAsia" w:ascii="黑体" w:hAnsi="黑体" w:eastAsia="黑体" w:cs="黑体"/>
                <w:i/>
                <w:iCs/>
                <w:color w:val="000000"/>
                <w:sz w:val="18"/>
                <w:szCs w:val="18"/>
                <w:u w:val="none"/>
              </w:rPr>
            </w:pPr>
          </w:p>
        </w:tc>
      </w:tr>
      <w:tr w14:paraId="47937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B2E21">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B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3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8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FB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C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8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0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D0F31">
            <w:pPr>
              <w:rPr>
                <w:rFonts w:hint="eastAsia" w:ascii="黑体" w:hAnsi="黑体" w:eastAsia="黑体" w:cs="黑体"/>
                <w:i/>
                <w:iCs/>
                <w:color w:val="000000"/>
                <w:sz w:val="18"/>
                <w:szCs w:val="18"/>
                <w:u w:val="none"/>
              </w:rPr>
            </w:pPr>
          </w:p>
        </w:tc>
      </w:tr>
      <w:tr w14:paraId="3F30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AF90E">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1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E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5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35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0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7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5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36F78">
            <w:pPr>
              <w:rPr>
                <w:rFonts w:hint="eastAsia" w:ascii="黑体" w:hAnsi="黑体" w:eastAsia="黑体" w:cs="黑体"/>
                <w:i/>
                <w:iCs/>
                <w:color w:val="000000"/>
                <w:sz w:val="18"/>
                <w:szCs w:val="18"/>
                <w:u w:val="none"/>
              </w:rPr>
            </w:pPr>
          </w:p>
        </w:tc>
      </w:tr>
      <w:tr w14:paraId="43D4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19695">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3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C35A">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70CB">
            <w:pPr>
              <w:jc w:val="center"/>
              <w:rPr>
                <w:rFonts w:hint="eastAsia" w:ascii="微软雅黑" w:hAnsi="微软雅黑" w:eastAsia="微软雅黑" w:cs="微软雅黑"/>
                <w:i/>
                <w:iCs/>
                <w:color w:val="000000"/>
                <w:sz w:val="16"/>
                <w:szCs w:val="16"/>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328A6">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202F">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3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1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F25F7">
            <w:pPr>
              <w:rPr>
                <w:rFonts w:hint="eastAsia" w:ascii="黑体" w:hAnsi="黑体" w:eastAsia="黑体" w:cs="黑体"/>
                <w:i/>
                <w:iCs/>
                <w:color w:val="000000"/>
                <w:sz w:val="18"/>
                <w:szCs w:val="18"/>
                <w:u w:val="none"/>
              </w:rPr>
            </w:pPr>
          </w:p>
        </w:tc>
      </w:tr>
      <w:tr w14:paraId="2FBE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06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7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B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5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7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C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3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8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7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0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E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178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07B37">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1F37">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38FC">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D1CE">
            <w:pPr>
              <w:jc w:val="center"/>
              <w:rPr>
                <w:rFonts w:hint="eastAsia" w:ascii="宋体" w:hAnsi="宋体" w:eastAsia="宋体" w:cs="宋体"/>
                <w:i w:val="0"/>
                <w:iCs w:val="0"/>
                <w:color w:val="000000"/>
                <w:sz w:val="18"/>
                <w:szCs w:val="18"/>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62C2">
            <w:pPr>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23BA">
            <w:pPr>
              <w:jc w:val="center"/>
              <w:rPr>
                <w:rFonts w:hint="eastAsia" w:ascii="宋体" w:hAnsi="宋体" w:eastAsia="宋体" w:cs="宋体"/>
                <w:i w:val="0"/>
                <w:iCs w:val="0"/>
                <w:color w:val="000000"/>
                <w:sz w:val="18"/>
                <w:szCs w:val="18"/>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0CF5">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9D4C">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7BB3">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3E14">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19F6">
            <w:pPr>
              <w:jc w:val="center"/>
              <w:rPr>
                <w:rFonts w:hint="eastAsia" w:ascii="微软雅黑" w:hAnsi="微软雅黑" w:eastAsia="微软雅黑" w:cs="微软雅黑"/>
                <w:i/>
                <w:iCs/>
                <w:color w:val="000000"/>
                <w:sz w:val="16"/>
                <w:szCs w:val="16"/>
                <w:u w:val="none"/>
              </w:rPr>
            </w:pPr>
          </w:p>
        </w:tc>
      </w:tr>
      <w:tr w14:paraId="3178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2EA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5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2193">
            <w:pP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2821">
            <w:pPr>
              <w:rPr>
                <w:rFonts w:hint="eastAsia" w:ascii="宋体" w:hAnsi="宋体" w:eastAsia="宋体" w:cs="宋体"/>
                <w:i w:val="0"/>
                <w:iCs w:val="0"/>
                <w:color w:val="000000"/>
                <w:sz w:val="18"/>
                <w:szCs w:val="18"/>
                <w:u w:val="none"/>
              </w:rPr>
            </w:pPr>
          </w:p>
        </w:tc>
      </w:tr>
      <w:tr w14:paraId="43C0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5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BFA4A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0FC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B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3208D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04F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4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2897A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280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1C76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10BD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财务负责人：李敏</w:t>
            </w:r>
          </w:p>
        </w:tc>
      </w:tr>
      <w:tr w14:paraId="48AB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tcBorders>
              <w:top w:val="nil"/>
              <w:left w:val="nil"/>
              <w:bottom w:val="nil"/>
              <w:right w:val="nil"/>
            </w:tcBorders>
            <w:shd w:val="clear" w:color="auto" w:fill="auto"/>
            <w:vAlign w:val="center"/>
          </w:tcPr>
          <w:p w14:paraId="064980AD">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56F391E6">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03C808F2">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6B987420">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621DDFA6">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4A41455B">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4566630B">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6FF69808">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2D467F7F">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5DE15686">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0B4A058E">
            <w:pPr>
              <w:rPr>
                <w:rFonts w:hint="eastAsia" w:ascii="宋体" w:hAnsi="宋体" w:eastAsia="宋体" w:cs="宋体"/>
                <w:i w:val="0"/>
                <w:iCs w:val="0"/>
                <w:color w:val="000000"/>
                <w:sz w:val="18"/>
                <w:szCs w:val="18"/>
                <w:u w:val="none"/>
              </w:rPr>
            </w:pPr>
          </w:p>
        </w:tc>
      </w:tr>
      <w:tr w14:paraId="0A18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06" w:type="dxa"/>
            <w:gridSpan w:val="11"/>
            <w:tcBorders>
              <w:top w:val="nil"/>
              <w:left w:val="nil"/>
              <w:bottom w:val="nil"/>
              <w:right w:val="nil"/>
            </w:tcBorders>
            <w:shd w:val="clear" w:color="auto" w:fill="auto"/>
            <w:vAlign w:val="center"/>
          </w:tcPr>
          <w:p w14:paraId="1D8D44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14:paraId="55EF6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06" w:type="dxa"/>
            <w:gridSpan w:val="11"/>
            <w:tcBorders>
              <w:top w:val="nil"/>
              <w:left w:val="nil"/>
              <w:bottom w:val="nil"/>
              <w:right w:val="nil"/>
            </w:tcBorders>
            <w:shd w:val="clear" w:color="auto" w:fill="auto"/>
            <w:vAlign w:val="center"/>
          </w:tcPr>
          <w:p w14:paraId="2ADB42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5361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06" w:type="dxa"/>
            <w:gridSpan w:val="11"/>
            <w:tcBorders>
              <w:top w:val="nil"/>
              <w:left w:val="nil"/>
              <w:bottom w:val="nil"/>
              <w:right w:val="nil"/>
            </w:tcBorders>
            <w:shd w:val="clear" w:color="auto" w:fill="auto"/>
            <w:vAlign w:val="center"/>
          </w:tcPr>
          <w:p w14:paraId="59BBEB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77EE5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06" w:type="dxa"/>
            <w:gridSpan w:val="11"/>
            <w:tcBorders>
              <w:top w:val="nil"/>
              <w:left w:val="nil"/>
              <w:bottom w:val="nil"/>
              <w:right w:val="nil"/>
            </w:tcBorders>
            <w:shd w:val="clear" w:color="auto" w:fill="auto"/>
            <w:vAlign w:val="center"/>
          </w:tcPr>
          <w:p w14:paraId="36EC1C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r w14:paraId="7D52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tcBorders>
              <w:top w:val="nil"/>
              <w:left w:val="nil"/>
              <w:bottom w:val="nil"/>
              <w:right w:val="nil"/>
            </w:tcBorders>
            <w:shd w:val="clear" w:color="auto" w:fill="auto"/>
            <w:vAlign w:val="center"/>
          </w:tcPr>
          <w:p w14:paraId="2CD5D7B7">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5A9440CA">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07D64C52">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37060C94">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015DEE86">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7BC0C20C">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5FCF4212">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1902F319">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2D6A9072">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694A7228">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1B573407">
            <w:pPr>
              <w:rPr>
                <w:rFonts w:hint="eastAsia" w:ascii="宋体" w:hAnsi="宋体" w:eastAsia="宋体" w:cs="宋体"/>
                <w:i w:val="0"/>
                <w:iCs w:val="0"/>
                <w:color w:val="000000"/>
                <w:sz w:val="18"/>
                <w:szCs w:val="18"/>
                <w:u w:val="none"/>
              </w:rPr>
            </w:pPr>
          </w:p>
        </w:tc>
      </w:tr>
      <w:tr w14:paraId="44E8F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tcBorders>
              <w:top w:val="nil"/>
              <w:left w:val="nil"/>
              <w:bottom w:val="nil"/>
              <w:right w:val="nil"/>
            </w:tcBorders>
            <w:shd w:val="clear" w:color="auto" w:fill="auto"/>
            <w:vAlign w:val="center"/>
          </w:tcPr>
          <w:p w14:paraId="772349A2">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6DD03E1E">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7271F897">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087FFCA6">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071E7C1A">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79028556">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3FC45384">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1787B8C8">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3A9701A5">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47361F2A">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7BAEFD82">
            <w:pPr>
              <w:rPr>
                <w:rFonts w:hint="eastAsia" w:ascii="宋体" w:hAnsi="宋体" w:eastAsia="宋体" w:cs="宋体"/>
                <w:i w:val="0"/>
                <w:iCs w:val="0"/>
                <w:color w:val="000000"/>
                <w:sz w:val="18"/>
                <w:szCs w:val="18"/>
                <w:u w:val="none"/>
              </w:rPr>
            </w:pPr>
          </w:p>
        </w:tc>
      </w:tr>
      <w:tr w14:paraId="0FBE8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tcBorders>
              <w:top w:val="nil"/>
              <w:left w:val="nil"/>
              <w:bottom w:val="nil"/>
              <w:right w:val="nil"/>
            </w:tcBorders>
            <w:shd w:val="clear" w:color="auto" w:fill="auto"/>
            <w:vAlign w:val="center"/>
          </w:tcPr>
          <w:p w14:paraId="48242E4B">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7DB13C6B">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30D24B97">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2BE97726">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03B5385C">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2AC96441">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7230033F">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1F4764EF">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0612E767">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4E15BB05">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5AF2EFD9">
            <w:pPr>
              <w:rPr>
                <w:rFonts w:hint="eastAsia" w:ascii="宋体" w:hAnsi="宋体" w:eastAsia="宋体" w:cs="宋体"/>
                <w:i w:val="0"/>
                <w:iCs w:val="0"/>
                <w:color w:val="000000"/>
                <w:sz w:val="18"/>
                <w:szCs w:val="18"/>
                <w:u w:val="none"/>
              </w:rPr>
            </w:pPr>
          </w:p>
        </w:tc>
      </w:tr>
      <w:tr w14:paraId="5D835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tcBorders>
              <w:top w:val="nil"/>
              <w:left w:val="nil"/>
              <w:bottom w:val="nil"/>
              <w:right w:val="nil"/>
            </w:tcBorders>
            <w:shd w:val="clear" w:color="auto" w:fill="auto"/>
            <w:vAlign w:val="center"/>
          </w:tcPr>
          <w:p w14:paraId="6140E0CE">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77352031">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4448BA59">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0B6B0155">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145FBA75">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290387FC">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443B7F44">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0B6479A8">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6B537D0B">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25C04BF9">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10E859DF">
            <w:pPr>
              <w:rPr>
                <w:rFonts w:hint="eastAsia" w:ascii="宋体" w:hAnsi="宋体" w:eastAsia="宋体" w:cs="宋体"/>
                <w:i w:val="0"/>
                <w:iCs w:val="0"/>
                <w:color w:val="000000"/>
                <w:sz w:val="18"/>
                <w:szCs w:val="18"/>
                <w:u w:val="none"/>
              </w:rPr>
            </w:pPr>
          </w:p>
        </w:tc>
      </w:tr>
      <w:tr w14:paraId="2C43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tcBorders>
              <w:top w:val="nil"/>
              <w:left w:val="nil"/>
              <w:bottom w:val="nil"/>
              <w:right w:val="nil"/>
            </w:tcBorders>
            <w:shd w:val="clear" w:color="auto" w:fill="auto"/>
            <w:vAlign w:val="center"/>
          </w:tcPr>
          <w:p w14:paraId="7B4BB299">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31C01681">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6AA3A777">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782F1F7B">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7F7071A5">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02F25DA3">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2BA346D2">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6B6868BB">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3F324153">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68CD8E03">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69DBA7FB">
            <w:pPr>
              <w:rPr>
                <w:rFonts w:hint="eastAsia" w:ascii="宋体" w:hAnsi="宋体" w:eastAsia="宋体" w:cs="宋体"/>
                <w:i w:val="0"/>
                <w:iCs w:val="0"/>
                <w:color w:val="000000"/>
                <w:sz w:val="18"/>
                <w:szCs w:val="18"/>
                <w:u w:val="none"/>
              </w:rPr>
            </w:pPr>
          </w:p>
        </w:tc>
      </w:tr>
      <w:tr w14:paraId="3D4C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tcBorders>
              <w:top w:val="nil"/>
              <w:left w:val="nil"/>
              <w:bottom w:val="nil"/>
              <w:right w:val="nil"/>
            </w:tcBorders>
            <w:shd w:val="clear" w:color="auto" w:fill="auto"/>
            <w:vAlign w:val="center"/>
          </w:tcPr>
          <w:p w14:paraId="3BA99A28">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23A8B9B9">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12F12D22">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2205A478">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69A311C1">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3C7D7B53">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7B52F955">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061162C1">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69A7928D">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2AD49D4B">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43EA91B1">
            <w:pPr>
              <w:rPr>
                <w:rFonts w:hint="eastAsia" w:ascii="宋体" w:hAnsi="宋体" w:eastAsia="宋体" w:cs="宋体"/>
                <w:i w:val="0"/>
                <w:iCs w:val="0"/>
                <w:color w:val="000000"/>
                <w:sz w:val="18"/>
                <w:szCs w:val="18"/>
                <w:u w:val="none"/>
              </w:rPr>
            </w:pPr>
          </w:p>
        </w:tc>
      </w:tr>
      <w:tr w14:paraId="675B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tcBorders>
              <w:top w:val="nil"/>
              <w:left w:val="nil"/>
              <w:bottom w:val="nil"/>
              <w:right w:val="nil"/>
            </w:tcBorders>
            <w:shd w:val="clear" w:color="auto" w:fill="auto"/>
            <w:vAlign w:val="center"/>
          </w:tcPr>
          <w:p w14:paraId="00529E73">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14:paraId="0EB508C0">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14:paraId="31A8C80A">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6926A6AC">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528A9B45">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14:paraId="74BCCB9F">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14:paraId="69D674F1">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14:paraId="78A7BA98">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14:paraId="253A8F27">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14:paraId="2CAB17AC">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14:paraId="35BAB472">
            <w:pPr>
              <w:rPr>
                <w:rFonts w:hint="eastAsia" w:ascii="宋体" w:hAnsi="宋体" w:eastAsia="宋体" w:cs="宋体"/>
                <w:i w:val="0"/>
                <w:iCs w:val="0"/>
                <w:color w:val="000000"/>
                <w:sz w:val="18"/>
                <w:szCs w:val="18"/>
                <w:u w:val="none"/>
              </w:rPr>
            </w:pPr>
          </w:p>
        </w:tc>
      </w:tr>
    </w:tbl>
    <w:p w14:paraId="76876742">
      <w:pPr>
        <w:pStyle w:val="2"/>
        <w:numPr>
          <w:ilvl w:val="0"/>
          <w:numId w:val="0"/>
        </w:numPr>
      </w:pPr>
    </w:p>
    <w:p w14:paraId="7D19542B">
      <w:pPr>
        <w:spacing w:line="600" w:lineRule="exact"/>
        <w:jc w:val="center"/>
        <w:outlineLvl w:val="9"/>
        <w:rPr>
          <w:rFonts w:hint="eastAsia" w:ascii="黑体" w:hAnsi="黑体" w:eastAsia="黑体"/>
          <w:color w:val="auto"/>
          <w:sz w:val="44"/>
          <w:szCs w:val="44"/>
          <w:highlight w:val="none"/>
        </w:rPr>
      </w:pPr>
    </w:p>
    <w:p w14:paraId="023C9854">
      <w:pPr>
        <w:spacing w:line="600" w:lineRule="exact"/>
        <w:jc w:val="center"/>
        <w:outlineLvl w:val="9"/>
        <w:rPr>
          <w:rFonts w:hint="eastAsia" w:ascii="黑体" w:hAnsi="黑体" w:eastAsia="黑体"/>
          <w:color w:val="auto"/>
          <w:sz w:val="44"/>
          <w:szCs w:val="44"/>
          <w:highlight w:val="none"/>
        </w:rPr>
      </w:pPr>
    </w:p>
    <w:p w14:paraId="449103E6">
      <w:pPr>
        <w:spacing w:line="600" w:lineRule="exact"/>
        <w:jc w:val="center"/>
        <w:outlineLvl w:val="9"/>
        <w:rPr>
          <w:rFonts w:hint="eastAsia" w:ascii="黑体" w:hAnsi="黑体" w:eastAsia="黑体"/>
          <w:color w:val="auto"/>
          <w:sz w:val="44"/>
          <w:szCs w:val="44"/>
          <w:highlight w:val="none"/>
        </w:rPr>
      </w:pPr>
    </w:p>
    <w:p w14:paraId="17BCAA72">
      <w:pPr>
        <w:spacing w:line="600" w:lineRule="exact"/>
        <w:jc w:val="both"/>
        <w:outlineLvl w:val="9"/>
        <w:rPr>
          <w:rFonts w:hint="eastAsia" w:ascii="黑体" w:hAnsi="黑体" w:eastAsia="黑体"/>
          <w:color w:val="auto"/>
          <w:sz w:val="44"/>
          <w:szCs w:val="44"/>
          <w:highlight w:val="none"/>
        </w:rPr>
      </w:pPr>
    </w:p>
    <w:p w14:paraId="0DF164FA">
      <w:pPr>
        <w:spacing w:line="600" w:lineRule="exact"/>
        <w:jc w:val="center"/>
        <w:outlineLvl w:val="9"/>
        <w:rPr>
          <w:rFonts w:hint="eastAsia" w:ascii="黑体" w:hAnsi="黑体" w:eastAsia="黑体"/>
          <w:color w:val="auto"/>
          <w:sz w:val="44"/>
          <w:szCs w:val="44"/>
          <w:highlight w:val="none"/>
        </w:rPr>
        <w:sectPr>
          <w:pgSz w:w="16838" w:h="11906" w:orient="landscape"/>
          <w:pgMar w:top="1803" w:right="1440" w:bottom="1803" w:left="1440" w:header="851" w:footer="992" w:gutter="0"/>
          <w:pgNumType w:fmt="decimal"/>
          <w:cols w:space="0" w:num="1"/>
          <w:rtlGutter w:val="0"/>
          <w:docGrid w:type="lines" w:linePitch="319" w:charSpace="0"/>
        </w:sectPr>
      </w:pPr>
    </w:p>
    <w:p w14:paraId="7240C997">
      <w:pPr>
        <w:spacing w:line="600" w:lineRule="exact"/>
        <w:jc w:val="center"/>
        <w:outlineLvl w:val="0"/>
        <w:rPr>
          <w:rFonts w:hint="eastAsia" w:ascii="仿宋" w:hAnsi="仿宋" w:eastAsia="仿宋"/>
          <w:b w:val="0"/>
          <w:color w:val="auto"/>
          <w:highlight w:val="none"/>
        </w:rPr>
      </w:pPr>
      <w:bookmarkStart w:id="104" w:name="_Toc12368"/>
      <w:r>
        <w:rPr>
          <w:rFonts w:hint="eastAsia" w:ascii="黑体" w:hAnsi="黑体" w:eastAsia="黑体"/>
          <w:color w:val="auto"/>
          <w:sz w:val="44"/>
          <w:szCs w:val="44"/>
          <w:highlight w:val="none"/>
        </w:rPr>
        <w:t>第</w:t>
      </w:r>
      <w:r>
        <w:rPr>
          <w:rStyle w:val="12"/>
          <w:rFonts w:hint="eastAsia" w:ascii="黑体" w:hAnsi="黑体" w:eastAsia="黑体"/>
          <w:b w:val="0"/>
          <w:color w:val="auto"/>
          <w:highlight w:val="none"/>
        </w:rPr>
        <w:t>五部分 附表</w:t>
      </w:r>
      <w:bookmarkEnd w:id="104"/>
      <w:bookmarkStart w:id="105" w:name="_Toc15396619"/>
    </w:p>
    <w:p w14:paraId="6819A192">
      <w:pPr>
        <w:pStyle w:val="4"/>
        <w:rPr>
          <w:rFonts w:ascii="仿宋" w:hAnsi="仿宋" w:eastAsia="仿宋"/>
          <w:color w:val="auto"/>
          <w:highlight w:val="none"/>
        </w:rPr>
      </w:pPr>
      <w:bookmarkStart w:id="106" w:name="_Toc11451"/>
      <w:bookmarkStart w:id="107" w:name="_Toc22217"/>
      <w:r>
        <w:rPr>
          <w:rFonts w:hint="eastAsia" w:ascii="仿宋" w:hAnsi="仿宋" w:eastAsia="仿宋"/>
          <w:b w:val="0"/>
          <w:color w:val="auto"/>
          <w:highlight w:val="none"/>
        </w:rPr>
        <w:t>一、收</w:t>
      </w:r>
      <w:r>
        <w:rPr>
          <w:rStyle w:val="13"/>
          <w:rFonts w:hint="eastAsia" w:ascii="仿宋" w:hAnsi="仿宋" w:eastAsia="仿宋"/>
          <w:b w:val="0"/>
          <w:bCs w:val="0"/>
          <w:color w:val="auto"/>
          <w:highlight w:val="none"/>
        </w:rPr>
        <w:t>入支出决算总表</w:t>
      </w:r>
      <w:bookmarkEnd w:id="105"/>
      <w:bookmarkEnd w:id="106"/>
      <w:bookmarkEnd w:id="107"/>
    </w:p>
    <w:p w14:paraId="11C8D0D3">
      <w:pPr>
        <w:pStyle w:val="4"/>
        <w:rPr>
          <w:rFonts w:ascii="仿宋" w:hAnsi="仿宋" w:eastAsia="仿宋"/>
          <w:color w:val="auto"/>
          <w:highlight w:val="none"/>
        </w:rPr>
      </w:pPr>
      <w:bookmarkStart w:id="108" w:name="_Toc3665"/>
      <w:bookmarkStart w:id="109" w:name="_Toc15396620"/>
      <w:bookmarkStart w:id="110" w:name="_Toc2483"/>
      <w:r>
        <w:rPr>
          <w:rFonts w:hint="eastAsia" w:ascii="仿宋" w:hAnsi="仿宋" w:eastAsia="仿宋"/>
          <w:b w:val="0"/>
          <w:color w:val="auto"/>
          <w:highlight w:val="none"/>
        </w:rPr>
        <w:t>二、收</w:t>
      </w:r>
      <w:r>
        <w:rPr>
          <w:rStyle w:val="13"/>
          <w:rFonts w:hint="eastAsia" w:ascii="仿宋" w:hAnsi="仿宋" w:eastAsia="仿宋"/>
          <w:b w:val="0"/>
          <w:bCs w:val="0"/>
          <w:color w:val="auto"/>
          <w:highlight w:val="none"/>
        </w:rPr>
        <w:t>入决算表</w:t>
      </w:r>
      <w:bookmarkEnd w:id="108"/>
      <w:bookmarkEnd w:id="109"/>
      <w:bookmarkEnd w:id="110"/>
    </w:p>
    <w:p w14:paraId="535B8813">
      <w:pPr>
        <w:pStyle w:val="4"/>
        <w:rPr>
          <w:rFonts w:ascii="仿宋" w:hAnsi="仿宋" w:eastAsia="仿宋"/>
          <w:color w:val="auto"/>
          <w:highlight w:val="none"/>
        </w:rPr>
      </w:pPr>
      <w:bookmarkStart w:id="111" w:name="_Toc3939"/>
      <w:bookmarkStart w:id="112" w:name="_Toc32664"/>
      <w:bookmarkStart w:id="113" w:name="_Toc15396621"/>
      <w:r>
        <w:rPr>
          <w:rStyle w:val="13"/>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3"/>
          <w:rFonts w:hint="eastAsia" w:ascii="仿宋" w:hAnsi="仿宋" w:eastAsia="仿宋"/>
          <w:b w:val="0"/>
          <w:bCs w:val="0"/>
          <w:color w:val="auto"/>
          <w:highlight w:val="none"/>
        </w:rPr>
        <w:t>出决算表</w:t>
      </w:r>
      <w:bookmarkEnd w:id="111"/>
      <w:bookmarkEnd w:id="112"/>
      <w:bookmarkEnd w:id="113"/>
    </w:p>
    <w:p w14:paraId="41418B30">
      <w:pPr>
        <w:pStyle w:val="4"/>
        <w:rPr>
          <w:rFonts w:ascii="仿宋" w:hAnsi="仿宋" w:eastAsia="仿宋"/>
          <w:b w:val="0"/>
          <w:color w:val="auto"/>
          <w:highlight w:val="none"/>
        </w:rPr>
      </w:pPr>
      <w:bookmarkStart w:id="114" w:name="_Toc28570"/>
      <w:bookmarkStart w:id="115" w:name="_Toc15396622"/>
      <w:bookmarkStart w:id="116" w:name="_Toc11959"/>
      <w:r>
        <w:rPr>
          <w:rStyle w:val="13"/>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3"/>
          <w:rFonts w:hint="eastAsia" w:ascii="仿宋" w:hAnsi="仿宋" w:eastAsia="仿宋"/>
          <w:b w:val="0"/>
          <w:bCs w:val="0"/>
          <w:color w:val="auto"/>
          <w:highlight w:val="none"/>
        </w:rPr>
        <w:t>政拨款收入支出决算总表</w:t>
      </w:r>
      <w:bookmarkEnd w:id="114"/>
      <w:bookmarkEnd w:id="115"/>
      <w:bookmarkEnd w:id="116"/>
    </w:p>
    <w:p w14:paraId="582A74C7">
      <w:pPr>
        <w:pStyle w:val="4"/>
        <w:rPr>
          <w:rStyle w:val="13"/>
          <w:rFonts w:ascii="仿宋" w:hAnsi="仿宋" w:eastAsia="仿宋"/>
          <w:b w:val="0"/>
          <w:bCs w:val="0"/>
          <w:color w:val="auto"/>
          <w:highlight w:val="none"/>
        </w:rPr>
      </w:pPr>
      <w:bookmarkStart w:id="117" w:name="_Toc578"/>
      <w:bookmarkStart w:id="118" w:name="_Toc23683"/>
      <w:bookmarkStart w:id="119" w:name="_Toc15396623"/>
      <w:r>
        <w:rPr>
          <w:rStyle w:val="13"/>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3"/>
          <w:rFonts w:hint="eastAsia" w:ascii="仿宋" w:hAnsi="仿宋" w:eastAsia="仿宋"/>
          <w:b w:val="0"/>
          <w:bCs w:val="0"/>
          <w:color w:val="auto"/>
          <w:highlight w:val="none"/>
        </w:rPr>
        <w:t>政拨款支出决算明细表</w:t>
      </w:r>
      <w:bookmarkEnd w:id="117"/>
      <w:bookmarkEnd w:id="118"/>
      <w:bookmarkEnd w:id="119"/>
      <w:bookmarkStart w:id="120" w:name="_Toc15396624"/>
    </w:p>
    <w:p w14:paraId="55F994AF">
      <w:pPr>
        <w:pStyle w:val="4"/>
        <w:rPr>
          <w:rFonts w:ascii="仿宋" w:hAnsi="仿宋" w:eastAsia="仿宋"/>
          <w:color w:val="auto"/>
          <w:highlight w:val="none"/>
        </w:rPr>
      </w:pPr>
      <w:bookmarkStart w:id="121" w:name="_Toc22447"/>
      <w:bookmarkStart w:id="122" w:name="_Toc6391"/>
      <w:r>
        <w:rPr>
          <w:rStyle w:val="13"/>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3"/>
          <w:rFonts w:hint="eastAsia" w:ascii="仿宋" w:hAnsi="仿宋" w:eastAsia="仿宋"/>
          <w:b w:val="0"/>
          <w:bCs w:val="0"/>
          <w:color w:val="auto"/>
          <w:highlight w:val="none"/>
        </w:rPr>
        <w:t>般公共预算财政拨款支出决算表</w:t>
      </w:r>
      <w:bookmarkEnd w:id="120"/>
      <w:bookmarkEnd w:id="121"/>
      <w:bookmarkEnd w:id="122"/>
    </w:p>
    <w:p w14:paraId="7AA39F43">
      <w:pPr>
        <w:pStyle w:val="4"/>
        <w:rPr>
          <w:rFonts w:ascii="仿宋" w:hAnsi="仿宋" w:eastAsia="仿宋"/>
          <w:color w:val="auto"/>
          <w:highlight w:val="none"/>
        </w:rPr>
      </w:pPr>
      <w:bookmarkStart w:id="123" w:name="_Toc15396625"/>
      <w:bookmarkStart w:id="124" w:name="_Toc14271"/>
      <w:bookmarkStart w:id="125" w:name="_Toc20204"/>
      <w:r>
        <w:rPr>
          <w:rStyle w:val="13"/>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3"/>
          <w:rFonts w:hint="eastAsia" w:ascii="仿宋" w:hAnsi="仿宋" w:eastAsia="仿宋"/>
          <w:b w:val="0"/>
          <w:bCs w:val="0"/>
          <w:color w:val="auto"/>
          <w:highlight w:val="none"/>
        </w:rPr>
        <w:t>般公共预算财政拨款支出决算明细表</w:t>
      </w:r>
      <w:bookmarkEnd w:id="123"/>
      <w:bookmarkEnd w:id="124"/>
      <w:bookmarkEnd w:id="125"/>
    </w:p>
    <w:p w14:paraId="1FF81432">
      <w:pPr>
        <w:pStyle w:val="4"/>
        <w:rPr>
          <w:rFonts w:ascii="仿宋" w:hAnsi="仿宋" w:eastAsia="仿宋"/>
          <w:color w:val="auto"/>
          <w:highlight w:val="none"/>
        </w:rPr>
      </w:pPr>
      <w:bookmarkStart w:id="126" w:name="_Toc15396626"/>
      <w:bookmarkStart w:id="127" w:name="_Toc11853"/>
      <w:bookmarkStart w:id="128" w:name="_Toc25498"/>
      <w:r>
        <w:rPr>
          <w:rStyle w:val="13"/>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3"/>
          <w:rFonts w:hint="eastAsia" w:ascii="仿宋" w:hAnsi="仿宋" w:eastAsia="仿宋"/>
          <w:b w:val="0"/>
          <w:bCs w:val="0"/>
          <w:color w:val="auto"/>
          <w:highlight w:val="none"/>
        </w:rPr>
        <w:t>般公共预算财政拨款基本支出决算表</w:t>
      </w:r>
      <w:bookmarkEnd w:id="126"/>
      <w:bookmarkEnd w:id="127"/>
      <w:bookmarkEnd w:id="128"/>
    </w:p>
    <w:p w14:paraId="3612E478">
      <w:pPr>
        <w:pStyle w:val="4"/>
        <w:rPr>
          <w:rFonts w:ascii="仿宋" w:hAnsi="仿宋" w:eastAsia="仿宋"/>
          <w:color w:val="auto"/>
          <w:highlight w:val="none"/>
        </w:rPr>
      </w:pPr>
      <w:bookmarkStart w:id="129" w:name="_Toc21393"/>
      <w:bookmarkStart w:id="130" w:name="_Toc15396627"/>
      <w:bookmarkStart w:id="131" w:name="_Toc1079"/>
      <w:r>
        <w:rPr>
          <w:rStyle w:val="13"/>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3"/>
          <w:rFonts w:hint="eastAsia" w:ascii="仿宋" w:hAnsi="仿宋" w:eastAsia="仿宋"/>
          <w:b w:val="0"/>
          <w:bCs w:val="0"/>
          <w:color w:val="auto"/>
          <w:highlight w:val="none"/>
        </w:rPr>
        <w:t>般公共预算财政拨款项目支出决算表</w:t>
      </w:r>
      <w:bookmarkEnd w:id="129"/>
      <w:bookmarkEnd w:id="130"/>
      <w:bookmarkEnd w:id="131"/>
    </w:p>
    <w:p w14:paraId="1E99AFBC">
      <w:pPr>
        <w:pStyle w:val="4"/>
        <w:rPr>
          <w:rFonts w:ascii="仿宋" w:hAnsi="仿宋" w:eastAsia="仿宋"/>
          <w:color w:val="auto"/>
          <w:highlight w:val="none"/>
        </w:rPr>
      </w:pPr>
      <w:bookmarkStart w:id="132" w:name="_Toc15396628"/>
      <w:bookmarkStart w:id="133" w:name="_Toc25117"/>
      <w:bookmarkStart w:id="134" w:name="_Toc15663"/>
      <w:r>
        <w:rPr>
          <w:rStyle w:val="13"/>
          <w:rFonts w:hint="eastAsia" w:ascii="仿宋" w:hAnsi="仿宋" w:eastAsia="仿宋"/>
          <w:b w:val="0"/>
          <w:bCs w:val="0"/>
          <w:color w:val="auto"/>
          <w:highlight w:val="none"/>
        </w:rPr>
        <w:t>十、</w:t>
      </w:r>
      <w:bookmarkEnd w:id="132"/>
      <w:r>
        <w:rPr>
          <w:rFonts w:hint="eastAsia" w:ascii="仿宋" w:hAnsi="仿宋" w:eastAsia="仿宋"/>
          <w:b w:val="0"/>
          <w:color w:val="auto"/>
          <w:highlight w:val="none"/>
        </w:rPr>
        <w:t>政</w:t>
      </w:r>
      <w:r>
        <w:rPr>
          <w:rStyle w:val="13"/>
          <w:rFonts w:hint="eastAsia" w:ascii="仿宋" w:hAnsi="仿宋" w:eastAsia="仿宋"/>
          <w:b w:val="0"/>
          <w:bCs w:val="0"/>
          <w:color w:val="auto"/>
          <w:highlight w:val="none"/>
        </w:rPr>
        <w:t>府性基金预算财政拨款收入支出决算表</w:t>
      </w:r>
      <w:bookmarkEnd w:id="133"/>
      <w:bookmarkEnd w:id="134"/>
    </w:p>
    <w:p w14:paraId="6C9FD9B4">
      <w:pPr>
        <w:pStyle w:val="4"/>
        <w:rPr>
          <w:rFonts w:ascii="仿宋" w:hAnsi="仿宋" w:eastAsia="仿宋"/>
          <w:color w:val="auto"/>
          <w:highlight w:val="none"/>
        </w:rPr>
      </w:pPr>
      <w:bookmarkStart w:id="135" w:name="_Toc15396629"/>
      <w:bookmarkStart w:id="136" w:name="_Toc27601"/>
      <w:bookmarkStart w:id="137" w:name="_Toc8659"/>
      <w:r>
        <w:rPr>
          <w:rStyle w:val="13"/>
          <w:rFonts w:hint="eastAsia" w:ascii="仿宋" w:hAnsi="仿宋" w:eastAsia="仿宋"/>
          <w:b w:val="0"/>
          <w:bCs w:val="0"/>
          <w:color w:val="auto"/>
          <w:highlight w:val="none"/>
        </w:rPr>
        <w:t>十一、</w:t>
      </w:r>
      <w:bookmarkEnd w:id="135"/>
      <w:r>
        <w:rPr>
          <w:rFonts w:hint="eastAsia" w:ascii="仿宋" w:hAnsi="仿宋" w:eastAsia="仿宋"/>
          <w:b w:val="0"/>
          <w:color w:val="auto"/>
          <w:highlight w:val="none"/>
        </w:rPr>
        <w:t>国</w:t>
      </w:r>
      <w:r>
        <w:rPr>
          <w:rStyle w:val="13"/>
          <w:rFonts w:hint="eastAsia" w:ascii="仿宋" w:hAnsi="仿宋" w:eastAsia="仿宋"/>
          <w:b w:val="0"/>
          <w:bCs w:val="0"/>
          <w:color w:val="auto"/>
          <w:highlight w:val="none"/>
        </w:rPr>
        <w:t>有资本经营预算</w:t>
      </w:r>
      <w:r>
        <w:rPr>
          <w:rStyle w:val="13"/>
          <w:rFonts w:hint="eastAsia" w:ascii="仿宋" w:hAnsi="仿宋" w:eastAsia="仿宋"/>
          <w:b w:val="0"/>
          <w:bCs w:val="0"/>
          <w:color w:val="auto"/>
          <w:highlight w:val="none"/>
          <w:lang w:eastAsia="zh-CN"/>
        </w:rPr>
        <w:t>财政拨款收入</w:t>
      </w:r>
      <w:r>
        <w:rPr>
          <w:rStyle w:val="13"/>
          <w:rFonts w:hint="eastAsia" w:ascii="仿宋" w:hAnsi="仿宋" w:eastAsia="仿宋"/>
          <w:b w:val="0"/>
          <w:bCs w:val="0"/>
          <w:color w:val="auto"/>
          <w:highlight w:val="none"/>
        </w:rPr>
        <w:t>支出决算表</w:t>
      </w:r>
      <w:bookmarkEnd w:id="136"/>
      <w:bookmarkEnd w:id="137"/>
    </w:p>
    <w:p w14:paraId="3A0D4DB2">
      <w:pPr>
        <w:pStyle w:val="4"/>
        <w:rPr>
          <w:rFonts w:ascii="仿宋" w:hAnsi="仿宋" w:eastAsia="仿宋"/>
          <w:color w:val="auto"/>
          <w:highlight w:val="none"/>
        </w:rPr>
      </w:pPr>
      <w:bookmarkStart w:id="138" w:name="_Toc15396630"/>
      <w:bookmarkStart w:id="139" w:name="_Toc30263"/>
      <w:bookmarkStart w:id="140" w:name="_Toc19603"/>
      <w:r>
        <w:rPr>
          <w:rStyle w:val="13"/>
          <w:rFonts w:hint="eastAsia" w:ascii="仿宋" w:hAnsi="仿宋" w:eastAsia="仿宋"/>
          <w:b w:val="0"/>
          <w:bCs w:val="0"/>
          <w:color w:val="auto"/>
          <w:highlight w:val="none"/>
        </w:rPr>
        <w:t>十二、</w:t>
      </w:r>
      <w:bookmarkEnd w:id="138"/>
      <w:r>
        <w:rPr>
          <w:rStyle w:val="13"/>
          <w:rFonts w:hint="eastAsia" w:ascii="仿宋" w:hAnsi="仿宋" w:eastAsia="仿宋"/>
          <w:b w:val="0"/>
          <w:bCs w:val="0"/>
          <w:color w:val="auto"/>
          <w:highlight w:val="none"/>
          <w:lang w:eastAsia="zh-CN"/>
        </w:rPr>
        <w:t>国有资本经营预算财政拨款支出决算表</w:t>
      </w:r>
      <w:bookmarkEnd w:id="139"/>
      <w:bookmarkEnd w:id="140"/>
    </w:p>
    <w:p w14:paraId="1B576547">
      <w:pPr>
        <w:pStyle w:val="4"/>
        <w:rPr>
          <w:rFonts w:hint="eastAsia" w:eastAsia="仿宋"/>
          <w:color w:val="auto"/>
          <w:highlight w:val="none"/>
          <w:lang w:eastAsia="zh-CN"/>
        </w:rPr>
      </w:pPr>
      <w:bookmarkStart w:id="141" w:name="_Toc15396631"/>
      <w:bookmarkStart w:id="142" w:name="_Toc27474"/>
      <w:bookmarkStart w:id="143" w:name="_Toc19165"/>
      <w:r>
        <w:rPr>
          <w:rStyle w:val="13"/>
          <w:rFonts w:hint="eastAsia" w:ascii="仿宋" w:hAnsi="仿宋" w:eastAsia="仿宋"/>
          <w:b w:val="0"/>
          <w:bCs w:val="0"/>
          <w:color w:val="auto"/>
          <w:highlight w:val="none"/>
        </w:rPr>
        <w:t>十三、</w:t>
      </w:r>
      <w:bookmarkEnd w:id="141"/>
      <w:r>
        <w:rPr>
          <w:rStyle w:val="13"/>
          <w:rFonts w:hint="eastAsia" w:ascii="仿宋" w:hAnsi="仿宋" w:eastAsia="仿宋"/>
          <w:b w:val="0"/>
          <w:bCs w:val="0"/>
          <w:color w:val="auto"/>
          <w:highlight w:val="none"/>
          <w:lang w:eastAsia="zh-CN"/>
        </w:rPr>
        <w:t>财政拨款“三公”经费支出决算表</w:t>
      </w:r>
      <w:bookmarkEnd w:id="142"/>
      <w:bookmarkEnd w:id="143"/>
    </w:p>
    <w:p w14:paraId="40E6E298">
      <w:pPr>
        <w:pStyle w:val="2"/>
        <w:rPr>
          <w:rFonts w:hint="default" w:eastAsia="仿宋_GB2312"/>
          <w:lang w:val="en-US" w:eastAsia="zh-CN"/>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6DBD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161ED">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D1161ED">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F6C00"/>
    <w:multiLevelType w:val="singleLevel"/>
    <w:tmpl w:val="A23F6C00"/>
    <w:lvl w:ilvl="0" w:tentative="0">
      <w:start w:val="1"/>
      <w:numFmt w:val="decimal"/>
      <w:lvlText w:val="%1."/>
      <w:lvlJc w:val="left"/>
      <w:pPr>
        <w:tabs>
          <w:tab w:val="left" w:pos="420"/>
        </w:tabs>
        <w:ind w:left="425" w:leftChars="0" w:hanging="425" w:firstLineChars="0"/>
      </w:pPr>
      <w:rPr>
        <w:rFonts w:hint="default"/>
        <w:b/>
        <w:bCs/>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ODQ3YWM4ZGIyOTI2MDVkMGIyY2RmNTc0OGRmODAifQ=="/>
  </w:docVars>
  <w:rsids>
    <w:rsidRoot w:val="181668EA"/>
    <w:rsid w:val="073527D5"/>
    <w:rsid w:val="09456D39"/>
    <w:rsid w:val="181668EA"/>
    <w:rsid w:val="1C4C1A10"/>
    <w:rsid w:val="2FB51EDE"/>
    <w:rsid w:val="34672617"/>
    <w:rsid w:val="378D25E5"/>
    <w:rsid w:val="480F7E97"/>
    <w:rsid w:val="5B1A2F55"/>
    <w:rsid w:val="5DF0468C"/>
    <w:rsid w:val="614A611D"/>
    <w:rsid w:val="6CAF28E9"/>
    <w:rsid w:val="78202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oc 2"/>
    <w:basedOn w:val="1"/>
    <w:next w:val="1"/>
    <w:unhideWhenUsed/>
    <w:qFormat/>
    <w:uiPriority w:val="39"/>
    <w:pPr>
      <w:tabs>
        <w:tab w:val="right" w:leader="dot" w:pos="8296"/>
      </w:tabs>
      <w:ind w:left="420" w:leftChars="200"/>
    </w:pPr>
  </w:style>
  <w:style w:type="character" w:styleId="11">
    <w:name w:val="Strong"/>
    <w:basedOn w:val="10"/>
    <w:qFormat/>
    <w:uiPriority w:val="99"/>
    <w:rPr>
      <w:b/>
    </w:rPr>
  </w:style>
  <w:style w:type="character" w:customStyle="1" w:styleId="12">
    <w:name w:val="标题 1 Char"/>
    <w:basedOn w:val="10"/>
    <w:link w:val="3"/>
    <w:qFormat/>
    <w:uiPriority w:val="9"/>
    <w:rPr>
      <w:b/>
      <w:bCs/>
      <w:kern w:val="44"/>
      <w:sz w:val="44"/>
      <w:szCs w:val="44"/>
    </w:rPr>
  </w:style>
  <w:style w:type="character" w:customStyle="1" w:styleId="13">
    <w:name w:val="标题 2 Char"/>
    <w:basedOn w:val="10"/>
    <w:link w:val="4"/>
    <w:qFormat/>
    <w:uiPriority w:val="9"/>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style>
  <w:style w:type="paragraph" w:customStyle="1" w:styleId="1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2023&#20915;&#31639;&#20844;&#24320;&#22270;&#24418;.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023&#20915;&#31639;&#20844;&#24320;&#22270;&#24418;.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2023&#20915;&#31639;&#20844;&#24320;&#22270;&#24418;.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2023&#20915;&#31639;&#20844;&#24320;&#22270;&#24418;.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2023&#20915;&#31639;&#20844;&#24320;&#22270;&#24418;.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[2023决算公开图形.xlsx]巡察办!$A$1:$B$1</c:f>
              <c:strCache>
                <c:ptCount val="2"/>
                <c:pt idx="0">
                  <c:v>2022年</c:v>
                </c:pt>
                <c:pt idx="1">
                  <c:v>2023年</c:v>
                </c:pt>
              </c:strCache>
            </c:strRef>
          </c:cat>
          <c:val>
            <c:numRef>
              <c:f>[2023决算公开图形.xlsx]巡察办!$A$2:$B$2</c:f>
              <c:numCache>
                <c:formatCode>General</c:formatCode>
                <c:ptCount val="2"/>
                <c:pt idx="0">
                  <c:v>192.61</c:v>
                </c:pt>
                <c:pt idx="1">
                  <c:v>196.77</c:v>
                </c:pt>
              </c:numCache>
            </c:numRef>
          </c:val>
        </c:ser>
        <c:dLbls>
          <c:showLegendKey val="0"/>
          <c:showVal val="1"/>
          <c:showCatName val="0"/>
          <c:showSerName val="0"/>
          <c:showPercent val="0"/>
          <c:showBubbleSize val="0"/>
        </c:dLbls>
        <c:gapWidth val="219"/>
        <c:overlap val="-27"/>
        <c:axId val="447935936"/>
        <c:axId val="595489974"/>
      </c:barChart>
      <c:catAx>
        <c:axId val="4479359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5489974"/>
        <c:crosses val="autoZero"/>
        <c:auto val="1"/>
        <c:lblAlgn val="ctr"/>
        <c:lblOffset val="100"/>
        <c:noMultiLvlLbl val="0"/>
      </c:catAx>
      <c:valAx>
        <c:axId val="595489974"/>
        <c:scaling>
          <c:orientation val="minMax"/>
          <c:max val="2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7935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0623111420453049"/>
                  <c:y val="0.018828708055312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27440913329049"/>
                  <c:y val="0.0084174673518912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[2023决算公开图形.xlsx]巡察办!$A$27:$C$27</c:f>
              <c:strCache>
                <c:ptCount val="3"/>
                <c:pt idx="0">
                  <c:v>一般公共预算财政拨款收入</c:v>
                </c:pt>
              </c:strCache>
            </c:strRef>
          </c:cat>
          <c:val>
            <c:numRef>
              <c:f>[2023决算公开图形.xlsx]巡察办!$A$28:$C$28</c:f>
              <c:numCache>
                <c:formatCode>0%</c:formatCode>
                <c:ptCount val="3"/>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[2023决算公开图形.xlsx]巡察办!$A$47:$B$47</c:f>
              <c:strCache>
                <c:ptCount val="2"/>
                <c:pt idx="0">
                  <c:v>基本支出</c:v>
                </c:pt>
                <c:pt idx="1">
                  <c:v>项目支出</c:v>
                </c:pt>
              </c:strCache>
            </c:strRef>
          </c:cat>
          <c:val>
            <c:numRef>
              <c:f>[2023决算公开图形.xlsx]巡察办!$A$48:$B$48</c:f>
              <c:numCache>
                <c:formatCode>0.00%</c:formatCode>
                <c:ptCount val="2"/>
                <c:pt idx="0">
                  <c:v>0.5748</c:v>
                </c:pt>
                <c:pt idx="1">
                  <c:v>0.4252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178844056706652"/>
          <c:y val="0.0277777777777778"/>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[2023决算公开图形.xlsx]巡察办!$A$75:$B$75</c:f>
              <c:strCache>
                <c:ptCount val="2"/>
                <c:pt idx="0">
                  <c:v>2022年</c:v>
                </c:pt>
                <c:pt idx="1">
                  <c:v>2023年</c:v>
                </c:pt>
              </c:strCache>
            </c:strRef>
          </c:cat>
          <c:val>
            <c:numRef>
              <c:f>[2023决算公开图形.xlsx]巡察办!$A$76:$B$76</c:f>
              <c:numCache>
                <c:formatCode>0.00_ </c:formatCode>
                <c:ptCount val="2"/>
                <c:pt idx="0">
                  <c:v>192.48</c:v>
                </c:pt>
                <c:pt idx="1" c:formatCode="#,##0.00">
                  <c:v>196.64</c:v>
                </c:pt>
              </c:numCache>
            </c:numRef>
          </c:val>
        </c:ser>
        <c:dLbls>
          <c:showLegendKey val="0"/>
          <c:showVal val="1"/>
          <c:showCatName val="0"/>
          <c:showSerName val="0"/>
          <c:showPercent val="0"/>
          <c:showBubbleSize val="0"/>
        </c:dLbls>
        <c:gapWidth val="219"/>
        <c:overlap val="-27"/>
        <c:axId val="976506946"/>
        <c:axId val="941667772"/>
      </c:barChart>
      <c:catAx>
        <c:axId val="9765069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1667772"/>
        <c:crosses val="autoZero"/>
        <c:auto val="1"/>
        <c:lblAlgn val="ctr"/>
        <c:lblOffset val="100"/>
        <c:noMultiLvlLbl val="0"/>
      </c:catAx>
      <c:valAx>
        <c:axId val="941667772"/>
        <c:scaling>
          <c:orientation val="minMax"/>
          <c:max val="200"/>
          <c:min val="0"/>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650694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102331288343558"/>
          <c:y val="0.176388888888889"/>
          <c:w val="0.865630538513974"/>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[2023决算公开图形.xlsx]巡察办!$A$98:$B$98</c:f>
              <c:strCache>
                <c:ptCount val="2"/>
                <c:pt idx="0">
                  <c:v>2022年</c:v>
                </c:pt>
                <c:pt idx="1">
                  <c:v>2023年</c:v>
                </c:pt>
              </c:strCache>
            </c:strRef>
          </c:cat>
          <c:val>
            <c:numRef>
              <c:f>[2023决算公开图形.xlsx]巡察办!$A$99:$B$99</c:f>
              <c:numCache>
                <c:formatCode>0.00_ </c:formatCode>
                <c:ptCount val="2"/>
                <c:pt idx="0">
                  <c:v>192.48</c:v>
                </c:pt>
                <c:pt idx="1">
                  <c:v>196.64</c:v>
                </c:pt>
              </c:numCache>
            </c:numRef>
          </c:val>
        </c:ser>
        <c:dLbls>
          <c:showLegendKey val="0"/>
          <c:showVal val="1"/>
          <c:showCatName val="0"/>
          <c:showSerName val="0"/>
          <c:showPercent val="0"/>
          <c:showBubbleSize val="0"/>
        </c:dLbls>
        <c:gapWidth val="219"/>
        <c:overlap val="-27"/>
        <c:axId val="949468942"/>
        <c:axId val="460095406"/>
      </c:barChart>
      <c:catAx>
        <c:axId val="9494689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0095406"/>
        <c:crosses val="autoZero"/>
        <c:auto val="1"/>
        <c:lblAlgn val="ctr"/>
        <c:lblOffset val="100"/>
        <c:noMultiLvlLbl val="0"/>
      </c:catAx>
      <c:valAx>
        <c:axId val="460095406"/>
        <c:scaling>
          <c:orientation val="minMax"/>
          <c:max val="200"/>
          <c:min val="0"/>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946894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500" b="0"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[工作簿1]Sheet1!$B$3</c:f>
              <c:strCache>
                <c:ptCount val="1"/>
                <c:pt idx="0">
                  <c:v>一般公共预算财政拨款支出决算变动情况
</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93.</a:t>
                    </a:r>
                    <a:r>
                      <a:rPr lang="en-US" altLang="zh-CN"/>
                      <a:t>64</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1"/>
              <c:layout>
                <c:manualLayout>
                  <c:x val="0.00598483151513648"/>
                  <c:y val="0.0197559520431784"/>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2.</a:t>
                    </a:r>
                    <a:r>
                      <a:rPr lang="en-US" altLang="zh-CN"/>
                      <a:t>45</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27740671524398"/>
                  <c:y val="0.0445364717510349"/>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3.</a:t>
                    </a:r>
                    <a:r>
                      <a:rPr lang="en-US" altLang="zh-CN"/>
                      <a:t>91</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[工作簿1]Sheet1!$C$2:$E$2</c:f>
              <c:strCache>
                <c:ptCount val="3"/>
                <c:pt idx="0">
                  <c:v>社会保障和就业</c:v>
                </c:pt>
                <c:pt idx="1">
                  <c:v>卫生健康支出</c:v>
                </c:pt>
                <c:pt idx="2">
                  <c:v>住房保障支出</c:v>
                </c:pt>
              </c:strCache>
            </c:strRef>
          </c:cat>
          <c:val>
            <c:numRef>
              <c:f>[工作簿1]Sheet1!$C$3:$E$3</c:f>
              <c:numCache>
                <c:formatCode>General</c:formatCode>
                <c:ptCount val="3"/>
                <c:pt idx="0">
                  <c:v>180.75</c:v>
                </c:pt>
                <c:pt idx="1">
                  <c:v>4.86</c:v>
                </c:pt>
                <c:pt idx="2">
                  <c:v>6.87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6311</Words>
  <Characters>7220</Characters>
  <Lines>0</Lines>
  <Paragraphs>0</Paragraphs>
  <TotalTime>8</TotalTime>
  <ScaleCrop>false</ScaleCrop>
  <LinksUpToDate>false</LinksUpToDate>
  <CharactersWithSpaces>7345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2024-09-09T03:17:00Z</dcterms:created>
  <dc:creator>Administrator</dc:creator>
  <cp:lastModifiedBy>颜壮</cp:lastModifiedBy>
  <dcterms:modified xsi:type="dcterms:W3CDTF">2024-09-23T09:11:06Z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3F04A7F7C6F34B72887610D9E7A1CA4C_13</vt:lpwstr>
  </property>
</Properties>
</file>