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78441"/>
      <w:bookmarkStart w:id="3" w:name="_Toc15396475"/>
      <w:bookmarkStart w:id="4" w:name="_Toc15377193"/>
      <w:bookmarkStart w:id="5" w:name="_Toc15396597"/>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3</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77194"/>
      <w:bookmarkStart w:id="8" w:name="_Toc15396598"/>
      <w:bookmarkStart w:id="9" w:name="_Toc15396476"/>
      <w:bookmarkStart w:id="10" w:name="_Toc15377426"/>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遂宁市船山区</w:t>
      </w:r>
      <w:r>
        <w:rPr>
          <w:rFonts w:hint="eastAsia" w:ascii="方正小标宋简体" w:hAnsi="方正小标宋简体" w:eastAsia="方正小标宋简体" w:cs="方正小标宋简体"/>
          <w:sz w:val="72"/>
          <w:szCs w:val="72"/>
          <w:lang w:val="en-US" w:eastAsia="zh-CN"/>
        </w:rPr>
        <w:t>长乐街</w:t>
      </w:r>
      <w:r>
        <w:rPr>
          <w:rFonts w:hint="eastAsia" w:ascii="方正小标宋简体" w:hAnsi="方正小标宋简体" w:eastAsia="方正小标宋简体" w:cs="方正小标宋简体"/>
          <w:sz w:val="72"/>
          <w:szCs w:val="72"/>
        </w:rPr>
        <w:t>小学单位决算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p>
    <w:p>
      <w:pPr>
        <w:widowControl/>
        <w:jc w:val="center"/>
        <w:rPr>
          <w:rFonts w:hint="eastAsia"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jc w:val="center"/>
        <w:rPr>
          <w:rFonts w:hint="default" w:eastAsia="宋体"/>
          <w:lang w:val="en-US" w:eastAsia="zh-CN"/>
        </w:rPr>
      </w:pPr>
      <w:r>
        <w:rPr>
          <w:rFonts w:hint="eastAsia" w:ascii="仿宋_GB2312" w:eastAsia="仿宋_GB2312" w:cs="Times New Roman"/>
          <w:color w:val="auto"/>
          <w:sz w:val="32"/>
          <w:szCs w:val="32"/>
          <w:highlight w:val="none"/>
          <w:lang w:val="en-US" w:eastAsia="zh-CN"/>
        </w:rPr>
        <w:t>公开时间：2024年9月11日</w:t>
      </w:r>
    </w:p>
    <w:p>
      <w:pPr>
        <w:widowControl/>
        <w:jc w:val="center"/>
        <w:rPr>
          <w:rFonts w:hint="eastAsia" w:ascii="黑体" w:hAnsi="黑体" w:eastAsia="黑体"/>
          <w:sz w:val="48"/>
          <w:szCs w:val="48"/>
        </w:rPr>
      </w:pPr>
    </w:p>
    <w:p>
      <w:pPr>
        <w:pStyle w:val="10"/>
        <w:adjustRightInd w:val="0"/>
        <w:snapToGrid w:val="0"/>
        <w:spacing w:before="0" w:line="440" w:lineRule="exact"/>
        <w:jc w:val="left"/>
        <w:rPr>
          <w:rFonts w:hint="eastAsia" w:eastAsia="仿宋" w:cstheme="minorBidi"/>
          <w:sz w:val="24"/>
          <w:szCs w:val="24"/>
          <w:lang w:val="en-US" w:eastAsia="zh-CN"/>
        </w:rPr>
      </w:pPr>
      <w:r>
        <w:rPr>
          <w:rFonts w:hint="eastAsia"/>
          <w:sz w:val="24"/>
        </w:rPr>
        <w:t>第一部分</w:t>
      </w:r>
      <w:r>
        <w:rPr>
          <w:sz w:val="24"/>
        </w:rPr>
        <w:t xml:space="preserve"> </w:t>
      </w:r>
      <w:r>
        <w:rPr>
          <w:rFonts w:hint="eastAsia"/>
          <w:sz w:val="24"/>
        </w:rPr>
        <w:t>单位概况</w:t>
      </w:r>
      <w:r>
        <w:rPr>
          <w:rFonts w:hint="eastAsia"/>
          <w:sz w:val="24"/>
        </w:rPr>
        <w:tab/>
      </w:r>
      <w:r>
        <w:rPr>
          <w:rFonts w:hint="eastAsia"/>
          <w:sz w:val="24"/>
          <w:lang w:val="en-US" w:eastAsia="zh-CN"/>
        </w:rPr>
        <w:t>3</w:t>
      </w:r>
    </w:p>
    <w:p>
      <w:pPr>
        <w:pStyle w:val="11"/>
        <w:adjustRightInd w:val="0"/>
        <w:snapToGrid w:val="0"/>
        <w:spacing w:line="440" w:lineRule="exact"/>
        <w:jc w:val="left"/>
        <w:rPr>
          <w:rFonts w:hint="eastAsia" w:eastAsia="宋体"/>
          <w:sz w:val="24"/>
          <w:lang w:eastAsia="zh-CN"/>
        </w:rPr>
      </w:pPr>
      <w:r>
        <w:rPr>
          <w:rFonts w:hint="eastAsia"/>
          <w:sz w:val="24"/>
        </w:rPr>
        <w:t>一、主要职</w:t>
      </w:r>
      <w:r>
        <w:rPr>
          <w:rFonts w:hint="eastAsia"/>
          <w:sz w:val="24"/>
          <w:lang w:eastAsia="zh-CN"/>
        </w:rPr>
        <w:t>责</w:t>
      </w:r>
      <w:r>
        <w:rPr>
          <w:rFonts w:hint="eastAsia"/>
          <w:sz w:val="24"/>
        </w:rPr>
        <w:tab/>
      </w:r>
      <w:r>
        <w:rPr>
          <w:rFonts w:hint="eastAsia"/>
          <w:sz w:val="24"/>
          <w:lang w:val="en-US" w:eastAsia="zh-CN"/>
        </w:rPr>
        <w:t>3</w:t>
      </w:r>
    </w:p>
    <w:p>
      <w:pPr>
        <w:pStyle w:val="11"/>
        <w:adjustRightInd w:val="0"/>
        <w:snapToGrid w:val="0"/>
        <w:spacing w:line="440" w:lineRule="exact"/>
        <w:jc w:val="left"/>
        <w:rPr>
          <w:rFonts w:hint="eastAsia" w:eastAsia="宋体"/>
          <w:lang w:eastAsia="zh-CN"/>
        </w:rPr>
      </w:pPr>
      <w:r>
        <w:rPr>
          <w:rFonts w:hint="eastAsia"/>
          <w:sz w:val="24"/>
        </w:rPr>
        <w:t>二、机构设置</w:t>
      </w:r>
      <w:r>
        <w:rPr>
          <w:rFonts w:hint="eastAsia"/>
          <w:sz w:val="24"/>
        </w:rPr>
        <w:tab/>
      </w:r>
      <w:r>
        <w:rPr>
          <w:rFonts w:hint="eastAsia"/>
          <w:sz w:val="24"/>
          <w:lang w:val="en-US" w:eastAsia="zh-CN"/>
        </w:rPr>
        <w:t>4</w:t>
      </w:r>
    </w:p>
    <w:p>
      <w:pPr>
        <w:pStyle w:val="10"/>
        <w:adjustRightInd w:val="0"/>
        <w:snapToGrid w:val="0"/>
        <w:spacing w:before="0" w:line="440" w:lineRule="exact"/>
        <w:jc w:val="left"/>
        <w:rPr>
          <w:rFonts w:hint="eastAsia" w:eastAsia="仿宋"/>
          <w:sz w:val="24"/>
          <w:szCs w:val="24"/>
          <w:lang w:eastAsia="zh-CN"/>
        </w:rPr>
      </w:pPr>
      <w:r>
        <w:rPr>
          <w:rFonts w:hint="eastAsia"/>
          <w:sz w:val="24"/>
        </w:rPr>
        <w:t xml:space="preserve">第二部分 </w:t>
      </w:r>
      <w:r>
        <w:rPr>
          <w:rFonts w:hint="eastAsia"/>
          <w:sz w:val="24"/>
          <w:lang w:eastAsia="zh-CN"/>
        </w:rPr>
        <w:t>2023</w:t>
      </w:r>
      <w:r>
        <w:rPr>
          <w:rFonts w:hint="eastAsia"/>
          <w:sz w:val="24"/>
        </w:rPr>
        <w:t>年度单位决算情况说明</w:t>
      </w:r>
      <w:r>
        <w:rPr>
          <w:rFonts w:hint="eastAsia"/>
          <w:sz w:val="24"/>
        </w:rPr>
        <w:tab/>
      </w:r>
      <w:r>
        <w:rPr>
          <w:rFonts w:hint="eastAsia"/>
          <w:sz w:val="24"/>
          <w:lang w:val="en-US" w:eastAsia="zh-CN"/>
        </w:rPr>
        <w:t>4</w:t>
      </w:r>
    </w:p>
    <w:p>
      <w:pPr>
        <w:pStyle w:val="11"/>
        <w:adjustRightInd w:val="0"/>
        <w:snapToGrid w:val="0"/>
        <w:spacing w:line="440" w:lineRule="exact"/>
        <w:jc w:val="left"/>
        <w:rPr>
          <w:rFonts w:hint="eastAsia"/>
          <w:sz w:val="24"/>
          <w:lang w:val="en-US" w:eastAsia="zh-CN"/>
        </w:rPr>
      </w:pPr>
      <w:r>
        <w:rPr>
          <w:rFonts w:hint="eastAsia"/>
          <w:sz w:val="24"/>
        </w:rPr>
        <w:t>一、收入支出决算总体情况说明</w:t>
      </w:r>
      <w:r>
        <w:rPr>
          <w:rFonts w:hint="eastAsia"/>
          <w:sz w:val="24"/>
        </w:rPr>
        <w:tab/>
      </w:r>
      <w:r>
        <w:rPr>
          <w:rFonts w:hint="eastAsia"/>
          <w:sz w:val="24"/>
          <w:lang w:val="en-US" w:eastAsia="zh-CN"/>
        </w:rPr>
        <w:t>4</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二、收入决算情况说明</w:t>
      </w:r>
      <w:r>
        <w:rPr>
          <w:rFonts w:hint="eastAsia"/>
          <w:sz w:val="24"/>
        </w:rPr>
        <w:tab/>
      </w:r>
      <w:r>
        <w:rPr>
          <w:rFonts w:hint="eastAsia"/>
          <w:sz w:val="24"/>
          <w:lang w:val="en-US" w:eastAsia="zh-CN"/>
        </w:rPr>
        <w:t>4</w:t>
      </w:r>
    </w:p>
    <w:p>
      <w:pPr>
        <w:pStyle w:val="11"/>
        <w:adjustRightInd w:val="0"/>
        <w:snapToGrid w:val="0"/>
        <w:spacing w:line="440" w:lineRule="exact"/>
        <w:jc w:val="left"/>
        <w:rPr>
          <w:rFonts w:hint="eastAsia"/>
          <w:sz w:val="24"/>
          <w:lang w:val="en-US" w:eastAsia="zh-CN"/>
        </w:rPr>
      </w:pPr>
      <w:r>
        <w:rPr>
          <w:rFonts w:hint="eastAsia"/>
          <w:sz w:val="24"/>
        </w:rPr>
        <w:t>三、支出决算情况说明</w:t>
      </w:r>
      <w:r>
        <w:rPr>
          <w:rFonts w:hint="eastAsia"/>
          <w:sz w:val="24"/>
        </w:rPr>
        <w:tab/>
      </w:r>
      <w:r>
        <w:rPr>
          <w:rFonts w:hint="eastAsia"/>
          <w:sz w:val="24"/>
          <w:lang w:val="en-US" w:eastAsia="zh-CN"/>
        </w:rPr>
        <w:t>5</w:t>
      </w:r>
    </w:p>
    <w:p>
      <w:pPr>
        <w:pStyle w:val="11"/>
        <w:adjustRightInd w:val="0"/>
        <w:snapToGrid w:val="0"/>
        <w:spacing w:line="440" w:lineRule="exact"/>
        <w:jc w:val="left"/>
        <w:rPr>
          <w:rFonts w:hint="eastAsia"/>
          <w:sz w:val="24"/>
          <w:lang w:val="en-US" w:eastAsia="zh-CN"/>
        </w:rPr>
      </w:pPr>
      <w:r>
        <w:rPr>
          <w:rFonts w:hint="eastAsia"/>
          <w:sz w:val="24"/>
        </w:rPr>
        <w:t>四、财政拨款收入支出决算总体情况说明</w:t>
      </w:r>
      <w:r>
        <w:rPr>
          <w:rFonts w:hint="eastAsia"/>
          <w:sz w:val="24"/>
        </w:rPr>
        <w:tab/>
      </w:r>
      <w:r>
        <w:rPr>
          <w:rFonts w:hint="eastAsia"/>
          <w:sz w:val="24"/>
          <w:lang w:val="en-US" w:eastAsia="zh-CN"/>
        </w:rPr>
        <w:t>6</w:t>
      </w:r>
    </w:p>
    <w:p>
      <w:pPr>
        <w:pStyle w:val="11"/>
        <w:adjustRightInd w:val="0"/>
        <w:snapToGrid w:val="0"/>
        <w:spacing w:line="440" w:lineRule="exact"/>
        <w:jc w:val="left"/>
        <w:rPr>
          <w:rFonts w:hint="eastAsia"/>
          <w:sz w:val="24"/>
          <w:lang w:val="en-US" w:eastAsia="zh-CN"/>
        </w:rPr>
      </w:pPr>
      <w:r>
        <w:rPr>
          <w:rFonts w:hint="eastAsia"/>
          <w:sz w:val="24"/>
        </w:rPr>
        <w:t>五、一般公共预算财政拨款支出决算情况说明</w:t>
      </w:r>
      <w:r>
        <w:rPr>
          <w:rFonts w:hint="eastAsia"/>
          <w:sz w:val="24"/>
        </w:rPr>
        <w:tab/>
      </w:r>
      <w:r>
        <w:rPr>
          <w:rFonts w:hint="eastAsia"/>
          <w:sz w:val="24"/>
          <w:lang w:val="en-US" w:eastAsia="zh-CN"/>
        </w:rPr>
        <w:t>6</w:t>
      </w:r>
    </w:p>
    <w:p>
      <w:pPr>
        <w:pStyle w:val="11"/>
        <w:adjustRightInd w:val="0"/>
        <w:snapToGrid w:val="0"/>
        <w:spacing w:line="440" w:lineRule="exact"/>
        <w:jc w:val="left"/>
        <w:rPr>
          <w:rFonts w:hint="eastAsia"/>
          <w:sz w:val="24"/>
          <w:lang w:val="en-US" w:eastAsia="zh-CN"/>
        </w:rPr>
      </w:pPr>
      <w:r>
        <w:rPr>
          <w:rFonts w:hint="eastAsia"/>
          <w:sz w:val="24"/>
        </w:rPr>
        <w:t>六、一般公共预算财政拨款基本支出决算情况说明</w:t>
      </w:r>
      <w:r>
        <w:rPr>
          <w:rFonts w:hint="eastAsia"/>
          <w:sz w:val="24"/>
        </w:rPr>
        <w:tab/>
      </w:r>
      <w:r>
        <w:rPr>
          <w:rFonts w:hint="eastAsia"/>
          <w:sz w:val="24"/>
          <w:lang w:val="en-US" w:eastAsia="zh-CN"/>
        </w:rPr>
        <w:t>9</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rPr>
        <w:tab/>
      </w:r>
      <w:r>
        <w:rPr>
          <w:rFonts w:hint="eastAsia"/>
          <w:sz w:val="24"/>
          <w:lang w:val="en-US" w:eastAsia="zh-CN"/>
        </w:rPr>
        <w:t>10</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rPr>
        <w:tab/>
      </w:r>
      <w:r>
        <w:rPr>
          <w:rFonts w:hint="eastAsia"/>
          <w:sz w:val="24"/>
          <w:lang w:val="en-US" w:eastAsia="zh-CN"/>
        </w:rPr>
        <w:t>11</w:t>
      </w:r>
    </w:p>
    <w:p>
      <w:pPr>
        <w:pStyle w:val="11"/>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hint="eastAsia"/>
          <w:sz w:val="24"/>
        </w:rPr>
        <w:tab/>
      </w:r>
      <w:r>
        <w:rPr>
          <w:rFonts w:hint="eastAsia"/>
          <w:sz w:val="24"/>
          <w:lang w:val="en-US" w:eastAsia="zh-CN"/>
        </w:rPr>
        <w:t>11</w:t>
      </w:r>
    </w:p>
    <w:p>
      <w:pPr>
        <w:pStyle w:val="11"/>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hint="eastAsia"/>
          <w:sz w:val="24"/>
        </w:rPr>
        <w:tab/>
      </w:r>
      <w:r>
        <w:rPr>
          <w:rFonts w:hint="eastAsia"/>
          <w:sz w:val="24"/>
          <w:lang w:val="en-US" w:eastAsia="zh-CN"/>
        </w:rPr>
        <w:t>11</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rPr>
        <w:tab/>
      </w:r>
      <w:r>
        <w:rPr>
          <w:rFonts w:hint="eastAsia"/>
          <w:sz w:val="24"/>
          <w:lang w:val="en-US" w:eastAsia="zh-CN"/>
        </w:rPr>
        <w:t>13</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rPr>
        <w:tab/>
      </w:r>
      <w:r>
        <w:rPr>
          <w:rFonts w:hint="eastAsia"/>
          <w:sz w:val="24"/>
          <w:lang w:val="en-US" w:eastAsia="zh-CN"/>
        </w:rPr>
        <w:t>15</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rPr>
        <w:tab/>
      </w:r>
      <w:r>
        <w:rPr>
          <w:rFonts w:hint="eastAsia"/>
          <w:sz w:val="24"/>
          <w:lang w:val="en-US" w:eastAsia="zh-CN"/>
        </w:rPr>
        <w:t>19</w:t>
      </w:r>
    </w:p>
    <w:p>
      <w:pPr>
        <w:pStyle w:val="11"/>
        <w:adjustRightInd w:val="0"/>
        <w:snapToGrid w:val="0"/>
        <w:spacing w:line="440" w:lineRule="exact"/>
        <w:jc w:val="left"/>
        <w:rPr>
          <w:rFonts w:hint="default"/>
          <w:sz w:val="24"/>
          <w:lang w:val="en-US" w:eastAsia="zh-CN"/>
        </w:rPr>
      </w:pPr>
      <w:r>
        <w:rPr>
          <w:rFonts w:hint="eastAsia"/>
          <w:sz w:val="24"/>
        </w:rPr>
        <w:t>一、收入支出决算总表</w:t>
      </w:r>
      <w:r>
        <w:rPr>
          <w:rFonts w:hint="eastAsia"/>
          <w:sz w:val="24"/>
        </w:rPr>
        <w:tab/>
      </w:r>
      <w:r>
        <w:rPr>
          <w:rFonts w:hint="eastAsia"/>
          <w:sz w:val="24"/>
          <w:lang w:val="en-US" w:eastAsia="zh-CN"/>
        </w:rPr>
        <w:t>19</w:t>
      </w:r>
    </w:p>
    <w:p>
      <w:pPr>
        <w:pStyle w:val="11"/>
        <w:adjustRightInd w:val="0"/>
        <w:snapToGrid w:val="0"/>
        <w:spacing w:line="440" w:lineRule="exact"/>
        <w:jc w:val="left"/>
        <w:rPr>
          <w:rFonts w:hint="default" w:eastAsia="宋体"/>
          <w:sz w:val="24"/>
          <w:lang w:val="en-US" w:eastAsia="zh-CN"/>
        </w:rPr>
      </w:pPr>
      <w:r>
        <w:rPr>
          <w:rFonts w:hint="eastAsia"/>
          <w:sz w:val="24"/>
        </w:rPr>
        <w:t>二、收入决算表</w:t>
      </w:r>
      <w:r>
        <w:rPr>
          <w:rFonts w:hint="eastAsia"/>
          <w:sz w:val="24"/>
        </w:rPr>
        <w:tab/>
      </w:r>
      <w:r>
        <w:rPr>
          <w:rFonts w:hint="eastAsia"/>
          <w:sz w:val="24"/>
          <w:lang w:val="en-US" w:eastAsia="zh-CN"/>
        </w:rPr>
        <w:t>19</w:t>
      </w:r>
    </w:p>
    <w:p>
      <w:pPr>
        <w:pStyle w:val="11"/>
        <w:adjustRightInd w:val="0"/>
        <w:snapToGrid w:val="0"/>
        <w:spacing w:line="440" w:lineRule="exact"/>
        <w:jc w:val="left"/>
        <w:rPr>
          <w:rFonts w:hint="default" w:eastAsia="宋体"/>
          <w:sz w:val="24"/>
          <w:lang w:val="en-US" w:eastAsia="zh-CN"/>
        </w:rPr>
      </w:pPr>
      <w:r>
        <w:rPr>
          <w:rFonts w:hint="eastAsia"/>
          <w:sz w:val="24"/>
        </w:rPr>
        <w:t>三、支出决算表</w:t>
      </w:r>
      <w:r>
        <w:rPr>
          <w:rFonts w:hint="eastAsia"/>
          <w:sz w:val="24"/>
        </w:rPr>
        <w:tab/>
      </w:r>
      <w:r>
        <w:rPr>
          <w:rFonts w:hint="eastAsia"/>
          <w:sz w:val="24"/>
          <w:lang w:val="en-US" w:eastAsia="zh-CN"/>
        </w:rPr>
        <w:t>19</w:t>
      </w:r>
    </w:p>
    <w:p>
      <w:pPr>
        <w:pStyle w:val="11"/>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hint="eastAsia"/>
          <w:sz w:val="24"/>
        </w:rPr>
        <w:tab/>
      </w:r>
      <w:r>
        <w:rPr>
          <w:rFonts w:hint="eastAsia"/>
          <w:sz w:val="24"/>
          <w:lang w:val="en-US" w:eastAsia="zh-CN"/>
        </w:rPr>
        <w:t>19</w:t>
      </w:r>
    </w:p>
    <w:p>
      <w:pPr>
        <w:pStyle w:val="11"/>
        <w:adjustRightInd w:val="0"/>
        <w:snapToGrid w:val="0"/>
        <w:spacing w:line="440" w:lineRule="exact"/>
        <w:jc w:val="left"/>
        <w:rPr>
          <w:rFonts w:hint="default"/>
          <w:sz w:val="24"/>
          <w:lang w:val="en-US" w:eastAsia="zh-CN"/>
        </w:rPr>
      </w:pPr>
      <w:r>
        <w:rPr>
          <w:rFonts w:hint="eastAsia"/>
          <w:sz w:val="24"/>
        </w:rPr>
        <w:t>五、财政拨款支出决算明细表</w:t>
      </w:r>
      <w:r>
        <w:rPr>
          <w:rFonts w:hint="eastAsia"/>
          <w:sz w:val="24"/>
        </w:rPr>
        <w:tab/>
      </w:r>
      <w:r>
        <w:rPr>
          <w:rFonts w:hint="eastAsia"/>
          <w:sz w:val="24"/>
          <w:lang w:val="en-US" w:eastAsia="zh-CN"/>
        </w:rPr>
        <w:t>19</w:t>
      </w:r>
    </w:p>
    <w:p>
      <w:pPr>
        <w:pStyle w:val="11"/>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rPr>
        <w:tab/>
      </w:r>
      <w:r>
        <w:rPr>
          <w:rFonts w:hint="eastAsia"/>
          <w:sz w:val="24"/>
          <w:lang w:val="en-US" w:eastAsia="zh-CN"/>
        </w:rPr>
        <w:t>19</w:t>
      </w:r>
    </w:p>
    <w:p>
      <w:pPr>
        <w:pStyle w:val="11"/>
        <w:adjustRightInd w:val="0"/>
        <w:snapToGrid w:val="0"/>
        <w:spacing w:line="440" w:lineRule="exact"/>
        <w:jc w:val="left"/>
        <w:rPr>
          <w:rFonts w:hint="eastAsia"/>
          <w:sz w:val="24"/>
          <w:lang w:val="en-US" w:eastAsia="zh-CN"/>
        </w:rPr>
      </w:pPr>
      <w:r>
        <w:rPr>
          <w:rFonts w:hint="eastAsia"/>
          <w:sz w:val="24"/>
        </w:rPr>
        <w:t>七、一般公共预算财政拨款支出决算明细表</w:t>
      </w:r>
      <w:r>
        <w:rPr>
          <w:rFonts w:hint="eastAsia"/>
          <w:sz w:val="24"/>
        </w:rPr>
        <w:tab/>
      </w:r>
      <w:r>
        <w:rPr>
          <w:rFonts w:hint="eastAsia"/>
          <w:sz w:val="24"/>
          <w:lang w:val="en-US" w:eastAsia="zh-CN"/>
        </w:rPr>
        <w:t>19</w:t>
      </w:r>
    </w:p>
    <w:p>
      <w:pPr>
        <w:pStyle w:val="11"/>
        <w:adjustRightInd w:val="0"/>
        <w:snapToGrid w:val="0"/>
        <w:spacing w:line="440" w:lineRule="exact"/>
        <w:jc w:val="left"/>
        <w:rPr>
          <w:rFonts w:hint="default"/>
          <w:sz w:val="24"/>
          <w:lang w:val="en-US" w:eastAsia="zh-CN"/>
        </w:rPr>
      </w:pPr>
      <w:r>
        <w:rPr>
          <w:rFonts w:hint="eastAsia"/>
          <w:sz w:val="24"/>
        </w:rPr>
        <w:t>八、一般公共预算财政拨款基本支出决算明细表</w:t>
      </w:r>
      <w:r>
        <w:rPr>
          <w:rFonts w:hint="eastAsia"/>
          <w:sz w:val="24"/>
        </w:rPr>
        <w:tab/>
      </w:r>
      <w:r>
        <w:rPr>
          <w:rFonts w:hint="eastAsia"/>
          <w:sz w:val="24"/>
          <w:lang w:val="en-US" w:eastAsia="zh-CN"/>
        </w:rPr>
        <w:t>19</w:t>
      </w:r>
    </w:p>
    <w:p>
      <w:pPr>
        <w:pStyle w:val="11"/>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rFonts w:hint="eastAsia"/>
          <w:sz w:val="24"/>
        </w:rPr>
        <w:tab/>
      </w:r>
      <w:r>
        <w:rPr>
          <w:rFonts w:hint="eastAsia"/>
          <w:sz w:val="24"/>
          <w:lang w:val="en-US" w:eastAsia="zh-CN"/>
        </w:rPr>
        <w:t>19</w:t>
      </w:r>
    </w:p>
    <w:p>
      <w:pPr>
        <w:pStyle w:val="11"/>
        <w:adjustRightInd w:val="0"/>
        <w:snapToGrid w:val="0"/>
        <w:spacing w:line="440" w:lineRule="exact"/>
        <w:jc w:val="left"/>
        <w:rPr>
          <w:rFonts w:hint="default"/>
          <w:sz w:val="24"/>
          <w:lang w:val="en-US" w:eastAsia="zh-CN"/>
        </w:rPr>
      </w:pPr>
      <w:r>
        <w:rPr>
          <w:rFonts w:hint="eastAsia"/>
          <w:sz w:val="24"/>
        </w:rPr>
        <w:t>十、政府性基金预算财政拨款收入支出决算表</w:t>
      </w:r>
      <w:r>
        <w:rPr>
          <w:rFonts w:hint="eastAsia"/>
          <w:sz w:val="24"/>
        </w:rPr>
        <w:tab/>
      </w:r>
      <w:r>
        <w:rPr>
          <w:rFonts w:hint="eastAsia"/>
          <w:sz w:val="24"/>
          <w:lang w:val="en-US" w:eastAsia="zh-CN"/>
        </w:rPr>
        <w:t>19</w:t>
      </w:r>
    </w:p>
    <w:p>
      <w:pPr>
        <w:pStyle w:val="11"/>
        <w:adjustRightInd w:val="0"/>
        <w:snapToGrid w:val="0"/>
        <w:spacing w:line="440" w:lineRule="exact"/>
        <w:jc w:val="left"/>
        <w:rPr>
          <w:rFonts w:hint="default" w:eastAsia="宋体"/>
          <w:sz w:val="24"/>
          <w:lang w:val="en-US" w:eastAsia="zh-CN"/>
        </w:rPr>
      </w:pPr>
      <w:r>
        <w:rPr>
          <w:rFonts w:hint="eastAsia"/>
          <w:sz w:val="24"/>
        </w:rPr>
        <w:t>十一、国有资本经营预算财政拨款收入支出决算表</w:t>
      </w:r>
      <w:r>
        <w:rPr>
          <w:rFonts w:hint="eastAsia"/>
          <w:sz w:val="24"/>
        </w:rPr>
        <w:tab/>
      </w:r>
      <w:r>
        <w:rPr>
          <w:rFonts w:hint="eastAsia"/>
          <w:sz w:val="24"/>
          <w:lang w:val="en-US" w:eastAsia="zh-CN"/>
        </w:rPr>
        <w:t>19</w:t>
      </w:r>
    </w:p>
    <w:p>
      <w:pPr>
        <w:pStyle w:val="11"/>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rFonts w:hint="eastAsia"/>
          <w:sz w:val="24"/>
        </w:rPr>
        <w:tab/>
      </w:r>
      <w:r>
        <w:rPr>
          <w:rFonts w:hint="eastAsia"/>
          <w:sz w:val="24"/>
          <w:lang w:val="en-US" w:eastAsia="zh-CN"/>
        </w:rPr>
        <w:t>19</w:t>
      </w:r>
    </w:p>
    <w:p>
      <w:pPr>
        <w:pStyle w:val="11"/>
        <w:adjustRightInd w:val="0"/>
        <w:snapToGrid w:val="0"/>
        <w:spacing w:line="440" w:lineRule="exact"/>
        <w:jc w:val="left"/>
        <w:rPr>
          <w:rFonts w:hint="default" w:eastAsia="宋体"/>
          <w:sz w:val="24"/>
          <w:lang w:val="en-US" w:eastAsia="zh-CN"/>
        </w:rPr>
      </w:pPr>
      <w:r>
        <w:rPr>
          <w:rFonts w:hint="eastAsia"/>
          <w:sz w:val="24"/>
        </w:rPr>
        <w:t>十三、财政拨款“三公”经费支出决算表</w:t>
      </w:r>
      <w:r>
        <w:rPr>
          <w:rFonts w:hint="eastAsia"/>
          <w:sz w:val="24"/>
        </w:rPr>
        <w:tab/>
      </w:r>
      <w:r>
        <w:rPr>
          <w:rFonts w:hint="eastAsia"/>
          <w:sz w:val="24"/>
          <w:lang w:val="en-US" w:eastAsia="zh-CN"/>
        </w:rPr>
        <w:t>19</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pStyle w:val="3"/>
        <w:numPr>
          <w:ilvl w:val="0"/>
          <w:numId w:val="1"/>
        </w:numPr>
        <w:rPr>
          <w:rStyle w:val="25"/>
          <w:rFonts w:ascii="黑体" w:hAnsi="黑体" w:eastAsia="黑体"/>
          <w:b w:val="0"/>
          <w:bCs w:val="0"/>
        </w:rPr>
      </w:pPr>
      <w:bookmarkStart w:id="14" w:name="_Toc15396600"/>
      <w:bookmarkStart w:id="15" w:name="_Toc15377197"/>
      <w:r>
        <w:rPr>
          <w:rStyle w:val="25"/>
          <w:rFonts w:hint="eastAsia" w:ascii="黑体" w:hAnsi="黑体" w:eastAsia="黑体"/>
          <w:b w:val="0"/>
          <w:bCs w:val="0"/>
        </w:rPr>
        <w:t>主要职责</w:t>
      </w:r>
    </w:p>
    <w:p>
      <w:pPr>
        <w:snapToGrid w:val="0"/>
        <w:spacing w:line="520" w:lineRule="exact"/>
        <w:rPr>
          <w:rFonts w:ascii="仿宋" w:hAnsi="仿宋" w:eastAsia="仿宋"/>
          <w:sz w:val="32"/>
          <w:szCs w:val="32"/>
        </w:rPr>
      </w:pPr>
      <w:bookmarkStart w:id="16" w:name="_Toc15377199"/>
      <w:bookmarkStart w:id="17" w:name="_Toc15378446"/>
      <w:r>
        <w:rPr>
          <w:rFonts w:hint="eastAsia" w:ascii="仿宋" w:hAnsi="仿宋" w:eastAsia="仿宋"/>
          <w:b/>
          <w:sz w:val="32"/>
          <w:szCs w:val="32"/>
        </w:rPr>
        <w:t>（一）基本职能</w:t>
      </w:r>
      <w:r>
        <w:rPr>
          <w:rFonts w:hint="eastAsia" w:ascii="仿宋" w:hAnsi="仿宋" w:eastAsia="仿宋"/>
          <w:sz w:val="32"/>
          <w:szCs w:val="32"/>
        </w:rPr>
        <w:t>：</w:t>
      </w:r>
    </w:p>
    <w:bookmarkEnd w:id="16"/>
    <w:bookmarkEnd w:id="17"/>
    <w:p>
      <w:pPr>
        <w:pStyle w:val="23"/>
        <w:widowControl/>
        <w:shd w:val="clear" w:color="auto" w:fill="FFFFFF"/>
        <w:ind w:left="660" w:firstLine="0" w:firstLineChars="0"/>
        <w:jc w:val="left"/>
        <w:rPr>
          <w:rFonts w:hint="eastAsia" w:ascii="仿宋" w:hAnsi="仿宋" w:eastAsia="仿宋" w:cs="华文楷体"/>
          <w:kern w:val="0"/>
          <w:sz w:val="32"/>
          <w:szCs w:val="32"/>
          <w:shd w:val="clear" w:color="auto" w:fill="FFFFFF"/>
        </w:rPr>
      </w:pPr>
      <w:r>
        <w:rPr>
          <w:rFonts w:hint="eastAsia" w:ascii="仿宋" w:hAnsi="仿宋" w:eastAsia="仿宋" w:cs="华文楷体"/>
          <w:kern w:val="0"/>
          <w:sz w:val="32"/>
          <w:szCs w:val="32"/>
          <w:shd w:val="clear" w:color="auto" w:fill="FFFFFF"/>
        </w:rPr>
        <w:t>1.负责贯彻党的教育方针，正确执行上级主管部门的决</w:t>
      </w:r>
    </w:p>
    <w:p>
      <w:pPr>
        <w:widowControl/>
        <w:shd w:val="clear" w:color="auto" w:fill="FFFFFF"/>
        <w:jc w:val="left"/>
        <w:rPr>
          <w:rFonts w:ascii="仿宋" w:hAnsi="仿宋" w:eastAsia="仿宋" w:cs="华文楷体"/>
          <w:sz w:val="32"/>
          <w:szCs w:val="32"/>
        </w:rPr>
      </w:pPr>
      <w:r>
        <w:rPr>
          <w:rFonts w:hint="eastAsia" w:ascii="仿宋" w:hAnsi="仿宋" w:eastAsia="仿宋" w:cs="华文楷体"/>
          <w:kern w:val="0"/>
          <w:sz w:val="32"/>
          <w:szCs w:val="32"/>
          <w:shd w:val="clear" w:color="auto" w:fill="FFFFFF"/>
        </w:rPr>
        <w:t>议和指示，全面实施素质教育，培养德、智、体、美等方面全面发展的社会主义事业的建设者和接班人。</w:t>
      </w:r>
    </w:p>
    <w:p>
      <w:pPr>
        <w:pStyle w:val="23"/>
        <w:widowControl/>
        <w:shd w:val="clear" w:color="auto" w:fill="FFFFFF"/>
        <w:ind w:left="660" w:firstLine="0" w:firstLineChars="0"/>
        <w:jc w:val="left"/>
        <w:rPr>
          <w:rFonts w:hint="eastAsia" w:ascii="仿宋" w:hAnsi="仿宋" w:eastAsia="仿宋" w:cs="华文楷体"/>
          <w:kern w:val="0"/>
          <w:sz w:val="32"/>
          <w:szCs w:val="32"/>
          <w:shd w:val="clear" w:color="auto" w:fill="FFFFFF"/>
        </w:rPr>
      </w:pPr>
      <w:r>
        <w:rPr>
          <w:rFonts w:hint="eastAsia" w:ascii="仿宋" w:hAnsi="仿宋" w:eastAsia="仿宋" w:cs="华文楷体"/>
          <w:kern w:val="0"/>
          <w:sz w:val="32"/>
          <w:szCs w:val="32"/>
          <w:shd w:val="clear" w:color="auto" w:fill="FFFFFF"/>
        </w:rPr>
        <w:t>2.根据教育规律、社会要求和学校实际，组织制定学校</w:t>
      </w:r>
    </w:p>
    <w:p>
      <w:pPr>
        <w:widowControl/>
        <w:shd w:val="clear" w:color="auto" w:fill="FFFFFF"/>
        <w:jc w:val="left"/>
        <w:rPr>
          <w:rFonts w:ascii="仿宋" w:hAnsi="仿宋" w:eastAsia="仿宋" w:cs="华文楷体"/>
          <w:sz w:val="32"/>
          <w:szCs w:val="32"/>
        </w:rPr>
      </w:pPr>
      <w:r>
        <w:rPr>
          <w:rFonts w:hint="eastAsia" w:ascii="仿宋" w:hAnsi="仿宋" w:eastAsia="仿宋" w:cs="华文楷体"/>
          <w:kern w:val="0"/>
          <w:sz w:val="32"/>
          <w:szCs w:val="32"/>
          <w:shd w:val="clear" w:color="auto" w:fill="FFFFFF"/>
        </w:rPr>
        <w:t>发展的远景规划、近期目标、学年和学期各项工作计划以及各项工作指标并组织实施。</w:t>
      </w:r>
    </w:p>
    <w:p>
      <w:pPr>
        <w:widowControl/>
        <w:shd w:val="clear" w:color="auto" w:fill="FFFFFF"/>
        <w:ind w:firstLine="800" w:firstLineChars="250"/>
        <w:jc w:val="left"/>
        <w:rPr>
          <w:rFonts w:ascii="仿宋" w:hAnsi="仿宋" w:eastAsia="仿宋" w:cs="华文楷体"/>
          <w:sz w:val="32"/>
          <w:szCs w:val="32"/>
        </w:rPr>
      </w:pPr>
      <w:r>
        <w:rPr>
          <w:rFonts w:hint="eastAsia" w:ascii="仿宋" w:hAnsi="仿宋" w:eastAsia="仿宋" w:cs="华文楷体"/>
          <w:kern w:val="0"/>
          <w:sz w:val="32"/>
          <w:szCs w:val="32"/>
          <w:shd w:val="clear" w:color="auto" w:fill="FFFFFF"/>
        </w:rPr>
        <w:t>3.负责领导和组织学校的教学工作，坚持以教学为中心，保证教学计划的贯彻执行。大力推进学校改革，加强科研工作的组织领导。</w:t>
      </w:r>
    </w:p>
    <w:p>
      <w:pPr>
        <w:widowControl/>
        <w:shd w:val="clear" w:color="auto" w:fill="FFFFFF"/>
        <w:ind w:firstLine="800" w:firstLineChars="250"/>
        <w:jc w:val="left"/>
        <w:rPr>
          <w:rFonts w:ascii="仿宋" w:hAnsi="仿宋" w:eastAsia="仿宋" w:cs="华文楷体"/>
          <w:sz w:val="32"/>
          <w:szCs w:val="32"/>
        </w:rPr>
      </w:pPr>
      <w:r>
        <w:rPr>
          <w:rFonts w:hint="eastAsia" w:ascii="仿宋" w:hAnsi="仿宋" w:eastAsia="仿宋" w:cs="华文楷体"/>
          <w:kern w:val="0"/>
          <w:sz w:val="32"/>
          <w:szCs w:val="32"/>
          <w:shd w:val="clear" w:color="auto" w:fill="FFFFFF"/>
        </w:rPr>
        <w:t>4.加强学校的科学化管理，制定和健全各项规章制度，规范办学行为，培养良好校风，逐步实现管理决策的科学化，管理方法的定量化和管理手段的现代化。</w:t>
      </w:r>
    </w:p>
    <w:p>
      <w:pPr>
        <w:widowControl/>
        <w:shd w:val="clear" w:color="auto" w:fill="FFFFFF"/>
        <w:ind w:firstLine="640" w:firstLineChars="200"/>
        <w:jc w:val="left"/>
        <w:rPr>
          <w:rFonts w:ascii="仿宋" w:hAnsi="仿宋" w:eastAsia="仿宋" w:cs="华文楷体"/>
          <w:sz w:val="32"/>
          <w:szCs w:val="32"/>
        </w:rPr>
      </w:pPr>
      <w:r>
        <w:rPr>
          <w:rFonts w:hint="eastAsia" w:ascii="仿宋" w:hAnsi="仿宋" w:eastAsia="仿宋" w:cs="华文楷体"/>
          <w:kern w:val="0"/>
          <w:sz w:val="32"/>
          <w:szCs w:val="32"/>
          <w:shd w:val="clear" w:color="auto" w:fill="FFFFFF"/>
        </w:rPr>
        <w:t>5.负责教师队伍建设工作，制定教师队伍建设计划，不断提高他们的政治素质、文化业务水平和科研水平。</w:t>
      </w:r>
    </w:p>
    <w:p>
      <w:pPr>
        <w:widowControl/>
        <w:shd w:val="clear" w:color="auto" w:fill="FFFFFF"/>
        <w:ind w:firstLine="640" w:firstLineChars="200"/>
        <w:jc w:val="left"/>
        <w:rPr>
          <w:rFonts w:hint="eastAsia" w:ascii="仿宋" w:hAnsi="仿宋" w:eastAsia="仿宋" w:cs="华文楷体"/>
          <w:kern w:val="0"/>
          <w:sz w:val="32"/>
          <w:szCs w:val="32"/>
          <w:shd w:val="clear" w:color="auto" w:fill="FFFFFF"/>
        </w:rPr>
      </w:pPr>
      <w:r>
        <w:rPr>
          <w:rFonts w:hint="eastAsia" w:ascii="仿宋" w:hAnsi="仿宋" w:eastAsia="仿宋" w:cs="华文楷体"/>
          <w:kern w:val="0"/>
          <w:sz w:val="32"/>
          <w:szCs w:val="32"/>
          <w:shd w:val="clear" w:color="auto" w:fill="FFFFFF"/>
        </w:rPr>
        <w:t>6.领导和组织学校的思想政治工作，把德育放在首位。教育全体教职工做到教书育人、管理育人、服务育人、搞好学校、社会、家庭三结合教育。</w:t>
      </w:r>
    </w:p>
    <w:p>
      <w:pPr>
        <w:widowControl/>
        <w:shd w:val="clear" w:color="auto" w:fill="FFFFFF"/>
        <w:ind w:firstLine="640" w:firstLineChars="200"/>
        <w:jc w:val="left"/>
        <w:rPr>
          <w:rFonts w:ascii="仿宋" w:hAnsi="仿宋" w:eastAsia="仿宋" w:cs="华文楷体"/>
          <w:kern w:val="0"/>
          <w:sz w:val="32"/>
          <w:szCs w:val="32"/>
          <w:shd w:val="clear" w:color="auto" w:fill="FFFFFF"/>
        </w:rPr>
      </w:pPr>
      <w:r>
        <w:rPr>
          <w:rFonts w:hint="eastAsia" w:ascii="仿宋" w:hAnsi="仿宋" w:eastAsia="仿宋" w:cs="华文楷体"/>
          <w:kern w:val="0"/>
          <w:sz w:val="32"/>
          <w:szCs w:val="32"/>
          <w:shd w:val="clear" w:color="auto" w:fill="FFFFFF"/>
        </w:rPr>
        <w:t>7.组织制定和实施校舍建设和校园建设规划，加强对财务工作的领导，正确使用各项经费，不断改善办学条件，强化安全</w:t>
      </w:r>
      <w:r>
        <w:rPr>
          <w:rFonts w:hint="eastAsia" w:ascii="仿宋" w:hAnsi="仿宋" w:eastAsia="仿宋" w:cs="华文楷体"/>
          <w:kern w:val="0"/>
          <w:sz w:val="32"/>
          <w:szCs w:val="32"/>
          <w:shd w:val="clear" w:color="auto" w:fill="FFFFFF"/>
          <w:lang w:eastAsia="zh-CN"/>
        </w:rPr>
        <w:t>管理工作</w:t>
      </w:r>
      <w:r>
        <w:rPr>
          <w:rFonts w:hint="eastAsia" w:ascii="仿宋" w:hAnsi="仿宋" w:eastAsia="仿宋" w:cs="华文楷体"/>
          <w:kern w:val="0"/>
          <w:sz w:val="32"/>
          <w:szCs w:val="32"/>
          <w:shd w:val="clear" w:color="auto" w:fill="FFFFFF"/>
        </w:rPr>
        <w:t>及安全保卫工作，创造良好的育人环境。</w:t>
      </w:r>
    </w:p>
    <w:p>
      <w:pPr>
        <w:pStyle w:val="3"/>
        <w:rPr>
          <w:rFonts w:ascii="黑体" w:hAnsi="黑体" w:eastAsia="黑体"/>
          <w:b w:val="0"/>
        </w:rPr>
      </w:pPr>
      <w:r>
        <w:rPr>
          <w:rFonts w:hint="eastAsia" w:ascii="黑体" w:hAnsi="黑体" w:eastAsia="黑体"/>
          <w:b w:val="0"/>
        </w:rPr>
        <w:t>二、机构设置</w:t>
      </w:r>
    </w:p>
    <w:bookmarkEnd w:id="14"/>
    <w:bookmarkEnd w:id="15"/>
    <w:p>
      <w:pPr>
        <w:widowControl/>
        <w:shd w:val="clear" w:color="auto" w:fill="FFFFFF"/>
        <w:ind w:firstLine="960" w:firstLineChars="300"/>
        <w:jc w:val="left"/>
        <w:rPr>
          <w:rFonts w:ascii="仿宋" w:hAnsi="仿宋" w:eastAsia="仿宋" w:cs="华文楷体"/>
          <w:kern w:val="0"/>
          <w:sz w:val="32"/>
          <w:szCs w:val="32"/>
          <w:shd w:val="clear" w:color="auto" w:fill="FFFFFF"/>
        </w:rPr>
      </w:pPr>
      <w:r>
        <w:rPr>
          <w:rFonts w:ascii="仿宋" w:hAnsi="仿宋" w:eastAsia="仿宋" w:cs="华文楷体"/>
          <w:kern w:val="0"/>
          <w:sz w:val="32"/>
          <w:szCs w:val="32"/>
          <w:shd w:val="clear" w:color="auto" w:fill="FFFFFF"/>
        </w:rPr>
        <w:t>我</w:t>
      </w:r>
      <w:r>
        <w:rPr>
          <w:rFonts w:hint="eastAsia" w:ascii="仿宋" w:hAnsi="仿宋" w:eastAsia="仿宋" w:cs="华文楷体"/>
          <w:kern w:val="0"/>
          <w:sz w:val="32"/>
          <w:szCs w:val="32"/>
          <w:shd w:val="clear" w:color="auto" w:fill="FFFFFF"/>
        </w:rPr>
        <w:t>单位为船山区教育体育局二级预算单位，无下属单位。</w:t>
      </w:r>
    </w:p>
    <w:p>
      <w:pPr>
        <w:pStyle w:val="2"/>
        <w:ind w:right="440"/>
        <w:jc w:val="center"/>
        <w:rPr>
          <w:rStyle w:val="24"/>
          <w:rFonts w:ascii="黑体" w:hAnsi="黑体" w:eastAsia="黑体"/>
          <w:b w:val="0"/>
          <w:bCs/>
        </w:rPr>
      </w:pPr>
      <w:bookmarkStart w:id="18" w:name="_Toc15377204"/>
      <w:bookmarkStart w:id="19" w:name="_Toc15396602"/>
      <w:r>
        <w:rPr>
          <w:rFonts w:hint="eastAsia" w:ascii="黑体" w:hAnsi="黑体" w:eastAsia="黑体"/>
          <w:b w:val="0"/>
        </w:rPr>
        <w:t xml:space="preserve">第二部分 </w:t>
      </w:r>
      <w:r>
        <w:rPr>
          <w:rFonts w:hint="eastAsia" w:ascii="黑体" w:hAnsi="黑体" w:eastAsia="黑体"/>
          <w:b w:val="0"/>
          <w:lang w:eastAsia="zh-CN"/>
        </w:rPr>
        <w:t>2023</w:t>
      </w:r>
      <w:r>
        <w:rPr>
          <w:rFonts w:hint="eastAsia" w:ascii="黑体" w:hAnsi="黑体" w:eastAsia="黑体"/>
          <w:b w:val="0"/>
        </w:rPr>
        <w:t>年度</w:t>
      </w:r>
      <w:r>
        <w:rPr>
          <w:rStyle w:val="24"/>
          <w:rFonts w:hint="eastAsia" w:ascii="黑体" w:hAnsi="黑体" w:eastAsia="黑体"/>
          <w:b w:val="0"/>
          <w:bCs/>
        </w:rPr>
        <w:t>单位决算情况说明</w:t>
      </w:r>
      <w:bookmarkEnd w:id="18"/>
      <w:bookmarkEnd w:id="19"/>
    </w:p>
    <w:p>
      <w:pPr>
        <w:pStyle w:val="23"/>
        <w:numPr>
          <w:ilvl w:val="0"/>
          <w:numId w:val="2"/>
        </w:numPr>
        <w:spacing w:line="600" w:lineRule="exact"/>
        <w:ind w:firstLineChars="0"/>
        <w:outlineLvl w:val="1"/>
        <w:rPr>
          <w:rStyle w:val="25"/>
          <w:rFonts w:ascii="黑体" w:hAnsi="黑体" w:eastAsia="黑体"/>
          <w:b w:val="0"/>
        </w:rPr>
      </w:pPr>
      <w:bookmarkStart w:id="20" w:name="_Toc15377205"/>
      <w:bookmarkStart w:id="21"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20"/>
      <w:bookmarkEnd w:id="21"/>
    </w:p>
    <w:p>
      <w:pPr>
        <w:spacing w:line="600" w:lineRule="exact"/>
        <w:ind w:left="640" w:firstLine="640" w:firstLineChars="20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年度收、支总计788.25万元。与202</w:t>
      </w:r>
      <w:r>
        <w:rPr>
          <w:rFonts w:hint="eastAsia" w:ascii="仿宋" w:hAnsi="仿宋" w:eastAsia="仿宋"/>
          <w:sz w:val="32"/>
          <w:szCs w:val="32"/>
          <w:lang w:val="en-US" w:eastAsia="zh-CN"/>
        </w:rPr>
        <w:t>2</w:t>
      </w:r>
      <w:r>
        <w:rPr>
          <w:rFonts w:hint="eastAsia" w:ascii="仿宋" w:hAnsi="仿宋" w:eastAsia="仿宋"/>
          <w:sz w:val="32"/>
          <w:szCs w:val="32"/>
        </w:rPr>
        <w:t>年相比，收、支总计增加41.77万元，上升</w:t>
      </w:r>
      <w:r>
        <w:rPr>
          <w:rFonts w:hint="eastAsia" w:ascii="仿宋" w:hAnsi="仿宋" w:eastAsia="仿宋"/>
          <w:sz w:val="32"/>
          <w:szCs w:val="32"/>
          <w:lang w:val="en-US" w:eastAsia="zh-CN"/>
        </w:rPr>
        <w:t>5.59</w:t>
      </w:r>
      <w:r>
        <w:rPr>
          <w:rFonts w:ascii="仿宋" w:hAnsi="仿宋" w:eastAsia="仿宋"/>
          <w:sz w:val="32"/>
          <w:szCs w:val="32"/>
        </w:rPr>
        <w:t>%</w:t>
      </w:r>
      <w:r>
        <w:rPr>
          <w:rFonts w:hint="eastAsia" w:ascii="仿宋" w:hAnsi="仿宋" w:eastAsia="仿宋"/>
          <w:sz w:val="32"/>
          <w:szCs w:val="32"/>
        </w:rPr>
        <w:t>。主要变动原因是项目经费支出</w:t>
      </w:r>
      <w:r>
        <w:rPr>
          <w:rFonts w:hint="eastAsia" w:ascii="仿宋" w:hAnsi="仿宋" w:eastAsia="仿宋"/>
          <w:sz w:val="32"/>
          <w:szCs w:val="32"/>
          <w:lang w:val="en-US" w:eastAsia="zh-CN"/>
        </w:rPr>
        <w:t>及人员政策性增支</w:t>
      </w:r>
      <w:r>
        <w:rPr>
          <w:rFonts w:hint="eastAsia" w:ascii="仿宋" w:hAnsi="仿宋" w:eastAsia="仿宋"/>
          <w:sz w:val="32"/>
          <w:szCs w:val="32"/>
        </w:rPr>
        <w:t>。</w:t>
      </w:r>
    </w:p>
    <w:p>
      <w:pPr>
        <w:pStyle w:val="5"/>
        <w:spacing w:before="93"/>
        <w:ind w:left="640"/>
      </w:pPr>
      <w:r>
        <w:drawing>
          <wp:inline distT="0" distB="0" distL="114300" distR="114300">
            <wp:extent cx="5162550" cy="2743200"/>
            <wp:effectExtent l="4445" t="4445" r="14605" b="14605"/>
            <wp:docPr id="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left="640"/>
        <w:jc w:val="center"/>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spacing w:line="600" w:lineRule="exact"/>
        <w:ind w:firstLine="640" w:firstLineChars="200"/>
        <w:jc w:val="left"/>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2" w:name="_Toc15377206"/>
      <w:bookmarkStart w:id="23" w:name="_Toc15396604"/>
      <w:r>
        <w:rPr>
          <w:rFonts w:hint="eastAsia" w:ascii="黑体" w:hAnsi="黑体" w:eastAsia="黑体"/>
          <w:sz w:val="32"/>
          <w:szCs w:val="32"/>
        </w:rPr>
        <w:t>收</w:t>
      </w:r>
      <w:r>
        <w:rPr>
          <w:rStyle w:val="25"/>
          <w:rFonts w:hint="eastAsia" w:ascii="黑体" w:hAnsi="黑体" w:eastAsia="黑体"/>
          <w:b w:val="0"/>
        </w:rPr>
        <w:t>入决算情况说明</w:t>
      </w:r>
      <w:bookmarkEnd w:id="22"/>
      <w:bookmarkEnd w:id="23"/>
    </w:p>
    <w:p>
      <w:pPr>
        <w:spacing w:line="600" w:lineRule="exact"/>
        <w:ind w:left="640" w:firstLine="640" w:firstLineChars="200"/>
        <w:outlineLvl w:val="1"/>
        <w:rPr>
          <w:rFonts w:ascii="仿宋" w:hAnsi="仿宋" w:eastAsia="仿宋"/>
          <w:sz w:val="32"/>
          <w:szCs w:val="32"/>
        </w:rPr>
      </w:pPr>
      <w:bookmarkStart w:id="24" w:name="_Toc10980"/>
      <w:bookmarkStart w:id="25" w:name="_Toc19538"/>
      <w:r>
        <w:rPr>
          <w:rFonts w:hint="eastAsia" w:ascii="仿宋" w:hAnsi="仿宋" w:eastAsia="仿宋"/>
          <w:sz w:val="32"/>
          <w:szCs w:val="32"/>
          <w:lang w:eastAsia="zh-CN"/>
        </w:rPr>
        <w:t>2023</w:t>
      </w:r>
      <w:r>
        <w:rPr>
          <w:rFonts w:ascii="仿宋" w:hAnsi="仿宋" w:eastAsia="仿宋"/>
          <w:sz w:val="32"/>
          <w:szCs w:val="32"/>
        </w:rPr>
        <w:t>年</w:t>
      </w:r>
      <w:r>
        <w:rPr>
          <w:rFonts w:hint="eastAsia" w:ascii="仿宋" w:hAnsi="仿宋" w:eastAsia="仿宋"/>
          <w:sz w:val="32"/>
          <w:szCs w:val="32"/>
        </w:rPr>
        <w:t>本年收入合计747.99万元，其中：一般公共预算财政拨款收入658.89万元，占</w:t>
      </w:r>
      <w:r>
        <w:rPr>
          <w:rFonts w:hint="eastAsia" w:ascii="仿宋" w:hAnsi="仿宋" w:eastAsia="仿宋"/>
          <w:color w:val="0000FF"/>
          <w:sz w:val="32"/>
          <w:szCs w:val="32"/>
          <w:lang w:val="en-US" w:eastAsia="zh-CN"/>
        </w:rPr>
        <w:t>88.09</w:t>
      </w:r>
      <w:r>
        <w:rPr>
          <w:rFonts w:ascii="仿宋" w:hAnsi="仿宋" w:eastAsia="仿宋"/>
          <w:sz w:val="32"/>
          <w:szCs w:val="32"/>
        </w:rPr>
        <w:t>%</w:t>
      </w:r>
      <w:r>
        <w:rPr>
          <w:rFonts w:hint="eastAsia" w:ascii="仿宋" w:hAnsi="仿宋" w:eastAsia="仿宋"/>
          <w:sz w:val="32"/>
          <w:szCs w:val="32"/>
        </w:rPr>
        <w:t>；其他收入89.11万元，占</w:t>
      </w:r>
      <w:r>
        <w:rPr>
          <w:rFonts w:hint="eastAsia" w:ascii="仿宋" w:hAnsi="仿宋" w:eastAsia="仿宋"/>
          <w:color w:val="0000FF"/>
          <w:sz w:val="32"/>
          <w:szCs w:val="32"/>
          <w:lang w:val="en-US" w:eastAsia="zh-CN"/>
        </w:rPr>
        <w:t>11.91</w:t>
      </w:r>
      <w:r>
        <w:rPr>
          <w:rFonts w:ascii="仿宋" w:hAnsi="仿宋" w:eastAsia="仿宋"/>
          <w:sz w:val="32"/>
          <w:szCs w:val="32"/>
        </w:rPr>
        <w:t>%</w:t>
      </w:r>
      <w:r>
        <w:rPr>
          <w:rFonts w:hint="eastAsia" w:ascii="仿宋" w:hAnsi="仿宋" w:eastAsia="仿宋"/>
          <w:sz w:val="32"/>
          <w:szCs w:val="32"/>
        </w:rPr>
        <w:t>。</w:t>
      </w:r>
      <w:bookmarkEnd w:id="24"/>
      <w:bookmarkEnd w:id="25"/>
    </w:p>
    <w:p>
      <w:pPr>
        <w:pStyle w:val="5"/>
        <w:spacing w:before="93"/>
        <w:ind w:firstLine="531" w:firstLineChars="177"/>
        <w:rPr>
          <w:rFonts w:ascii="仿宋" w:hAnsi="仿宋" w:eastAsia="仿宋"/>
          <w:sz w:val="32"/>
          <w:szCs w:val="32"/>
        </w:rPr>
      </w:pPr>
      <w:r>
        <w:drawing>
          <wp:inline distT="0" distB="0" distL="114300" distR="114300">
            <wp:extent cx="4217670" cy="2533650"/>
            <wp:effectExtent l="4445" t="4445" r="6985" b="14605"/>
            <wp:docPr id="6"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left="640"/>
        <w:jc w:val="center"/>
        <w:rPr>
          <w:rFonts w:ascii="仿宋_GB2312" w:eastAsia="仿宋_GB2312"/>
          <w:sz w:val="32"/>
          <w:szCs w:val="32"/>
        </w:rPr>
      </w:pPr>
      <w:r>
        <w:rPr>
          <w:rFonts w:hint="eastAsia" w:ascii="仿宋" w:hAnsi="仿宋" w:eastAsia="仿宋"/>
          <w:sz w:val="32"/>
          <w:szCs w:val="32"/>
        </w:rPr>
        <w:t>（图2：收入决算结构图）</w:t>
      </w:r>
    </w:p>
    <w:p>
      <w:pPr>
        <w:pStyle w:val="23"/>
        <w:numPr>
          <w:ilvl w:val="0"/>
          <w:numId w:val="2"/>
        </w:numPr>
        <w:spacing w:line="600" w:lineRule="exact"/>
        <w:ind w:firstLineChars="0"/>
        <w:outlineLvl w:val="1"/>
        <w:rPr>
          <w:rStyle w:val="25"/>
          <w:rFonts w:ascii="黑体" w:hAnsi="黑体" w:eastAsia="黑体"/>
          <w:b w:val="0"/>
        </w:rPr>
      </w:pPr>
      <w:bookmarkStart w:id="26" w:name="_Toc15396605"/>
      <w:bookmarkStart w:id="27" w:name="_Toc15377207"/>
      <w:r>
        <w:rPr>
          <w:rFonts w:hint="eastAsia" w:ascii="黑体" w:hAnsi="黑体" w:eastAsia="黑体"/>
          <w:sz w:val="32"/>
          <w:szCs w:val="32"/>
        </w:rPr>
        <w:t>支</w:t>
      </w:r>
      <w:r>
        <w:rPr>
          <w:rStyle w:val="25"/>
          <w:rFonts w:hint="eastAsia" w:ascii="黑体" w:hAnsi="黑体" w:eastAsia="黑体"/>
          <w:b w:val="0"/>
        </w:rPr>
        <w:t>出决算情况说明</w:t>
      </w:r>
      <w:bookmarkEnd w:id="26"/>
      <w:bookmarkEnd w:id="27"/>
    </w:p>
    <w:p>
      <w:pPr>
        <w:spacing w:line="600" w:lineRule="exact"/>
        <w:ind w:firstLine="640" w:firstLineChars="200"/>
        <w:outlineLvl w:val="1"/>
        <w:rPr>
          <w:rFonts w:ascii="仿宋" w:hAnsi="仿宋" w:eastAsia="仿宋"/>
          <w:sz w:val="32"/>
          <w:szCs w:val="32"/>
          <w:shd w:val="pct10" w:color="auto" w:fill="FFFFFF"/>
        </w:rPr>
      </w:pPr>
      <w:bookmarkStart w:id="28" w:name="_Toc23773"/>
      <w:r>
        <w:rPr>
          <w:rFonts w:hint="eastAsia" w:ascii="仿宋" w:hAnsi="仿宋" w:eastAsia="仿宋"/>
          <w:sz w:val="32"/>
          <w:szCs w:val="32"/>
          <w:lang w:eastAsia="zh-CN"/>
        </w:rPr>
        <w:t>2023</w:t>
      </w:r>
      <w:r>
        <w:rPr>
          <w:rFonts w:ascii="仿宋" w:hAnsi="仿宋" w:eastAsia="仿宋"/>
          <w:sz w:val="32"/>
          <w:szCs w:val="32"/>
        </w:rPr>
        <w:t>年</w:t>
      </w:r>
      <w:r>
        <w:rPr>
          <w:rFonts w:hint="eastAsia" w:ascii="仿宋" w:hAnsi="仿宋" w:eastAsia="仿宋"/>
          <w:sz w:val="32"/>
          <w:szCs w:val="32"/>
        </w:rPr>
        <w:t>本年支出合计751.47万元，其中：基本支出539.72万元，占</w:t>
      </w:r>
      <w:r>
        <w:rPr>
          <w:rFonts w:hint="eastAsia" w:ascii="仿宋" w:hAnsi="仿宋" w:eastAsia="仿宋"/>
          <w:sz w:val="32"/>
          <w:szCs w:val="32"/>
          <w:lang w:val="en-US" w:eastAsia="zh-CN"/>
        </w:rPr>
        <w:t>71.82</w:t>
      </w:r>
      <w:r>
        <w:rPr>
          <w:rFonts w:ascii="仿宋" w:hAnsi="仿宋" w:eastAsia="仿宋"/>
          <w:sz w:val="32"/>
          <w:szCs w:val="32"/>
        </w:rPr>
        <w:t>%</w:t>
      </w:r>
      <w:r>
        <w:rPr>
          <w:rFonts w:hint="eastAsia" w:ascii="仿宋" w:hAnsi="仿宋" w:eastAsia="仿宋"/>
          <w:sz w:val="32"/>
          <w:szCs w:val="32"/>
        </w:rPr>
        <w:t>；项目支出211.76万元，占</w:t>
      </w:r>
      <w:r>
        <w:rPr>
          <w:rFonts w:hint="eastAsia" w:ascii="仿宋" w:hAnsi="仿宋" w:eastAsia="仿宋"/>
          <w:sz w:val="32"/>
          <w:szCs w:val="32"/>
          <w:lang w:val="en-US" w:eastAsia="zh-CN"/>
        </w:rPr>
        <w:t>28.18</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bookmarkEnd w:id="28"/>
    </w:p>
    <w:p>
      <w:pPr>
        <w:pStyle w:val="5"/>
        <w:spacing w:before="93"/>
        <w:rPr>
          <w:rFonts w:hint="eastAsia" w:ascii="仿宋" w:hAnsi="仿宋" w:eastAsia="仿宋"/>
          <w:sz w:val="32"/>
          <w:szCs w:val="32"/>
        </w:rPr>
      </w:pPr>
      <w:r>
        <w:drawing>
          <wp:inline distT="0" distB="0" distL="114300" distR="114300">
            <wp:extent cx="4361180" cy="2383790"/>
            <wp:effectExtent l="4445" t="4445" r="15875" b="1206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5"/>
        <w:spacing w:before="93"/>
        <w:jc w:val="center"/>
        <w:rPr>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25"/>
          <w:rFonts w:ascii="黑体" w:hAnsi="黑体" w:eastAsia="黑体"/>
          <w:b w:val="0"/>
        </w:rPr>
      </w:pPr>
      <w:bookmarkStart w:id="29" w:name="_Toc15396606"/>
      <w:bookmarkStart w:id="30"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9"/>
      <w:bookmarkEnd w:id="30"/>
    </w:p>
    <w:p>
      <w:pPr>
        <w:spacing w:line="600" w:lineRule="exact"/>
        <w:ind w:firstLine="640"/>
      </w:pPr>
      <w:r>
        <w:rPr>
          <w:rFonts w:hint="eastAsia" w:ascii="仿宋" w:hAnsi="仿宋" w:eastAsia="仿宋"/>
          <w:sz w:val="32"/>
          <w:szCs w:val="32"/>
          <w:lang w:eastAsia="zh-CN"/>
        </w:rPr>
        <w:t>2023</w:t>
      </w:r>
      <w:r>
        <w:rPr>
          <w:rFonts w:ascii="仿宋" w:hAnsi="仿宋" w:eastAsia="仿宋"/>
          <w:sz w:val="32"/>
          <w:szCs w:val="32"/>
        </w:rPr>
        <w:t>年</w:t>
      </w:r>
      <w:r>
        <w:rPr>
          <w:rFonts w:hint="eastAsia" w:ascii="仿宋" w:hAnsi="仿宋" w:eastAsia="仿宋"/>
          <w:sz w:val="32"/>
          <w:szCs w:val="32"/>
        </w:rPr>
        <w:t>财政拨款收、支总计658.89万元。与</w:t>
      </w:r>
      <w:r>
        <w:rPr>
          <w:rFonts w:ascii="仿宋" w:hAnsi="仿宋" w:eastAsia="仿宋"/>
          <w:sz w:val="32"/>
          <w:szCs w:val="32"/>
        </w:rPr>
        <w:t>202</w:t>
      </w:r>
      <w:r>
        <w:rPr>
          <w:rFonts w:hint="eastAsia" w:ascii="仿宋" w:hAnsi="仿宋" w:eastAsia="仿宋"/>
          <w:sz w:val="32"/>
          <w:szCs w:val="32"/>
          <w:lang w:val="en-US" w:eastAsia="zh-CN"/>
        </w:rPr>
        <w:t>2</w:t>
      </w:r>
      <w:r>
        <w:rPr>
          <w:rFonts w:ascii="仿宋" w:hAnsi="仿宋" w:eastAsia="仿宋"/>
          <w:sz w:val="32"/>
          <w:szCs w:val="32"/>
        </w:rPr>
        <w:t>年</w:t>
      </w:r>
      <w:r>
        <w:rPr>
          <w:rFonts w:hint="eastAsia" w:ascii="仿宋" w:hAnsi="仿宋" w:eastAsia="仿宋"/>
          <w:sz w:val="32"/>
          <w:szCs w:val="32"/>
        </w:rPr>
        <w:t>相比，财政拨款收、支总计</w:t>
      </w:r>
      <w:r>
        <w:rPr>
          <w:rFonts w:hint="eastAsia" w:ascii="仿宋" w:hAnsi="仿宋" w:eastAsia="仿宋"/>
          <w:sz w:val="32"/>
          <w:szCs w:val="32"/>
          <w:lang w:val="en-US" w:eastAsia="zh-CN"/>
        </w:rPr>
        <w:t>减少27.55</w:t>
      </w:r>
      <w:r>
        <w:rPr>
          <w:rFonts w:hint="eastAsia" w:ascii="仿宋" w:hAnsi="仿宋" w:eastAsia="仿宋"/>
          <w:sz w:val="32"/>
          <w:szCs w:val="32"/>
        </w:rPr>
        <w:t>万元，</w:t>
      </w:r>
      <w:r>
        <w:rPr>
          <w:rFonts w:hint="eastAsia" w:ascii="仿宋" w:hAnsi="仿宋" w:eastAsia="仿宋"/>
          <w:sz w:val="32"/>
          <w:szCs w:val="32"/>
          <w:lang w:val="en-US" w:eastAsia="zh-CN"/>
        </w:rPr>
        <w:t>下降4.01%</w:t>
      </w:r>
      <w:r>
        <w:rPr>
          <w:rFonts w:hint="eastAsia" w:ascii="仿宋" w:hAnsi="仿宋" w:eastAsia="仿宋"/>
          <w:sz w:val="32"/>
          <w:szCs w:val="32"/>
        </w:rPr>
        <w:t>。主要变动原因是项目经费支出</w:t>
      </w:r>
      <w:r>
        <w:rPr>
          <w:rFonts w:hint="eastAsia" w:ascii="仿宋" w:hAnsi="仿宋" w:eastAsia="仿宋"/>
          <w:sz w:val="32"/>
          <w:szCs w:val="32"/>
          <w:lang w:val="en-US" w:eastAsia="zh-CN"/>
        </w:rPr>
        <w:t>减少</w:t>
      </w:r>
      <w:r>
        <w:rPr>
          <w:rFonts w:hint="eastAsia" w:ascii="仿宋" w:hAnsi="仿宋" w:eastAsia="仿宋"/>
          <w:sz w:val="32"/>
          <w:szCs w:val="32"/>
        </w:rPr>
        <w:t>。</w:t>
      </w:r>
    </w:p>
    <w:p>
      <w:pPr>
        <w:pStyle w:val="5"/>
        <w:spacing w:before="93"/>
      </w:pPr>
      <w:r>
        <w:drawing>
          <wp:inline distT="0" distB="0" distL="114300" distR="114300">
            <wp:extent cx="4572000" cy="2743200"/>
            <wp:effectExtent l="4445" t="4445" r="14605" b="14605"/>
            <wp:docPr id="8"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Fonts w:hint="eastAsia" w:ascii="黑体" w:hAnsi="黑体" w:eastAsia="黑体"/>
          <w:sz w:val="32"/>
          <w:szCs w:val="32"/>
        </w:rPr>
      </w:pPr>
      <w:bookmarkStart w:id="31" w:name="_Toc15396607"/>
      <w:bookmarkStart w:id="32" w:name="_Toc15377209"/>
    </w:p>
    <w:p>
      <w:pPr>
        <w:spacing w:line="600" w:lineRule="exact"/>
        <w:ind w:firstLine="640" w:firstLineChars="200"/>
        <w:outlineLvl w:val="1"/>
        <w:rPr>
          <w:rStyle w:val="25"/>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31"/>
      <w:bookmarkEnd w:id="32"/>
    </w:p>
    <w:p>
      <w:pPr>
        <w:spacing w:line="600" w:lineRule="exact"/>
        <w:ind w:firstLine="643" w:firstLineChars="200"/>
        <w:outlineLvl w:val="2"/>
        <w:rPr>
          <w:rFonts w:ascii="仿宋" w:hAnsi="仿宋" w:eastAsia="仿宋"/>
          <w:b/>
          <w:sz w:val="32"/>
          <w:szCs w:val="32"/>
        </w:rPr>
      </w:pPr>
      <w:bookmarkStart w:id="33" w:name="_Toc15377210"/>
      <w:r>
        <w:rPr>
          <w:rFonts w:hint="eastAsia" w:ascii="仿宋" w:hAnsi="仿宋" w:eastAsia="仿宋"/>
          <w:b/>
          <w:sz w:val="32"/>
          <w:szCs w:val="32"/>
        </w:rPr>
        <w:t>（一）一般公共预算财政拨款支出决算总体情况</w:t>
      </w:r>
      <w:bookmarkEnd w:id="33"/>
    </w:p>
    <w:p>
      <w:pPr>
        <w:spacing w:line="600" w:lineRule="exact"/>
        <w:ind w:firstLine="640" w:firstLineChars="200"/>
      </w:pPr>
      <w:r>
        <w:rPr>
          <w:rFonts w:hint="eastAsia" w:ascii="仿宋" w:hAnsi="仿宋" w:eastAsia="仿宋"/>
          <w:sz w:val="32"/>
          <w:szCs w:val="32"/>
          <w:lang w:eastAsia="zh-CN"/>
        </w:rPr>
        <w:t>2023</w:t>
      </w:r>
      <w:r>
        <w:rPr>
          <w:rFonts w:hint="eastAsia" w:ascii="仿宋" w:hAnsi="仿宋" w:eastAsia="仿宋"/>
          <w:sz w:val="32"/>
          <w:szCs w:val="32"/>
        </w:rPr>
        <w:t>年一般公共预算财政拨款支出658.89万元，占本年支出合计的100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202</w:t>
      </w:r>
      <w:r>
        <w:rPr>
          <w:rFonts w:hint="eastAsia" w:ascii="仿宋" w:hAnsi="仿宋" w:eastAsia="仿宋"/>
          <w:sz w:val="32"/>
          <w:szCs w:val="32"/>
          <w:lang w:val="en-US" w:eastAsia="zh-CN"/>
        </w:rPr>
        <w:t>2</w:t>
      </w:r>
      <w:r>
        <w:rPr>
          <w:rFonts w:ascii="仿宋" w:hAnsi="仿宋" w:eastAsia="仿宋"/>
          <w:sz w:val="32"/>
          <w:szCs w:val="32"/>
        </w:rPr>
        <w:t>年</w:t>
      </w:r>
      <w:r>
        <w:rPr>
          <w:rFonts w:hint="eastAsia" w:ascii="仿宋" w:hAnsi="仿宋" w:eastAsia="仿宋"/>
          <w:sz w:val="32"/>
          <w:szCs w:val="32"/>
        </w:rPr>
        <w:t>相比，一般公共预算财政拨款支出</w:t>
      </w:r>
      <w:r>
        <w:rPr>
          <w:rFonts w:hint="eastAsia" w:ascii="仿宋" w:hAnsi="仿宋" w:eastAsia="仿宋"/>
          <w:sz w:val="32"/>
          <w:szCs w:val="32"/>
          <w:lang w:val="en-US" w:eastAsia="zh-CN"/>
        </w:rPr>
        <w:t>减少27.55</w:t>
      </w:r>
      <w:r>
        <w:rPr>
          <w:rFonts w:hint="eastAsia" w:ascii="仿宋" w:hAnsi="仿宋" w:eastAsia="仿宋"/>
          <w:sz w:val="32"/>
          <w:szCs w:val="32"/>
        </w:rPr>
        <w:t>万元，</w:t>
      </w:r>
      <w:r>
        <w:rPr>
          <w:rFonts w:hint="eastAsia" w:ascii="仿宋" w:hAnsi="仿宋" w:eastAsia="仿宋"/>
          <w:sz w:val="32"/>
          <w:szCs w:val="32"/>
          <w:lang w:val="en-US" w:eastAsia="zh-CN"/>
        </w:rPr>
        <w:t>下降4.01</w:t>
      </w:r>
      <w:r>
        <w:rPr>
          <w:rFonts w:ascii="仿宋" w:hAnsi="仿宋" w:eastAsia="仿宋"/>
          <w:sz w:val="32"/>
          <w:szCs w:val="32"/>
        </w:rPr>
        <w:t>%</w:t>
      </w:r>
      <w:r>
        <w:rPr>
          <w:rFonts w:hint="eastAsia" w:ascii="仿宋" w:hAnsi="仿宋" w:eastAsia="仿宋"/>
          <w:sz w:val="32"/>
          <w:szCs w:val="32"/>
        </w:rPr>
        <w:t>。主要变动原因是项目经费支出</w:t>
      </w:r>
      <w:r>
        <w:rPr>
          <w:rFonts w:hint="eastAsia" w:ascii="仿宋" w:hAnsi="仿宋" w:eastAsia="仿宋"/>
          <w:sz w:val="32"/>
          <w:szCs w:val="32"/>
          <w:lang w:val="en-US" w:eastAsia="zh-CN"/>
        </w:rPr>
        <w:t>减少</w:t>
      </w:r>
      <w:r>
        <w:rPr>
          <w:rFonts w:hint="eastAsia" w:ascii="仿宋" w:hAnsi="仿宋" w:eastAsia="仿宋"/>
          <w:sz w:val="32"/>
          <w:szCs w:val="32"/>
        </w:rPr>
        <w:t>。</w:t>
      </w:r>
    </w:p>
    <w:p>
      <w:pPr>
        <w:pStyle w:val="5"/>
        <w:spacing w:before="93"/>
      </w:pPr>
      <w:r>
        <w:drawing>
          <wp:inline distT="0" distB="0" distL="114300" distR="114300">
            <wp:extent cx="5398135" cy="2498090"/>
            <wp:effectExtent l="4445" t="4445" r="7620" b="1206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34" w:name="_Toc15377211"/>
      <w:r>
        <w:rPr>
          <w:rFonts w:hint="eastAsia" w:ascii="仿宋" w:hAnsi="仿宋" w:eastAsia="仿宋"/>
          <w:b/>
          <w:sz w:val="32"/>
          <w:szCs w:val="32"/>
        </w:rPr>
        <w:t>（二）一般公共预算财政拨款支出决算结构情况</w:t>
      </w:r>
      <w:bookmarkEnd w:id="34"/>
    </w:p>
    <w:p>
      <w:pPr>
        <w:spacing w:line="600" w:lineRule="exact"/>
        <w:ind w:firstLine="640"/>
        <w:rPr>
          <w:rFonts w:hint="eastAsia"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年一</w:t>
      </w:r>
      <w:bookmarkStart w:id="35" w:name="OLE_LINK2"/>
      <w:r>
        <w:rPr>
          <w:rFonts w:hint="eastAsia" w:ascii="仿宋" w:hAnsi="仿宋" w:eastAsia="仿宋"/>
          <w:sz w:val="32"/>
          <w:szCs w:val="32"/>
        </w:rPr>
        <w:t>般公共预算</w:t>
      </w:r>
      <w:bookmarkEnd w:id="35"/>
      <w:r>
        <w:rPr>
          <w:rFonts w:hint="eastAsia" w:ascii="仿宋" w:hAnsi="仿宋" w:eastAsia="仿宋"/>
          <w:sz w:val="32"/>
          <w:szCs w:val="32"/>
        </w:rPr>
        <w:t>财政拨款支出658.89万元，主要用于以下方面:教育支出（类）520.93万元，占</w:t>
      </w:r>
      <w:r>
        <w:rPr>
          <w:rFonts w:hint="eastAsia" w:ascii="仿宋" w:hAnsi="仿宋" w:eastAsia="仿宋"/>
          <w:sz w:val="32"/>
          <w:szCs w:val="32"/>
          <w:lang w:val="en-US" w:eastAsia="zh-CN"/>
        </w:rPr>
        <w:t>79.06</w:t>
      </w:r>
      <w:r>
        <w:rPr>
          <w:rFonts w:hint="eastAsia" w:ascii="仿宋" w:hAnsi="仿宋" w:eastAsia="仿宋"/>
          <w:sz w:val="32"/>
          <w:szCs w:val="32"/>
        </w:rPr>
        <w:t>%；社会保障和就业（类）支出71.06万元，占</w:t>
      </w:r>
      <w:r>
        <w:rPr>
          <w:rFonts w:hint="eastAsia" w:ascii="仿宋" w:hAnsi="仿宋" w:eastAsia="仿宋"/>
          <w:sz w:val="32"/>
          <w:szCs w:val="32"/>
          <w:lang w:val="en-US" w:eastAsia="zh-CN"/>
        </w:rPr>
        <w:t>10.78</w:t>
      </w:r>
      <w:r>
        <w:rPr>
          <w:rFonts w:hint="eastAsia" w:ascii="仿宋" w:hAnsi="仿宋" w:eastAsia="仿宋"/>
          <w:sz w:val="32"/>
          <w:szCs w:val="32"/>
        </w:rPr>
        <w:t>%；卫生健康支出</w:t>
      </w:r>
      <w:bookmarkStart w:id="36" w:name="OLE_LINK1"/>
      <w:r>
        <w:rPr>
          <w:rFonts w:hint="eastAsia" w:ascii="仿宋" w:hAnsi="仿宋" w:eastAsia="仿宋"/>
          <w:sz w:val="32"/>
          <w:szCs w:val="32"/>
        </w:rPr>
        <w:t>（类）28.22万元，占4.</w:t>
      </w:r>
      <w:r>
        <w:rPr>
          <w:rFonts w:hint="eastAsia" w:ascii="仿宋" w:hAnsi="仿宋" w:eastAsia="仿宋"/>
          <w:sz w:val="32"/>
          <w:szCs w:val="32"/>
          <w:lang w:val="en-US" w:eastAsia="zh-CN"/>
        </w:rPr>
        <w:t>28</w:t>
      </w:r>
      <w:r>
        <w:rPr>
          <w:rFonts w:hint="eastAsia" w:ascii="仿宋" w:hAnsi="仿宋" w:eastAsia="仿宋"/>
          <w:sz w:val="32"/>
          <w:szCs w:val="32"/>
        </w:rPr>
        <w:t>%；住房保障支出（类）38.67万元，占</w:t>
      </w:r>
      <w:r>
        <w:rPr>
          <w:rFonts w:hint="eastAsia" w:ascii="仿宋" w:hAnsi="仿宋" w:eastAsia="仿宋"/>
          <w:sz w:val="32"/>
          <w:szCs w:val="32"/>
          <w:lang w:val="en-US" w:eastAsia="zh-CN"/>
        </w:rPr>
        <w:t>5.87</w:t>
      </w:r>
      <w:r>
        <w:rPr>
          <w:rFonts w:hint="eastAsia" w:ascii="仿宋" w:hAnsi="仿宋" w:eastAsia="仿宋"/>
          <w:sz w:val="32"/>
          <w:szCs w:val="32"/>
        </w:rPr>
        <w:t>%。</w:t>
      </w:r>
    </w:p>
    <w:bookmarkEnd w:id="36"/>
    <w:p>
      <w:pPr>
        <w:pStyle w:val="5"/>
        <w:spacing w:before="93"/>
        <w:jc w:val="center"/>
      </w:pPr>
      <w:r>
        <w:drawing>
          <wp:inline distT="0" distB="0" distL="114300" distR="114300">
            <wp:extent cx="5394960" cy="2683510"/>
            <wp:effectExtent l="4445" t="4445" r="10795" b="1714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hint="eastAsia" w:ascii="仿宋" w:hAnsi="仿宋" w:eastAsia="仿宋"/>
          <w:sz w:val="32"/>
          <w:szCs w:val="32"/>
        </w:rPr>
        <w:t>（图6：一般公共预算财政拨款支出决算结构）</w:t>
      </w:r>
    </w:p>
    <w:p>
      <w:pPr>
        <w:spacing w:line="600" w:lineRule="exact"/>
        <w:ind w:firstLine="643" w:firstLineChars="200"/>
        <w:outlineLvl w:val="2"/>
        <w:rPr>
          <w:rFonts w:ascii="仿宋" w:hAnsi="仿宋" w:eastAsia="仿宋"/>
          <w:b/>
          <w:sz w:val="32"/>
          <w:szCs w:val="32"/>
        </w:rPr>
      </w:pPr>
      <w:bookmarkStart w:id="37" w:name="_Toc15377212"/>
      <w:r>
        <w:rPr>
          <w:rFonts w:hint="eastAsia" w:ascii="仿宋" w:hAnsi="仿宋" w:eastAsia="仿宋"/>
          <w:b/>
          <w:sz w:val="32"/>
          <w:szCs w:val="32"/>
        </w:rPr>
        <w:t>（三）一般公共预算财政拨款支出决算具体情况</w:t>
      </w:r>
      <w:bookmarkEnd w:id="37"/>
    </w:p>
    <w:p>
      <w:pPr>
        <w:spacing w:line="600" w:lineRule="exact"/>
        <w:ind w:firstLine="643" w:firstLineChars="200"/>
        <w:outlineLvl w:val="1"/>
        <w:rPr>
          <w:rFonts w:ascii="仿宋" w:hAnsi="仿宋" w:eastAsia="仿宋"/>
          <w:sz w:val="32"/>
          <w:szCs w:val="32"/>
        </w:rPr>
      </w:pPr>
      <w:bookmarkStart w:id="38" w:name="_Toc20276"/>
      <w:r>
        <w:rPr>
          <w:rFonts w:hint="eastAsia" w:ascii="仿宋" w:hAnsi="仿宋" w:eastAsia="仿宋"/>
          <w:b/>
          <w:sz w:val="32"/>
          <w:szCs w:val="32"/>
          <w:lang w:eastAsia="zh-CN"/>
        </w:rPr>
        <w:t>2023</w:t>
      </w:r>
      <w:r>
        <w:rPr>
          <w:rFonts w:hint="eastAsia" w:ascii="仿宋" w:hAnsi="仿宋" w:eastAsia="仿宋"/>
          <w:b/>
          <w:sz w:val="32"/>
          <w:szCs w:val="32"/>
        </w:rPr>
        <w:t>年一般公共预算支出决算数为</w:t>
      </w:r>
      <w:r>
        <w:rPr>
          <w:rFonts w:hint="eastAsia" w:ascii="仿宋" w:hAnsi="仿宋" w:eastAsia="仿宋"/>
          <w:sz w:val="32"/>
          <w:szCs w:val="32"/>
        </w:rPr>
        <w:t>658.89</w:t>
      </w:r>
      <w:r>
        <w:rPr>
          <w:rFonts w:hint="eastAsia" w:ascii="仿宋" w:hAnsi="仿宋" w:eastAsia="仿宋"/>
          <w:b/>
          <w:sz w:val="32"/>
          <w:szCs w:val="32"/>
        </w:rPr>
        <w:t>万元</w:t>
      </w:r>
      <w:r>
        <w:rPr>
          <w:rFonts w:hint="eastAsia" w:ascii="仿宋" w:hAnsi="仿宋" w:eastAsia="仿宋"/>
          <w:sz w:val="32"/>
          <w:szCs w:val="32"/>
        </w:rPr>
        <w:t>，</w:t>
      </w:r>
      <w:r>
        <w:rPr>
          <w:rStyle w:val="14"/>
          <w:rFonts w:hint="eastAsia" w:ascii="仿宋" w:hAnsi="仿宋" w:eastAsia="仿宋"/>
          <w:bCs/>
          <w:sz w:val="32"/>
          <w:szCs w:val="32"/>
        </w:rPr>
        <w:t>完成预算100</w:t>
      </w:r>
      <w:r>
        <w:rPr>
          <w:rStyle w:val="14"/>
          <w:rFonts w:ascii="仿宋" w:hAnsi="仿宋" w:eastAsia="仿宋"/>
          <w:bCs/>
          <w:sz w:val="32"/>
          <w:szCs w:val="32"/>
        </w:rPr>
        <w:t>%</w:t>
      </w:r>
      <w:r>
        <w:rPr>
          <w:rStyle w:val="14"/>
          <w:rFonts w:hint="eastAsia" w:ascii="仿宋" w:hAnsi="仿宋" w:eastAsia="仿宋"/>
          <w:bCs/>
          <w:sz w:val="32"/>
          <w:szCs w:val="32"/>
        </w:rPr>
        <w:t>。其中：</w:t>
      </w:r>
      <w:bookmarkEnd w:id="38"/>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w:t>
      </w:r>
      <w:r>
        <w:rPr>
          <w:rStyle w:val="14"/>
          <w:rFonts w:ascii="仿宋" w:hAnsi="仿宋" w:eastAsia="仿宋"/>
          <w:bCs/>
          <w:sz w:val="32"/>
          <w:szCs w:val="32"/>
        </w:rPr>
        <w:t>.</w:t>
      </w:r>
      <w:r>
        <w:rPr>
          <w:rStyle w:val="14"/>
          <w:rFonts w:hint="eastAsia" w:ascii="仿宋" w:hAnsi="仿宋" w:eastAsia="仿宋"/>
          <w:bCs/>
          <w:sz w:val="32"/>
          <w:szCs w:val="32"/>
        </w:rPr>
        <w:t>教育支出（类）普通教育（款）小学教育（项）</w:t>
      </w:r>
      <w:r>
        <w:rPr>
          <w:rStyle w:val="14"/>
          <w:rFonts w:ascii="仿宋" w:hAnsi="仿宋" w:eastAsia="仿宋"/>
          <w:bCs/>
          <w:sz w:val="32"/>
          <w:szCs w:val="32"/>
        </w:rPr>
        <w:t>:</w:t>
      </w:r>
      <w:r>
        <w:rPr>
          <w:rStyle w:val="14"/>
          <w:rFonts w:hint="eastAsia" w:ascii="仿宋" w:hAnsi="仿宋" w:eastAsia="仿宋"/>
          <w:b w:val="0"/>
          <w:bCs/>
          <w:sz w:val="32"/>
          <w:szCs w:val="32"/>
        </w:rPr>
        <w:t>支出决算为520.93万元，完成预算100</w:t>
      </w:r>
      <w:r>
        <w:rPr>
          <w:rStyle w:val="14"/>
          <w:rFonts w:ascii="仿宋" w:hAnsi="仿宋" w:eastAsia="仿宋"/>
          <w:b w:val="0"/>
          <w:bCs/>
          <w:sz w:val="32"/>
          <w:szCs w:val="32"/>
        </w:rPr>
        <w:t>%</w:t>
      </w:r>
      <w:bookmarkStart w:id="39" w:name="OLE_LINK4"/>
      <w:r>
        <w:rPr>
          <w:rStyle w:val="14"/>
          <w:rFonts w:hint="eastAsia" w:ascii="仿宋" w:hAnsi="仿宋" w:eastAsia="仿宋"/>
          <w:b w:val="0"/>
          <w:bCs/>
          <w:sz w:val="32"/>
          <w:szCs w:val="32"/>
          <w:lang w:eastAsia="zh-CN"/>
        </w:rPr>
        <w:t>，</w:t>
      </w:r>
      <w:bookmarkStart w:id="40" w:name="OLE_LINK3"/>
      <w:r>
        <w:rPr>
          <w:rStyle w:val="14"/>
          <w:rFonts w:hint="eastAsia" w:ascii="仿宋" w:hAnsi="仿宋" w:eastAsia="仿宋"/>
          <w:b w:val="0"/>
          <w:bCs/>
          <w:sz w:val="32"/>
          <w:szCs w:val="32"/>
          <w:lang w:eastAsia="zh-CN"/>
        </w:rPr>
        <w:t>决算数与预算数持</w:t>
      </w:r>
      <w:bookmarkEnd w:id="40"/>
      <w:r>
        <w:rPr>
          <w:rStyle w:val="14"/>
          <w:rFonts w:hint="eastAsia" w:ascii="仿宋" w:hAnsi="仿宋" w:eastAsia="仿宋"/>
          <w:b w:val="0"/>
          <w:bCs/>
          <w:sz w:val="32"/>
          <w:szCs w:val="32"/>
          <w:lang w:eastAsia="zh-CN"/>
        </w:rPr>
        <w:t>平</w:t>
      </w:r>
      <w:bookmarkEnd w:id="39"/>
      <w:r>
        <w:rPr>
          <w:rStyle w:val="14"/>
          <w:rFonts w:hint="eastAsia" w:ascii="仿宋" w:hAnsi="仿宋" w:eastAsia="仿宋"/>
          <w:b w:val="0"/>
          <w:bCs/>
          <w:sz w:val="32"/>
          <w:szCs w:val="32"/>
        </w:rPr>
        <w:t>。</w:t>
      </w:r>
    </w:p>
    <w:p>
      <w:pPr>
        <w:spacing w:line="600" w:lineRule="exact"/>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rPr>
        <w:t>2</w:t>
      </w:r>
      <w:r>
        <w:rPr>
          <w:rStyle w:val="14"/>
          <w:rFonts w:ascii="仿宋" w:hAnsi="仿宋" w:eastAsia="仿宋"/>
          <w:bCs/>
          <w:sz w:val="32"/>
          <w:szCs w:val="32"/>
        </w:rPr>
        <w:t>.</w:t>
      </w:r>
      <w:r>
        <w:rPr>
          <w:rStyle w:val="14"/>
          <w:rFonts w:hint="eastAsia" w:ascii="仿宋" w:hAnsi="仿宋" w:eastAsia="仿宋"/>
          <w:bCs/>
          <w:sz w:val="32"/>
          <w:szCs w:val="32"/>
        </w:rPr>
        <w:t>社会保障和就业（类）行政事业单位养老支出（款）机关事业单位基本养老保险缴费支出（项）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47.38</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3</w:t>
      </w:r>
      <w:r>
        <w:rPr>
          <w:rStyle w:val="14"/>
          <w:rFonts w:ascii="仿宋" w:hAnsi="仿宋" w:eastAsia="仿宋"/>
          <w:bCs/>
          <w:sz w:val="32"/>
          <w:szCs w:val="32"/>
        </w:rPr>
        <w:t>.</w:t>
      </w:r>
      <w:r>
        <w:rPr>
          <w:rStyle w:val="14"/>
          <w:rFonts w:hint="eastAsia" w:ascii="仿宋" w:hAnsi="仿宋" w:eastAsia="仿宋"/>
          <w:bCs/>
          <w:sz w:val="32"/>
          <w:szCs w:val="32"/>
        </w:rPr>
        <w:t>社会保障和就业（类）行政事业单位养老支出（款）机关事业单位职业年金缴费支出（项）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5.91</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lang w:val="en-US" w:eastAsia="zh-CN"/>
        </w:rPr>
        <w:t>4</w:t>
      </w:r>
      <w:r>
        <w:rPr>
          <w:rStyle w:val="14"/>
          <w:rFonts w:ascii="仿宋" w:hAnsi="仿宋" w:eastAsia="仿宋"/>
          <w:bCs/>
          <w:sz w:val="32"/>
          <w:szCs w:val="32"/>
        </w:rPr>
        <w:t>.</w:t>
      </w:r>
      <w:r>
        <w:rPr>
          <w:rStyle w:val="14"/>
          <w:rFonts w:hint="eastAsia" w:ascii="仿宋" w:hAnsi="仿宋" w:eastAsia="仿宋"/>
          <w:bCs/>
          <w:sz w:val="32"/>
          <w:szCs w:val="32"/>
        </w:rPr>
        <w:t>社会保障和就业（类）行政事业单位养老支出（款）死亡抚恤支出（项）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9.01</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lang w:val="en-US" w:eastAsia="zh-CN"/>
        </w:rPr>
        <w:t>5</w:t>
      </w:r>
      <w:r>
        <w:rPr>
          <w:rStyle w:val="14"/>
          <w:rFonts w:ascii="仿宋" w:hAnsi="仿宋" w:eastAsia="仿宋"/>
          <w:bCs/>
          <w:sz w:val="32"/>
          <w:szCs w:val="32"/>
        </w:rPr>
        <w:t>.</w:t>
      </w:r>
      <w:r>
        <w:rPr>
          <w:rStyle w:val="14"/>
          <w:rFonts w:hint="eastAsia" w:ascii="仿宋" w:hAnsi="仿宋" w:eastAsia="仿宋"/>
          <w:bCs/>
          <w:sz w:val="32"/>
          <w:szCs w:val="32"/>
        </w:rPr>
        <w:t>社会保障和就业（类）行政事业单位养老支出（款）行政单位离退休（项）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3.21</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lang w:val="en-US" w:eastAsia="zh-CN"/>
        </w:rPr>
        <w:t>6</w:t>
      </w:r>
      <w:r>
        <w:rPr>
          <w:rStyle w:val="14"/>
          <w:rFonts w:ascii="仿宋" w:hAnsi="仿宋" w:eastAsia="仿宋"/>
          <w:bCs/>
          <w:sz w:val="32"/>
          <w:szCs w:val="32"/>
        </w:rPr>
        <w:t>.</w:t>
      </w:r>
      <w:r>
        <w:rPr>
          <w:rStyle w:val="14"/>
          <w:rFonts w:hint="eastAsia" w:ascii="仿宋" w:hAnsi="仿宋" w:eastAsia="仿宋"/>
          <w:bCs/>
          <w:sz w:val="32"/>
          <w:szCs w:val="32"/>
        </w:rPr>
        <w:t>社会保障和就业（类）残疾人事业（款）残疾人就业（项）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3.74</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pPr>
      <w:r>
        <w:rPr>
          <w:rStyle w:val="14"/>
          <w:rFonts w:hint="eastAsia" w:ascii="仿宋" w:hAnsi="仿宋" w:eastAsia="仿宋"/>
          <w:bCs/>
          <w:sz w:val="32"/>
          <w:szCs w:val="32"/>
          <w:lang w:val="en-US" w:eastAsia="zh-CN"/>
        </w:rPr>
        <w:t>7</w:t>
      </w:r>
      <w:r>
        <w:rPr>
          <w:rStyle w:val="14"/>
          <w:rFonts w:ascii="仿宋" w:hAnsi="仿宋" w:eastAsia="仿宋"/>
          <w:bCs/>
          <w:sz w:val="32"/>
          <w:szCs w:val="32"/>
        </w:rPr>
        <w:t>.</w:t>
      </w:r>
      <w:r>
        <w:rPr>
          <w:rStyle w:val="14"/>
          <w:rFonts w:hint="eastAsia" w:ascii="仿宋" w:hAnsi="仿宋" w:eastAsia="仿宋"/>
          <w:bCs/>
          <w:sz w:val="32"/>
          <w:szCs w:val="32"/>
        </w:rPr>
        <w:t>社会保障和就业（类）其他社会保障和就业支出（款）其他社会保障和就业支出（项）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1.81</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lang w:val="en-US" w:eastAsia="zh-CN"/>
        </w:rPr>
        <w:t>8</w:t>
      </w:r>
      <w:r>
        <w:rPr>
          <w:rStyle w:val="14"/>
          <w:rFonts w:hint="eastAsia" w:ascii="仿宋" w:hAnsi="仿宋" w:eastAsia="仿宋"/>
          <w:bCs/>
          <w:sz w:val="32"/>
          <w:szCs w:val="32"/>
        </w:rPr>
        <w:t>.</w:t>
      </w:r>
      <w:r>
        <w:rPr>
          <w:rFonts w:hint="eastAsia" w:ascii="仿宋" w:hAnsi="仿宋" w:eastAsia="仿宋"/>
          <w:b/>
          <w:bCs/>
          <w:sz w:val="32"/>
          <w:szCs w:val="32"/>
        </w:rPr>
        <w:t>卫生健康支出</w:t>
      </w:r>
      <w:r>
        <w:rPr>
          <w:rStyle w:val="14"/>
          <w:rFonts w:hint="eastAsia" w:ascii="仿宋" w:hAnsi="仿宋" w:eastAsia="仿宋"/>
          <w:bCs/>
          <w:sz w:val="32"/>
          <w:szCs w:val="32"/>
        </w:rPr>
        <w:t>（类）行政事业单位医疗（款）事业单位医疗（项）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18.4</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lang w:val="en-US" w:eastAsia="zh-CN"/>
        </w:rPr>
        <w:t>9</w:t>
      </w:r>
      <w:r>
        <w:rPr>
          <w:rStyle w:val="14"/>
          <w:rFonts w:ascii="仿宋" w:hAnsi="仿宋" w:eastAsia="仿宋"/>
          <w:bCs/>
          <w:sz w:val="32"/>
          <w:szCs w:val="32"/>
        </w:rPr>
        <w:t>.</w:t>
      </w:r>
      <w:r>
        <w:rPr>
          <w:rFonts w:hint="eastAsia" w:ascii="仿宋" w:hAnsi="仿宋" w:eastAsia="仿宋"/>
          <w:b/>
          <w:bCs/>
          <w:sz w:val="32"/>
          <w:szCs w:val="32"/>
        </w:rPr>
        <w:t>卫生健康支出</w:t>
      </w:r>
      <w:r>
        <w:rPr>
          <w:rStyle w:val="14"/>
          <w:rFonts w:hint="eastAsia" w:ascii="仿宋" w:hAnsi="仿宋" w:eastAsia="仿宋"/>
          <w:bCs/>
          <w:sz w:val="32"/>
          <w:szCs w:val="32"/>
        </w:rPr>
        <w:t>（类）行政事业单位医疗（款）公务员医疗补助（项）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9.82</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10</w:t>
      </w:r>
      <w:r>
        <w:rPr>
          <w:rStyle w:val="14"/>
          <w:rFonts w:ascii="仿宋" w:hAnsi="仿宋" w:eastAsia="仿宋"/>
          <w:bCs/>
          <w:sz w:val="32"/>
          <w:szCs w:val="32"/>
        </w:rPr>
        <w:t>.</w:t>
      </w:r>
      <w:r>
        <w:rPr>
          <w:rFonts w:hint="eastAsia" w:ascii="仿宋" w:hAnsi="仿宋" w:eastAsia="仿宋"/>
          <w:b/>
          <w:bCs/>
          <w:sz w:val="32"/>
          <w:szCs w:val="32"/>
        </w:rPr>
        <w:t>住房保障支出</w:t>
      </w:r>
      <w:r>
        <w:rPr>
          <w:rStyle w:val="14"/>
          <w:rFonts w:hint="eastAsia" w:ascii="仿宋" w:hAnsi="仿宋" w:eastAsia="仿宋"/>
          <w:bCs/>
          <w:sz w:val="32"/>
          <w:szCs w:val="32"/>
        </w:rPr>
        <w:t>（类）住房改革支出（款）住房公积金（项）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38.67</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tabs>
          <w:tab w:val="right" w:pos="8306"/>
        </w:tabs>
        <w:spacing w:line="600" w:lineRule="exact"/>
        <w:ind w:firstLine="640"/>
        <w:outlineLvl w:val="1"/>
        <w:rPr>
          <w:rStyle w:val="25"/>
        </w:rPr>
      </w:pPr>
      <w:bookmarkStart w:id="41" w:name="_Toc15396608"/>
      <w:bookmarkStart w:id="42"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41"/>
      <w:bookmarkEnd w:id="42"/>
      <w:r>
        <w:rPr>
          <w:rStyle w:val="25"/>
          <w:rFonts w:ascii="黑体" w:hAnsi="黑体" w:eastAsia="黑体"/>
          <w:b w:val="0"/>
        </w:rPr>
        <w:tab/>
      </w:r>
    </w:p>
    <w:p>
      <w:pPr>
        <w:spacing w:line="600" w:lineRule="exact"/>
        <w:ind w:firstLine="645"/>
        <w:rPr>
          <w:rFonts w:ascii="仿宋" w:hAnsi="仿宋" w:eastAsia="仿宋"/>
          <w:sz w:val="32"/>
          <w:szCs w:val="32"/>
        </w:rPr>
      </w:pPr>
      <w:bookmarkStart w:id="43" w:name="_Toc15377215"/>
      <w:bookmarkStart w:id="44" w:name="_Toc15396609"/>
      <w:r>
        <w:rPr>
          <w:rFonts w:hint="eastAsia" w:ascii="仿宋" w:hAnsi="仿宋" w:eastAsia="仿宋"/>
          <w:sz w:val="32"/>
          <w:szCs w:val="32"/>
          <w:lang w:eastAsia="zh-CN"/>
        </w:rPr>
        <w:t>2023</w:t>
      </w:r>
      <w:r>
        <w:rPr>
          <w:rFonts w:ascii="仿宋" w:hAnsi="仿宋" w:eastAsia="仿宋"/>
          <w:sz w:val="32"/>
          <w:szCs w:val="32"/>
        </w:rPr>
        <w:t>年</w:t>
      </w:r>
      <w:r>
        <w:rPr>
          <w:rFonts w:hint="eastAsia" w:ascii="仿宋" w:hAnsi="仿宋" w:eastAsia="仿宋"/>
          <w:sz w:val="32"/>
          <w:szCs w:val="32"/>
        </w:rPr>
        <w:t>一般公共预算财政拨款基本支出539.71万元，其中：</w:t>
      </w:r>
    </w:p>
    <w:p>
      <w:pPr>
        <w:spacing w:line="600" w:lineRule="exact"/>
        <w:ind w:firstLine="645"/>
        <w:rPr>
          <w:rFonts w:ascii="仿宋" w:hAnsi="仿宋" w:eastAsia="仿宋"/>
          <w:color w:val="000000"/>
          <w:sz w:val="32"/>
          <w:szCs w:val="32"/>
        </w:rPr>
      </w:pPr>
      <w:r>
        <w:rPr>
          <w:rFonts w:hint="eastAsia" w:ascii="仿宋" w:hAnsi="仿宋" w:eastAsia="仿宋"/>
          <w:sz w:val="32"/>
          <w:szCs w:val="32"/>
        </w:rPr>
        <w:t>人员经费510.06万元主要包括：</w:t>
      </w:r>
      <w:r>
        <w:rPr>
          <w:rFonts w:hint="eastAsia" w:ascii="仿宋" w:hAnsi="仿宋" w:eastAsia="仿宋"/>
          <w:color w:val="000000"/>
          <w:sz w:val="32"/>
          <w:szCs w:val="32"/>
        </w:rPr>
        <w:t>基本工资、津贴补贴、绩效工资、机关事业单位基本养老保险缴费、职业年金缴费、职工基本医疗保险缴费、公务员医疗补助缴费、其他社会保障缴费、住房公积金、残疾人就业</w:t>
      </w:r>
      <w:r>
        <w:rPr>
          <w:rFonts w:hint="eastAsia" w:ascii="仿宋" w:hAnsi="仿宋" w:eastAsia="仿宋"/>
          <w:color w:val="000000"/>
          <w:sz w:val="32"/>
          <w:szCs w:val="32"/>
          <w:lang w:val="en-US" w:eastAsia="zh-CN"/>
        </w:rPr>
        <w:t>保证金、事业单位离退休经费、</w:t>
      </w:r>
      <w:r>
        <w:rPr>
          <w:rFonts w:hint="eastAsia" w:ascii="仿宋" w:hAnsi="仿宋" w:eastAsia="仿宋"/>
          <w:color w:val="000000"/>
          <w:sz w:val="32"/>
          <w:szCs w:val="32"/>
        </w:rPr>
        <w:t>其他工资福利支出、其他对个人和家庭的补助支出等。</w:t>
      </w:r>
    </w:p>
    <w:p>
      <w:pPr>
        <w:spacing w:line="600" w:lineRule="exact"/>
        <w:ind w:firstLine="645"/>
      </w:pPr>
      <w:r>
        <w:rPr>
          <w:rFonts w:hint="eastAsia" w:ascii="仿宋" w:hAnsi="仿宋" w:eastAsia="仿宋"/>
          <w:sz w:val="32"/>
          <w:szCs w:val="32"/>
        </w:rPr>
        <w:t>公用经费29.64万元，主要包括：办公费、印刷费、水费、电费、邮电费、物业管理费、差旅费、维修（护）费、租赁费、培训费、专用材料费、劳务费、福利费、其他交通费、其他商品和服务支出等。</w:t>
      </w:r>
      <w:r>
        <w:rPr>
          <w:rFonts w:hint="eastAsia"/>
        </w:rPr>
        <w:t xml:space="preserve">     </w:t>
      </w:r>
    </w:p>
    <w:p>
      <w:pPr>
        <w:spacing w:line="600" w:lineRule="exact"/>
        <w:ind w:firstLine="640"/>
        <w:outlineLvl w:val="1"/>
        <w:rPr>
          <w:rStyle w:val="25"/>
          <w:rFonts w:ascii="黑体" w:hAnsi="黑体" w:eastAsia="黑体"/>
          <w:b w:val="0"/>
        </w:rPr>
      </w:pPr>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43"/>
      <w:bookmarkEnd w:id="44"/>
    </w:p>
    <w:p>
      <w:pPr>
        <w:spacing w:line="600" w:lineRule="exact"/>
        <w:ind w:firstLine="640"/>
        <w:outlineLvl w:val="2"/>
        <w:rPr>
          <w:rFonts w:ascii="仿宋" w:hAnsi="仿宋" w:eastAsia="仿宋"/>
          <w:b/>
          <w:sz w:val="32"/>
          <w:szCs w:val="32"/>
        </w:rPr>
      </w:pPr>
      <w:bookmarkStart w:id="45" w:name="_Toc15377216"/>
      <w:r>
        <w:rPr>
          <w:rFonts w:hint="eastAsia" w:ascii="仿宋" w:hAnsi="仿宋" w:eastAsia="仿宋"/>
          <w:b/>
          <w:sz w:val="32"/>
          <w:szCs w:val="32"/>
        </w:rPr>
        <w:t>（一）“三公”经费财政拨款支出决算总体情况说明</w:t>
      </w:r>
      <w:bookmarkEnd w:id="45"/>
    </w:p>
    <w:p>
      <w:pPr>
        <w:spacing w:line="600" w:lineRule="exact"/>
        <w:ind w:firstLine="640"/>
        <w:rPr>
          <w:rFonts w:ascii="仿宋" w:hAnsi="仿宋" w:eastAsia="仿宋"/>
          <w:sz w:val="32"/>
          <w:szCs w:val="32"/>
        </w:rPr>
      </w:pPr>
      <w:r>
        <w:rPr>
          <w:rFonts w:hint="eastAsia" w:ascii="仿宋" w:hAnsi="仿宋" w:eastAsia="仿宋"/>
          <w:sz w:val="32"/>
          <w:szCs w:val="32"/>
          <w:lang w:eastAsia="zh-CN"/>
        </w:rPr>
        <w:t>2023</w:t>
      </w:r>
      <w:r>
        <w:rPr>
          <w:rFonts w:ascii="仿宋" w:hAnsi="仿宋" w:eastAsia="仿宋"/>
          <w:sz w:val="32"/>
          <w:szCs w:val="32"/>
        </w:rPr>
        <w:t>年</w:t>
      </w:r>
      <w:r>
        <w:rPr>
          <w:rFonts w:hint="eastAsia" w:ascii="仿宋" w:hAnsi="仿宋" w:eastAsia="仿宋"/>
          <w:sz w:val="32"/>
          <w:szCs w:val="32"/>
        </w:rPr>
        <w:t>“三公”经费财政拨款支出决算为0万元，完成预算0</w:t>
      </w:r>
      <w:r>
        <w:rPr>
          <w:rFonts w:ascii="仿宋" w:hAnsi="仿宋" w:eastAsia="仿宋"/>
          <w:sz w:val="32"/>
          <w:szCs w:val="32"/>
        </w:rPr>
        <w:t>%</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46" w:name="_Toc15377217"/>
      <w:r>
        <w:rPr>
          <w:rFonts w:hint="eastAsia" w:ascii="仿宋" w:hAnsi="仿宋" w:eastAsia="仿宋"/>
          <w:b/>
          <w:sz w:val="32"/>
          <w:szCs w:val="32"/>
        </w:rPr>
        <w:t>（二）“三公”经费财政拨款支出决算具体情况说明</w:t>
      </w:r>
      <w:bookmarkEnd w:id="46"/>
    </w:p>
    <w:p>
      <w:pPr>
        <w:spacing w:line="600" w:lineRule="exact"/>
        <w:ind w:firstLine="640"/>
        <w:rPr>
          <w:rFonts w:ascii="仿宋" w:hAnsi="仿宋" w:eastAsia="仿宋"/>
          <w:sz w:val="32"/>
          <w:szCs w:val="32"/>
        </w:rPr>
      </w:pPr>
      <w:r>
        <w:rPr>
          <w:rFonts w:hint="eastAsia" w:ascii="仿宋" w:hAnsi="仿宋" w:eastAsia="仿宋"/>
          <w:sz w:val="32"/>
          <w:szCs w:val="32"/>
          <w:lang w:val="en-US" w:eastAsia="zh-CN"/>
        </w:rPr>
        <w:t>2023</w:t>
      </w:r>
      <w:r>
        <w:rPr>
          <w:rFonts w:ascii="仿宋" w:hAnsi="仿宋" w:eastAsia="仿宋"/>
          <w:sz w:val="32"/>
          <w:szCs w:val="32"/>
        </w:rPr>
        <w:t>年</w:t>
      </w:r>
      <w:r>
        <w:rPr>
          <w:rFonts w:hint="eastAsia" w:ascii="仿宋" w:hAnsi="仿宋" w:eastAsia="仿宋"/>
          <w:sz w:val="32"/>
          <w:szCs w:val="32"/>
        </w:rPr>
        <w:t>“三公”经费财政拨款支出决算中，因公出国（境）费支出决算0万元，占0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w:t>
      </w:r>
      <w:r>
        <w:rPr>
          <w:rFonts w:hint="eastAsia" w:ascii="仿宋_GB2312" w:eastAsia="仿宋_GB2312"/>
          <w:sz w:val="32"/>
          <w:szCs w:val="32"/>
          <w:lang w:val="en-US" w:eastAsia="zh-CN"/>
        </w:rPr>
        <w:t>与</w:t>
      </w: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lang w:eastAsia="zh-CN"/>
        </w:rPr>
        <w:t>年持平</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202</w:t>
      </w:r>
      <w:r>
        <w:rPr>
          <w:rFonts w:hint="eastAsia" w:ascii="仿宋_GB2312" w:eastAsia="仿宋_GB2312"/>
          <w:sz w:val="32"/>
          <w:szCs w:val="32"/>
          <w:lang w:val="en-US" w:eastAsia="zh-CN"/>
        </w:rPr>
        <w:t>2</w:t>
      </w:r>
      <w:r>
        <w:rPr>
          <w:rFonts w:ascii="仿宋_GB2312" w:eastAsia="仿宋_GB2312"/>
          <w:sz w:val="32"/>
          <w:szCs w:val="32"/>
        </w:rPr>
        <w:t>年</w:t>
      </w:r>
      <w:r>
        <w:rPr>
          <w:rFonts w:hint="eastAsia" w:ascii="仿宋_GB2312" w:eastAsia="仿宋_GB2312"/>
          <w:sz w:val="32"/>
          <w:szCs w:val="32"/>
        </w:rPr>
        <w:t>持平。</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hint="eastAsia" w:ascii="仿宋_GB2312" w:eastAsia="仿宋_GB2312"/>
          <w:sz w:val="32"/>
          <w:szCs w:val="32"/>
          <w:lang w:eastAsia="zh-CN"/>
        </w:rPr>
        <w:t>2023</w:t>
      </w:r>
      <w:r>
        <w:rPr>
          <w:rFonts w:ascii="仿宋_GB2312" w:eastAsia="仿宋_GB2312"/>
          <w:sz w:val="32"/>
          <w:szCs w:val="32"/>
        </w:rPr>
        <w:t>年12</w:t>
      </w:r>
      <w:r>
        <w:rPr>
          <w:rFonts w:hint="eastAsia" w:ascii="仿宋_GB2312" w:eastAsia="仿宋_GB2312"/>
          <w:sz w:val="32"/>
          <w:szCs w:val="32"/>
        </w:rPr>
        <w:t>月底，单位共有公务用车-辆，其中：轿车0辆、越野车0辆、载客汽车0辆。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202</w:t>
      </w:r>
      <w:r>
        <w:rPr>
          <w:rFonts w:hint="eastAsia" w:ascii="仿宋_GB2312" w:eastAsia="仿宋_GB2312"/>
          <w:sz w:val="32"/>
          <w:szCs w:val="32"/>
          <w:lang w:val="en-US" w:eastAsia="zh-CN"/>
        </w:rPr>
        <w:t>2</w:t>
      </w:r>
      <w:r>
        <w:rPr>
          <w:rFonts w:ascii="仿宋_GB2312" w:eastAsia="仿宋_GB2312"/>
          <w:sz w:val="32"/>
          <w:szCs w:val="32"/>
        </w:rPr>
        <w:t>年</w:t>
      </w:r>
      <w:r>
        <w:rPr>
          <w:rFonts w:hint="eastAsia" w:ascii="仿宋_GB2312" w:eastAsia="仿宋_GB2312"/>
          <w:sz w:val="32"/>
          <w:szCs w:val="32"/>
        </w:rPr>
        <w:t>基本持平。其中：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w:t>
      </w:r>
      <w:r>
        <w:rPr>
          <w:rFonts w:hint="eastAsia" w:ascii="仿宋_GB2312" w:eastAsia="仿宋_GB2312"/>
          <w:sz w:val="32"/>
          <w:szCs w:val="32"/>
        </w:rPr>
        <w:t>万元，。国内公务接待0批次，0人次（不包括陪同人员），共计支出0万元。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p>
    <w:p>
      <w:pPr>
        <w:spacing w:line="600" w:lineRule="exact"/>
        <w:ind w:firstLine="640"/>
        <w:outlineLvl w:val="1"/>
        <w:rPr>
          <w:rStyle w:val="25"/>
          <w:rFonts w:ascii="黑体" w:hAnsi="黑体" w:eastAsia="黑体"/>
        </w:rPr>
      </w:pPr>
      <w:bookmarkStart w:id="47" w:name="_Toc15377218"/>
      <w:bookmarkStart w:id="48" w:name="_Toc15396610"/>
      <w:r>
        <w:rPr>
          <w:rFonts w:hint="eastAsia" w:ascii="黑体" w:eastAsia="黑体"/>
          <w:sz w:val="32"/>
          <w:szCs w:val="32"/>
        </w:rPr>
        <w:t>八、</w:t>
      </w:r>
      <w:r>
        <w:rPr>
          <w:rStyle w:val="25"/>
          <w:rFonts w:hint="eastAsia" w:ascii="黑体" w:hAnsi="黑体" w:eastAsia="黑体"/>
          <w:b w:val="0"/>
        </w:rPr>
        <w:t>政府性基金预算支出决算情况说明</w:t>
      </w:r>
      <w:bookmarkEnd w:id="47"/>
      <w:bookmarkEnd w:id="48"/>
    </w:p>
    <w:p>
      <w:pPr>
        <w:spacing w:line="600" w:lineRule="exact"/>
        <w:ind w:firstLine="1292" w:firstLineChars="404"/>
        <w:rPr>
          <w:rFonts w:ascii="仿宋_GB2312" w:eastAsia="仿宋_GB2312"/>
          <w:sz w:val="32"/>
          <w:szCs w:val="32"/>
        </w:rPr>
      </w:pPr>
      <w:r>
        <w:rPr>
          <w:rFonts w:hint="eastAsia" w:ascii="仿宋_GB2312" w:eastAsia="仿宋_GB2312"/>
          <w:sz w:val="32"/>
          <w:szCs w:val="32"/>
          <w:lang w:eastAsia="zh-CN"/>
        </w:rPr>
        <w:t>2023</w:t>
      </w:r>
      <w:r>
        <w:rPr>
          <w:rFonts w:ascii="仿宋_GB2312" w:eastAsia="仿宋_GB2312"/>
          <w:sz w:val="32"/>
          <w:szCs w:val="32"/>
        </w:rPr>
        <w:t>年</w:t>
      </w:r>
      <w:r>
        <w:rPr>
          <w:rFonts w:hint="eastAsia" w:ascii="仿宋_GB2312" w:eastAsia="仿宋_GB2312"/>
          <w:sz w:val="32"/>
          <w:szCs w:val="32"/>
        </w:rPr>
        <w:t>政府性基金预算财政拨款支出0万元。</w:t>
      </w:r>
    </w:p>
    <w:p>
      <w:pPr>
        <w:numPr>
          <w:ilvl w:val="0"/>
          <w:numId w:val="3"/>
        </w:numPr>
        <w:spacing w:line="600" w:lineRule="exact"/>
        <w:ind w:firstLine="640"/>
        <w:outlineLvl w:val="1"/>
        <w:rPr>
          <w:rStyle w:val="25"/>
          <w:rFonts w:ascii="黑体" w:hAnsi="黑体" w:eastAsia="黑体"/>
          <w:b w:val="0"/>
        </w:rPr>
      </w:pPr>
      <w:bookmarkStart w:id="49" w:name="_Toc15377219"/>
      <w:bookmarkStart w:id="50" w:name="_Toc15396611"/>
      <w:r>
        <w:rPr>
          <w:rStyle w:val="25"/>
          <w:rFonts w:hint="eastAsia" w:ascii="黑体" w:hAnsi="黑体" w:eastAsia="黑体"/>
          <w:b w:val="0"/>
        </w:rPr>
        <w:t>国有资本经营预算支出决算情况说明</w:t>
      </w:r>
      <w:bookmarkEnd w:id="49"/>
      <w:bookmarkEnd w:id="50"/>
    </w:p>
    <w:p>
      <w:pPr>
        <w:spacing w:line="600" w:lineRule="exact"/>
        <w:ind w:firstLine="1292" w:firstLineChars="404"/>
        <w:rPr>
          <w:rFonts w:ascii="方正小标宋简体" w:hAnsi="方正小标宋简体" w:eastAsia="方正小标宋简体" w:cs="方正小标宋简体"/>
          <w:sz w:val="44"/>
          <w:szCs w:val="44"/>
        </w:rPr>
      </w:pPr>
      <w:r>
        <w:rPr>
          <w:rFonts w:hint="eastAsia" w:ascii="仿宋_GB2312" w:eastAsia="仿宋_GB2312"/>
          <w:sz w:val="32"/>
          <w:szCs w:val="32"/>
          <w:lang w:eastAsia="zh-CN"/>
        </w:rPr>
        <w:t>2023</w:t>
      </w:r>
      <w:r>
        <w:rPr>
          <w:rFonts w:hint="eastAsia" w:ascii="仿宋_GB2312" w:eastAsia="仿宋_GB2312"/>
          <w:sz w:val="32"/>
          <w:szCs w:val="32"/>
        </w:rPr>
        <w:t>年国有资本经营预算财政拨款支出0万元。</w:t>
      </w:r>
    </w:p>
    <w:p>
      <w:pPr>
        <w:numPr>
          <w:ilvl w:val="0"/>
          <w:numId w:val="3"/>
        </w:numPr>
        <w:spacing w:line="600" w:lineRule="exact"/>
        <w:ind w:firstLine="640"/>
        <w:outlineLvl w:val="1"/>
        <w:rPr>
          <w:rStyle w:val="25"/>
          <w:rFonts w:ascii="黑体" w:hAnsi="黑体" w:eastAsia="黑体"/>
          <w:b w:val="0"/>
        </w:rPr>
      </w:pPr>
      <w:bookmarkStart w:id="51" w:name="_Toc15396612"/>
      <w:bookmarkStart w:id="52" w:name="_Toc15377221"/>
      <w:r>
        <w:rPr>
          <w:rStyle w:val="25"/>
          <w:rFonts w:hint="eastAsia" w:ascii="黑体" w:hAnsi="黑体" w:eastAsia="黑体"/>
          <w:b w:val="0"/>
        </w:rPr>
        <w:t>其他重要事项的情况说明</w:t>
      </w:r>
      <w:bookmarkEnd w:id="51"/>
      <w:bookmarkEnd w:id="52"/>
    </w:p>
    <w:p>
      <w:pPr>
        <w:spacing w:line="600" w:lineRule="exact"/>
        <w:ind w:firstLine="643" w:firstLineChars="200"/>
        <w:outlineLvl w:val="2"/>
        <w:rPr>
          <w:rFonts w:ascii="仿宋" w:hAnsi="仿宋" w:eastAsia="仿宋"/>
          <w:sz w:val="32"/>
          <w:szCs w:val="32"/>
        </w:rPr>
      </w:pPr>
      <w:bookmarkStart w:id="53" w:name="_Toc15377222"/>
      <w:r>
        <w:rPr>
          <w:rFonts w:hint="eastAsia" w:ascii="仿宋" w:hAnsi="仿宋" w:eastAsia="仿宋"/>
          <w:b/>
          <w:sz w:val="32"/>
          <w:szCs w:val="32"/>
        </w:rPr>
        <w:t>（一）机关运行经费支出情况</w:t>
      </w:r>
      <w:bookmarkEnd w:id="53"/>
    </w:p>
    <w:p>
      <w:pPr>
        <w:ind w:firstLine="640" w:firstLineChars="200"/>
        <w:rPr>
          <w:rFonts w:ascii="仿宋_GB2312" w:eastAsia="仿宋_GB2312"/>
          <w:sz w:val="32"/>
          <w:szCs w:val="32"/>
        </w:rPr>
      </w:pPr>
      <w:r>
        <w:rPr>
          <w:rFonts w:hint="eastAsia" w:ascii="仿宋_GB2312" w:eastAsia="仿宋_GB2312"/>
          <w:sz w:val="32"/>
          <w:szCs w:val="32"/>
          <w:lang w:eastAsia="zh-CN"/>
        </w:rPr>
        <w:t>2023</w:t>
      </w:r>
      <w:r>
        <w:rPr>
          <w:rFonts w:ascii="仿宋_GB2312" w:eastAsia="仿宋_GB2312"/>
          <w:sz w:val="32"/>
          <w:szCs w:val="32"/>
        </w:rPr>
        <w:t>年</w:t>
      </w:r>
      <w:r>
        <w:rPr>
          <w:rFonts w:hint="eastAsia" w:ascii="仿宋_GB2312" w:eastAsia="仿宋_GB2312"/>
          <w:sz w:val="32"/>
          <w:szCs w:val="32"/>
        </w:rPr>
        <w:t>，</w:t>
      </w:r>
      <w:r>
        <w:rPr>
          <w:rFonts w:ascii="仿宋_GB2312" w:eastAsia="仿宋_GB2312"/>
          <w:sz w:val="32"/>
          <w:szCs w:val="32"/>
        </w:rPr>
        <w:t>学校</w:t>
      </w:r>
      <w:r>
        <w:rPr>
          <w:rFonts w:hint="eastAsia" w:ascii="仿宋_GB2312" w:eastAsia="仿宋_GB2312"/>
          <w:sz w:val="32"/>
          <w:szCs w:val="32"/>
        </w:rPr>
        <w:t>机关运行经费支出0万元，</w:t>
      </w:r>
      <w:r>
        <w:rPr>
          <w:rFonts w:hint="eastAsia" w:ascii="仿宋_GB2312" w:eastAsia="仿宋_GB2312" w:cs="Times New Roman"/>
          <w:color w:val="auto"/>
          <w:sz w:val="32"/>
          <w:szCs w:val="32"/>
          <w:highlight w:val="none"/>
          <w:lang w:val="en-US" w:eastAsia="zh-CN"/>
        </w:rPr>
        <w:t>本单位是全额拨款事业单位，没有预算机关运行经费</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4" w:name="_Toc15377223"/>
      <w:r>
        <w:rPr>
          <w:rFonts w:hint="eastAsia" w:ascii="仿宋" w:hAnsi="仿宋" w:eastAsia="仿宋"/>
          <w:b/>
          <w:sz w:val="32"/>
          <w:szCs w:val="32"/>
        </w:rPr>
        <w:t>（二）政府采购支出情况</w:t>
      </w:r>
      <w:bookmarkEnd w:id="54"/>
    </w:p>
    <w:p>
      <w:pPr>
        <w:spacing w:line="600" w:lineRule="exact"/>
        <w:ind w:firstLine="640" w:firstLineChars="200"/>
        <w:rPr>
          <w:rFonts w:ascii="仿宋" w:hAnsi="仿宋" w:eastAsia="仿宋"/>
          <w:sz w:val="32"/>
          <w:szCs w:val="32"/>
        </w:rPr>
      </w:pPr>
      <w:r>
        <w:rPr>
          <w:rFonts w:hint="eastAsia" w:ascii="仿宋_GB2312" w:eastAsia="仿宋_GB2312"/>
          <w:sz w:val="32"/>
          <w:szCs w:val="32"/>
          <w:lang w:eastAsia="zh-CN"/>
        </w:rPr>
        <w:t>2023</w:t>
      </w:r>
      <w:r>
        <w:rPr>
          <w:rFonts w:hint="eastAsia" w:ascii="仿宋_GB2312" w:eastAsia="仿宋_GB2312"/>
          <w:sz w:val="32"/>
          <w:szCs w:val="32"/>
        </w:rPr>
        <w:t>年，</w:t>
      </w:r>
      <w:bookmarkStart w:id="55" w:name="_Toc15377224"/>
      <w:r>
        <w:rPr>
          <w:rFonts w:hint="eastAsia" w:ascii="仿宋" w:hAnsi="仿宋" w:eastAsia="仿宋"/>
          <w:sz w:val="32"/>
          <w:szCs w:val="32"/>
        </w:rPr>
        <w:t>学校政府采购支出总额</w:t>
      </w:r>
      <w:r>
        <w:rPr>
          <w:rFonts w:hint="eastAsia" w:ascii="仿宋" w:hAnsi="仿宋" w:eastAsia="仿宋"/>
          <w:sz w:val="32"/>
          <w:szCs w:val="32"/>
          <w:lang w:val="en-US" w:eastAsia="zh-CN"/>
        </w:rPr>
        <w:t>0</w:t>
      </w:r>
      <w:r>
        <w:rPr>
          <w:rFonts w:hint="eastAsia" w:ascii="仿宋" w:hAnsi="仿宋" w:eastAsia="仿宋"/>
          <w:sz w:val="32"/>
          <w:szCs w:val="32"/>
        </w:rPr>
        <w:t>万元，其中：政府采购货物支出</w:t>
      </w:r>
      <w:r>
        <w:rPr>
          <w:rFonts w:hint="eastAsia" w:ascii="仿宋" w:hAnsi="仿宋" w:eastAsia="仿宋"/>
          <w:sz w:val="32"/>
          <w:szCs w:val="32"/>
          <w:lang w:val="en-US" w:eastAsia="zh-CN"/>
        </w:rPr>
        <w:t>0</w:t>
      </w:r>
      <w:r>
        <w:rPr>
          <w:rFonts w:hint="eastAsia" w:ascii="仿宋" w:hAnsi="仿宋" w:eastAsia="仿宋"/>
          <w:sz w:val="32"/>
          <w:szCs w:val="32"/>
        </w:rPr>
        <w:t>万元、政府采购工程支出0万元、政府采购服务支出0万元。主要用</w:t>
      </w:r>
      <w:r>
        <w:rPr>
          <w:rFonts w:hint="eastAsia" w:ascii="仿宋" w:hAnsi="仿宋" w:eastAsia="仿宋"/>
          <w:sz w:val="32"/>
          <w:szCs w:val="32"/>
          <w:lang w:val="en-US" w:eastAsia="zh-CN"/>
        </w:rPr>
        <w:t>于</w:t>
      </w:r>
      <w:r>
        <w:rPr>
          <w:rFonts w:hint="eastAsia" w:ascii="仿宋" w:hAnsi="仿宋" w:eastAsia="仿宋"/>
          <w:sz w:val="32"/>
          <w:szCs w:val="32"/>
        </w:rPr>
        <w:t>办公设备购置。授予中小企业合同金额</w:t>
      </w:r>
      <w:r>
        <w:rPr>
          <w:rFonts w:hint="eastAsia" w:ascii="仿宋" w:hAnsi="仿宋" w:eastAsia="仿宋"/>
          <w:sz w:val="32"/>
          <w:szCs w:val="32"/>
          <w:lang w:val="en-US" w:eastAsia="zh-CN"/>
        </w:rPr>
        <w:t>0</w:t>
      </w:r>
      <w:r>
        <w:rPr>
          <w:rFonts w:hint="eastAsia" w:ascii="仿宋" w:hAnsi="仿宋" w:eastAsia="仿宋"/>
          <w:sz w:val="32"/>
          <w:szCs w:val="32"/>
        </w:rPr>
        <w:t>万元，占政府采购支出总额的</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，其中：授予小微企业合同金额</w:t>
      </w:r>
      <w:r>
        <w:rPr>
          <w:rFonts w:hint="eastAsia" w:ascii="仿宋" w:hAnsi="仿宋" w:eastAsia="仿宋"/>
          <w:sz w:val="32"/>
          <w:szCs w:val="32"/>
          <w:lang w:val="en-US" w:eastAsia="zh-CN"/>
        </w:rPr>
        <w:t>0</w:t>
      </w:r>
      <w:r>
        <w:rPr>
          <w:rFonts w:hint="eastAsia" w:ascii="仿宋" w:hAnsi="仿宋" w:eastAsia="仿宋"/>
          <w:sz w:val="32"/>
          <w:szCs w:val="32"/>
        </w:rPr>
        <w:t>万元，占政府采购支出总额的</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（三）国有资产占有使用情况</w:t>
      </w:r>
      <w:bookmarkEnd w:id="55"/>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w:t>
      </w:r>
      <w:r>
        <w:rPr>
          <w:rFonts w:hint="eastAsia" w:ascii="仿宋" w:hAnsi="仿宋" w:eastAsia="仿宋"/>
          <w:sz w:val="32"/>
          <w:szCs w:val="32"/>
        </w:rPr>
        <w:t>至</w:t>
      </w:r>
      <w:r>
        <w:rPr>
          <w:rFonts w:hint="eastAsia" w:ascii="仿宋" w:hAnsi="仿宋" w:eastAsia="仿宋"/>
          <w:sz w:val="32"/>
          <w:szCs w:val="32"/>
          <w:lang w:eastAsia="zh-CN"/>
        </w:rPr>
        <w:t>2023</w:t>
      </w:r>
      <w:r>
        <w:rPr>
          <w:rFonts w:ascii="仿宋" w:hAnsi="仿宋" w:eastAsia="仿宋"/>
          <w:sz w:val="32"/>
          <w:szCs w:val="32"/>
        </w:rPr>
        <w:t>年12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日，共有车辆0辆，其中：主要领导干部用车0辆、机要通信用车0辆、应急保障用车0辆、其他用车0辆。单价</w:t>
      </w:r>
      <w:r>
        <w:rPr>
          <w:rFonts w:ascii="仿宋" w:hAnsi="仿宋" w:eastAsia="仿宋"/>
          <w:sz w:val="32"/>
          <w:szCs w:val="32"/>
        </w:rPr>
        <w:t>50</w:t>
      </w:r>
      <w:r>
        <w:rPr>
          <w:rFonts w:hint="eastAsia" w:ascii="仿宋" w:hAnsi="仿宋" w:eastAsia="仿宋"/>
          <w:sz w:val="32"/>
          <w:szCs w:val="32"/>
        </w:rPr>
        <w:t>万元以上通用设备0台（套），单价</w:t>
      </w:r>
      <w:r>
        <w:rPr>
          <w:rFonts w:ascii="仿宋" w:hAnsi="仿宋" w:eastAsia="仿宋"/>
          <w:sz w:val="32"/>
          <w:szCs w:val="32"/>
        </w:rPr>
        <w:t>100</w:t>
      </w:r>
      <w:r>
        <w:rPr>
          <w:rFonts w:hint="eastAsia" w:ascii="仿宋" w:hAnsi="仿宋" w:eastAsia="仿宋"/>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5"/>
        <w:spacing w:before="93"/>
        <w:ind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根据预算绩效管理要求，本单位在2023年度预算编制阶段没有需要开展事前绩效评估的项目，故未开展预算事前评估，组织对人员类、运转类、特定目标类等32个项目编制了绩效目标，预算执行过程中，选取2个项目开展绩效监控，组织对2个项目开展绩效自评，绩效自评表详见第四部分附件。</w:t>
      </w:r>
    </w:p>
    <w:p>
      <w:pPr>
        <w:pStyle w:val="5"/>
        <w:spacing w:before="93"/>
        <w:ind w:firstLine="640" w:firstLineChars="200"/>
        <w:rPr>
          <w:rFonts w:hAnsi="仿宋_GB2312" w:cs="仿宋_GB2312"/>
          <w:sz w:val="32"/>
          <w:szCs w:val="32"/>
        </w:rPr>
      </w:pPr>
    </w:p>
    <w:p>
      <w:pPr>
        <w:pStyle w:val="5"/>
        <w:spacing w:before="93"/>
        <w:ind w:firstLine="640" w:firstLineChars="200"/>
        <w:rPr>
          <w:rFonts w:hAnsi="仿宋_GB2312" w:cs="仿宋_GB2312"/>
          <w:sz w:val="32"/>
          <w:szCs w:val="32"/>
        </w:rPr>
      </w:pPr>
    </w:p>
    <w:p>
      <w:pPr>
        <w:pStyle w:val="5"/>
        <w:spacing w:before="93"/>
        <w:ind w:firstLine="640" w:firstLineChars="200"/>
        <w:rPr>
          <w:rFonts w:hAnsi="仿宋_GB2312" w:cs="仿宋_GB2312"/>
          <w:sz w:val="32"/>
          <w:szCs w:val="32"/>
        </w:rPr>
      </w:pPr>
    </w:p>
    <w:p>
      <w:pPr>
        <w:pStyle w:val="5"/>
        <w:spacing w:before="93"/>
        <w:ind w:firstLine="640" w:firstLineChars="200"/>
        <w:rPr>
          <w:rFonts w:hAnsi="仿宋_GB2312" w:cs="仿宋_GB2312"/>
          <w:sz w:val="32"/>
          <w:szCs w:val="32"/>
        </w:rPr>
      </w:pPr>
    </w:p>
    <w:p>
      <w:pPr>
        <w:pStyle w:val="5"/>
        <w:spacing w:before="93"/>
        <w:ind w:firstLine="640" w:firstLineChars="200"/>
        <w:rPr>
          <w:rFonts w:hAnsi="仿宋_GB2312" w:cs="仿宋_GB2312"/>
          <w:sz w:val="32"/>
          <w:szCs w:val="32"/>
        </w:rPr>
      </w:pPr>
    </w:p>
    <w:p>
      <w:pPr>
        <w:pStyle w:val="5"/>
        <w:spacing w:before="93"/>
        <w:ind w:firstLine="640" w:firstLineChars="200"/>
        <w:rPr>
          <w:rFonts w:hAnsi="仿宋_GB2312" w:cs="仿宋_GB2312"/>
          <w:sz w:val="32"/>
          <w:szCs w:val="32"/>
        </w:rPr>
      </w:pPr>
    </w:p>
    <w:p>
      <w:pPr>
        <w:pStyle w:val="5"/>
        <w:spacing w:before="93"/>
        <w:ind w:firstLine="640" w:firstLineChars="200"/>
        <w:rPr>
          <w:rFonts w:hAnsi="仿宋_GB2312" w:cs="仿宋_GB2312"/>
          <w:sz w:val="32"/>
          <w:szCs w:val="32"/>
        </w:rPr>
      </w:pPr>
    </w:p>
    <w:p/>
    <w:p>
      <w:pPr>
        <w:numPr>
          <w:ilvl w:val="0"/>
          <w:numId w:val="4"/>
        </w:numPr>
        <w:spacing w:line="600" w:lineRule="exact"/>
        <w:ind w:firstLine="660" w:firstLineChars="150"/>
        <w:jc w:val="center"/>
        <w:outlineLvl w:val="0"/>
        <w:rPr>
          <w:rStyle w:val="24"/>
          <w:rFonts w:ascii="黑体" w:hAnsi="黑体" w:eastAsia="黑体"/>
          <w:b w:val="0"/>
        </w:rPr>
      </w:pPr>
      <w:bookmarkStart w:id="56" w:name="_Toc15377225"/>
      <w:bookmarkStart w:id="57" w:name="_Toc15396613"/>
      <w:r>
        <w:rPr>
          <w:rFonts w:hint="eastAsia" w:ascii="黑体" w:hAnsi="黑体" w:eastAsia="黑体"/>
          <w:sz w:val="44"/>
          <w:szCs w:val="44"/>
        </w:rPr>
        <w:t>名</w:t>
      </w:r>
      <w:r>
        <w:rPr>
          <w:rStyle w:val="24"/>
          <w:rFonts w:hint="eastAsia" w:ascii="黑体" w:hAnsi="黑体" w:eastAsia="黑体"/>
          <w:b w:val="0"/>
        </w:rPr>
        <w:t>词解释</w:t>
      </w:r>
      <w:bookmarkEnd w:id="56"/>
      <w:bookmarkEnd w:id="57"/>
    </w:p>
    <w:p>
      <w:pPr>
        <w:spacing w:line="600" w:lineRule="exact"/>
        <w:jc w:val="left"/>
        <w:rPr>
          <w:rFonts w:ascii="宋体"/>
          <w:b/>
          <w:sz w:val="44"/>
          <w:szCs w:val="44"/>
        </w:rPr>
      </w:pPr>
    </w:p>
    <w:p>
      <w:pPr>
        <w:pStyle w:val="22"/>
        <w:spacing w:line="560" w:lineRule="exact"/>
        <w:ind w:firstLine="640" w:firstLineChars="200"/>
        <w:rPr>
          <w:rFonts w:hAnsi="仿宋"/>
          <w:color w:val="auto"/>
          <w:sz w:val="32"/>
          <w:szCs w:val="32"/>
        </w:rPr>
      </w:pPr>
      <w:bookmarkStart w:id="58" w:name="_Toc15396614"/>
      <w:bookmarkStart w:id="59" w:name="_Toc15377226"/>
      <w:r>
        <w:rPr>
          <w:rFonts w:hAnsi="仿宋"/>
          <w:color w:val="auto"/>
          <w:sz w:val="32"/>
          <w:szCs w:val="32"/>
        </w:rPr>
        <w:t>1.</w:t>
      </w:r>
      <w:r>
        <w:rPr>
          <w:rFonts w:hint="eastAsia" w:hAnsi="仿宋"/>
          <w:color w:val="auto"/>
          <w:sz w:val="32"/>
          <w:szCs w:val="32"/>
        </w:rPr>
        <w:t>财政拨款收入：指单位从同级财政部门取得的财政预算资金。</w:t>
      </w:r>
    </w:p>
    <w:p>
      <w:pPr>
        <w:pStyle w:val="22"/>
        <w:spacing w:line="560" w:lineRule="exact"/>
        <w:ind w:left="638" w:leftChars="304"/>
        <w:rPr>
          <w:rFonts w:hAnsi="仿宋"/>
          <w:color w:val="auto"/>
          <w:sz w:val="32"/>
          <w:szCs w:val="32"/>
        </w:rPr>
      </w:pPr>
      <w:r>
        <w:rPr>
          <w:rFonts w:hint="eastAsia" w:hAnsi="仿宋"/>
          <w:color w:val="auto"/>
          <w:sz w:val="32"/>
          <w:szCs w:val="32"/>
          <w:lang w:val="en-US" w:eastAsia="zh-CN"/>
        </w:rPr>
        <w:t>2</w:t>
      </w:r>
      <w:r>
        <w:rPr>
          <w:rFonts w:hAnsi="仿宋"/>
          <w:color w:val="auto"/>
          <w:sz w:val="32"/>
          <w:szCs w:val="32"/>
        </w:rPr>
        <w:t>.</w:t>
      </w:r>
      <w:r>
        <w:rPr>
          <w:rFonts w:hint="eastAsia" w:hAnsi="仿宋"/>
          <w:color w:val="auto"/>
          <w:sz w:val="32"/>
          <w:szCs w:val="32"/>
        </w:rPr>
        <w:t>其他收入：指单位取得的除上述收入以外的各项收入。</w:t>
      </w:r>
      <w:r>
        <w:rPr>
          <w:rFonts w:hint="eastAsia" w:hAnsi="仿宋"/>
          <w:color w:val="auto"/>
          <w:sz w:val="32"/>
          <w:szCs w:val="32"/>
          <w:lang w:val="en-US" w:eastAsia="zh-CN"/>
        </w:rPr>
        <w:t>3</w:t>
      </w:r>
      <w:r>
        <w:rPr>
          <w:rFonts w:hAnsi="仿宋"/>
          <w:color w:val="auto"/>
          <w:sz w:val="32"/>
          <w:szCs w:val="32"/>
        </w:rPr>
        <w:t>.</w:t>
      </w:r>
      <w:r>
        <w:rPr>
          <w:rFonts w:hint="eastAsia" w:hAnsi="仿宋"/>
          <w:color w:val="auto"/>
          <w:sz w:val="32"/>
          <w:szCs w:val="32"/>
        </w:rPr>
        <w:t>使用非财政拨款结余：指事业单位使用以前年度积累的非财政拨款结余弥补当年收支差额的金额。</w:t>
      </w:r>
    </w:p>
    <w:p>
      <w:pPr>
        <w:pStyle w:val="22"/>
        <w:spacing w:line="560" w:lineRule="exact"/>
        <w:ind w:firstLine="640" w:firstLineChars="200"/>
        <w:rPr>
          <w:rFonts w:hAnsi="仿宋"/>
          <w:color w:val="auto"/>
          <w:sz w:val="32"/>
          <w:szCs w:val="32"/>
        </w:rPr>
      </w:pPr>
      <w:r>
        <w:rPr>
          <w:rFonts w:hint="eastAsia" w:hAnsi="仿宋"/>
          <w:color w:val="auto"/>
          <w:sz w:val="32"/>
          <w:szCs w:val="32"/>
          <w:lang w:val="en-US" w:eastAsia="zh-CN"/>
        </w:rPr>
        <w:t>4</w:t>
      </w:r>
      <w:r>
        <w:rPr>
          <w:rFonts w:hAnsi="仿宋"/>
          <w:color w:val="auto"/>
          <w:sz w:val="32"/>
          <w:szCs w:val="32"/>
        </w:rPr>
        <w:t>.</w:t>
      </w:r>
      <w:r>
        <w:rPr>
          <w:rFonts w:hint="eastAsia" w:hAnsi="仿宋"/>
          <w:color w:val="auto"/>
          <w:sz w:val="32"/>
          <w:szCs w:val="32"/>
        </w:rPr>
        <w:t>年初结转和结余：指以前年度尚未完成、结转到本年按有关规定继续使用的资金。</w:t>
      </w:r>
    </w:p>
    <w:p>
      <w:pPr>
        <w:pStyle w:val="22"/>
        <w:spacing w:line="560" w:lineRule="exact"/>
        <w:ind w:firstLine="640" w:firstLineChars="200"/>
        <w:rPr>
          <w:rFonts w:hAnsi="仿宋"/>
          <w:color w:val="auto"/>
          <w:sz w:val="32"/>
          <w:szCs w:val="32"/>
        </w:rPr>
      </w:pPr>
      <w:r>
        <w:rPr>
          <w:rFonts w:hint="eastAsia" w:hAnsi="仿宋"/>
          <w:color w:val="auto"/>
          <w:sz w:val="32"/>
          <w:szCs w:val="32"/>
          <w:lang w:val="en-US" w:eastAsia="zh-CN"/>
        </w:rPr>
        <w:t>5</w:t>
      </w:r>
      <w:r>
        <w:rPr>
          <w:rFonts w:hint="eastAsia" w:hAnsi="仿宋"/>
          <w:color w:val="auto"/>
          <w:sz w:val="32"/>
          <w:szCs w:val="32"/>
        </w:rPr>
        <w:t>、年末结转和结余：指单位按有关规定结转到下年或以后年度继续使用的资金。</w:t>
      </w:r>
    </w:p>
    <w:p>
      <w:pPr>
        <w:pStyle w:val="22"/>
        <w:spacing w:line="560" w:lineRule="exact"/>
        <w:ind w:firstLine="640" w:firstLineChars="200"/>
        <w:rPr>
          <w:rFonts w:hAnsi="仿宋"/>
          <w:sz w:val="32"/>
          <w:szCs w:val="32"/>
        </w:rPr>
      </w:pPr>
      <w:r>
        <w:rPr>
          <w:rFonts w:hint="eastAsia" w:hAnsi="仿宋"/>
          <w:sz w:val="32"/>
          <w:szCs w:val="32"/>
          <w:lang w:val="en-US" w:eastAsia="zh-CN"/>
        </w:rPr>
        <w:t>6</w:t>
      </w:r>
      <w:r>
        <w:rPr>
          <w:rFonts w:hAnsi="仿宋"/>
          <w:sz w:val="32"/>
          <w:szCs w:val="32"/>
        </w:rPr>
        <w:t>.</w:t>
      </w:r>
      <w:r>
        <w:rPr>
          <w:rFonts w:hint="eastAsia" w:hAnsi="仿宋"/>
          <w:sz w:val="32"/>
          <w:szCs w:val="32"/>
        </w:rPr>
        <w:t>教育（类）普通教育（款）其他普通教育支出（项）</w:t>
      </w:r>
      <w:r>
        <w:rPr>
          <w:rFonts w:hAnsi="仿宋"/>
          <w:sz w:val="32"/>
          <w:szCs w:val="32"/>
        </w:rPr>
        <w:t xml:space="preserve">: </w:t>
      </w:r>
      <w:r>
        <w:rPr>
          <w:rFonts w:hint="eastAsia" w:hAnsi="仿宋"/>
          <w:sz w:val="32"/>
          <w:szCs w:val="32"/>
        </w:rPr>
        <w:t>反映除上述项目以外其它用于普通教育方面的支出。</w:t>
      </w:r>
    </w:p>
    <w:p>
      <w:pPr>
        <w:pStyle w:val="22"/>
        <w:spacing w:line="560" w:lineRule="exact"/>
        <w:ind w:firstLine="640" w:firstLineChars="200"/>
        <w:rPr>
          <w:rFonts w:hAnsi="仿宋"/>
          <w:sz w:val="32"/>
          <w:szCs w:val="32"/>
        </w:rPr>
      </w:pPr>
      <w:r>
        <w:rPr>
          <w:rFonts w:hint="eastAsia" w:hAnsi="仿宋"/>
          <w:sz w:val="32"/>
          <w:szCs w:val="32"/>
          <w:lang w:val="en-US" w:eastAsia="zh-CN"/>
        </w:rPr>
        <w:t>7</w:t>
      </w:r>
      <w:r>
        <w:rPr>
          <w:rFonts w:hAnsi="仿宋"/>
          <w:sz w:val="32"/>
          <w:szCs w:val="32"/>
        </w:rPr>
        <w:t>.</w:t>
      </w:r>
      <w:r>
        <w:rPr>
          <w:rFonts w:hint="eastAsia" w:hAnsi="仿宋"/>
          <w:sz w:val="32"/>
          <w:szCs w:val="32"/>
        </w:rPr>
        <w:t>社会保障和就业（类）行政事业单位养老支出（款）机关事业单位基本养老保险缴费支出（项）</w:t>
      </w:r>
      <w:r>
        <w:rPr>
          <w:rFonts w:hAnsi="仿宋"/>
          <w:sz w:val="32"/>
          <w:szCs w:val="32"/>
        </w:rPr>
        <w:t xml:space="preserve">: </w:t>
      </w:r>
      <w:r>
        <w:rPr>
          <w:rFonts w:hint="eastAsia" w:hAnsi="仿宋"/>
          <w:sz w:val="32"/>
          <w:szCs w:val="32"/>
        </w:rPr>
        <w:t>反映机关事业单位实施养老保险制度由单位缴纳的基本养老保险费支出。</w:t>
      </w:r>
    </w:p>
    <w:p>
      <w:pPr>
        <w:pStyle w:val="22"/>
        <w:spacing w:line="560" w:lineRule="exact"/>
        <w:ind w:firstLine="640" w:firstLineChars="200"/>
        <w:rPr>
          <w:rFonts w:hAnsi="仿宋"/>
          <w:sz w:val="32"/>
          <w:szCs w:val="32"/>
        </w:rPr>
      </w:pPr>
      <w:r>
        <w:rPr>
          <w:rFonts w:hint="eastAsia" w:hAnsi="仿宋"/>
          <w:sz w:val="32"/>
          <w:szCs w:val="32"/>
          <w:lang w:val="en-US" w:eastAsia="zh-CN"/>
        </w:rPr>
        <w:t>8</w:t>
      </w:r>
      <w:r>
        <w:rPr>
          <w:rFonts w:hAnsi="仿宋"/>
          <w:sz w:val="32"/>
          <w:szCs w:val="32"/>
        </w:rPr>
        <w:t>.</w:t>
      </w:r>
      <w:r>
        <w:rPr>
          <w:rFonts w:hint="eastAsia" w:hAnsi="仿宋"/>
          <w:sz w:val="32"/>
          <w:szCs w:val="32"/>
        </w:rPr>
        <w:t>社会保障和就业（类）行政事业单位养老支出（款）机关事业单位职业年金缴费支出（项）</w:t>
      </w:r>
      <w:r>
        <w:rPr>
          <w:rFonts w:hAnsi="仿宋"/>
          <w:sz w:val="32"/>
          <w:szCs w:val="32"/>
        </w:rPr>
        <w:t xml:space="preserve">: </w:t>
      </w:r>
      <w:r>
        <w:rPr>
          <w:rFonts w:hint="eastAsia" w:hAnsi="仿宋"/>
          <w:sz w:val="32"/>
          <w:szCs w:val="32"/>
        </w:rPr>
        <w:t>反映机关事业单位实施养老保险制度由单位缴纳的职业年金缴费支出。</w:t>
      </w:r>
    </w:p>
    <w:p>
      <w:pPr>
        <w:pStyle w:val="22"/>
        <w:spacing w:line="560" w:lineRule="exact"/>
        <w:ind w:firstLine="640" w:firstLineChars="200"/>
        <w:rPr>
          <w:rFonts w:hAnsi="仿宋"/>
          <w:sz w:val="32"/>
          <w:szCs w:val="32"/>
        </w:rPr>
      </w:pPr>
      <w:r>
        <w:rPr>
          <w:rFonts w:hint="eastAsia" w:hAnsi="仿宋"/>
          <w:sz w:val="32"/>
          <w:szCs w:val="32"/>
          <w:lang w:val="en-US" w:eastAsia="zh-CN"/>
        </w:rPr>
        <w:t>9</w:t>
      </w:r>
      <w:r>
        <w:rPr>
          <w:rFonts w:hAnsi="仿宋"/>
          <w:sz w:val="32"/>
          <w:szCs w:val="32"/>
        </w:rPr>
        <w:t>.</w:t>
      </w:r>
      <w:r>
        <w:rPr>
          <w:rFonts w:hint="eastAsia" w:hAnsi="仿宋"/>
          <w:sz w:val="32"/>
          <w:szCs w:val="32"/>
        </w:rPr>
        <w:t>社会保障和就业（类）其他社会保障和就业支出（款）其他社会保障和就业支出（项）</w:t>
      </w:r>
      <w:r>
        <w:rPr>
          <w:rFonts w:hAnsi="仿宋"/>
          <w:sz w:val="32"/>
          <w:szCs w:val="32"/>
        </w:rPr>
        <w:t xml:space="preserve">: </w:t>
      </w:r>
      <w:r>
        <w:rPr>
          <w:rFonts w:hint="eastAsia" w:hAnsi="仿宋"/>
          <w:sz w:val="32"/>
          <w:szCs w:val="32"/>
        </w:rPr>
        <w:t>反映上述项目以外其他用于社会保障和就业方面的支出。</w:t>
      </w:r>
    </w:p>
    <w:p>
      <w:pPr>
        <w:pStyle w:val="22"/>
        <w:spacing w:line="560" w:lineRule="exact"/>
        <w:ind w:firstLine="640" w:firstLineChars="200"/>
        <w:rPr>
          <w:rFonts w:hAnsi="仿宋"/>
          <w:sz w:val="32"/>
          <w:szCs w:val="32"/>
        </w:rPr>
      </w:pPr>
      <w:r>
        <w:rPr>
          <w:rFonts w:hint="eastAsia" w:hAnsi="仿宋"/>
          <w:sz w:val="32"/>
          <w:szCs w:val="32"/>
          <w:lang w:val="en-US" w:eastAsia="zh-CN"/>
        </w:rPr>
        <w:t>10</w:t>
      </w:r>
      <w:r>
        <w:rPr>
          <w:rFonts w:hAnsi="仿宋"/>
          <w:sz w:val="32"/>
          <w:szCs w:val="32"/>
        </w:rPr>
        <w:t>.</w:t>
      </w:r>
      <w:r>
        <w:rPr>
          <w:rFonts w:hint="eastAsia" w:hAnsi="仿宋"/>
          <w:sz w:val="32"/>
          <w:szCs w:val="32"/>
        </w:rPr>
        <w:t>医疗卫生与计划生育（类）行政事业单位医疗（款）事业单位医疗（项）</w:t>
      </w:r>
      <w:r>
        <w:rPr>
          <w:rFonts w:hAnsi="仿宋"/>
          <w:sz w:val="32"/>
          <w:szCs w:val="32"/>
        </w:rPr>
        <w:t>:</w:t>
      </w:r>
      <w:r>
        <w:rPr>
          <w:rFonts w:hint="eastAsia" w:hAnsi="仿宋"/>
          <w:sz w:val="32"/>
          <w:szCs w:val="32"/>
        </w:rPr>
        <w:t>反映财政部门集中安排的事业单位基本医疗保险缴费经费，未参加医疗保险的事业单位的公费医疗经费，按国家规定享受离休人员待遇的医疗经费。</w:t>
      </w:r>
    </w:p>
    <w:p>
      <w:pPr>
        <w:pStyle w:val="22"/>
        <w:spacing w:line="560" w:lineRule="exact"/>
        <w:ind w:firstLine="640" w:firstLineChars="200"/>
        <w:rPr>
          <w:rFonts w:hAnsi="仿宋"/>
          <w:sz w:val="32"/>
          <w:szCs w:val="32"/>
        </w:rPr>
      </w:pPr>
      <w:r>
        <w:rPr>
          <w:rFonts w:hint="eastAsia" w:hAnsi="仿宋"/>
          <w:sz w:val="32"/>
          <w:szCs w:val="32"/>
          <w:lang w:val="en-US" w:eastAsia="zh-CN"/>
        </w:rPr>
        <w:t>11</w:t>
      </w:r>
      <w:r>
        <w:rPr>
          <w:rFonts w:hAnsi="仿宋"/>
          <w:sz w:val="32"/>
          <w:szCs w:val="32"/>
        </w:rPr>
        <w:t>.</w:t>
      </w:r>
      <w:r>
        <w:rPr>
          <w:rFonts w:hint="eastAsia" w:hAnsi="仿宋"/>
          <w:sz w:val="32"/>
          <w:szCs w:val="32"/>
        </w:rPr>
        <w:t>医疗卫生与计划生育（类）行政事业单位医疗（款）公务员医疗补助（项）</w:t>
      </w:r>
      <w:r>
        <w:rPr>
          <w:rFonts w:hAnsi="仿宋"/>
          <w:sz w:val="32"/>
          <w:szCs w:val="32"/>
        </w:rPr>
        <w:t>:</w:t>
      </w:r>
      <w:r>
        <w:rPr>
          <w:rFonts w:hint="eastAsia" w:hAnsi="仿宋"/>
          <w:sz w:val="32"/>
          <w:szCs w:val="32"/>
        </w:rPr>
        <w:t>反映财政部门集中安排的公务员医疗补助经费。</w:t>
      </w:r>
    </w:p>
    <w:p>
      <w:pPr>
        <w:pStyle w:val="22"/>
        <w:spacing w:line="560" w:lineRule="exact"/>
        <w:ind w:firstLine="640" w:firstLineChars="200"/>
        <w:rPr>
          <w:rFonts w:hAnsi="仿宋"/>
          <w:sz w:val="32"/>
          <w:szCs w:val="32"/>
        </w:rPr>
      </w:pPr>
      <w:r>
        <w:rPr>
          <w:rFonts w:hint="eastAsia" w:hAnsi="仿宋"/>
          <w:sz w:val="32"/>
          <w:szCs w:val="32"/>
          <w:lang w:val="en-US" w:eastAsia="zh-CN"/>
        </w:rPr>
        <w:t>12</w:t>
      </w:r>
      <w:r>
        <w:rPr>
          <w:rFonts w:hAnsi="仿宋"/>
          <w:sz w:val="32"/>
          <w:szCs w:val="32"/>
        </w:rPr>
        <w:t>.</w:t>
      </w:r>
      <w:r>
        <w:rPr>
          <w:rFonts w:hint="eastAsia" w:hAnsi="仿宋"/>
          <w:sz w:val="32"/>
          <w:szCs w:val="32"/>
        </w:rPr>
        <w:t>住房保障支出（类）住房改革支出（款）住房公积金（项）</w:t>
      </w:r>
      <w:r>
        <w:rPr>
          <w:rFonts w:hAnsi="仿宋"/>
          <w:sz w:val="32"/>
          <w:szCs w:val="32"/>
        </w:rPr>
        <w:t>:</w:t>
      </w:r>
      <w:r>
        <w:rPr>
          <w:rFonts w:hint="eastAsia" w:hAnsi="仿宋"/>
          <w:sz w:val="32"/>
          <w:szCs w:val="32"/>
        </w:rPr>
        <w:t>反映行政事业单位按人力资源和社会保障部、财政部规定的基本工资和津贴补贴以及规定比例为职工缴纳的住房公积金。</w:t>
      </w:r>
    </w:p>
    <w:p>
      <w:pPr>
        <w:ind w:firstLine="640" w:firstLineChars="200"/>
        <w:rPr>
          <w:rFonts w:ascii="仿宋" w:hAnsi="仿宋" w:eastAsia="仿宋"/>
          <w:sz w:val="32"/>
          <w:szCs w:val="32"/>
        </w:rPr>
      </w:pPr>
      <w:r>
        <w:rPr>
          <w:rFonts w:hint="eastAsia" w:ascii="仿宋" w:hAnsi="仿宋" w:eastAsia="仿宋"/>
          <w:sz w:val="32"/>
          <w:szCs w:val="32"/>
          <w:lang w:val="en-US" w:eastAsia="zh-CN"/>
        </w:rPr>
        <w:t>13</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pPr>
        <w:ind w:firstLine="640" w:firstLineChars="200"/>
        <w:rPr>
          <w:rFonts w:ascii="仿宋" w:hAnsi="仿宋" w:eastAsia="仿宋"/>
          <w:sz w:val="32"/>
          <w:szCs w:val="32"/>
        </w:rPr>
      </w:pPr>
      <w:r>
        <w:rPr>
          <w:rFonts w:hint="eastAsia" w:ascii="仿宋" w:hAnsi="仿宋" w:eastAsia="仿宋"/>
          <w:sz w:val="32"/>
          <w:szCs w:val="32"/>
          <w:lang w:val="en-US" w:eastAsia="zh-CN"/>
        </w:rPr>
        <w:t>14</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pPr>
        <w:pStyle w:val="22"/>
        <w:spacing w:line="560" w:lineRule="exact"/>
        <w:ind w:firstLine="640" w:firstLineChars="200"/>
        <w:rPr>
          <w:rFonts w:hAnsi="仿宋"/>
          <w:color w:val="auto"/>
          <w:sz w:val="32"/>
          <w:szCs w:val="32"/>
        </w:rPr>
      </w:pPr>
      <w:r>
        <w:rPr>
          <w:rFonts w:hint="eastAsia" w:hAnsi="仿宋"/>
          <w:color w:val="auto"/>
          <w:sz w:val="32"/>
          <w:szCs w:val="32"/>
          <w:lang w:val="en-US" w:eastAsia="zh-CN"/>
        </w:rPr>
        <w:t>15</w:t>
      </w:r>
      <w:r>
        <w:rPr>
          <w:rFonts w:hAnsi="仿宋"/>
          <w:color w:val="auto"/>
          <w:sz w:val="32"/>
          <w:szCs w:val="32"/>
        </w:rPr>
        <w:t>.</w:t>
      </w:r>
      <w:r>
        <w:rPr>
          <w:rFonts w:hint="eastAsia" w:hAnsi="仿宋"/>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hint="eastAsia" w:ascii="黑体" w:hAnsi="黑体" w:eastAsia="黑体"/>
          <w:sz w:val="44"/>
          <w:szCs w:val="44"/>
        </w:rPr>
      </w:pPr>
      <w:r>
        <w:rPr>
          <w:rFonts w:hint="eastAsia" w:hAnsi="仿宋"/>
          <w:color w:val="auto"/>
          <w:sz w:val="32"/>
          <w:szCs w:val="32"/>
          <w:lang w:val="en-US" w:eastAsia="zh-CN"/>
        </w:rPr>
        <w:t>16</w:t>
      </w:r>
      <w:r>
        <w:rPr>
          <w:rFonts w:hAnsi="仿宋"/>
          <w:color w:val="auto"/>
          <w:sz w:val="32"/>
          <w:szCs w:val="32"/>
        </w:rPr>
        <w:t>.</w:t>
      </w:r>
      <w:r>
        <w:rPr>
          <w:rFonts w:hint="eastAsia" w:hAnsi="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both"/>
        <w:outlineLvl w:val="0"/>
        <w:rPr>
          <w:rFonts w:hint="eastAsia" w:ascii="黑体" w:hAnsi="黑体" w:eastAsia="黑体"/>
          <w:sz w:val="44"/>
          <w:szCs w:val="44"/>
        </w:rPr>
        <w:sectPr>
          <w:footerReference r:id="rId5" w:type="first"/>
          <w:headerReference r:id="rId3" w:type="default"/>
          <w:footerReference r:id="rId4" w:type="default"/>
          <w:pgSz w:w="11906" w:h="16838"/>
          <w:pgMar w:top="1134" w:right="1701" w:bottom="1134" w:left="1701" w:header="851" w:footer="992" w:gutter="0"/>
          <w:pgNumType w:fmt="decimal" w:start="1"/>
          <w:cols w:space="425" w:num="1"/>
          <w:titlePg/>
          <w:docGrid w:type="lines" w:linePitch="312" w:charSpace="0"/>
        </w:sectPr>
      </w:pPr>
    </w:p>
    <w:p>
      <w:pPr>
        <w:spacing w:line="600" w:lineRule="exact"/>
        <w:jc w:val="center"/>
        <w:outlineLvl w:val="0"/>
        <w:rPr>
          <w:rStyle w:val="24"/>
          <w:rFonts w:hint="eastAsia" w:ascii="黑体" w:hAnsi="黑体" w:eastAsia="黑体"/>
          <w:b w:val="0"/>
        </w:rPr>
      </w:pPr>
      <w:bookmarkStart w:id="60" w:name="OLE_LINK5"/>
      <w:r>
        <w:rPr>
          <w:rFonts w:hint="eastAsia" w:ascii="黑体" w:hAnsi="黑体" w:eastAsia="黑体"/>
          <w:sz w:val="44"/>
          <w:szCs w:val="44"/>
        </w:rPr>
        <w:t>第</w:t>
      </w:r>
      <w:r>
        <w:rPr>
          <w:rStyle w:val="24"/>
          <w:rFonts w:hint="eastAsia" w:ascii="黑体" w:hAnsi="黑体" w:eastAsia="黑体"/>
          <w:b w:val="0"/>
        </w:rPr>
        <w:t>四部分 附件</w:t>
      </w:r>
      <w:bookmarkEnd w:id="58"/>
      <w:bookmarkEnd w:id="60"/>
    </w:p>
    <w:p>
      <w:pPr>
        <w:pStyle w:val="5"/>
      </w:pPr>
    </w:p>
    <w:tbl>
      <w:tblPr>
        <w:tblStyle w:val="12"/>
        <w:tblW w:w="1365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8"/>
        <w:gridCol w:w="1582"/>
        <w:gridCol w:w="1836"/>
        <w:gridCol w:w="2196"/>
        <w:gridCol w:w="576"/>
        <w:gridCol w:w="1389"/>
        <w:gridCol w:w="457"/>
        <w:gridCol w:w="972"/>
        <w:gridCol w:w="486"/>
        <w:gridCol w:w="666"/>
        <w:gridCol w:w="2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65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61"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1461"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51090323T000008239682-四类学生课后服务保障经费（城市）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645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四川省遂宁市船山区教育体育局部门</w:t>
            </w:r>
          </w:p>
        </w:tc>
        <w:tc>
          <w:tcPr>
            <w:tcW w:w="972" w:type="dxa"/>
            <w:tcBorders>
              <w:top w:val="nil"/>
              <w:left w:val="nil"/>
              <w:bottom w:val="nil"/>
              <w:right w:val="nil"/>
            </w:tcBorders>
            <w:noWrap w:val="0"/>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0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四川省遂宁市船山区长乐街小学校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5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645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500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645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为减轻学生及家长负担，维护学校和学生合法权益，在</w:t>
            </w:r>
            <w:r>
              <w:rPr>
                <w:rFonts w:hint="eastAsia" w:ascii="宋体" w:hAnsi="宋体" w:cs="宋体"/>
                <w:i w:val="0"/>
                <w:iCs w:val="0"/>
                <w:color w:val="000000"/>
                <w:kern w:val="0"/>
                <w:sz w:val="18"/>
                <w:szCs w:val="18"/>
                <w:u w:val="none"/>
                <w:lang w:val="en-US" w:eastAsia="zh-CN" w:bidi="ar"/>
              </w:rPr>
              <w:t>“</w:t>
            </w:r>
            <w:bookmarkStart w:id="76" w:name="_GoBack"/>
            <w:bookmarkEnd w:id="76"/>
            <w:r>
              <w:rPr>
                <w:rFonts w:hint="eastAsia" w:ascii="宋体" w:hAnsi="宋体" w:cs="宋体"/>
                <w:i w:val="0"/>
                <w:iCs w:val="0"/>
                <w:color w:val="000000"/>
                <w:kern w:val="0"/>
                <w:sz w:val="18"/>
                <w:szCs w:val="18"/>
                <w:u w:val="none"/>
                <w:lang w:val="en-US" w:eastAsia="zh-CN" w:bidi="ar"/>
              </w:rPr>
              <w:t>双减”</w:t>
            </w:r>
            <w:r>
              <w:rPr>
                <w:rFonts w:hint="eastAsia" w:ascii="宋体" w:hAnsi="宋体" w:eastAsia="宋体" w:cs="宋体"/>
                <w:i w:val="0"/>
                <w:iCs w:val="0"/>
                <w:color w:val="000000"/>
                <w:kern w:val="0"/>
                <w:sz w:val="18"/>
                <w:szCs w:val="18"/>
                <w:u w:val="none"/>
                <w:lang w:val="en-US" w:eastAsia="zh-CN" w:bidi="ar"/>
              </w:rPr>
              <w:t>特殊情况下，学校利用课后服务时间，开展了、少儿川剧、象棋、电子琴、合唱、散打、篮球等一系列课程，丰富学生校园活动，学生得到全面发展。</w:t>
            </w:r>
          </w:p>
        </w:tc>
        <w:tc>
          <w:tcPr>
            <w:tcW w:w="500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减轻学生及家长负担，维护学校和学生合法权益</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开展了、少儿川剧、象棋、电子琴、合唱、散打、篮球等一系列课程</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丰富学生校园活动，学生得到全面发展。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1461"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zh-CN" w:eastAsia="zh-CN" w:bidi="ar"/>
              </w:rPr>
              <w:t>使用项目资金支付课后文体用品</w:t>
            </w:r>
            <w:r>
              <w:rPr>
                <w:rFonts w:hint="eastAsia" w:ascii="宋体" w:hAnsi="宋体" w:eastAsia="宋体" w:cs="宋体"/>
                <w:i w:val="0"/>
                <w:iCs w:val="0"/>
                <w:color w:val="000000"/>
                <w:kern w:val="0"/>
                <w:sz w:val="18"/>
                <w:szCs w:val="18"/>
                <w:u w:val="none"/>
                <w:lang w:val="en-US" w:eastAsia="zh-CN" w:bidi="ar"/>
              </w:rPr>
              <w:t>1.21万元，课后服务耗材器材0.84万元，丰富学生校园活动。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rPr>
            </w:pPr>
          </w:p>
        </w:tc>
        <w:tc>
          <w:tcPr>
            <w:tcW w:w="28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指标未及时进行调整.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8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8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8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8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四类学生正常参加课后服务覆盖率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课后服务举办及时性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未及时调整项目指标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对学生发展产生持续影响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延续性好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延续性好</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课后服务教育认可度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总成本控制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4.44</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万元</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1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96.38</w:t>
            </w:r>
          </w:p>
        </w:tc>
        <w:tc>
          <w:tcPr>
            <w:tcW w:w="28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304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绩效评价指标体系，2023年财政批复预算为4.44万元，截止2023年12月31日，项目资金实际到位4.44万元，资金到位100%，实际支付2.05万元,项目预算执行率46.17%，本年度四类学生的课后学习科目均为额外收取费用，减轻了学生家长经济压力，同时促进了学生各项全面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304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主要是年中项目动态监控时，未根据实际情况调整指标值。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304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建议根据要求动态监控项目实施情况，及时调整绩效目标，确保绩效目标合理、可行，保持目标与实际工作开展的统一。</w:t>
            </w:r>
          </w:p>
        </w:tc>
      </w:tr>
    </w:tbl>
    <w:p>
      <w:pPr>
        <w:pStyle w:val="5"/>
      </w:pPr>
    </w:p>
    <w:p/>
    <w:p>
      <w:pPr>
        <w:pStyle w:val="5"/>
      </w:pPr>
    </w:p>
    <w:tbl>
      <w:tblPr>
        <w:tblStyle w:val="12"/>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87"/>
        <w:gridCol w:w="1287"/>
        <w:gridCol w:w="1287"/>
        <w:gridCol w:w="1287"/>
        <w:gridCol w:w="1287"/>
        <w:gridCol w:w="1287"/>
        <w:gridCol w:w="1288"/>
        <w:gridCol w:w="1287"/>
        <w:gridCol w:w="1287"/>
        <w:gridCol w:w="1287"/>
        <w:gridCol w:w="1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4160" w:type="dxa"/>
            <w:gridSpan w:val="11"/>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574"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11586" w:type="dxa"/>
            <w:gridSpan w:val="9"/>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51090323T000008243924-2023年校舍维修改造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574"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6436" w:type="dxa"/>
            <w:gridSpan w:val="5"/>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四川省遂宁市船山区教育体育局部门</w:t>
            </w:r>
          </w:p>
        </w:tc>
        <w:tc>
          <w:tcPr>
            <w:tcW w:w="1287"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实施单位 （盖章）</w:t>
            </w:r>
          </w:p>
        </w:tc>
        <w:tc>
          <w:tcPr>
            <w:tcW w:w="3863" w:type="dxa"/>
            <w:gridSpan w:val="3"/>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四川省遂宁市船山区长乐街小学校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1287"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项目基本情况</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1.项目年度目标完成情况</w:t>
            </w:r>
          </w:p>
        </w:tc>
        <w:tc>
          <w:tcPr>
            <w:tcW w:w="6436" w:type="dxa"/>
            <w:gridSpan w:val="5"/>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项目年度目标</w:t>
            </w:r>
          </w:p>
        </w:tc>
        <w:tc>
          <w:tcPr>
            <w:tcW w:w="51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28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7" w:type="dxa"/>
            <w:tcBorders>
              <w:top w:val="nil"/>
              <w:left w:val="nil"/>
              <w:bottom w:val="single" w:color="000000" w:sz="8" w:space="0"/>
              <w:right w:val="single" w:color="000000" w:sz="8" w:space="0"/>
            </w:tcBorders>
            <w:noWrap w:val="0"/>
            <w:vAlign w:val="center"/>
          </w:tcPr>
          <w:p>
            <w:pPr>
              <w:rPr>
                <w:rFonts w:hint="eastAsia" w:ascii="宋体" w:hAnsi="宋体" w:eastAsia="宋体" w:cs="宋体"/>
                <w:i w:val="0"/>
                <w:iCs w:val="0"/>
                <w:color w:val="000000"/>
                <w:sz w:val="16"/>
                <w:szCs w:val="16"/>
                <w:u w:val="none"/>
              </w:rPr>
            </w:pPr>
          </w:p>
        </w:tc>
        <w:tc>
          <w:tcPr>
            <w:tcW w:w="6436" w:type="dxa"/>
            <w:gridSpan w:val="5"/>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对学校校舍强电线路改造，解除安全隐患，为学生提供安全舒适的校园环境，美化校园风貌，促进和谐社会的发展。</w:t>
            </w:r>
          </w:p>
        </w:tc>
        <w:tc>
          <w:tcPr>
            <w:tcW w:w="5150" w:type="dxa"/>
            <w:gridSpan w:val="4"/>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解除安全隐患，为学生提供安全舒适的校园环境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128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2.项目实施内容及过程概述</w:t>
            </w:r>
          </w:p>
        </w:tc>
        <w:tc>
          <w:tcPr>
            <w:tcW w:w="11586" w:type="dxa"/>
            <w:gridSpan w:val="9"/>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于2023年6月13日向区财政局报送“教学楼电路改造及附属工程”项目预算资料，2023年6月25日通过评审。评审通过后委托四川琪轩招标代理有限公司于2023年7月12日通过竞争性磋商确定项目供应商为“四川攀兴建筑工程有限公司”，合同金额为44.37万元，2023年7月27日请示区教体局，因部分项目存在漏项，经设计、施工、业主及</w:t>
            </w:r>
            <w:r>
              <w:rPr>
                <w:rFonts w:hint="eastAsia" w:ascii="宋体" w:hAnsi="宋体" w:cs="宋体"/>
                <w:i w:val="0"/>
                <w:iCs w:val="0"/>
                <w:color w:val="000000"/>
                <w:kern w:val="0"/>
                <w:sz w:val="16"/>
                <w:szCs w:val="16"/>
                <w:u w:val="none"/>
                <w:lang w:val="en-US" w:eastAsia="zh-CN" w:bidi="ar"/>
              </w:rPr>
              <w:t>区</w:t>
            </w:r>
            <w:r>
              <w:rPr>
                <w:rFonts w:hint="eastAsia" w:ascii="宋体" w:hAnsi="宋体" w:eastAsia="宋体" w:cs="宋体"/>
                <w:i w:val="0"/>
                <w:iCs w:val="0"/>
                <w:color w:val="000000"/>
                <w:kern w:val="0"/>
                <w:sz w:val="16"/>
                <w:szCs w:val="16"/>
                <w:u w:val="none"/>
                <w:lang w:val="en-US" w:eastAsia="zh-CN" w:bidi="ar"/>
              </w:rPr>
              <w:t>教体局计财股人员现场研究增加4.55万元，2023年8月20号完成验收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287"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预算执行情况（10分）</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年度预算数（万元）</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128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调整后预算数</w:t>
            </w:r>
          </w:p>
        </w:tc>
        <w:tc>
          <w:tcPr>
            <w:tcW w:w="3862" w:type="dxa"/>
            <w:gridSpan w:val="3"/>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预算执行数</w:t>
            </w:r>
          </w:p>
        </w:tc>
        <w:tc>
          <w:tcPr>
            <w:tcW w:w="128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128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128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128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8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46.5</w:t>
            </w:r>
          </w:p>
        </w:tc>
        <w:tc>
          <w:tcPr>
            <w:tcW w:w="3862" w:type="dxa"/>
            <w:gridSpan w:val="3"/>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46.5</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87"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9"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黑体" w:hAnsi="宋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8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其中：财政资金</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46.5</w:t>
            </w:r>
          </w:p>
        </w:tc>
        <w:tc>
          <w:tcPr>
            <w:tcW w:w="3862" w:type="dxa"/>
            <w:gridSpan w:val="3"/>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46.5</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89" w:type="dxa"/>
            <w:tcBorders>
              <w:top w:val="nil"/>
              <w:left w:val="nil"/>
              <w:bottom w:val="single" w:color="000000" w:sz="8" w:space="0"/>
              <w:right w:val="single" w:color="000000" w:sz="8" w:space="0"/>
            </w:tcBorders>
            <w:noWrap w:val="0"/>
            <w:vAlign w:val="center"/>
          </w:tcPr>
          <w:p>
            <w:pPr>
              <w:rPr>
                <w:rFonts w:hint="eastAsia" w:ascii="黑体" w:hAnsi="宋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28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财政专户管理资金</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862" w:type="dxa"/>
            <w:gridSpan w:val="3"/>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89" w:type="dxa"/>
            <w:tcBorders>
              <w:top w:val="nil"/>
              <w:left w:val="nil"/>
              <w:bottom w:val="single" w:color="000000" w:sz="8" w:space="0"/>
              <w:right w:val="single" w:color="000000" w:sz="8" w:space="0"/>
            </w:tcBorders>
            <w:noWrap w:val="0"/>
            <w:vAlign w:val="center"/>
          </w:tcPr>
          <w:p>
            <w:pPr>
              <w:rPr>
                <w:rFonts w:hint="eastAsia" w:ascii="黑体" w:hAnsi="宋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28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862" w:type="dxa"/>
            <w:gridSpan w:val="3"/>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89" w:type="dxa"/>
            <w:tcBorders>
              <w:top w:val="nil"/>
              <w:left w:val="nil"/>
              <w:bottom w:val="single" w:color="000000" w:sz="8" w:space="0"/>
              <w:right w:val="single" w:color="000000" w:sz="8" w:space="0"/>
            </w:tcBorders>
            <w:noWrap w:val="0"/>
            <w:vAlign w:val="center"/>
          </w:tcPr>
          <w:p>
            <w:pPr>
              <w:rPr>
                <w:rFonts w:hint="eastAsia" w:ascii="黑体" w:hAnsi="宋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28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1287" w:type="dxa"/>
            <w:tcBorders>
              <w:top w:val="nil"/>
              <w:left w:val="nil"/>
              <w:bottom w:val="single" w:color="000000" w:sz="8" w:space="0"/>
              <w:right w:val="single" w:color="000000" w:sz="8"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287" w:type="dxa"/>
            <w:tcBorders>
              <w:top w:val="nil"/>
              <w:left w:val="nil"/>
              <w:bottom w:val="single" w:color="000000" w:sz="8" w:space="0"/>
              <w:right w:val="single" w:color="000000" w:sz="8"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3862" w:type="dxa"/>
            <w:gridSpan w:val="3"/>
            <w:tcBorders>
              <w:top w:val="nil"/>
              <w:left w:val="nil"/>
              <w:bottom w:val="single" w:color="000000" w:sz="8" w:space="0"/>
              <w:right w:val="single" w:color="000000" w:sz="8"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287" w:type="dxa"/>
            <w:tcBorders>
              <w:top w:val="nil"/>
              <w:left w:val="nil"/>
              <w:bottom w:val="single" w:color="000000" w:sz="8" w:space="0"/>
              <w:right w:val="single" w:color="000000" w:sz="8"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89" w:type="dxa"/>
            <w:tcBorders>
              <w:top w:val="nil"/>
              <w:left w:val="nil"/>
              <w:bottom w:val="single" w:color="000000" w:sz="8" w:space="0"/>
              <w:right w:val="single" w:color="000000" w:sz="8" w:space="0"/>
            </w:tcBorders>
            <w:noWrap w:val="0"/>
            <w:vAlign w:val="center"/>
          </w:tcPr>
          <w:p>
            <w:pPr>
              <w:rPr>
                <w:rFonts w:hint="eastAsia" w:ascii="黑体" w:hAnsi="宋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287"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绩效指标（90分）</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指标性质</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128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度量单位</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完成值</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128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128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128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7" w:type="dxa"/>
            <w:vMerge w:val="restart"/>
            <w:tcBorders>
              <w:top w:val="nil"/>
              <w:left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对学校1-6楼教室及走道强电路改造</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87"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9" w:type="dxa"/>
            <w:tcBorders>
              <w:top w:val="nil"/>
              <w:left w:val="nil"/>
              <w:bottom w:val="single" w:color="000000" w:sz="8" w:space="0"/>
              <w:right w:val="single" w:color="000000" w:sz="8"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28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7" w:type="dxa"/>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维修完成，达到可使用状态、保障师生安全</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87"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9" w:type="dxa"/>
            <w:tcBorders>
              <w:top w:val="nil"/>
              <w:left w:val="nil"/>
              <w:bottom w:val="single" w:color="000000" w:sz="8" w:space="0"/>
              <w:right w:val="single" w:color="000000" w:sz="8"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28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7" w:type="dxa"/>
            <w:vMerge w:val="continue"/>
            <w:tcBorders>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2023年7-8月完成，达到可使用状态</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c>
          <w:tcPr>
            <w:tcW w:w="128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87"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9" w:type="dxa"/>
            <w:tcBorders>
              <w:top w:val="nil"/>
              <w:left w:val="nil"/>
              <w:bottom w:val="single" w:color="000000" w:sz="8" w:space="0"/>
              <w:right w:val="single" w:color="000000" w:sz="8"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28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7" w:type="dxa"/>
            <w:vMerge w:val="restart"/>
            <w:tcBorders>
              <w:top w:val="nil"/>
              <w:left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解除安全隐患，保障师生安全</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87"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9" w:type="dxa"/>
            <w:tcBorders>
              <w:top w:val="nil"/>
              <w:left w:val="nil"/>
              <w:bottom w:val="single" w:color="000000" w:sz="8" w:space="0"/>
              <w:right w:val="single" w:color="000000" w:sz="8"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28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7" w:type="dxa"/>
            <w:vMerge w:val="continue"/>
            <w:tcBorders>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可持续发展指标</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促进校园环境提高及城市可持续发展</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87"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9" w:type="dxa"/>
            <w:tcBorders>
              <w:top w:val="nil"/>
              <w:left w:val="nil"/>
              <w:bottom w:val="single" w:color="000000" w:sz="8" w:space="0"/>
              <w:right w:val="single" w:color="000000" w:sz="8"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28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家长、师生满意度</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28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87"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9" w:type="dxa"/>
            <w:tcBorders>
              <w:top w:val="nil"/>
              <w:left w:val="nil"/>
              <w:bottom w:val="single" w:color="000000" w:sz="8" w:space="0"/>
              <w:right w:val="single" w:color="000000" w:sz="8"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128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经济成本指标</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总成本控制50万元内，合理安排预算支出</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50万元</w:t>
            </w:r>
          </w:p>
        </w:tc>
        <w:tc>
          <w:tcPr>
            <w:tcW w:w="128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46.5万元</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87"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16"/>
                <w:szCs w:val="16"/>
                <w:u w:val="none"/>
              </w:rPr>
            </w:pPr>
          </w:p>
        </w:tc>
        <w:tc>
          <w:tcPr>
            <w:tcW w:w="1289" w:type="dxa"/>
            <w:tcBorders>
              <w:top w:val="nil"/>
              <w:left w:val="nil"/>
              <w:bottom w:val="single" w:color="000000" w:sz="8" w:space="0"/>
              <w:right w:val="single" w:color="000000" w:sz="8"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297" w:type="dxa"/>
            <w:gridSpan w:val="8"/>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28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7" w:type="dxa"/>
            <w:tcBorders>
              <w:top w:val="nil"/>
              <w:left w:val="nil"/>
              <w:bottom w:val="single" w:color="000000" w:sz="8" w:space="0"/>
              <w:right w:val="single" w:color="000000" w:sz="8" w:space="0"/>
            </w:tcBorders>
            <w:noWrap w:val="0"/>
            <w:vAlign w:val="center"/>
          </w:tcPr>
          <w:p>
            <w:pPr>
              <w:rPr>
                <w:rFonts w:hint="eastAsia" w:ascii="宋体" w:hAnsi="宋体" w:eastAsia="宋体" w:cs="宋体"/>
                <w:i w:val="0"/>
                <w:iCs w:val="0"/>
                <w:color w:val="000000"/>
                <w:sz w:val="16"/>
                <w:szCs w:val="16"/>
                <w:u w:val="none"/>
              </w:rPr>
            </w:pPr>
          </w:p>
        </w:tc>
        <w:tc>
          <w:tcPr>
            <w:tcW w:w="1289" w:type="dxa"/>
            <w:tcBorders>
              <w:top w:val="nil"/>
              <w:left w:val="nil"/>
              <w:bottom w:val="single" w:color="000000" w:sz="8" w:space="0"/>
              <w:right w:val="single" w:color="000000" w:sz="8" w:space="0"/>
            </w:tcBorders>
            <w:noWrap w:val="0"/>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2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评价结论</w:t>
            </w:r>
          </w:p>
        </w:tc>
        <w:tc>
          <w:tcPr>
            <w:tcW w:w="12873" w:type="dxa"/>
            <w:gridSpan w:val="10"/>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2023年校舍维修改造工程完工后解除了严重安全隐患，为学生提供安全舒适的校园环境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2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存在问题</w:t>
            </w:r>
          </w:p>
        </w:tc>
        <w:tc>
          <w:tcPr>
            <w:tcW w:w="12873" w:type="dxa"/>
            <w:gridSpan w:val="10"/>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项目实施内容在数量指标上明确性不足，未将项目任务分项测算预算，部分项目存在漏项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2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改进措施</w:t>
            </w:r>
          </w:p>
        </w:tc>
        <w:tc>
          <w:tcPr>
            <w:tcW w:w="12873" w:type="dxa"/>
            <w:gridSpan w:val="10"/>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建议明确具体实施内容需要的预算资金，提高项目投资规模与项目实施匹配度</w:t>
            </w:r>
          </w:p>
        </w:tc>
      </w:tr>
    </w:tbl>
    <w:p>
      <w:pPr>
        <w:pStyle w:val="5"/>
        <w:sectPr>
          <w:pgSz w:w="16838" w:h="11906" w:orient="landscape"/>
          <w:pgMar w:top="1701" w:right="1134" w:bottom="1701" w:left="1134" w:header="851" w:footer="992" w:gutter="0"/>
          <w:pgNumType w:fmt="decimal"/>
          <w:cols w:space="425" w:num="1"/>
          <w:titlePg/>
          <w:docGrid w:type="lines" w:linePitch="312" w:charSpace="0"/>
        </w:sectPr>
      </w:pPr>
    </w:p>
    <w:p/>
    <w:p>
      <w:pPr>
        <w:spacing w:line="600" w:lineRule="exact"/>
        <w:jc w:val="center"/>
        <w:outlineLvl w:val="0"/>
        <w:rPr>
          <w:rFonts w:ascii="仿宋" w:hAnsi="仿宋" w:eastAsia="仿宋"/>
        </w:rPr>
      </w:pPr>
      <w:bookmarkStart w:id="62" w:name="OLE_LINK6"/>
      <w:r>
        <w:rPr>
          <w:rFonts w:hint="eastAsia" w:ascii="黑体" w:hAnsi="黑体" w:eastAsia="黑体"/>
          <w:sz w:val="44"/>
          <w:szCs w:val="44"/>
        </w:rPr>
        <w:t>第</w:t>
      </w:r>
      <w:r>
        <w:rPr>
          <w:rStyle w:val="24"/>
          <w:rFonts w:hint="eastAsia" w:ascii="黑体" w:hAnsi="黑体" w:eastAsia="黑体"/>
          <w:b w:val="0"/>
        </w:rPr>
        <w:t>五部分 附表</w:t>
      </w:r>
      <w:bookmarkEnd w:id="59"/>
      <w:bookmarkEnd w:id="61"/>
      <w:bookmarkEnd w:id="62"/>
      <w:bookmarkStart w:id="63" w:name="_Toc15396619"/>
    </w:p>
    <w:p>
      <w:pPr>
        <w:pStyle w:val="3"/>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63"/>
    </w:p>
    <w:p>
      <w:pPr>
        <w:pStyle w:val="3"/>
        <w:rPr>
          <w:rFonts w:ascii="仿宋" w:hAnsi="仿宋" w:eastAsia="仿宋"/>
        </w:rPr>
      </w:pPr>
      <w:bookmarkStart w:id="64" w:name="_Toc15396620"/>
      <w:r>
        <w:rPr>
          <w:rFonts w:hint="eastAsia" w:ascii="仿宋" w:hAnsi="仿宋" w:eastAsia="仿宋"/>
          <w:b w:val="0"/>
        </w:rPr>
        <w:t>二、收</w:t>
      </w:r>
      <w:r>
        <w:rPr>
          <w:rStyle w:val="25"/>
          <w:rFonts w:hint="eastAsia" w:ascii="仿宋" w:hAnsi="仿宋" w:eastAsia="仿宋"/>
          <w:b w:val="0"/>
          <w:bCs w:val="0"/>
        </w:rPr>
        <w:t>入决算表</w:t>
      </w:r>
      <w:bookmarkEnd w:id="64"/>
    </w:p>
    <w:p>
      <w:pPr>
        <w:pStyle w:val="3"/>
        <w:rPr>
          <w:rFonts w:ascii="仿宋" w:hAnsi="仿宋" w:eastAsia="仿宋"/>
        </w:rPr>
      </w:pPr>
      <w:bookmarkStart w:id="65"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65"/>
    </w:p>
    <w:p>
      <w:pPr>
        <w:pStyle w:val="3"/>
        <w:rPr>
          <w:rFonts w:ascii="仿宋" w:hAnsi="仿宋" w:eastAsia="仿宋"/>
          <w:b w:val="0"/>
        </w:rPr>
      </w:pPr>
      <w:bookmarkStart w:id="66"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66"/>
    </w:p>
    <w:p>
      <w:pPr>
        <w:pStyle w:val="3"/>
        <w:rPr>
          <w:rStyle w:val="25"/>
          <w:rFonts w:ascii="仿宋" w:hAnsi="仿宋" w:eastAsia="仿宋"/>
          <w:b w:val="0"/>
          <w:bCs w:val="0"/>
        </w:rPr>
      </w:pPr>
      <w:bookmarkStart w:id="67"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67"/>
      <w:bookmarkStart w:id="68" w:name="_Toc15396624"/>
    </w:p>
    <w:p>
      <w:pPr>
        <w:pStyle w:val="3"/>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68"/>
    </w:p>
    <w:p>
      <w:pPr>
        <w:pStyle w:val="3"/>
        <w:rPr>
          <w:rFonts w:ascii="仿宋" w:hAnsi="仿宋" w:eastAsia="仿宋"/>
        </w:rPr>
      </w:pPr>
      <w:bookmarkStart w:id="69"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9"/>
    </w:p>
    <w:p>
      <w:pPr>
        <w:pStyle w:val="3"/>
        <w:rPr>
          <w:rFonts w:ascii="仿宋" w:hAnsi="仿宋" w:eastAsia="仿宋"/>
        </w:rPr>
      </w:pPr>
      <w:bookmarkStart w:id="70"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70"/>
    </w:p>
    <w:p>
      <w:pPr>
        <w:pStyle w:val="3"/>
        <w:rPr>
          <w:rFonts w:ascii="仿宋" w:hAnsi="仿宋" w:eastAsia="仿宋"/>
        </w:rPr>
      </w:pPr>
      <w:bookmarkStart w:id="71"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71"/>
    </w:p>
    <w:p>
      <w:pPr>
        <w:pStyle w:val="3"/>
        <w:rPr>
          <w:rFonts w:ascii="仿宋" w:hAnsi="仿宋" w:eastAsia="仿宋"/>
        </w:rPr>
      </w:pPr>
      <w:bookmarkStart w:id="72" w:name="_Toc15396628"/>
      <w:r>
        <w:rPr>
          <w:rStyle w:val="25"/>
          <w:rFonts w:hint="eastAsia" w:ascii="仿宋" w:hAnsi="仿宋" w:eastAsia="仿宋"/>
          <w:b w:val="0"/>
          <w:bCs w:val="0"/>
        </w:rPr>
        <w:t>十、</w:t>
      </w:r>
      <w:bookmarkEnd w:id="72"/>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3"/>
        <w:rPr>
          <w:rFonts w:ascii="仿宋" w:hAnsi="仿宋" w:eastAsia="仿宋"/>
        </w:rPr>
      </w:pPr>
      <w:bookmarkStart w:id="73" w:name="_Toc15396629"/>
      <w:r>
        <w:rPr>
          <w:rStyle w:val="25"/>
          <w:rFonts w:hint="eastAsia" w:ascii="仿宋" w:hAnsi="仿宋" w:eastAsia="仿宋"/>
          <w:b w:val="0"/>
          <w:bCs w:val="0"/>
        </w:rPr>
        <w:t>十一、</w:t>
      </w:r>
      <w:bookmarkEnd w:id="73"/>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3"/>
        <w:rPr>
          <w:rFonts w:ascii="仿宋" w:hAnsi="仿宋" w:eastAsia="仿宋"/>
        </w:rPr>
      </w:pPr>
      <w:bookmarkStart w:id="74" w:name="_Toc15396630"/>
      <w:r>
        <w:rPr>
          <w:rStyle w:val="25"/>
          <w:rFonts w:hint="eastAsia" w:ascii="仿宋" w:hAnsi="仿宋" w:eastAsia="仿宋"/>
          <w:b w:val="0"/>
          <w:bCs w:val="0"/>
        </w:rPr>
        <w:t>十二、</w:t>
      </w:r>
      <w:bookmarkEnd w:id="74"/>
      <w:r>
        <w:rPr>
          <w:rStyle w:val="25"/>
          <w:rFonts w:hint="eastAsia" w:ascii="仿宋" w:hAnsi="仿宋" w:eastAsia="仿宋"/>
          <w:b w:val="0"/>
          <w:bCs w:val="0"/>
        </w:rPr>
        <w:t>国有资本经营预算财政拨款支出决算表</w:t>
      </w:r>
    </w:p>
    <w:p>
      <w:pPr>
        <w:pStyle w:val="3"/>
        <w:rPr>
          <w:rFonts w:eastAsia="仿宋"/>
        </w:rPr>
      </w:pPr>
      <w:bookmarkStart w:id="75" w:name="_Toc15396631"/>
      <w:r>
        <w:rPr>
          <w:rStyle w:val="25"/>
          <w:rFonts w:hint="eastAsia" w:ascii="仿宋" w:hAnsi="仿宋" w:eastAsia="仿宋"/>
          <w:b w:val="0"/>
          <w:bCs w:val="0"/>
        </w:rPr>
        <w:t>十三、</w:t>
      </w:r>
      <w:bookmarkEnd w:id="75"/>
      <w:r>
        <w:rPr>
          <w:rStyle w:val="25"/>
          <w:rFonts w:hint="eastAsia" w:ascii="仿宋" w:hAnsi="仿宋" w:eastAsia="仿宋"/>
          <w:b w:val="0"/>
          <w:bCs w:val="0"/>
        </w:rPr>
        <w:t>财政拨款“三公”经费支出决算表</w:t>
      </w:r>
    </w:p>
    <w:sectPr>
      <w:pgSz w:w="11906" w:h="16838"/>
      <w:pgMar w:top="1134" w:right="1701" w:bottom="1134" w:left="1701"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lang w:val="en-U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HorizontalSpacing w:val="105"/>
  <w:drawingGridVerticalSpacing w:val="15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NTM3NGMzYzk5OWQ0YzYwMmE4NTI3ODY2ODYxZmEifQ=="/>
  </w:docVars>
  <w:rsids>
    <w:rsidRoot w:val="00F1361C"/>
    <w:rsid w:val="00001171"/>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248"/>
    <w:rsid w:val="001333FB"/>
    <w:rsid w:val="00142216"/>
    <w:rsid w:val="00144D6A"/>
    <w:rsid w:val="0014729F"/>
    <w:rsid w:val="00157BAB"/>
    <w:rsid w:val="001654D1"/>
    <w:rsid w:val="00174518"/>
    <w:rsid w:val="0018106D"/>
    <w:rsid w:val="001877A7"/>
    <w:rsid w:val="00191536"/>
    <w:rsid w:val="00196687"/>
    <w:rsid w:val="001A6719"/>
    <w:rsid w:val="001C0962"/>
    <w:rsid w:val="001D7531"/>
    <w:rsid w:val="001E737D"/>
    <w:rsid w:val="001F0592"/>
    <w:rsid w:val="001F7506"/>
    <w:rsid w:val="002006CD"/>
    <w:rsid w:val="00202B36"/>
    <w:rsid w:val="00204B7A"/>
    <w:rsid w:val="00204CDE"/>
    <w:rsid w:val="0021101A"/>
    <w:rsid w:val="00220536"/>
    <w:rsid w:val="002236B4"/>
    <w:rsid w:val="00235629"/>
    <w:rsid w:val="00241F23"/>
    <w:rsid w:val="00260C38"/>
    <w:rsid w:val="002616C0"/>
    <w:rsid w:val="00265372"/>
    <w:rsid w:val="002662AA"/>
    <w:rsid w:val="00280496"/>
    <w:rsid w:val="002833D3"/>
    <w:rsid w:val="00294DC9"/>
    <w:rsid w:val="00295495"/>
    <w:rsid w:val="002A31DE"/>
    <w:rsid w:val="002B2613"/>
    <w:rsid w:val="002C1CD3"/>
    <w:rsid w:val="002C290C"/>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4FB7"/>
    <w:rsid w:val="003C7B60"/>
    <w:rsid w:val="003D0C0F"/>
    <w:rsid w:val="003D1FB2"/>
    <w:rsid w:val="003D66DA"/>
    <w:rsid w:val="003E1310"/>
    <w:rsid w:val="003E6F55"/>
    <w:rsid w:val="00406254"/>
    <w:rsid w:val="004223DE"/>
    <w:rsid w:val="0042718E"/>
    <w:rsid w:val="00434489"/>
    <w:rsid w:val="00437085"/>
    <w:rsid w:val="00443880"/>
    <w:rsid w:val="004464F4"/>
    <w:rsid w:val="00470868"/>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3486"/>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1BF4"/>
    <w:rsid w:val="006440E4"/>
    <w:rsid w:val="0066343B"/>
    <w:rsid w:val="00664777"/>
    <w:rsid w:val="006748A4"/>
    <w:rsid w:val="00681A31"/>
    <w:rsid w:val="00683E73"/>
    <w:rsid w:val="00684C6F"/>
    <w:rsid w:val="006A3141"/>
    <w:rsid w:val="006A5E34"/>
    <w:rsid w:val="006B2422"/>
    <w:rsid w:val="006B2B9A"/>
    <w:rsid w:val="006C1937"/>
    <w:rsid w:val="006F020C"/>
    <w:rsid w:val="007127B7"/>
    <w:rsid w:val="0071798E"/>
    <w:rsid w:val="00726777"/>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B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433"/>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67C4"/>
    <w:rsid w:val="009F7527"/>
    <w:rsid w:val="00A04EB0"/>
    <w:rsid w:val="00A06914"/>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41D4"/>
    <w:rsid w:val="00AB64C9"/>
    <w:rsid w:val="00AC3C6A"/>
    <w:rsid w:val="00AD5620"/>
    <w:rsid w:val="00AD656B"/>
    <w:rsid w:val="00AD7C1B"/>
    <w:rsid w:val="00AE16BA"/>
    <w:rsid w:val="00AE1EBE"/>
    <w:rsid w:val="00AE5F04"/>
    <w:rsid w:val="00B03C9D"/>
    <w:rsid w:val="00B060AE"/>
    <w:rsid w:val="00B10517"/>
    <w:rsid w:val="00B14E76"/>
    <w:rsid w:val="00B161B8"/>
    <w:rsid w:val="00B2048C"/>
    <w:rsid w:val="00B310B9"/>
    <w:rsid w:val="00B35F3F"/>
    <w:rsid w:val="00B36CBB"/>
    <w:rsid w:val="00B40FD6"/>
    <w:rsid w:val="00B425E0"/>
    <w:rsid w:val="00B440AA"/>
    <w:rsid w:val="00B44B70"/>
    <w:rsid w:val="00B53C56"/>
    <w:rsid w:val="00B57DAF"/>
    <w:rsid w:val="00B77EA6"/>
    <w:rsid w:val="00B81598"/>
    <w:rsid w:val="00B841F1"/>
    <w:rsid w:val="00B944D6"/>
    <w:rsid w:val="00BA065F"/>
    <w:rsid w:val="00BB4DF0"/>
    <w:rsid w:val="00BC289F"/>
    <w:rsid w:val="00BC2D50"/>
    <w:rsid w:val="00BC5361"/>
    <w:rsid w:val="00BC5460"/>
    <w:rsid w:val="00BC6B50"/>
    <w:rsid w:val="00BD0E25"/>
    <w:rsid w:val="00BF5BD6"/>
    <w:rsid w:val="00BF7FA1"/>
    <w:rsid w:val="00C03E31"/>
    <w:rsid w:val="00C04876"/>
    <w:rsid w:val="00C33E72"/>
    <w:rsid w:val="00C354B2"/>
    <w:rsid w:val="00C35554"/>
    <w:rsid w:val="00C42709"/>
    <w:rsid w:val="00C533CC"/>
    <w:rsid w:val="00C5751C"/>
    <w:rsid w:val="00C61BFC"/>
    <w:rsid w:val="00C62B85"/>
    <w:rsid w:val="00C65438"/>
    <w:rsid w:val="00C6567A"/>
    <w:rsid w:val="00C72A40"/>
    <w:rsid w:val="00C87FD8"/>
    <w:rsid w:val="00C91381"/>
    <w:rsid w:val="00C91CBB"/>
    <w:rsid w:val="00CB2BEB"/>
    <w:rsid w:val="00CB4E70"/>
    <w:rsid w:val="00CC09B6"/>
    <w:rsid w:val="00CC666F"/>
    <w:rsid w:val="00CD1E3F"/>
    <w:rsid w:val="00CE44F6"/>
    <w:rsid w:val="00CE49DA"/>
    <w:rsid w:val="00CE7B61"/>
    <w:rsid w:val="00D00095"/>
    <w:rsid w:val="00D114F0"/>
    <w:rsid w:val="00D12DB8"/>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193F"/>
    <w:rsid w:val="00E07ACF"/>
    <w:rsid w:val="00E331A1"/>
    <w:rsid w:val="00E33202"/>
    <w:rsid w:val="00E336A9"/>
    <w:rsid w:val="00E472B1"/>
    <w:rsid w:val="00E50624"/>
    <w:rsid w:val="00E568DF"/>
    <w:rsid w:val="00E64269"/>
    <w:rsid w:val="00E82267"/>
    <w:rsid w:val="00E853CE"/>
    <w:rsid w:val="00E867B6"/>
    <w:rsid w:val="00E965FB"/>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251CA"/>
    <w:rsid w:val="00F36D8F"/>
    <w:rsid w:val="00F417B1"/>
    <w:rsid w:val="00F45853"/>
    <w:rsid w:val="00F602DF"/>
    <w:rsid w:val="00F6312F"/>
    <w:rsid w:val="00F754A1"/>
    <w:rsid w:val="00F81FD9"/>
    <w:rsid w:val="00F841AA"/>
    <w:rsid w:val="00F84A94"/>
    <w:rsid w:val="00F87E96"/>
    <w:rsid w:val="00FA23E8"/>
    <w:rsid w:val="00FD3CC1"/>
    <w:rsid w:val="00FF1E02"/>
    <w:rsid w:val="00FF30B4"/>
    <w:rsid w:val="0414696C"/>
    <w:rsid w:val="053A62B5"/>
    <w:rsid w:val="067A40B5"/>
    <w:rsid w:val="07D2329C"/>
    <w:rsid w:val="08ED6854"/>
    <w:rsid w:val="0A2032A3"/>
    <w:rsid w:val="0B8A37D8"/>
    <w:rsid w:val="0D044000"/>
    <w:rsid w:val="0D721428"/>
    <w:rsid w:val="0D8E7521"/>
    <w:rsid w:val="10C055FF"/>
    <w:rsid w:val="118107EC"/>
    <w:rsid w:val="11DD6519"/>
    <w:rsid w:val="12DC30FE"/>
    <w:rsid w:val="135A4C78"/>
    <w:rsid w:val="16BB723D"/>
    <w:rsid w:val="18015F3F"/>
    <w:rsid w:val="1BE8440E"/>
    <w:rsid w:val="1D155CEE"/>
    <w:rsid w:val="1E0E5DBB"/>
    <w:rsid w:val="20F57F95"/>
    <w:rsid w:val="22275205"/>
    <w:rsid w:val="23060991"/>
    <w:rsid w:val="23155693"/>
    <w:rsid w:val="240371BF"/>
    <w:rsid w:val="25711CC6"/>
    <w:rsid w:val="25C741E6"/>
    <w:rsid w:val="27842671"/>
    <w:rsid w:val="28C4605E"/>
    <w:rsid w:val="29FD04D3"/>
    <w:rsid w:val="2A077C25"/>
    <w:rsid w:val="2ABE7A3E"/>
    <w:rsid w:val="2AFC6642"/>
    <w:rsid w:val="2BE763EE"/>
    <w:rsid w:val="2CA234A8"/>
    <w:rsid w:val="2EFA178C"/>
    <w:rsid w:val="2F5E12BB"/>
    <w:rsid w:val="30B46D73"/>
    <w:rsid w:val="319F7F4E"/>
    <w:rsid w:val="365A594A"/>
    <w:rsid w:val="383D272C"/>
    <w:rsid w:val="39AE70AB"/>
    <w:rsid w:val="3C0C0783"/>
    <w:rsid w:val="3CC33439"/>
    <w:rsid w:val="3DD51775"/>
    <w:rsid w:val="3F9F3A96"/>
    <w:rsid w:val="3FA16143"/>
    <w:rsid w:val="44D22088"/>
    <w:rsid w:val="46BD27DB"/>
    <w:rsid w:val="47526319"/>
    <w:rsid w:val="47A4404E"/>
    <w:rsid w:val="483E5C48"/>
    <w:rsid w:val="48BF60AB"/>
    <w:rsid w:val="493C27E9"/>
    <w:rsid w:val="496F39ED"/>
    <w:rsid w:val="49BE7DFB"/>
    <w:rsid w:val="49C66341"/>
    <w:rsid w:val="49FF41D3"/>
    <w:rsid w:val="4B7700FF"/>
    <w:rsid w:val="4BBA41B0"/>
    <w:rsid w:val="4BE068DB"/>
    <w:rsid w:val="4BF6002B"/>
    <w:rsid w:val="4C290139"/>
    <w:rsid w:val="4C9109C2"/>
    <w:rsid w:val="4ECE2238"/>
    <w:rsid w:val="51DB4B86"/>
    <w:rsid w:val="523A78CD"/>
    <w:rsid w:val="5258450B"/>
    <w:rsid w:val="55333C3E"/>
    <w:rsid w:val="593A5FDF"/>
    <w:rsid w:val="5AAB63DE"/>
    <w:rsid w:val="5DA00BA7"/>
    <w:rsid w:val="600E2614"/>
    <w:rsid w:val="618B3CA1"/>
    <w:rsid w:val="61E43CC9"/>
    <w:rsid w:val="61EC04D6"/>
    <w:rsid w:val="632E5B3D"/>
    <w:rsid w:val="64CA39A1"/>
    <w:rsid w:val="667D75EA"/>
    <w:rsid w:val="687A7943"/>
    <w:rsid w:val="69630ADE"/>
    <w:rsid w:val="6A437A47"/>
    <w:rsid w:val="6A9C57E5"/>
    <w:rsid w:val="6AC90E60"/>
    <w:rsid w:val="6B475DD9"/>
    <w:rsid w:val="6C4A05C8"/>
    <w:rsid w:val="6C8D4C9B"/>
    <w:rsid w:val="6D3B1A89"/>
    <w:rsid w:val="6F370218"/>
    <w:rsid w:val="6FA24C8E"/>
    <w:rsid w:val="71BF4EC2"/>
    <w:rsid w:val="72734D90"/>
    <w:rsid w:val="72A81E84"/>
    <w:rsid w:val="7412278C"/>
    <w:rsid w:val="746C6BEE"/>
    <w:rsid w:val="79B634E8"/>
    <w:rsid w:val="79E7B28D"/>
    <w:rsid w:val="79FE5ECC"/>
    <w:rsid w:val="7B7B49AA"/>
    <w:rsid w:val="7C043BFE"/>
    <w:rsid w:val="7D4042F1"/>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2023&#24180;&#20915;&#31639;&#20844;&#24320;&#36164;&#26009;\137024-&#36930;&#23425;&#24066;&#33337;&#23665;&#21306;&#38271;&#20048;&#34903;&#23567;&#23398;&#26657;\&#20915;&#31639;&#2227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23&#24180;&#20915;&#31639;&#20844;&#24320;&#36164;&#26009;\137024-&#36930;&#23425;&#24066;&#33337;&#23665;&#21306;&#38271;&#20048;&#34903;&#23567;&#23398;&#26657;\&#20915;&#31639;&#2227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23&#24180;&#20915;&#31639;&#20844;&#24320;&#36164;&#26009;\137024-&#36930;&#23425;&#24066;&#33337;&#23665;&#21306;&#38271;&#20048;&#34903;&#23567;&#23398;&#26657;\&#20915;&#31639;&#22270;&#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023&#24180;&#20915;&#31639;&#20844;&#24320;&#36164;&#26009;\137024-&#36930;&#23425;&#24066;&#33337;&#23665;&#21306;&#38271;&#20048;&#34903;&#23567;&#23398;&#26657;\&#20915;&#31639;&#22270;&#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2023&#24180;&#20915;&#31639;&#20844;&#24320;&#36164;&#26009;\137024-&#36930;&#23425;&#24066;&#33337;&#23665;&#21306;&#38271;&#20048;&#34903;&#23567;&#23398;&#26657;\&#20915;&#31639;&#22270;&#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2023&#24180;&#20915;&#31639;&#20844;&#24320;&#36164;&#26009;\137024-&#36930;&#23425;&#24066;&#33337;&#23665;&#21306;&#38271;&#20048;&#34903;&#23567;&#23398;&#26657;\&#20915;&#31639;&#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收入支出总体情况表  （单位：万元）</a:t>
            </a:r>
            <a:endParaRPr lang="zh-CN" altLang="en-US"/>
          </a:p>
        </c:rich>
      </c:tx>
      <c:layout/>
      <c:overlay val="0"/>
    </c:title>
    <c:autoTitleDeleted val="0"/>
    <c:plotArea>
      <c:layout/>
      <c:barChart>
        <c:barDir val="col"/>
        <c:grouping val="clustered"/>
        <c:varyColors val="0"/>
        <c:ser>
          <c:idx val="0"/>
          <c:order val="0"/>
          <c:invertIfNegative val="0"/>
          <c:dLbls>
            <c:delete val="1"/>
          </c:dLbls>
          <c:cat>
            <c:strRef>
              <c:f>'[决算图表.xlsx]Sheet1 (2)'!$A$3:$A$4</c:f>
              <c:strCache>
                <c:ptCount val="2"/>
                <c:pt idx="0">
                  <c:v>2022年</c:v>
                </c:pt>
                <c:pt idx="1">
                  <c:v>2023年</c:v>
                </c:pt>
              </c:strCache>
            </c:strRef>
          </c:cat>
          <c:val>
            <c:numRef>
              <c:f>'[决算图表.xlsx]Sheet1 (2)'!$B$3:$B$4</c:f>
              <c:numCache>
                <c:formatCode>General</c:formatCode>
                <c:ptCount val="2"/>
                <c:pt idx="0">
                  <c:v>746.48</c:v>
                </c:pt>
                <c:pt idx="1">
                  <c:v>788.25</c:v>
                </c:pt>
              </c:numCache>
            </c:numRef>
          </c:val>
        </c:ser>
        <c:dLbls>
          <c:showLegendKey val="0"/>
          <c:showVal val="0"/>
          <c:showCatName val="0"/>
          <c:showSerName val="0"/>
          <c:showPercent val="0"/>
          <c:showBubbleSize val="0"/>
        </c:dLbls>
        <c:gapWidth val="150"/>
        <c:axId val="146729600"/>
        <c:axId val="146887040"/>
      </c:barChart>
      <c:catAx>
        <c:axId val="14672960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6887040"/>
        <c:crosses val="autoZero"/>
        <c:auto val="1"/>
        <c:lblAlgn val="ctr"/>
        <c:lblOffset val="100"/>
        <c:noMultiLvlLbl val="0"/>
      </c:catAx>
      <c:valAx>
        <c:axId val="14688704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6729600"/>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baseline="0">
                <a:solidFill>
                  <a:sysClr val="windowText" lastClr="000000"/>
                </a:solidFill>
                <a:latin typeface="+mn-lt"/>
                <a:ea typeface="+mn-ea"/>
                <a:cs typeface="+mn-cs"/>
              </a:defRPr>
            </a:pPr>
            <a:r>
              <a:rPr lang="zh-CN" altLang="zh-CN" sz="1800" b="1" i="0" baseline="0"/>
              <a:t>二、 收入决算情况</a:t>
            </a:r>
            <a:r>
              <a:rPr lang="en-US" altLang="zh-CN" sz="1800" b="1" i="0" baseline="0"/>
              <a:t>(</a:t>
            </a:r>
            <a:r>
              <a:rPr lang="zh-CN" altLang="zh-CN" sz="1800" b="1" i="0" baseline="0"/>
              <a:t>万元</a:t>
            </a:r>
            <a:r>
              <a:rPr lang="en-US" altLang="zh-CN" sz="1800" b="1" i="0" baseline="0"/>
              <a:t>)</a:t>
            </a:r>
            <a:endParaRPr lang="zh-CN" altLang="zh-CN" sz="1800" b="1" i="0" baseline="0"/>
          </a:p>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baseline="0">
                <a:solidFill>
                  <a:sysClr val="windowText" lastClr="000000"/>
                </a:solidFill>
                <a:latin typeface="+mn-lt"/>
                <a:ea typeface="+mn-ea"/>
                <a:cs typeface="+mn-cs"/>
              </a:defRPr>
            </a:pPr>
            <a:endParaRPr lang="zh-CN" altLang="en-US"/>
          </a:p>
        </c:rich>
      </c:tx>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[决算图表.xlsx]Sheet1!$A$20:$A$27</c:f>
              <c:strCache>
                <c:ptCount val="8"/>
                <c:pt idx="0">
                  <c:v>一般公共预算财政拨款收入</c:v>
                </c:pt>
                <c:pt idx="1">
                  <c:v>其他收入</c:v>
                </c:pt>
              </c:strCache>
            </c:strRef>
          </c:cat>
          <c:val>
            <c:numRef>
              <c:f>[决算图表.xlsx]Sheet1!$B$20:$B$27</c:f>
              <c:numCache>
                <c:formatCode>General</c:formatCode>
                <c:ptCount val="8"/>
                <c:pt idx="0">
                  <c:v>658.89</c:v>
                </c:pt>
                <c:pt idx="1">
                  <c:v>89.11</c:v>
                </c:pt>
              </c:numCache>
            </c:numRef>
          </c:val>
        </c:ser>
        <c:dLbls>
          <c:showLegendKey val="0"/>
          <c:showVal val="0"/>
          <c:showCatName val="0"/>
          <c:showSerName val="0"/>
          <c:showPercent val="1"/>
          <c:showBubbleSize val="0"/>
          <c:showLeaderLines val="1"/>
        </c:dLbls>
        <c:firstSliceAng val="0"/>
      </c:pieChart>
    </c:plotArea>
    <c:legend>
      <c:legendPos val="r"/>
      <c:legendEntry>
        <c:idx val="2"/>
        <c:delete val="1"/>
      </c:legendEntry>
      <c:legendEntry>
        <c:idx val="3"/>
        <c:delete val="1"/>
      </c:legendEntry>
      <c:legendEntry>
        <c:idx val="4"/>
        <c:delete val="1"/>
      </c:legendEntry>
      <c:legendEntry>
        <c:idx val="5"/>
        <c:delete val="1"/>
      </c:legendEntry>
      <c:legendEntry>
        <c:idx val="6"/>
        <c:delete val="1"/>
      </c:legendEntry>
      <c:legendEntry>
        <c:idx val="7"/>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baseline="0">
                <a:solidFill>
                  <a:sysClr val="windowText" lastClr="000000"/>
                </a:solidFill>
                <a:latin typeface="+mn-lt"/>
                <a:ea typeface="+mn-ea"/>
                <a:cs typeface="+mn-cs"/>
              </a:defRPr>
            </a:pPr>
            <a:r>
              <a:rPr lang="zh-CN" altLang="zh-CN" sz="1800" b="1" i="0" baseline="0"/>
              <a:t>三、 支出决算情况(万元)</a:t>
            </a:r>
            <a:endParaRPr lang="zh-CN" altLang="zh-CN"/>
          </a:p>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baseline="0">
                <a:solidFill>
                  <a:sysClr val="windowText" lastClr="000000"/>
                </a:solidFill>
                <a:latin typeface="+mn-lt"/>
                <a:ea typeface="+mn-ea"/>
                <a:cs typeface="+mn-cs"/>
              </a:defRPr>
            </a:pPr>
            <a:endParaRPr lang="zh-CN" altLang="en-US"/>
          </a:p>
        </c:rich>
      </c:tx>
      <c:layout>
        <c:manualLayout>
          <c:xMode val="edge"/>
          <c:yMode val="edge"/>
          <c:x val="0.241694444444445"/>
          <c:y val="0"/>
        </c:manualLayout>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[决算图表.xlsx]Sheet1!$A$35:$A$39</c:f>
              <c:strCache>
                <c:ptCount val="5"/>
                <c:pt idx="0">
                  <c:v>基本支出</c:v>
                </c:pt>
                <c:pt idx="1">
                  <c:v>项目支出</c:v>
                </c:pt>
              </c:strCache>
            </c:strRef>
          </c:cat>
          <c:val>
            <c:numRef>
              <c:f>[决算图表.xlsx]Sheet1!$B$35:$B$39</c:f>
              <c:numCache>
                <c:formatCode>General</c:formatCode>
                <c:ptCount val="5"/>
                <c:pt idx="0">
                  <c:v>539.72</c:v>
                </c:pt>
                <c:pt idx="1">
                  <c:v>211.76</c:v>
                </c:pt>
              </c:numCache>
            </c:numRef>
          </c:val>
        </c:ser>
        <c:dLbls>
          <c:showLegendKey val="0"/>
          <c:showVal val="0"/>
          <c:showCatName val="0"/>
          <c:showSerName val="0"/>
          <c:showPercent val="1"/>
          <c:showBubbleSize val="0"/>
          <c:showLeaderLines val="1"/>
        </c:dLbls>
        <c:firstSliceAng val="0"/>
      </c:pieChart>
    </c:plotArea>
    <c:legend>
      <c:legendPos val="r"/>
      <c:legendEntry>
        <c:idx val="2"/>
        <c:delete val="1"/>
      </c:legendEntry>
      <c:legendEntry>
        <c:idx val="3"/>
        <c:delete val="1"/>
      </c:legendEntry>
      <c:legendEntry>
        <c:idx val="4"/>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baseline="0"/>
              <a:t>四、财政拨款收、支决算总计变动情况 （单位：万元）</a:t>
            </a:r>
            <a:endParaRPr lang="zh-CN" altLang="zh-CN" sz="1800" b="1" i="0" baseline="0"/>
          </a:p>
        </c:rich>
      </c:tx>
      <c:layout/>
      <c:overlay val="0"/>
    </c:title>
    <c:autoTitleDeleted val="0"/>
    <c:plotArea>
      <c:layout/>
      <c:barChart>
        <c:barDir val="col"/>
        <c:grouping val="stacked"/>
        <c:varyColors val="0"/>
        <c:ser>
          <c:idx val="0"/>
          <c:order val="0"/>
          <c:invertIfNegative val="0"/>
          <c:dLbls>
            <c:delete val="1"/>
          </c:dLbls>
          <c:cat>
            <c:strRef>
              <c:f>[决算图表.xlsx]Sheet1!$A$49:$A$50</c:f>
              <c:strCache>
                <c:ptCount val="2"/>
                <c:pt idx="0">
                  <c:v>2022年财政拨款收、支总计</c:v>
                </c:pt>
                <c:pt idx="1">
                  <c:v>2023年财政拨款收、支总计</c:v>
                </c:pt>
              </c:strCache>
            </c:strRef>
          </c:cat>
          <c:val>
            <c:numRef>
              <c:f>[决算图表.xlsx]Sheet1!$B$49:$B$50</c:f>
              <c:numCache>
                <c:formatCode>General</c:formatCode>
                <c:ptCount val="2"/>
                <c:pt idx="0">
                  <c:v>686.44</c:v>
                </c:pt>
                <c:pt idx="1">
                  <c:v>658.89</c:v>
                </c:pt>
              </c:numCache>
            </c:numRef>
          </c:val>
        </c:ser>
        <c:dLbls>
          <c:showLegendKey val="0"/>
          <c:showVal val="0"/>
          <c:showCatName val="0"/>
          <c:showSerName val="0"/>
          <c:showPercent val="0"/>
          <c:showBubbleSize val="0"/>
        </c:dLbls>
        <c:gapWidth val="95"/>
        <c:overlap val="100"/>
        <c:axId val="111259008"/>
        <c:axId val="111273856"/>
      </c:barChart>
      <c:catAx>
        <c:axId val="11125900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1273856"/>
        <c:crosses val="autoZero"/>
        <c:auto val="1"/>
        <c:lblAlgn val="ctr"/>
        <c:lblOffset val="100"/>
        <c:noMultiLvlLbl val="0"/>
      </c:catAx>
      <c:valAx>
        <c:axId val="111273856"/>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1259008"/>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baseline="0">
                <a:solidFill>
                  <a:sysClr val="windowText" lastClr="000000"/>
                </a:solidFill>
                <a:latin typeface="+mn-lt"/>
                <a:ea typeface="+mn-ea"/>
                <a:cs typeface="+mn-cs"/>
              </a:defRPr>
            </a:pPr>
            <a:r>
              <a:rPr lang="zh-CN" altLang="zh-CN" sz="1800" b="1" i="0" baseline="0"/>
              <a:t>五、一般公共预算财政拨款支出（万元）</a:t>
            </a:r>
            <a:endParaRPr lang="zh-CN" altLang="zh-CN"/>
          </a:p>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baseline="0">
                <a:solidFill>
                  <a:sysClr val="windowText" lastClr="000000"/>
                </a:solidFill>
                <a:latin typeface="+mn-lt"/>
                <a:ea typeface="+mn-ea"/>
                <a:cs typeface="+mn-cs"/>
              </a:defRPr>
            </a:pPr>
            <a:endParaRPr lang="zh-CN" altLang="en-US"/>
          </a:p>
        </c:rich>
      </c:tx>
      <c:layout>
        <c:manualLayout>
          <c:xMode val="edge"/>
          <c:yMode val="edge"/>
          <c:x val="0.184768856447689"/>
          <c:y val="0.0413793103448276"/>
        </c:manualLayout>
      </c:layout>
      <c:overlay val="0"/>
    </c:title>
    <c:autoTitleDeleted val="0"/>
    <c:plotArea>
      <c:layout/>
      <c:barChart>
        <c:barDir val="col"/>
        <c:grouping val="stacked"/>
        <c:varyColors val="0"/>
        <c:ser>
          <c:idx val="0"/>
          <c:order val="0"/>
          <c:invertIfNegative val="0"/>
          <c:dLbls>
            <c:delete val="1"/>
          </c:dLbls>
          <c:cat>
            <c:strRef>
              <c:f>[决算图表.xlsx]Sheet1!$A$67:$A$68</c:f>
              <c:strCache>
                <c:ptCount val="2"/>
                <c:pt idx="0">
                  <c:v>2022年一般公共预算财政拨款</c:v>
                </c:pt>
                <c:pt idx="1">
                  <c:v>2023年一般公共预算财政拨款</c:v>
                </c:pt>
              </c:strCache>
            </c:strRef>
          </c:cat>
          <c:val>
            <c:numRef>
              <c:f>[决算图表.xlsx]Sheet1!$B$67:$B$68</c:f>
              <c:numCache>
                <c:formatCode>General</c:formatCode>
                <c:ptCount val="2"/>
                <c:pt idx="0">
                  <c:v>686.44</c:v>
                </c:pt>
                <c:pt idx="1">
                  <c:v>658.89</c:v>
                </c:pt>
              </c:numCache>
            </c:numRef>
          </c:val>
        </c:ser>
        <c:dLbls>
          <c:showLegendKey val="0"/>
          <c:showVal val="0"/>
          <c:showCatName val="0"/>
          <c:showSerName val="0"/>
          <c:showPercent val="0"/>
          <c:showBubbleSize val="0"/>
        </c:dLbls>
        <c:gapWidth val="95"/>
        <c:overlap val="100"/>
        <c:axId val="111551616"/>
        <c:axId val="111553152"/>
      </c:barChart>
      <c:catAx>
        <c:axId val="11155161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1553152"/>
        <c:crosses val="autoZero"/>
        <c:auto val="1"/>
        <c:lblAlgn val="ctr"/>
        <c:lblOffset val="100"/>
        <c:noMultiLvlLbl val="0"/>
      </c:catAx>
      <c:valAx>
        <c:axId val="11155315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1551616"/>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baseline="0"/>
              <a:t>六、一般公共预算财政拨款支出决算(万元)</a:t>
            </a:r>
            <a:endParaRPr lang="zh-CN" altLang="zh-CN"/>
          </a:p>
        </c:rich>
      </c:tx>
      <c:layout>
        <c:manualLayout>
          <c:xMode val="edge"/>
          <c:yMode val="edge"/>
          <c:x val="0.088476357267951"/>
          <c:y val="0"/>
        </c:manualLayout>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[决算图表.xlsx]Sheet1!$A$86:$A$89</c:f>
              <c:strCache>
                <c:ptCount val="4"/>
                <c:pt idx="0">
                  <c:v>教育支出</c:v>
                </c:pt>
                <c:pt idx="1">
                  <c:v>社会保障和就业</c:v>
                </c:pt>
                <c:pt idx="2">
                  <c:v>卫生健康支出</c:v>
                </c:pt>
                <c:pt idx="3">
                  <c:v>住房保障支出</c:v>
                </c:pt>
              </c:strCache>
            </c:strRef>
          </c:cat>
          <c:val>
            <c:numRef>
              <c:f>[决算图表.xlsx]Sheet1!$B$86:$B$89</c:f>
              <c:numCache>
                <c:formatCode>General</c:formatCode>
                <c:ptCount val="4"/>
                <c:pt idx="0">
                  <c:v>520.93</c:v>
                </c:pt>
                <c:pt idx="1">
                  <c:v>71.06</c:v>
                </c:pt>
                <c:pt idx="2">
                  <c:v>28.22</c:v>
                </c:pt>
                <c:pt idx="3">
                  <c:v>38.67</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6542</Words>
  <Characters>7214</Characters>
  <Lines>44</Lines>
  <Paragraphs>12</Paragraphs>
  <TotalTime>12</TotalTime>
  <ScaleCrop>false</ScaleCrop>
  <LinksUpToDate>false</LinksUpToDate>
  <CharactersWithSpaces>7265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2023-09-11T08:34:00Z</dcterms:created>
  <dc:creator>曹颖</dc:creator>
  <cp:lastModifiedBy>lenovo</cp:lastModifiedBy>
  <cp:lastPrinted>2023-09-13T23:57:00Z</cp:lastPrinted>
  <dcterms:modified xsi:type="dcterms:W3CDTF">2024-09-23T03:48:49Z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5E65C46F49024CADBA8DBA0E30D5E1EE_13</vt:lpwstr>
  </property>
</Properties>
</file>