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color w:val="auto"/>
          <w:sz w:val="21"/>
          <w:szCs w:val="21"/>
          <w:highlight w:val="none"/>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bookmarkEnd w:id="0"/>
    <w:p>
      <w:pPr>
        <w:pageBreakBefore w:val="0"/>
        <w:kinsoku/>
        <w:wordWrap/>
        <w:overflowPunct/>
        <w:topLinePunct w:val="0"/>
        <w:bidi w:val="0"/>
        <w:adjustRightInd w:val="0"/>
        <w:snapToGrid w:val="0"/>
        <w:spacing w:line="240" w:lineRule="auto"/>
        <w:jc w:val="center"/>
        <w:outlineLvl w:val="0"/>
        <w:rPr>
          <w:rFonts w:hint="eastAsia" w:ascii="方正小标宋简体" w:hAnsi="方正小标宋简体" w:eastAsia="方正小标宋简体" w:cs="方正小标宋简体"/>
          <w:b/>
          <w:bCs/>
          <w:color w:val="auto"/>
          <w:sz w:val="72"/>
          <w:szCs w:val="72"/>
          <w:highlight w:val="none"/>
          <w:lang w:val="en-US" w:eastAsia="zh-CN"/>
        </w:rPr>
      </w:pPr>
      <w:r>
        <w:rPr>
          <w:rFonts w:hint="eastAsia" w:ascii="方正小标宋简体" w:hAnsi="方正小标宋简体" w:eastAsia="方正小标宋简体" w:cs="方正小标宋简体"/>
          <w:b/>
          <w:bCs/>
          <w:color w:val="auto"/>
          <w:sz w:val="72"/>
          <w:szCs w:val="72"/>
          <w:highlight w:val="none"/>
          <w:lang w:val="en-US" w:eastAsia="zh-CN"/>
        </w:rPr>
        <w:t>2023年度             四川省遂宁市船山区妇幼保健院单位决算</w:t>
      </w:r>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5"/>
        <w:rPr>
          <w:color w:val="auto"/>
          <w:highlight w:val="none"/>
        </w:rPr>
      </w:pPr>
      <w:r>
        <w:rPr>
          <w:rFonts w:hint="eastAsia"/>
          <w:color w:val="auto"/>
          <w:highlight w:val="none"/>
        </w:rPr>
        <w:t>公开时间：</w:t>
      </w:r>
      <w:r>
        <w:rPr>
          <w:rFonts w:hint="eastAsia"/>
          <w:color w:val="auto"/>
          <w:highlight w:val="none"/>
          <w:lang w:val="en-US" w:eastAsia="zh-CN"/>
        </w:rPr>
        <w:t>2024</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11</w:t>
      </w:r>
      <w:r>
        <w:rPr>
          <w:rFonts w:hint="eastAsia"/>
          <w:color w:val="auto"/>
          <w:highlight w:val="none"/>
        </w:rPr>
        <w:t>日</w:t>
      </w:r>
    </w:p>
    <w:p>
      <w:pPr>
        <w:rPr>
          <w:color w:val="auto"/>
          <w:highlight w:val="none"/>
        </w:rPr>
      </w:pPr>
    </w:p>
    <w:sdt>
      <w:sdtPr>
        <w:rPr>
          <w:rFonts w:ascii="宋体" w:hAnsi="宋体" w:eastAsia="宋体" w:cs="Times New Roman"/>
          <w:kern w:val="2"/>
          <w:sz w:val="21"/>
          <w:szCs w:val="24"/>
          <w:lang w:val="en-US" w:eastAsia="zh-CN" w:bidi="ar-SA"/>
        </w:rPr>
        <w:id w:val="147455808"/>
        <w:docPartObj>
          <w:docPartGallery w:val="Table of Contents"/>
          <w:docPartUnique/>
        </w:docPartObj>
      </w:sdtPr>
      <w:sdtEndPr>
        <w:rPr>
          <w:rFonts w:ascii="Times New Roman" w:hAnsi="Times New Roman" w:eastAsia="宋体" w:cs="Times New Roman"/>
          <w:kern w:val="2"/>
          <w:sz w:val="20"/>
          <w:szCs w:val="20"/>
          <w:lang w:val="en-US" w:eastAsia="zh-CN" w:bidi="ar-SA"/>
        </w:rPr>
      </w:sdtEndPr>
      <w:sdtContent>
        <w:p>
          <w:pPr>
            <w:spacing w:before="0" w:beforeLines="0" w:after="0" w:afterLines="0" w:line="240" w:lineRule="auto"/>
            <w:ind w:left="0" w:leftChars="0" w:right="0" w:rightChars="0" w:firstLine="0" w:firstLineChars="0"/>
            <w:jc w:val="center"/>
          </w:pPr>
          <w:bookmarkStart w:id="1" w:name="_Toc29922_WPSOffice_Type2"/>
          <w:r>
            <w:rPr>
              <w:rFonts w:ascii="宋体" w:hAnsi="宋体" w:eastAsia="宋体"/>
              <w:sz w:val="21"/>
            </w:rPr>
            <w:t>目录</w:t>
          </w:r>
        </w:p>
        <w:p>
          <w:pPr>
            <w:pStyle w:val="35"/>
            <w:tabs>
              <w:tab w:val="right" w:leader="dot" w:pos="8306"/>
            </w:tabs>
          </w:pPr>
          <w:r>
            <w:rPr>
              <w:b/>
              <w:bCs/>
            </w:rPr>
            <w:fldChar w:fldCharType="begin"/>
          </w:r>
          <w:r>
            <w:instrText xml:space="preserve"> HYPERLINK \l _Toc19327_WPSOffice_Level1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55811"/>
              <w:placeholder>
                <w:docPart w:val="{826ab9ab-4031-4105-82c4-9f22769ddd72}"/>
              </w:placeholder>
            </w:sdtPr>
            <w:sdtEndPr>
              <w:rPr>
                <w:rFonts w:ascii="Times New Roman" w:hAnsi="Times New Roman" w:eastAsia="宋体" w:cs="Times New Roman"/>
                <w:b/>
                <w:bCs/>
                <w:kern w:val="2"/>
                <w:sz w:val="21"/>
                <w:szCs w:val="24"/>
                <w:lang w:val="en-US" w:eastAsia="zh-CN" w:bidi="ar-SA"/>
              </w:rPr>
            </w:sdtEndPr>
            <w:sdtContent>
              <w:r>
                <w:rPr>
                  <w:rFonts w:hint="eastAsia" w:ascii="黑体" w:hAnsi="黑体" w:eastAsia="黑体" w:cs="Times New Roman"/>
                  <w:b/>
                  <w:bCs/>
                </w:rPr>
                <w:t>第一部分 单位概况</w:t>
              </w:r>
            </w:sdtContent>
          </w:sdt>
          <w:r>
            <w:rPr>
              <w:b/>
              <w:bCs/>
            </w:rPr>
            <w:tab/>
          </w:r>
          <w:bookmarkStart w:id="2" w:name="_Toc19327_WPSOffice_Level1Page"/>
          <w:r>
            <w:rPr>
              <w:b/>
              <w:bCs/>
            </w:rPr>
            <w:t>4</w:t>
          </w:r>
          <w:bookmarkEnd w:id="2"/>
          <w:r>
            <w:rPr>
              <w:b/>
              <w:bCs/>
            </w:rPr>
            <w:fldChar w:fldCharType="end"/>
          </w:r>
        </w:p>
        <w:p>
          <w:pPr>
            <w:pStyle w:val="36"/>
            <w:tabs>
              <w:tab w:val="right" w:leader="dot" w:pos="8306"/>
            </w:tabs>
          </w:pPr>
          <w:r>
            <w:fldChar w:fldCharType="begin"/>
          </w:r>
          <w:r>
            <w:instrText xml:space="preserve"> HYPERLINK \l _Toc19173_WPSOffice_Level2 </w:instrText>
          </w:r>
          <w:r>
            <w:fldChar w:fldCharType="separate"/>
          </w:r>
          <w:sdt>
            <w:sdtPr>
              <w:rPr>
                <w:rFonts w:ascii="Times New Roman" w:hAnsi="Times New Roman" w:eastAsia="宋体" w:cs="Times New Roman"/>
                <w:kern w:val="2"/>
                <w:sz w:val="21"/>
                <w:szCs w:val="24"/>
                <w:lang w:val="en-US" w:eastAsia="zh-CN" w:bidi="ar-SA"/>
              </w:rPr>
              <w:id w:val="147455811"/>
              <w:placeholder>
                <w:docPart w:val="{58e06760-448d-4586-963a-d90031194583}"/>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一、 主要职责</w:t>
              </w:r>
            </w:sdtContent>
          </w:sdt>
          <w:r>
            <w:tab/>
          </w:r>
          <w:bookmarkStart w:id="3" w:name="_Toc19173_WPSOffice_Level2Page"/>
          <w:r>
            <w:t>4</w:t>
          </w:r>
          <w:bookmarkEnd w:id="3"/>
          <w:r>
            <w:fldChar w:fldCharType="end"/>
          </w:r>
        </w:p>
        <w:p>
          <w:pPr>
            <w:pStyle w:val="36"/>
            <w:tabs>
              <w:tab w:val="right" w:leader="dot" w:pos="8306"/>
            </w:tabs>
          </w:pPr>
          <w:r>
            <w:fldChar w:fldCharType="begin"/>
          </w:r>
          <w:r>
            <w:instrText xml:space="preserve"> HYPERLINK \l _Toc29313_WPSOffice_Level2 </w:instrText>
          </w:r>
          <w:r>
            <w:fldChar w:fldCharType="separate"/>
          </w:r>
          <w:sdt>
            <w:sdtPr>
              <w:rPr>
                <w:rFonts w:ascii="Times New Roman" w:hAnsi="Times New Roman" w:eastAsia="宋体" w:cs="Times New Roman"/>
                <w:kern w:val="2"/>
                <w:sz w:val="21"/>
                <w:szCs w:val="24"/>
                <w:lang w:val="en-US" w:eastAsia="zh-CN" w:bidi="ar-SA"/>
              </w:rPr>
              <w:id w:val="147455811"/>
              <w:placeholder>
                <w:docPart w:val="{85468d99-739b-4282-8eda-83584db6d55f}"/>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黑体"/>
                </w:rPr>
                <w:t>二、机构设置</w:t>
              </w:r>
            </w:sdtContent>
          </w:sdt>
          <w:r>
            <w:tab/>
          </w:r>
          <w:bookmarkStart w:id="4" w:name="_Toc29313_WPSOffice_Level2Page"/>
          <w:r>
            <w:t>4</w:t>
          </w:r>
          <w:bookmarkEnd w:id="4"/>
          <w:r>
            <w:fldChar w:fldCharType="end"/>
          </w:r>
        </w:p>
        <w:p>
          <w:pPr>
            <w:pStyle w:val="36"/>
            <w:tabs>
              <w:tab w:val="right" w:leader="dot" w:pos="8306"/>
            </w:tabs>
          </w:pPr>
          <w:r>
            <w:fldChar w:fldCharType="begin"/>
          </w:r>
          <w:r>
            <w:instrText xml:space="preserve"> HYPERLINK \l _Toc16853_WPSOffice_Level2 </w:instrText>
          </w:r>
          <w:r>
            <w:fldChar w:fldCharType="separate"/>
          </w:r>
          <w:sdt>
            <w:sdtPr>
              <w:rPr>
                <w:rFonts w:ascii="Times New Roman" w:hAnsi="Times New Roman" w:eastAsia="宋体" w:cs="Times New Roman"/>
                <w:kern w:val="2"/>
                <w:sz w:val="21"/>
                <w:szCs w:val="24"/>
                <w:lang w:val="en-US" w:eastAsia="zh-CN" w:bidi="ar-SA"/>
              </w:rPr>
              <w:id w:val="147455811"/>
              <w:placeholder>
                <w:docPart w:val="{807e7fbe-3d13-452b-a56e-6d15c636500d}"/>
              </w:placeholder>
            </w:sdtPr>
            <w:sdtEndPr>
              <w:rPr>
                <w:rFonts w:ascii="Times New Roman" w:hAnsi="Times New Roman" w:eastAsia="宋体" w:cs="Times New Roman"/>
                <w:kern w:val="2"/>
                <w:sz w:val="21"/>
                <w:szCs w:val="24"/>
                <w:lang w:val="en-US" w:eastAsia="zh-CN" w:bidi="ar-SA"/>
              </w:rPr>
            </w:sdtEndPr>
            <w:sdtContent>
              <w:r>
                <w:rPr>
                  <w:rFonts w:hint="default" w:ascii="黑体" w:hAnsi="黑体" w:eastAsia="黑体" w:cstheme="majorBidi"/>
                </w:rPr>
                <w:t xml:space="preserve">一、 </w:t>
              </w:r>
              <w:r>
                <w:rPr>
                  <w:rFonts w:hint="eastAsia" w:ascii="黑体" w:hAnsi="黑体" w:eastAsia="黑体" w:cs="Times New Roman"/>
                </w:rPr>
                <w:t>收</w:t>
              </w:r>
              <w:r>
                <w:rPr>
                  <w:rFonts w:hint="eastAsia" w:ascii="黑体" w:hAnsi="黑体" w:eastAsia="黑体" w:cstheme="majorBidi"/>
                </w:rPr>
                <w:t>入支出决算总体情况说明</w:t>
              </w:r>
            </w:sdtContent>
          </w:sdt>
          <w:r>
            <w:tab/>
          </w:r>
          <w:bookmarkStart w:id="5" w:name="_Toc16853_WPSOffice_Level2Page"/>
          <w:r>
            <w:t>5</w:t>
          </w:r>
          <w:bookmarkEnd w:id="5"/>
          <w:r>
            <w:fldChar w:fldCharType="end"/>
          </w:r>
        </w:p>
        <w:p>
          <w:pPr>
            <w:pStyle w:val="36"/>
            <w:tabs>
              <w:tab w:val="right" w:leader="dot" w:pos="8306"/>
            </w:tabs>
          </w:pPr>
          <w:r>
            <w:fldChar w:fldCharType="begin"/>
          </w:r>
          <w:r>
            <w:instrText xml:space="preserve"> HYPERLINK \l _Toc7188_WPSOffice_Level2 </w:instrText>
          </w:r>
          <w:r>
            <w:fldChar w:fldCharType="separate"/>
          </w:r>
          <w:sdt>
            <w:sdtPr>
              <w:rPr>
                <w:rFonts w:ascii="Times New Roman" w:hAnsi="Times New Roman" w:eastAsia="宋体" w:cs="Times New Roman"/>
                <w:kern w:val="2"/>
                <w:sz w:val="21"/>
                <w:szCs w:val="24"/>
                <w:lang w:val="en-US" w:eastAsia="zh-CN" w:bidi="ar-SA"/>
              </w:rPr>
              <w:id w:val="147455811"/>
              <w:placeholder>
                <w:docPart w:val="{84da4cad-2dc3-4351-9dc8-7e51d2aa8a0a}"/>
              </w:placeholder>
            </w:sdtPr>
            <w:sdtEndPr>
              <w:rPr>
                <w:rFonts w:ascii="Times New Roman" w:hAnsi="Times New Roman" w:eastAsia="宋体" w:cs="Times New Roman"/>
                <w:kern w:val="2"/>
                <w:sz w:val="21"/>
                <w:szCs w:val="24"/>
                <w:lang w:val="en-US" w:eastAsia="zh-CN" w:bidi="ar-SA"/>
              </w:rPr>
            </w:sdtEndPr>
            <w:sdtContent>
              <w:r>
                <w:rPr>
                  <w:rFonts w:hint="default" w:ascii="黑体" w:hAnsi="黑体" w:eastAsia="黑体" w:cstheme="majorBidi"/>
                </w:rPr>
                <w:t xml:space="preserve">二、 </w:t>
              </w:r>
              <w:r>
                <w:rPr>
                  <w:rFonts w:hint="eastAsia" w:ascii="黑体" w:hAnsi="黑体" w:eastAsia="黑体" w:cs="Times New Roman"/>
                </w:rPr>
                <w:t>收</w:t>
              </w:r>
              <w:r>
                <w:rPr>
                  <w:rFonts w:hint="eastAsia" w:ascii="黑体" w:hAnsi="黑体" w:eastAsia="黑体" w:cstheme="majorBidi"/>
                </w:rPr>
                <w:t>入决算情况说明</w:t>
              </w:r>
            </w:sdtContent>
          </w:sdt>
          <w:r>
            <w:tab/>
          </w:r>
          <w:bookmarkStart w:id="6" w:name="_Toc7188_WPSOffice_Level2Page"/>
          <w:r>
            <w:t>5</w:t>
          </w:r>
          <w:bookmarkEnd w:id="6"/>
          <w:r>
            <w:fldChar w:fldCharType="end"/>
          </w:r>
        </w:p>
        <w:p>
          <w:pPr>
            <w:pStyle w:val="36"/>
            <w:tabs>
              <w:tab w:val="right" w:leader="dot" w:pos="8306"/>
            </w:tabs>
          </w:pPr>
          <w:r>
            <w:fldChar w:fldCharType="begin"/>
          </w:r>
          <w:r>
            <w:instrText xml:space="preserve"> HYPERLINK \l _Toc9365_WPSOffice_Level2 </w:instrText>
          </w:r>
          <w:r>
            <w:fldChar w:fldCharType="separate"/>
          </w:r>
          <w:sdt>
            <w:sdtPr>
              <w:rPr>
                <w:rFonts w:ascii="Times New Roman" w:hAnsi="Times New Roman" w:eastAsia="宋体" w:cs="Times New Roman"/>
                <w:kern w:val="2"/>
                <w:sz w:val="21"/>
                <w:szCs w:val="24"/>
                <w:lang w:val="en-US" w:eastAsia="zh-CN" w:bidi="ar-SA"/>
              </w:rPr>
              <w:id w:val="147455811"/>
              <w:placeholder>
                <w:docPart w:val="{d9bc5446-f10b-46b0-b5c2-1b6e4bdbfbf0}"/>
              </w:placeholder>
            </w:sdtPr>
            <w:sdtEndPr>
              <w:rPr>
                <w:rFonts w:ascii="Times New Roman" w:hAnsi="Times New Roman" w:eastAsia="宋体" w:cs="Times New Roman"/>
                <w:kern w:val="2"/>
                <w:sz w:val="21"/>
                <w:szCs w:val="24"/>
                <w:lang w:val="en-US" w:eastAsia="zh-CN" w:bidi="ar-SA"/>
              </w:rPr>
            </w:sdtEndPr>
            <w:sdtContent>
              <w:r>
                <w:rPr>
                  <w:rFonts w:hint="default" w:ascii="黑体" w:hAnsi="黑体" w:eastAsia="黑体" w:cstheme="majorBidi"/>
                </w:rPr>
                <w:t xml:space="preserve">三、 </w:t>
              </w:r>
              <w:r>
                <w:rPr>
                  <w:rFonts w:hint="eastAsia" w:ascii="黑体" w:hAnsi="黑体" w:eastAsia="黑体" w:cs="Times New Roman"/>
                </w:rPr>
                <w:t>支</w:t>
              </w:r>
              <w:r>
                <w:rPr>
                  <w:rFonts w:hint="eastAsia" w:ascii="黑体" w:hAnsi="黑体" w:eastAsia="黑体" w:cstheme="majorBidi"/>
                </w:rPr>
                <w:t>出决算情况说明</w:t>
              </w:r>
            </w:sdtContent>
          </w:sdt>
          <w:r>
            <w:tab/>
          </w:r>
          <w:bookmarkStart w:id="7" w:name="_Toc9365_WPSOffice_Level2Page"/>
          <w:r>
            <w:t>6</w:t>
          </w:r>
          <w:bookmarkEnd w:id="7"/>
          <w:r>
            <w:fldChar w:fldCharType="end"/>
          </w:r>
        </w:p>
        <w:p>
          <w:pPr>
            <w:pStyle w:val="36"/>
            <w:tabs>
              <w:tab w:val="right" w:leader="dot" w:pos="8306"/>
            </w:tabs>
          </w:pPr>
          <w:r>
            <w:fldChar w:fldCharType="begin"/>
          </w:r>
          <w:r>
            <w:instrText xml:space="preserve"> HYPERLINK \l _Toc13704_WPSOffice_Level2 </w:instrText>
          </w:r>
          <w:r>
            <w:fldChar w:fldCharType="separate"/>
          </w:r>
          <w:sdt>
            <w:sdtPr>
              <w:rPr>
                <w:rFonts w:ascii="Times New Roman" w:hAnsi="Times New Roman" w:eastAsia="宋体" w:cs="Times New Roman"/>
                <w:kern w:val="2"/>
                <w:sz w:val="21"/>
                <w:szCs w:val="24"/>
                <w:lang w:val="en-US" w:eastAsia="zh-CN" w:bidi="ar-SA"/>
              </w:rPr>
              <w:id w:val="147455811"/>
              <w:placeholder>
                <w:docPart w:val="{a0f89693-f984-4565-af88-3fcdc6857da8}"/>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heme="majorBidi"/>
                </w:rPr>
                <w:t>四、财政拨款收入支出决算总体情况说明</w:t>
              </w:r>
            </w:sdtContent>
          </w:sdt>
          <w:r>
            <w:tab/>
          </w:r>
          <w:bookmarkStart w:id="8" w:name="_Toc13704_WPSOffice_Level2Page"/>
          <w:r>
            <w:t>7</w:t>
          </w:r>
          <w:bookmarkEnd w:id="8"/>
          <w:r>
            <w:fldChar w:fldCharType="end"/>
          </w:r>
        </w:p>
        <w:p>
          <w:pPr>
            <w:pStyle w:val="36"/>
            <w:tabs>
              <w:tab w:val="right" w:leader="dot" w:pos="8306"/>
            </w:tabs>
          </w:pPr>
          <w:r>
            <w:fldChar w:fldCharType="begin"/>
          </w:r>
          <w:r>
            <w:instrText xml:space="preserve"> HYPERLINK \l _Toc29374_WPSOffice_Level2 </w:instrText>
          </w:r>
          <w:r>
            <w:fldChar w:fldCharType="separate"/>
          </w:r>
          <w:sdt>
            <w:sdtPr>
              <w:rPr>
                <w:rFonts w:ascii="Times New Roman" w:hAnsi="Times New Roman" w:eastAsia="宋体" w:cs="Times New Roman"/>
                <w:kern w:val="2"/>
                <w:sz w:val="21"/>
                <w:szCs w:val="24"/>
                <w:lang w:val="en-US" w:eastAsia="zh-CN" w:bidi="ar-SA"/>
              </w:rPr>
              <w:id w:val="147455811"/>
              <w:placeholder>
                <w:docPart w:val="{dd27df85-3ff3-427b-9f95-ef0a8f660c1a}"/>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五、一</w:t>
              </w:r>
              <w:r>
                <w:rPr>
                  <w:rFonts w:hint="eastAsia" w:ascii="黑体" w:hAnsi="黑体" w:eastAsia="黑体" w:cstheme="majorBidi"/>
                </w:rPr>
                <w:t>般公共预算财政拨款支出决算情况说明</w:t>
              </w:r>
            </w:sdtContent>
          </w:sdt>
          <w:r>
            <w:tab/>
          </w:r>
          <w:bookmarkStart w:id="9" w:name="_Toc29374_WPSOffice_Level2Page"/>
          <w:r>
            <w:t>8</w:t>
          </w:r>
          <w:bookmarkEnd w:id="9"/>
          <w:r>
            <w:fldChar w:fldCharType="end"/>
          </w:r>
        </w:p>
        <w:p>
          <w:pPr>
            <w:pStyle w:val="36"/>
            <w:tabs>
              <w:tab w:val="right" w:leader="dot" w:pos="8306"/>
            </w:tabs>
          </w:pPr>
          <w:r>
            <w:fldChar w:fldCharType="begin"/>
          </w:r>
          <w:r>
            <w:instrText xml:space="preserve"> HYPERLINK \l _Toc23706_WPSOffice_Level2 </w:instrText>
          </w:r>
          <w:r>
            <w:fldChar w:fldCharType="separate"/>
          </w:r>
          <w:sdt>
            <w:sdtPr>
              <w:rPr>
                <w:rFonts w:ascii="Times New Roman" w:hAnsi="Times New Roman" w:eastAsia="宋体" w:cs="Times New Roman"/>
                <w:kern w:val="2"/>
                <w:sz w:val="21"/>
                <w:szCs w:val="24"/>
                <w:lang w:val="en-US" w:eastAsia="zh-CN" w:bidi="ar-SA"/>
              </w:rPr>
              <w:id w:val="147455811"/>
              <w:placeholder>
                <w:docPart w:val="{6e177eea-4be6-408b-9641-c71daabb5b41}"/>
              </w:placeholder>
            </w:sdtPr>
            <w:sdtEndPr>
              <w:rPr>
                <w:rFonts w:ascii="Times New Roman" w:hAnsi="Times New Roman" w:eastAsia="宋体" w:cs="Times New Roman"/>
                <w:kern w:val="2"/>
                <w:sz w:val="21"/>
                <w:szCs w:val="24"/>
                <w:lang w:val="en-US" w:eastAsia="zh-CN" w:bidi="ar-SA"/>
              </w:rPr>
            </w:sdtEndPr>
            <w:sdtContent>
              <w:r>
                <w:rPr>
                  <w:rFonts w:hint="eastAsia" w:ascii="黑体" w:hAnsi="Times New Roman" w:eastAsia="黑体" w:cs="Times New Roman"/>
                </w:rPr>
                <w:t>六、一般公共预算财政拨款基本支出决算情况说明</w:t>
              </w:r>
            </w:sdtContent>
          </w:sdt>
          <w:r>
            <w:tab/>
          </w:r>
          <w:bookmarkStart w:id="10" w:name="_Toc23706_WPSOffice_Level2Page"/>
          <w:r>
            <w:t>11</w:t>
          </w:r>
          <w:bookmarkEnd w:id="10"/>
          <w:r>
            <w:fldChar w:fldCharType="end"/>
          </w:r>
        </w:p>
        <w:p>
          <w:pPr>
            <w:pStyle w:val="36"/>
            <w:tabs>
              <w:tab w:val="right" w:leader="dot" w:pos="8306"/>
            </w:tabs>
          </w:pPr>
          <w:r>
            <w:fldChar w:fldCharType="begin"/>
          </w:r>
          <w:r>
            <w:instrText xml:space="preserve"> HYPERLINK \l _Toc9596_WPSOffice_Level2 </w:instrText>
          </w:r>
          <w:r>
            <w:fldChar w:fldCharType="separate"/>
          </w:r>
          <w:sdt>
            <w:sdtPr>
              <w:rPr>
                <w:rFonts w:ascii="Times New Roman" w:hAnsi="Times New Roman" w:eastAsia="宋体" w:cs="Times New Roman"/>
                <w:kern w:val="2"/>
                <w:sz w:val="21"/>
                <w:szCs w:val="24"/>
                <w:lang w:val="en-US" w:eastAsia="zh-CN" w:bidi="ar-SA"/>
              </w:rPr>
              <w:id w:val="147455811"/>
              <w:placeholder>
                <w:docPart w:val="{cc3cc4f8-3b72-458c-99c1-7d7a522dd0f0}"/>
              </w:placeholder>
            </w:sdtPr>
            <w:sdtEndPr>
              <w:rPr>
                <w:rFonts w:ascii="Times New Roman" w:hAnsi="Times New Roman" w:eastAsia="宋体" w:cs="Times New Roman"/>
                <w:kern w:val="2"/>
                <w:sz w:val="21"/>
                <w:szCs w:val="24"/>
                <w:lang w:val="en-US" w:eastAsia="zh-CN" w:bidi="ar-SA"/>
              </w:rPr>
            </w:sdtEndPr>
            <w:sdtContent>
              <w:r>
                <w:rPr>
                  <w:rFonts w:hint="eastAsia" w:ascii="黑体" w:hAnsi="Times New Roman" w:eastAsia="黑体" w:cs="Times New Roman"/>
                </w:rPr>
                <w:t>七、财政拨款“三公”经费支出决算情况说明</w:t>
              </w:r>
            </w:sdtContent>
          </w:sdt>
          <w:r>
            <w:tab/>
          </w:r>
          <w:bookmarkStart w:id="11" w:name="_Toc9596_WPSOffice_Level2Page"/>
          <w:r>
            <w:t>11</w:t>
          </w:r>
          <w:bookmarkEnd w:id="11"/>
          <w:r>
            <w:fldChar w:fldCharType="end"/>
          </w:r>
        </w:p>
        <w:p>
          <w:pPr>
            <w:pStyle w:val="36"/>
            <w:tabs>
              <w:tab w:val="right" w:leader="dot" w:pos="8306"/>
            </w:tabs>
          </w:pPr>
          <w:r>
            <w:fldChar w:fldCharType="begin"/>
          </w:r>
          <w:r>
            <w:instrText xml:space="preserve"> HYPERLINK \l _Toc13989_WPSOffice_Level2 </w:instrText>
          </w:r>
          <w:r>
            <w:fldChar w:fldCharType="separate"/>
          </w:r>
          <w:sdt>
            <w:sdtPr>
              <w:rPr>
                <w:rFonts w:ascii="Times New Roman" w:hAnsi="Times New Roman" w:eastAsia="宋体" w:cs="Times New Roman"/>
                <w:kern w:val="2"/>
                <w:sz w:val="21"/>
                <w:szCs w:val="24"/>
                <w:lang w:val="en-US" w:eastAsia="zh-CN" w:bidi="ar-SA"/>
              </w:rPr>
              <w:id w:val="147455811"/>
              <w:placeholder>
                <w:docPart w:val="{2081987e-0f75-4fa9-95ae-c166db272fce}"/>
              </w:placeholder>
            </w:sdtPr>
            <w:sdtEndPr>
              <w:rPr>
                <w:rFonts w:ascii="Times New Roman" w:hAnsi="Times New Roman" w:eastAsia="宋体" w:cs="Times New Roman"/>
                <w:kern w:val="2"/>
                <w:sz w:val="21"/>
                <w:szCs w:val="24"/>
                <w:lang w:val="en-US" w:eastAsia="zh-CN" w:bidi="ar-SA"/>
              </w:rPr>
            </w:sdtEndPr>
            <w:sdtContent>
              <w:r>
                <w:rPr>
                  <w:rFonts w:hint="eastAsia" w:ascii="黑体" w:hAnsi="Times New Roman" w:eastAsia="黑体" w:cs="Times New Roman"/>
                </w:rPr>
                <w:t>八、</w:t>
              </w:r>
              <w:r>
                <w:rPr>
                  <w:rFonts w:hint="eastAsia" w:ascii="黑体" w:hAnsi="黑体" w:eastAsia="黑体" w:cstheme="majorBidi"/>
                </w:rPr>
                <w:t>政府性基金预算支出决算情况说明</w:t>
              </w:r>
            </w:sdtContent>
          </w:sdt>
          <w:r>
            <w:tab/>
          </w:r>
          <w:bookmarkStart w:id="12" w:name="_Toc13989_WPSOffice_Level2Page"/>
          <w:r>
            <w:t>12</w:t>
          </w:r>
          <w:bookmarkEnd w:id="12"/>
          <w:r>
            <w:fldChar w:fldCharType="end"/>
          </w:r>
        </w:p>
        <w:p>
          <w:pPr>
            <w:pStyle w:val="36"/>
            <w:tabs>
              <w:tab w:val="right" w:leader="dot" w:pos="8306"/>
            </w:tabs>
          </w:pPr>
          <w:r>
            <w:fldChar w:fldCharType="begin"/>
          </w:r>
          <w:r>
            <w:instrText xml:space="preserve"> HYPERLINK \l _Toc559_WPSOffice_Level2 </w:instrText>
          </w:r>
          <w:r>
            <w:fldChar w:fldCharType="separate"/>
          </w:r>
          <w:sdt>
            <w:sdtPr>
              <w:rPr>
                <w:rFonts w:ascii="Times New Roman" w:hAnsi="Times New Roman" w:eastAsia="宋体" w:cs="Times New Roman"/>
                <w:kern w:val="2"/>
                <w:sz w:val="21"/>
                <w:szCs w:val="24"/>
                <w:lang w:val="en-US" w:eastAsia="zh-CN" w:bidi="ar-SA"/>
              </w:rPr>
              <w:id w:val="147455811"/>
              <w:placeholder>
                <w:docPart w:val="{62c3815b-c6d7-43a8-a082-47b21e36d19b}"/>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heme="majorBidi"/>
                </w:rPr>
                <w:t>九、 国有资本经营预算支出决算情况说明</w:t>
              </w:r>
            </w:sdtContent>
          </w:sdt>
          <w:r>
            <w:tab/>
          </w:r>
          <w:bookmarkStart w:id="13" w:name="_Toc559_WPSOffice_Level2Page"/>
          <w:r>
            <w:t>13</w:t>
          </w:r>
          <w:bookmarkEnd w:id="13"/>
          <w:r>
            <w:fldChar w:fldCharType="end"/>
          </w:r>
        </w:p>
        <w:p>
          <w:pPr>
            <w:pStyle w:val="36"/>
            <w:tabs>
              <w:tab w:val="right" w:leader="dot" w:pos="8306"/>
            </w:tabs>
          </w:pPr>
          <w:r>
            <w:fldChar w:fldCharType="begin"/>
          </w:r>
          <w:r>
            <w:instrText xml:space="preserve"> HYPERLINK \l _Toc6957_WPSOffice_Level2 </w:instrText>
          </w:r>
          <w:r>
            <w:fldChar w:fldCharType="separate"/>
          </w:r>
          <w:sdt>
            <w:sdtPr>
              <w:rPr>
                <w:rFonts w:ascii="Times New Roman" w:hAnsi="Times New Roman" w:eastAsia="宋体" w:cs="Times New Roman"/>
                <w:kern w:val="2"/>
                <w:sz w:val="21"/>
                <w:szCs w:val="24"/>
                <w:lang w:val="en-US" w:eastAsia="zh-CN" w:bidi="ar-SA"/>
              </w:rPr>
              <w:id w:val="147455811"/>
              <w:placeholder>
                <w:docPart w:val="{e2e757d8-137d-4712-b73d-62c19d536327}"/>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heme="majorBidi"/>
                </w:rPr>
                <w:t>十、 其他重要事项的情况说明</w:t>
              </w:r>
            </w:sdtContent>
          </w:sdt>
          <w:r>
            <w:tab/>
          </w:r>
          <w:bookmarkStart w:id="14" w:name="_Toc6957_WPSOffice_Level2Page"/>
          <w:r>
            <w:t>13</w:t>
          </w:r>
          <w:bookmarkEnd w:id="14"/>
          <w:r>
            <w:fldChar w:fldCharType="end"/>
          </w:r>
        </w:p>
        <w:p>
          <w:pPr>
            <w:pStyle w:val="35"/>
            <w:tabs>
              <w:tab w:val="right" w:leader="dot" w:pos="8306"/>
            </w:tabs>
          </w:pPr>
          <w:r>
            <w:rPr>
              <w:b/>
              <w:bCs/>
            </w:rPr>
            <w:fldChar w:fldCharType="begin"/>
          </w:r>
          <w:r>
            <w:instrText xml:space="preserve"> HYPERLINK \l _Toc19173_WPSOffice_Level1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55811"/>
              <w:placeholder>
                <w:docPart w:val="{2e54b8f2-129a-4d71-89f9-e3413cc49300}"/>
              </w:placeholder>
            </w:sdtPr>
            <w:sdtEndPr>
              <w:rPr>
                <w:rFonts w:ascii="Times New Roman" w:hAnsi="Times New Roman" w:eastAsia="宋体" w:cs="Times New Roman"/>
                <w:b/>
                <w:bCs/>
                <w:kern w:val="2"/>
                <w:sz w:val="21"/>
                <w:szCs w:val="24"/>
                <w:lang w:val="en-US" w:eastAsia="zh-CN" w:bidi="ar-SA"/>
              </w:rPr>
            </w:sdtEndPr>
            <w:sdtContent>
              <w:r>
                <w:rPr>
                  <w:rFonts w:hint="eastAsia" w:ascii="黑体" w:hAnsi="黑体" w:eastAsia="黑体" w:cs="黑体"/>
                  <w:b/>
                  <w:bCs/>
                </w:rPr>
                <w:t xml:space="preserve">第三部分 </w:t>
              </w:r>
              <w:r>
                <w:rPr>
                  <w:rFonts w:hint="eastAsia" w:ascii="黑体" w:hAnsi="黑体" w:eastAsia="黑体" w:cs="Times New Roman"/>
                  <w:b/>
                  <w:bCs/>
                </w:rPr>
                <w:t>名词解释</w:t>
              </w:r>
            </w:sdtContent>
          </w:sdt>
          <w:r>
            <w:rPr>
              <w:b/>
              <w:bCs/>
            </w:rPr>
            <w:tab/>
          </w:r>
          <w:bookmarkStart w:id="15" w:name="_Toc19173_WPSOffice_Level1Page"/>
          <w:r>
            <w:rPr>
              <w:b/>
              <w:bCs/>
            </w:rPr>
            <w:t>15</w:t>
          </w:r>
          <w:bookmarkEnd w:id="15"/>
          <w:r>
            <w:rPr>
              <w:b/>
              <w:bCs/>
            </w:rPr>
            <w:fldChar w:fldCharType="end"/>
          </w:r>
        </w:p>
        <w:p>
          <w:pPr>
            <w:pStyle w:val="35"/>
            <w:tabs>
              <w:tab w:val="right" w:leader="dot" w:pos="8306"/>
            </w:tabs>
          </w:pPr>
          <w:r>
            <w:rPr>
              <w:b/>
              <w:bCs/>
            </w:rPr>
            <w:fldChar w:fldCharType="begin"/>
          </w:r>
          <w:r>
            <w:instrText xml:space="preserve"> HYPERLINK \l _Toc29313_WPSOffice_Level1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55811"/>
              <w:placeholder>
                <w:docPart w:val="{9527d800-4849-43f0-a93f-0d7d5880e31b}"/>
              </w:placeholder>
            </w:sdtPr>
            <w:sdtEndPr>
              <w:rPr>
                <w:rFonts w:ascii="Times New Roman" w:hAnsi="Times New Roman" w:eastAsia="宋体" w:cs="Times New Roman"/>
                <w:b/>
                <w:bCs/>
                <w:kern w:val="2"/>
                <w:sz w:val="21"/>
                <w:szCs w:val="24"/>
                <w:lang w:val="en-US" w:eastAsia="zh-CN" w:bidi="ar-SA"/>
              </w:rPr>
            </w:sdtEndPr>
            <w:sdtContent>
              <w:r>
                <w:rPr>
                  <w:rFonts w:hint="eastAsia" w:ascii="黑体" w:hAnsi="黑体" w:eastAsia="黑体" w:cs="Times New Roman"/>
                  <w:b/>
                  <w:bCs/>
                </w:rPr>
                <w:t>第四部分 附件</w:t>
              </w:r>
            </w:sdtContent>
          </w:sdt>
          <w:r>
            <w:rPr>
              <w:b/>
              <w:bCs/>
            </w:rPr>
            <w:tab/>
          </w:r>
          <w:bookmarkStart w:id="16" w:name="_Toc29313_WPSOffice_Level1Page"/>
          <w:r>
            <w:rPr>
              <w:b/>
              <w:bCs/>
            </w:rPr>
            <w:t>1</w:t>
          </w:r>
          <w:bookmarkEnd w:id="16"/>
          <w:r>
            <w:rPr>
              <w:b/>
              <w:bCs/>
            </w:rPr>
            <w:fldChar w:fldCharType="end"/>
          </w:r>
        </w:p>
        <w:p>
          <w:pPr>
            <w:pStyle w:val="35"/>
            <w:tabs>
              <w:tab w:val="right" w:leader="dot" w:pos="8306"/>
            </w:tabs>
          </w:pPr>
          <w:r>
            <w:rPr>
              <w:b/>
              <w:bCs/>
            </w:rPr>
            <w:fldChar w:fldCharType="begin"/>
          </w:r>
          <w:r>
            <w:instrText xml:space="preserve"> HYPERLINK \l _Toc16853_WPSOffice_Level1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55811"/>
              <w:placeholder>
                <w:docPart w:val="{08b409a6-0304-4fdd-9348-f54da3ddeec1}"/>
              </w:placeholder>
            </w:sdtPr>
            <w:sdtEndPr>
              <w:rPr>
                <w:rFonts w:ascii="Times New Roman" w:hAnsi="Times New Roman" w:eastAsia="宋体" w:cs="Times New Roman"/>
                <w:b/>
                <w:bCs/>
                <w:kern w:val="2"/>
                <w:sz w:val="21"/>
                <w:szCs w:val="24"/>
                <w:lang w:val="en-US" w:eastAsia="zh-CN" w:bidi="ar-SA"/>
              </w:rPr>
            </w:sdtEndPr>
            <w:sdtContent>
              <w:r>
                <w:rPr>
                  <w:rFonts w:hint="eastAsia" w:ascii="黑体" w:hAnsi="黑体" w:eastAsia="黑体" w:cs="Times New Roman"/>
                  <w:b/>
                  <w:bCs/>
                </w:rPr>
                <w:t>第五部分 附表</w:t>
              </w:r>
            </w:sdtContent>
          </w:sdt>
          <w:r>
            <w:rPr>
              <w:b/>
              <w:bCs/>
            </w:rPr>
            <w:tab/>
          </w:r>
          <w:bookmarkStart w:id="17" w:name="_Toc16853_WPSOffice_Level1Page"/>
          <w:r>
            <w:rPr>
              <w:b/>
              <w:bCs/>
            </w:rPr>
            <w:t>1</w:t>
          </w:r>
          <w:bookmarkEnd w:id="17"/>
          <w:r>
            <w:rPr>
              <w:b/>
              <w:bCs/>
            </w:rPr>
            <w:fldChar w:fldCharType="end"/>
          </w:r>
        </w:p>
        <w:p>
          <w:pPr>
            <w:pStyle w:val="36"/>
            <w:tabs>
              <w:tab w:val="right" w:leader="dot" w:pos="8306"/>
            </w:tabs>
          </w:pPr>
          <w:r>
            <w:fldChar w:fldCharType="begin"/>
          </w:r>
          <w:r>
            <w:instrText xml:space="preserve"> HYPERLINK \l _Toc13134_WPSOffice_Level2 </w:instrText>
          </w:r>
          <w:r>
            <w:fldChar w:fldCharType="separate"/>
          </w:r>
          <w:sdt>
            <w:sdtPr>
              <w:rPr>
                <w:rFonts w:ascii="Times New Roman" w:hAnsi="Times New Roman" w:eastAsia="宋体" w:cs="Times New Roman"/>
                <w:kern w:val="2"/>
                <w:sz w:val="21"/>
                <w:szCs w:val="24"/>
                <w:lang w:val="en-US" w:eastAsia="zh-CN" w:bidi="ar-SA"/>
              </w:rPr>
              <w:id w:val="147455811"/>
              <w:placeholder>
                <w:docPart w:val="{7d310773-2ffb-486d-8b4b-af0d8fa1c2b2}"/>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一、收入支出决算总表</w:t>
              </w:r>
            </w:sdtContent>
          </w:sdt>
          <w:r>
            <w:tab/>
          </w:r>
          <w:bookmarkStart w:id="18" w:name="_Toc13134_WPSOffice_Level2Page"/>
          <w:r>
            <w:t>1</w:t>
          </w:r>
          <w:bookmarkEnd w:id="18"/>
          <w:r>
            <w:fldChar w:fldCharType="end"/>
          </w:r>
        </w:p>
        <w:p>
          <w:pPr>
            <w:pStyle w:val="36"/>
            <w:tabs>
              <w:tab w:val="right" w:leader="dot" w:pos="8306"/>
            </w:tabs>
          </w:pPr>
          <w:r>
            <w:fldChar w:fldCharType="begin"/>
          </w:r>
          <w:r>
            <w:instrText xml:space="preserve"> HYPERLINK \l _Toc32717_WPSOffice_Level2 </w:instrText>
          </w:r>
          <w:r>
            <w:fldChar w:fldCharType="separate"/>
          </w:r>
          <w:sdt>
            <w:sdtPr>
              <w:rPr>
                <w:rFonts w:ascii="Times New Roman" w:hAnsi="Times New Roman" w:eastAsia="宋体" w:cs="Times New Roman"/>
                <w:kern w:val="2"/>
                <w:sz w:val="21"/>
                <w:szCs w:val="24"/>
                <w:lang w:val="en-US" w:eastAsia="zh-CN" w:bidi="ar-SA"/>
              </w:rPr>
              <w:id w:val="147455811"/>
              <w:placeholder>
                <w:docPart w:val="{f7ceba0d-569b-4757-9623-cc59df61efea}"/>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二、收入决算表</w:t>
              </w:r>
            </w:sdtContent>
          </w:sdt>
          <w:r>
            <w:tab/>
          </w:r>
          <w:bookmarkStart w:id="19" w:name="_Toc32717_WPSOffice_Level2Page"/>
          <w:r>
            <w:t>1</w:t>
          </w:r>
          <w:bookmarkEnd w:id="19"/>
          <w:r>
            <w:fldChar w:fldCharType="end"/>
          </w:r>
        </w:p>
        <w:p>
          <w:pPr>
            <w:pStyle w:val="36"/>
            <w:tabs>
              <w:tab w:val="right" w:leader="dot" w:pos="8306"/>
            </w:tabs>
          </w:pPr>
          <w:r>
            <w:fldChar w:fldCharType="begin"/>
          </w:r>
          <w:r>
            <w:instrText xml:space="preserve"> HYPERLINK \l _Toc24857_WPSOffice_Level2 </w:instrText>
          </w:r>
          <w:r>
            <w:fldChar w:fldCharType="separate"/>
          </w:r>
          <w:sdt>
            <w:sdtPr>
              <w:rPr>
                <w:rFonts w:ascii="Times New Roman" w:hAnsi="Times New Roman" w:eastAsia="宋体" w:cs="Times New Roman"/>
                <w:kern w:val="2"/>
                <w:sz w:val="21"/>
                <w:szCs w:val="24"/>
                <w:lang w:val="en-US" w:eastAsia="zh-CN" w:bidi="ar-SA"/>
              </w:rPr>
              <w:id w:val="147455811"/>
              <w:placeholder>
                <w:docPart w:val="{3b122de2-07ab-4a2a-815d-3c577f49ac72}"/>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三、支出决算表</w:t>
              </w:r>
            </w:sdtContent>
          </w:sdt>
          <w:r>
            <w:tab/>
          </w:r>
          <w:bookmarkStart w:id="20" w:name="_Toc24857_WPSOffice_Level2Page"/>
          <w:r>
            <w:t>1</w:t>
          </w:r>
          <w:bookmarkEnd w:id="20"/>
          <w:r>
            <w:fldChar w:fldCharType="end"/>
          </w:r>
        </w:p>
        <w:p>
          <w:pPr>
            <w:pStyle w:val="36"/>
            <w:tabs>
              <w:tab w:val="right" w:leader="dot" w:pos="8306"/>
            </w:tabs>
          </w:pPr>
          <w:r>
            <w:fldChar w:fldCharType="begin"/>
          </w:r>
          <w:r>
            <w:instrText xml:space="preserve"> HYPERLINK \l _Toc6285_WPSOffice_Level2 </w:instrText>
          </w:r>
          <w:r>
            <w:fldChar w:fldCharType="separate"/>
          </w:r>
          <w:sdt>
            <w:sdtPr>
              <w:rPr>
                <w:rFonts w:ascii="Times New Roman" w:hAnsi="Times New Roman" w:eastAsia="宋体" w:cs="Times New Roman"/>
                <w:kern w:val="2"/>
                <w:sz w:val="21"/>
                <w:szCs w:val="24"/>
                <w:lang w:val="en-US" w:eastAsia="zh-CN" w:bidi="ar-SA"/>
              </w:rPr>
              <w:id w:val="147455811"/>
              <w:placeholder>
                <w:docPart w:val="{de92c4d5-335b-433e-9ea9-c55ec995dcaf}"/>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四、财政拨款收入支出决算总表</w:t>
              </w:r>
            </w:sdtContent>
          </w:sdt>
          <w:r>
            <w:tab/>
          </w:r>
          <w:bookmarkStart w:id="21" w:name="_Toc6285_WPSOffice_Level2Page"/>
          <w:r>
            <w:t>1</w:t>
          </w:r>
          <w:bookmarkEnd w:id="21"/>
          <w:r>
            <w:fldChar w:fldCharType="end"/>
          </w:r>
        </w:p>
        <w:p>
          <w:pPr>
            <w:pStyle w:val="36"/>
            <w:tabs>
              <w:tab w:val="right" w:leader="dot" w:pos="8306"/>
            </w:tabs>
          </w:pPr>
          <w:r>
            <w:fldChar w:fldCharType="begin"/>
          </w:r>
          <w:r>
            <w:instrText xml:space="preserve"> HYPERLINK \l _Toc4377_WPSOffice_Level2 </w:instrText>
          </w:r>
          <w:r>
            <w:fldChar w:fldCharType="separate"/>
          </w:r>
          <w:sdt>
            <w:sdtPr>
              <w:rPr>
                <w:rFonts w:ascii="Times New Roman" w:hAnsi="Times New Roman" w:eastAsia="宋体" w:cs="Times New Roman"/>
                <w:kern w:val="2"/>
                <w:sz w:val="21"/>
                <w:szCs w:val="24"/>
                <w:lang w:val="en-US" w:eastAsia="zh-CN" w:bidi="ar-SA"/>
              </w:rPr>
              <w:id w:val="147455811"/>
              <w:placeholder>
                <w:docPart w:val="{48d8cd45-db84-4e6c-98d0-7eb3b23c4a4d}"/>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五、财政拨款支出决算明细表</w:t>
              </w:r>
            </w:sdtContent>
          </w:sdt>
          <w:r>
            <w:tab/>
          </w:r>
          <w:bookmarkStart w:id="22" w:name="_Toc4377_WPSOffice_Level2Page"/>
          <w:r>
            <w:t>1</w:t>
          </w:r>
          <w:bookmarkEnd w:id="22"/>
          <w:r>
            <w:fldChar w:fldCharType="end"/>
          </w:r>
        </w:p>
        <w:p>
          <w:pPr>
            <w:pStyle w:val="36"/>
            <w:tabs>
              <w:tab w:val="right" w:leader="dot" w:pos="8306"/>
            </w:tabs>
          </w:pPr>
          <w:r>
            <w:fldChar w:fldCharType="begin"/>
          </w:r>
          <w:r>
            <w:instrText xml:space="preserve"> HYPERLINK \l _Toc30698_WPSOffice_Level2 </w:instrText>
          </w:r>
          <w:r>
            <w:fldChar w:fldCharType="separate"/>
          </w:r>
          <w:sdt>
            <w:sdtPr>
              <w:rPr>
                <w:rFonts w:ascii="Times New Roman" w:hAnsi="Times New Roman" w:eastAsia="宋体" w:cs="Times New Roman"/>
                <w:kern w:val="2"/>
                <w:sz w:val="21"/>
                <w:szCs w:val="24"/>
                <w:lang w:val="en-US" w:eastAsia="zh-CN" w:bidi="ar-SA"/>
              </w:rPr>
              <w:id w:val="147455811"/>
              <w:placeholder>
                <w:docPart w:val="{5b337b10-8f7d-43e0-839d-640f70b66f09}"/>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六、一般公共预算财政拨款支出决算表</w:t>
              </w:r>
            </w:sdtContent>
          </w:sdt>
          <w:r>
            <w:tab/>
          </w:r>
          <w:bookmarkStart w:id="23" w:name="_Toc30698_WPSOffice_Level2Page"/>
          <w:r>
            <w:t>1</w:t>
          </w:r>
          <w:bookmarkEnd w:id="23"/>
          <w:r>
            <w:fldChar w:fldCharType="end"/>
          </w:r>
        </w:p>
        <w:p>
          <w:pPr>
            <w:pStyle w:val="36"/>
            <w:tabs>
              <w:tab w:val="right" w:leader="dot" w:pos="8306"/>
            </w:tabs>
          </w:pPr>
          <w:r>
            <w:fldChar w:fldCharType="begin"/>
          </w:r>
          <w:r>
            <w:instrText xml:space="preserve"> HYPERLINK \l _Toc2701_WPSOffice_Level2 </w:instrText>
          </w:r>
          <w:r>
            <w:fldChar w:fldCharType="separate"/>
          </w:r>
          <w:sdt>
            <w:sdtPr>
              <w:rPr>
                <w:rFonts w:ascii="Times New Roman" w:hAnsi="Times New Roman" w:eastAsia="宋体" w:cs="Times New Roman"/>
                <w:kern w:val="2"/>
                <w:sz w:val="21"/>
                <w:szCs w:val="24"/>
                <w:lang w:val="en-US" w:eastAsia="zh-CN" w:bidi="ar-SA"/>
              </w:rPr>
              <w:id w:val="147455811"/>
              <w:placeholder>
                <w:docPart w:val="{1c70c216-27b1-4dc9-8385-f4fd778388bb}"/>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七、一般公共预算财政拨款支出决算明细表</w:t>
              </w:r>
            </w:sdtContent>
          </w:sdt>
          <w:r>
            <w:tab/>
          </w:r>
          <w:bookmarkStart w:id="24" w:name="_Toc2701_WPSOffice_Level2Page"/>
          <w:r>
            <w:t>1</w:t>
          </w:r>
          <w:bookmarkEnd w:id="24"/>
          <w:r>
            <w:fldChar w:fldCharType="end"/>
          </w:r>
        </w:p>
        <w:p>
          <w:pPr>
            <w:pStyle w:val="36"/>
            <w:tabs>
              <w:tab w:val="right" w:leader="dot" w:pos="8306"/>
            </w:tabs>
          </w:pPr>
          <w:r>
            <w:fldChar w:fldCharType="begin"/>
          </w:r>
          <w:r>
            <w:instrText xml:space="preserve"> HYPERLINK \l _Toc5139_WPSOffice_Level2 </w:instrText>
          </w:r>
          <w:r>
            <w:fldChar w:fldCharType="separate"/>
          </w:r>
          <w:sdt>
            <w:sdtPr>
              <w:rPr>
                <w:rFonts w:ascii="Times New Roman" w:hAnsi="Times New Roman" w:eastAsia="宋体" w:cs="Times New Roman"/>
                <w:kern w:val="2"/>
                <w:sz w:val="21"/>
                <w:szCs w:val="24"/>
                <w:lang w:val="en-US" w:eastAsia="zh-CN" w:bidi="ar-SA"/>
              </w:rPr>
              <w:id w:val="147455811"/>
              <w:placeholder>
                <w:docPart w:val="{f29f33b9-a346-4696-99b8-7f7b18e17907}"/>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八、一般公共预算财政拨款基本支出决算表</w:t>
              </w:r>
            </w:sdtContent>
          </w:sdt>
          <w:r>
            <w:tab/>
          </w:r>
          <w:bookmarkStart w:id="25" w:name="_Toc5139_WPSOffice_Level2Page"/>
          <w:r>
            <w:t>1</w:t>
          </w:r>
          <w:bookmarkEnd w:id="25"/>
          <w:r>
            <w:fldChar w:fldCharType="end"/>
          </w:r>
        </w:p>
        <w:p>
          <w:pPr>
            <w:pStyle w:val="36"/>
            <w:tabs>
              <w:tab w:val="right" w:leader="dot" w:pos="8306"/>
            </w:tabs>
          </w:pPr>
          <w:r>
            <w:fldChar w:fldCharType="begin"/>
          </w:r>
          <w:r>
            <w:instrText xml:space="preserve"> HYPERLINK \l _Toc12069_WPSOffice_Level2 </w:instrText>
          </w:r>
          <w:r>
            <w:fldChar w:fldCharType="separate"/>
          </w:r>
          <w:sdt>
            <w:sdtPr>
              <w:rPr>
                <w:rFonts w:ascii="Times New Roman" w:hAnsi="Times New Roman" w:eastAsia="宋体" w:cs="Times New Roman"/>
                <w:kern w:val="2"/>
                <w:sz w:val="21"/>
                <w:szCs w:val="24"/>
                <w:lang w:val="en-US" w:eastAsia="zh-CN" w:bidi="ar-SA"/>
              </w:rPr>
              <w:id w:val="147455808"/>
              <w:placeholder>
                <w:docPart w:val="{9b485c5a-c168-4e3e-91fd-596f28369e4d}"/>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九、一般公共预算财政拨款项目支出决算表</w:t>
              </w:r>
            </w:sdtContent>
          </w:sdt>
          <w:r>
            <w:tab/>
          </w:r>
          <w:bookmarkStart w:id="26" w:name="_Toc12069_WPSOffice_Level2Page"/>
          <w:r>
            <w:t>1</w:t>
          </w:r>
          <w:bookmarkEnd w:id="26"/>
          <w:r>
            <w:fldChar w:fldCharType="end"/>
          </w:r>
        </w:p>
        <w:p>
          <w:pPr>
            <w:pStyle w:val="36"/>
            <w:tabs>
              <w:tab w:val="right" w:leader="dot" w:pos="8306"/>
            </w:tabs>
          </w:pPr>
          <w:r>
            <w:fldChar w:fldCharType="begin"/>
          </w:r>
          <w:r>
            <w:instrText xml:space="preserve"> HYPERLINK \l _Toc29922_WPSOffice_Level2 </w:instrText>
          </w:r>
          <w:r>
            <w:fldChar w:fldCharType="separate"/>
          </w:r>
          <w:sdt>
            <w:sdtPr>
              <w:rPr>
                <w:rFonts w:ascii="Times New Roman" w:hAnsi="Times New Roman" w:eastAsia="宋体" w:cs="Times New Roman"/>
                <w:kern w:val="2"/>
                <w:sz w:val="21"/>
                <w:szCs w:val="24"/>
                <w:lang w:val="en-US" w:eastAsia="zh-CN" w:bidi="ar-SA"/>
              </w:rPr>
              <w:id w:val="147455808"/>
              <w:placeholder>
                <w:docPart w:val="{34e77818-faff-4aa9-b063-29f877803b1f}"/>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十、政府性基金预算财政拨款收入支出决算表</w:t>
              </w:r>
            </w:sdtContent>
          </w:sdt>
          <w:r>
            <w:tab/>
          </w:r>
          <w:bookmarkStart w:id="27" w:name="_Toc29922_WPSOffice_Level2Page"/>
          <w:r>
            <w:t>1</w:t>
          </w:r>
          <w:bookmarkEnd w:id="27"/>
          <w:r>
            <w:fldChar w:fldCharType="end"/>
          </w:r>
        </w:p>
        <w:p>
          <w:pPr>
            <w:pStyle w:val="36"/>
            <w:tabs>
              <w:tab w:val="right" w:leader="dot" w:pos="8306"/>
            </w:tabs>
          </w:pPr>
          <w:r>
            <w:fldChar w:fldCharType="begin"/>
          </w:r>
          <w:r>
            <w:instrText xml:space="preserve"> HYPERLINK \l _Toc14409_WPSOffice_Level2 </w:instrText>
          </w:r>
          <w:r>
            <w:fldChar w:fldCharType="separate"/>
          </w:r>
          <w:sdt>
            <w:sdtPr>
              <w:rPr>
                <w:rFonts w:ascii="Times New Roman" w:hAnsi="Times New Roman" w:eastAsia="宋体" w:cs="Times New Roman"/>
                <w:kern w:val="2"/>
                <w:sz w:val="21"/>
                <w:szCs w:val="24"/>
                <w:lang w:val="en-US" w:eastAsia="zh-CN" w:bidi="ar-SA"/>
              </w:rPr>
              <w:id w:val="147455808"/>
              <w:placeholder>
                <w:docPart w:val="{413d7f37-15ce-4f2a-a380-b737d9e8f5d9}"/>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十一、国有资本经营预算财政拨款收入支出决算表</w:t>
              </w:r>
            </w:sdtContent>
          </w:sdt>
          <w:r>
            <w:tab/>
          </w:r>
          <w:bookmarkStart w:id="28" w:name="_Toc14409_WPSOffice_Level2Page"/>
          <w:r>
            <w:t>1</w:t>
          </w:r>
          <w:bookmarkEnd w:id="28"/>
          <w:r>
            <w:fldChar w:fldCharType="end"/>
          </w:r>
        </w:p>
        <w:p>
          <w:pPr>
            <w:pStyle w:val="36"/>
            <w:tabs>
              <w:tab w:val="right" w:leader="dot" w:pos="8306"/>
            </w:tabs>
          </w:pPr>
          <w:r>
            <w:fldChar w:fldCharType="begin"/>
          </w:r>
          <w:r>
            <w:instrText xml:space="preserve"> HYPERLINK \l _Toc8148_WPSOffice_Level2 </w:instrText>
          </w:r>
          <w:r>
            <w:fldChar w:fldCharType="separate"/>
          </w:r>
          <w:sdt>
            <w:sdtPr>
              <w:rPr>
                <w:rFonts w:ascii="Times New Roman" w:hAnsi="Times New Roman" w:eastAsia="宋体" w:cs="Times New Roman"/>
                <w:kern w:val="2"/>
                <w:sz w:val="21"/>
                <w:szCs w:val="24"/>
                <w:lang w:val="en-US" w:eastAsia="zh-CN" w:bidi="ar-SA"/>
              </w:rPr>
              <w:id w:val="147455808"/>
              <w:placeholder>
                <w:docPart w:val="{0d80cb80-b577-4c2b-82bf-9ca64d2985f0}"/>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十二、国有资本经营预算财政拨款支出决算表</w:t>
              </w:r>
            </w:sdtContent>
          </w:sdt>
          <w:r>
            <w:tab/>
          </w:r>
          <w:bookmarkStart w:id="29" w:name="_Toc8148_WPSOffice_Level2Page"/>
          <w:r>
            <w:t>1</w:t>
          </w:r>
          <w:bookmarkEnd w:id="29"/>
          <w:r>
            <w:fldChar w:fldCharType="end"/>
          </w:r>
        </w:p>
        <w:p>
          <w:pPr>
            <w:pStyle w:val="36"/>
            <w:tabs>
              <w:tab w:val="right" w:leader="dot" w:pos="8306"/>
            </w:tabs>
          </w:pPr>
          <w:r>
            <w:fldChar w:fldCharType="begin"/>
          </w:r>
          <w:r>
            <w:instrText xml:space="preserve"> HYPERLINK \l _Toc17503_WPSOffice_Level2 </w:instrText>
          </w:r>
          <w:r>
            <w:fldChar w:fldCharType="separate"/>
          </w:r>
          <w:sdt>
            <w:sdtPr>
              <w:rPr>
                <w:rFonts w:ascii="Times New Roman" w:hAnsi="Times New Roman" w:eastAsia="宋体" w:cs="Times New Roman"/>
                <w:kern w:val="2"/>
                <w:sz w:val="21"/>
                <w:szCs w:val="24"/>
                <w:lang w:val="en-US" w:eastAsia="zh-CN" w:bidi="ar-SA"/>
              </w:rPr>
              <w:id w:val="147455808"/>
              <w:placeholder>
                <w:docPart w:val="{854a8696-cbb7-4478-a7c6-181a9a72bf6a}"/>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十三、财政拨款“三公”经费支出决算表</w:t>
              </w:r>
            </w:sdtContent>
          </w:sdt>
          <w:r>
            <w:tab/>
          </w:r>
          <w:bookmarkStart w:id="30" w:name="_Toc17503_WPSOffice_Level2Page"/>
          <w:r>
            <w:t>1</w:t>
          </w:r>
          <w:bookmarkEnd w:id="30"/>
          <w:r>
            <w:fldChar w:fldCharType="end"/>
          </w:r>
          <w:bookmarkEnd w:id="1"/>
        </w:p>
      </w:sdtContent>
    </w:sdt>
    <w:p>
      <w:pPr>
        <w:widowControl/>
        <w:spacing w:line="440" w:lineRule="exact"/>
        <w:jc w:val="left"/>
        <w:rPr>
          <w:rFonts w:ascii="仿宋" w:hAnsi="仿宋" w:eastAsia="仿宋"/>
          <w:bCs/>
          <w:color w:val="auto"/>
          <w:kern w:val="44"/>
          <w:sz w:val="24"/>
          <w:highlight w:val="none"/>
        </w:rPr>
      </w:pPr>
      <w:r>
        <w:rPr>
          <w:rFonts w:ascii="仿宋" w:hAnsi="仿宋" w:eastAsia="仿宋"/>
          <w:b/>
          <w:color w:val="auto"/>
          <w:sz w:val="24"/>
          <w:highlight w:val="none"/>
        </w:rPr>
        <w:br w:type="page"/>
      </w:r>
    </w:p>
    <w:p>
      <w:pPr>
        <w:pStyle w:val="5"/>
        <w:pageBreakBefore w:val="0"/>
        <w:kinsoku/>
        <w:wordWrap/>
        <w:overflowPunct/>
        <w:topLinePunct w:val="0"/>
        <w:autoSpaceDE/>
        <w:autoSpaceDN/>
        <w:bidi w:val="0"/>
        <w:adjustRightInd/>
        <w:spacing w:before="0" w:after="0" w:line="240" w:lineRule="auto"/>
        <w:ind w:firstLine="880" w:firstLineChars="200"/>
        <w:jc w:val="center"/>
        <w:textAlignment w:val="auto"/>
        <w:rPr>
          <w:rFonts w:hint="eastAsia" w:ascii="黑体" w:hAnsi="黑体" w:eastAsia="黑体" w:cs="Times New Roman"/>
          <w:b w:val="0"/>
          <w:color w:val="auto"/>
          <w:highlight w:val="none"/>
        </w:rPr>
      </w:pPr>
      <w:bookmarkStart w:id="31" w:name="_Toc19327_WPSOffice_Level1"/>
      <w:r>
        <w:rPr>
          <w:rFonts w:hint="eastAsia" w:ascii="黑体" w:hAnsi="黑体" w:eastAsia="黑体" w:cs="Times New Roman"/>
          <w:b w:val="0"/>
          <w:color w:val="auto"/>
          <w:highlight w:val="none"/>
        </w:rPr>
        <w:t xml:space="preserve">第一部分 </w:t>
      </w:r>
      <w:r>
        <w:rPr>
          <w:rFonts w:hint="eastAsia" w:ascii="黑体" w:hAnsi="黑体" w:eastAsia="黑体" w:cs="Times New Roman"/>
          <w:b w:val="0"/>
          <w:color w:val="auto"/>
          <w:highlight w:val="none"/>
          <w:lang w:eastAsia="zh-CN"/>
        </w:rPr>
        <w:t>单位</w:t>
      </w:r>
      <w:r>
        <w:rPr>
          <w:rFonts w:hint="eastAsia" w:ascii="黑体" w:hAnsi="黑体" w:eastAsia="黑体" w:cs="Times New Roman"/>
          <w:b w:val="0"/>
          <w:color w:val="auto"/>
          <w:highlight w:val="none"/>
        </w:rPr>
        <w:t>概况</w:t>
      </w:r>
      <w:bookmarkEnd w:id="31"/>
    </w:p>
    <w:p>
      <w:pPr>
        <w:widowControl/>
        <w:jc w:val="left"/>
        <w:rPr>
          <w:rFonts w:ascii="黑体" w:eastAsia="黑体"/>
          <w:color w:val="auto"/>
          <w:sz w:val="32"/>
          <w:szCs w:val="32"/>
          <w:highlight w:val="none"/>
        </w:rPr>
      </w:pPr>
    </w:p>
    <w:p>
      <w:pPr>
        <w:pStyle w:val="6"/>
        <w:pageBreakBefore w:val="0"/>
        <w:numPr>
          <w:ilvl w:val="0"/>
          <w:numId w:val="1"/>
        </w:numPr>
        <w:kinsoku/>
        <w:wordWrap/>
        <w:overflowPunct/>
        <w:topLinePunct w:val="0"/>
        <w:autoSpaceDE/>
        <w:autoSpaceDN/>
        <w:bidi w:val="0"/>
        <w:adjustRightInd/>
        <w:snapToGrid/>
        <w:spacing w:before="0" w:after="0" w:line="240" w:lineRule="auto"/>
        <w:ind w:firstLine="643" w:firstLineChars="200"/>
        <w:textAlignment w:val="auto"/>
        <w:rPr>
          <w:rStyle w:val="30"/>
          <w:rFonts w:hint="eastAsia" w:ascii="黑体" w:hAnsi="黑体" w:eastAsia="黑体" w:cs="黑体"/>
          <w:b/>
          <w:bCs w:val="0"/>
          <w:color w:val="auto"/>
          <w:highlight w:val="none"/>
          <w:lang w:eastAsia="zh-CN"/>
        </w:rPr>
      </w:pPr>
      <w:bookmarkStart w:id="32" w:name="_Toc19173_WPSOffice_Level2"/>
      <w:bookmarkStart w:id="33" w:name="_Toc15396600"/>
      <w:bookmarkStart w:id="34" w:name="_Toc15377197"/>
      <w:r>
        <w:rPr>
          <w:rStyle w:val="30"/>
          <w:rFonts w:hint="eastAsia" w:ascii="黑体" w:hAnsi="黑体" w:eastAsia="黑体" w:cs="黑体"/>
          <w:b/>
          <w:bCs w:val="0"/>
          <w:color w:val="auto"/>
          <w:highlight w:val="none"/>
          <w:lang w:eastAsia="zh-CN"/>
        </w:rPr>
        <w:t>主要职责</w:t>
      </w:r>
      <w:bookmarkEnd w:id="32"/>
    </w:p>
    <w:p>
      <w:pPr>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核定财政差额拨款事业编制99名，设党委书记1名（副科），主任1名（副科），副主任3名，事业单位类别确定为公益一类。</w:t>
      </w:r>
    </w:p>
    <w:p>
      <w:pPr>
        <w:pageBreakBefore w:val="0"/>
        <w:kinsoku/>
        <w:wordWrap/>
        <w:overflowPunct/>
        <w:topLinePunct w:val="0"/>
        <w:autoSpaceDE/>
        <w:autoSpaceDN/>
        <w:bidi w:val="0"/>
        <w:adjustRightInd/>
        <w:snapToGrid/>
        <w:ind w:firstLine="640" w:firstLineChars="200"/>
        <w:textAlignment w:val="auto"/>
        <w:rPr>
          <w:rFonts w:hint="eastAsia" w:ascii="黑体" w:hAnsi="黑体" w:eastAsia="黑体" w:cs="黑体"/>
          <w:b/>
          <w:bCs w:val="0"/>
          <w:color w:val="auto"/>
          <w:highlight w:val="none"/>
          <w:lang w:val="en-US" w:eastAsia="zh-CN"/>
        </w:rPr>
      </w:pPr>
      <w:r>
        <w:rPr>
          <w:rFonts w:hint="eastAsia" w:ascii="仿宋" w:hAnsi="仿宋" w:eastAsia="仿宋" w:cs="仿宋"/>
          <w:color w:val="auto"/>
          <w:sz w:val="32"/>
          <w:szCs w:val="32"/>
          <w:lang w:val="en-US" w:eastAsia="zh-CN"/>
        </w:rPr>
        <w:t>主要任务是：为辖区内妇女儿童提供妇女保健、儿童保健、围产保健等妇幼保健服务和妇女常见病防治、助产技术服务、出生缺陷综合防治等医疗保健服务；承担计划生育宣传教育、技术服务、优生指导、药具发放、信息咨询、随访服务、生殖保健、人员培训等任务；开展婚前医学检查、孕产优生健康检查等工作；受区卫健局委托承担全区妇幼保健和计划生育技术服务业务管理、项目管理、培训和技术支持工作。</w:t>
      </w:r>
    </w:p>
    <w:p>
      <w:pPr>
        <w:pStyle w:val="6"/>
        <w:pageBreakBefore w:val="0"/>
        <w:numPr>
          <w:ilvl w:val="0"/>
          <w:numId w:val="0"/>
        </w:numPr>
        <w:kinsoku/>
        <w:wordWrap/>
        <w:overflowPunct/>
        <w:topLinePunct w:val="0"/>
        <w:autoSpaceDE/>
        <w:autoSpaceDN/>
        <w:bidi w:val="0"/>
        <w:adjustRightInd/>
        <w:snapToGrid/>
        <w:spacing w:before="0" w:after="0" w:line="240" w:lineRule="auto"/>
        <w:ind w:firstLine="643" w:firstLineChars="200"/>
        <w:textAlignment w:val="auto"/>
        <w:rPr>
          <w:rFonts w:hint="eastAsia" w:ascii="黑体" w:hAnsi="黑体" w:eastAsia="黑体" w:cs="黑体"/>
          <w:b/>
          <w:bCs w:val="0"/>
          <w:color w:val="auto"/>
          <w:highlight w:val="none"/>
          <w:lang w:val="en-US" w:eastAsia="zh-CN"/>
        </w:rPr>
      </w:pPr>
      <w:bookmarkStart w:id="35" w:name="_Toc29313_WPSOffice_Level2"/>
      <w:r>
        <w:rPr>
          <w:rFonts w:hint="eastAsia" w:ascii="黑体" w:hAnsi="黑体" w:eastAsia="黑体" w:cs="黑体"/>
          <w:b/>
          <w:bCs w:val="0"/>
          <w:color w:val="auto"/>
          <w:highlight w:val="none"/>
          <w:lang w:val="en-US" w:eastAsia="zh-CN"/>
        </w:rPr>
        <w:t>二、机构设置</w:t>
      </w:r>
      <w:bookmarkEnd w:id="33"/>
      <w:bookmarkEnd w:id="34"/>
      <w:bookmarkEnd w:id="35"/>
      <w:bookmarkStart w:id="36" w:name="_Toc15396602"/>
      <w:bookmarkStart w:id="37" w:name="_Toc15377204"/>
    </w:p>
    <w:p>
      <w:pPr>
        <w:pStyle w:val="6"/>
        <w:numPr>
          <w:ilvl w:val="0"/>
          <w:numId w:val="0"/>
        </w:numPr>
        <w:ind w:leftChars="0" w:firstLine="640" w:firstLineChars="200"/>
        <w:rPr>
          <w:rStyle w:val="29"/>
          <w:rFonts w:ascii="黑体" w:hAnsi="黑体" w:eastAsia="黑体"/>
          <w:b w:val="0"/>
          <w:bCs/>
          <w:color w:val="auto"/>
          <w:highlight w:val="none"/>
        </w:rPr>
      </w:pPr>
      <w:r>
        <w:rPr>
          <w:rFonts w:hint="eastAsia" w:ascii="仿宋" w:hAnsi="仿宋" w:eastAsia="仿宋" w:cs="仿宋"/>
          <w:b w:val="0"/>
          <w:bCs w:val="0"/>
          <w:color w:val="auto"/>
          <w:kern w:val="2"/>
          <w:sz w:val="32"/>
          <w:szCs w:val="32"/>
          <w:highlight w:val="none"/>
          <w:lang w:val="en-US" w:eastAsia="zh-CN" w:bidi="ar-SA"/>
        </w:rPr>
        <w:t>院内现设有妇女保健和计划生育服务部、孕产保健部、儿童保健部、党政办公室、人事科、基层保健科、公共卫生科、医学装备科、对外联络办公室、体检科、医务科、护理部、院感科、采购办、基建科、保卫科、后勤科、财务科、医保办、婚孕检中心、药剂科、功能科、麻醉手术室、检验科、信息科。</w:t>
      </w:r>
      <w:r>
        <w:rPr>
          <w:rFonts w:hint="eastAsia" w:ascii="黑体" w:hAnsi="黑体" w:eastAsia="黑体"/>
          <w:b w:val="0"/>
          <w:bCs/>
          <w:color w:val="auto"/>
          <w:highlight w:val="none"/>
        </w:rPr>
        <w:br w:type="page"/>
      </w:r>
      <w:r>
        <w:rPr>
          <w:rFonts w:hint="eastAsia" w:ascii="黑体" w:hAnsi="黑体" w:eastAsia="黑体"/>
          <w:b w:val="0"/>
          <w:bCs/>
          <w:color w:val="auto"/>
          <w:highlight w:val="none"/>
          <w:lang w:val="en-US" w:eastAsia="zh-CN"/>
        </w:rPr>
        <w:t xml:space="preserve">  </w:t>
      </w:r>
      <w:r>
        <w:rPr>
          <w:rFonts w:hint="eastAsia" w:ascii="黑体" w:hAnsi="黑体" w:eastAsia="黑体" w:cs="Times New Roman"/>
          <w:b w:val="0"/>
          <w:bCs/>
          <w:color w:val="auto"/>
          <w:kern w:val="44"/>
          <w:sz w:val="44"/>
          <w:szCs w:val="44"/>
          <w:highlight w:val="none"/>
          <w:lang w:val="en-US" w:eastAsia="zh-CN" w:bidi="ar-SA"/>
        </w:rPr>
        <w:t xml:space="preserve"> 第二部分 2023年度单位决算情况说明</w:t>
      </w:r>
      <w:bookmarkEnd w:id="36"/>
      <w:bookmarkEnd w:id="37"/>
    </w:p>
    <w:p>
      <w:pPr>
        <w:rPr>
          <w:color w:val="auto"/>
          <w:highlight w:val="none"/>
        </w:rPr>
      </w:pPr>
    </w:p>
    <w:p>
      <w:pPr>
        <w:pStyle w:val="28"/>
        <w:numPr>
          <w:ilvl w:val="0"/>
          <w:numId w:val="2"/>
        </w:numPr>
        <w:spacing w:line="600" w:lineRule="exact"/>
        <w:ind w:firstLineChars="0"/>
        <w:outlineLvl w:val="1"/>
        <w:rPr>
          <w:rStyle w:val="30"/>
          <w:rFonts w:ascii="黑体" w:hAnsi="黑体" w:eastAsia="黑体"/>
          <w:b w:val="0"/>
          <w:color w:val="auto"/>
          <w:highlight w:val="none"/>
        </w:rPr>
      </w:pPr>
      <w:bookmarkStart w:id="38" w:name="_Toc15377205"/>
      <w:bookmarkStart w:id="39" w:name="_Toc16853_WPSOffice_Level2"/>
      <w:bookmarkStart w:id="40" w:name="_Toc15396603"/>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入支出决算总体情况说明</w:t>
      </w:r>
      <w:bookmarkEnd w:id="38"/>
      <w:bookmarkEnd w:id="39"/>
      <w:bookmarkEnd w:id="40"/>
    </w:p>
    <w:p>
      <w:pPr>
        <w:spacing w:line="600" w:lineRule="exact"/>
        <w:ind w:firstLine="640" w:firstLineChars="200"/>
        <w:rPr>
          <w:rFonts w:hint="eastAsia" w:ascii="仿宋_GB2312" w:hAnsi="仿宋" w:eastAsia="仿宋_GB2312" w:cs="Times New Roman"/>
          <w:b w:val="0"/>
          <w:bCs w:val="0"/>
          <w:kern w:val="2"/>
          <w:sz w:val="32"/>
          <w:szCs w:val="32"/>
          <w:lang w:val="en-US" w:eastAsia="zh-CN" w:bidi="ar-SA"/>
        </w:rPr>
      </w:pPr>
      <w:r>
        <w:rPr>
          <w:rFonts w:hint="eastAsia" w:ascii="仿宋_GB2312" w:hAnsi="仿宋" w:eastAsia="仿宋_GB2312" w:cs="Times New Roman"/>
          <w:b w:val="0"/>
          <w:bCs w:val="0"/>
          <w:kern w:val="2"/>
          <w:sz w:val="32"/>
          <w:szCs w:val="32"/>
          <w:lang w:val="en-US" w:eastAsia="zh-CN" w:bidi="ar-SA"/>
        </w:rPr>
        <w:t>2023年度收、支总计4984.44万元。与2022年相比，收、支总计各减少5093.6万元，下降50.54%。主要变动原因是2023年度无年初结转和结余。</w:t>
      </w:r>
    </w:p>
    <w:p>
      <w:pPr>
        <w:pStyle w:val="3"/>
        <w:rPr>
          <w:rFonts w:hint="eastAsia"/>
          <w:lang w:val="en-US" w:eastAsia="zh-CN"/>
        </w:rPr>
      </w:pPr>
    </w:p>
    <w:p>
      <w:pPr>
        <w:pStyle w:val="11"/>
        <w:rPr>
          <w:rFonts w:hint="eastAsia" w:ascii="仿宋" w:hAnsi="仿宋" w:eastAsia="仿宋"/>
          <w:color w:val="auto"/>
          <w:sz w:val="32"/>
          <w:szCs w:val="32"/>
          <w:highlight w:val="none"/>
          <w:lang w:eastAsia="zh-CN"/>
        </w:rPr>
      </w:pPr>
      <w:r>
        <w:rPr>
          <w:sz w:val="21"/>
        </w:rPr>
        <mc:AlternateContent>
          <mc:Choice Requires="wps">
            <w:drawing>
              <wp:anchor distT="0" distB="0" distL="114300" distR="114300" simplePos="0" relativeHeight="251663360" behindDoc="0" locked="0" layoutInCell="1" allowOverlap="1">
                <wp:simplePos x="0" y="0"/>
                <wp:positionH relativeFrom="column">
                  <wp:posOffset>4242435</wp:posOffset>
                </wp:positionH>
                <wp:positionV relativeFrom="paragraph">
                  <wp:posOffset>247650</wp:posOffset>
                </wp:positionV>
                <wp:extent cx="942975" cy="313055"/>
                <wp:effectExtent l="0" t="0" r="9525" b="10795"/>
                <wp:wrapNone/>
                <wp:docPr id="3" name="文本框 3"/>
                <wp:cNvGraphicFramePr/>
                <a:graphic xmlns:a="http://schemas.openxmlformats.org/drawingml/2006/main">
                  <a:graphicData uri="http://schemas.microsoft.com/office/word/2010/wordprocessingShape">
                    <wps:wsp>
                      <wps:cNvSpPr txBox="1"/>
                      <wps:spPr>
                        <a:xfrm>
                          <a:off x="5347335" y="3815080"/>
                          <a:ext cx="942975" cy="3130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b w:val="0"/>
                                <w:bCs w:val="0"/>
                                <w:lang w:eastAsia="zh-CN"/>
                              </w:rPr>
                            </w:pPr>
                            <w:r>
                              <w:rPr>
                                <w:rFonts w:hint="eastAsia"/>
                                <w:b w:val="0"/>
                                <w:bCs w:val="0"/>
                                <w:lang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4.05pt;margin-top:19.5pt;height:24.65pt;width:74.25pt;z-index:251663360;mso-width-relative:page;mso-height-relative:page;" fillcolor="#FFFFFF [3201]" filled="t" stroked="f" coordsize="21600,21600" o:gfxdata="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mXDjtNQAAAAJAQAADwAAAAAAAAABACAAAAAiAAAAZHJzL2Rv&#10;d25yZXYueG1sUEsBAhQAFAAAAAgAh07iQPjqTjE+AgAATAQAAA4AAAAAAAAAAQAgAAAAIwEAAGRy&#10;cy9lMm9Eb2MueG1sUEsFBgAAAAAGAAYAWQEAANMFAAAAAA==&#10;">
                <v:fill on="t" focussize="0,0"/>
                <v:stroke on="f" weight="0.5pt"/>
                <v:imagedata o:title=""/>
                <o:lock v:ext="edit" aspectratio="f"/>
                <v:textbox>
                  <w:txbxContent>
                    <w:p>
                      <w:pPr>
                        <w:rPr>
                          <w:rFonts w:hint="eastAsia" w:eastAsia="宋体"/>
                          <w:b w:val="0"/>
                          <w:bCs w:val="0"/>
                          <w:lang w:eastAsia="zh-CN"/>
                        </w:rPr>
                      </w:pPr>
                      <w:r>
                        <w:rPr>
                          <w:rFonts w:hint="eastAsia"/>
                          <w:b w:val="0"/>
                          <w:bCs w:val="0"/>
                          <w:lang w:eastAsia="zh-CN"/>
                        </w:rPr>
                        <w:t>单位：万元</w:t>
                      </w:r>
                    </w:p>
                  </w:txbxContent>
                </v:textbox>
              </v:shape>
            </w:pict>
          </mc:Fallback>
        </mc:AlternateContent>
      </w:r>
      <w:r>
        <w:drawing>
          <wp:inline distT="0" distB="0" distL="114300" distR="114300">
            <wp:extent cx="5323205" cy="2781300"/>
            <wp:effectExtent l="4445" t="4445" r="6350"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pStyle w:val="2"/>
      </w:pPr>
    </w:p>
    <w:p>
      <w:pPr>
        <w:pStyle w:val="28"/>
        <w:numPr>
          <w:ilvl w:val="0"/>
          <w:numId w:val="2"/>
        </w:numPr>
        <w:spacing w:line="600" w:lineRule="exact"/>
        <w:ind w:firstLineChars="0"/>
        <w:outlineLvl w:val="1"/>
        <w:rPr>
          <w:rStyle w:val="30"/>
          <w:rFonts w:ascii="黑体" w:hAnsi="黑体" w:eastAsia="黑体"/>
          <w:b w:val="0"/>
          <w:color w:val="auto"/>
          <w:highlight w:val="none"/>
        </w:rPr>
      </w:pPr>
      <w:bookmarkStart w:id="41" w:name="_Toc15396604"/>
      <w:bookmarkStart w:id="42" w:name="_Toc7188_WPSOffice_Level2"/>
      <w:bookmarkStart w:id="43" w:name="_Toc15377206"/>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入决算情况说明</w:t>
      </w:r>
      <w:bookmarkEnd w:id="41"/>
      <w:bookmarkEnd w:id="42"/>
      <w:bookmarkEnd w:id="43"/>
    </w:p>
    <w:p>
      <w:pPr>
        <w:spacing w:line="600" w:lineRule="exact"/>
        <w:ind w:firstLine="640" w:firstLineChars="200"/>
        <w:rPr>
          <w:rFonts w:hint="eastAsia" w:ascii="仿宋_GB2312" w:hAnsi="仿宋" w:eastAsia="仿宋_GB2312" w:cs="Times New Roman"/>
          <w:b w:val="0"/>
          <w:bCs w:val="0"/>
          <w:kern w:val="2"/>
          <w:sz w:val="32"/>
          <w:szCs w:val="32"/>
          <w:lang w:val="en-US" w:eastAsia="zh-CN" w:bidi="ar-SA"/>
        </w:rPr>
      </w:pPr>
      <w:r>
        <w:rPr>
          <w:rFonts w:hint="eastAsia" w:ascii="仿宋_GB2312" w:hAnsi="仿宋" w:eastAsia="仿宋_GB2312" w:cs="Times New Roman"/>
          <w:b w:val="0"/>
          <w:bCs w:val="0"/>
          <w:kern w:val="2"/>
          <w:sz w:val="32"/>
          <w:szCs w:val="32"/>
          <w:lang w:val="en-US" w:eastAsia="zh-CN" w:bidi="ar-SA"/>
        </w:rPr>
        <w:t>2023年本年收入合计4030.87万元，其中：一般公共预算财政拨款收入700.71万元，占17.4%；政府性基金预算财政拨款收入0万元，占0%；国有资本经营预算财政拨款收入0万元，占0%；上级补助收入0万元，占0%；事业收入3041.06万元，占75.4%；经营收入0万元，占0%；附属单位上缴收入0万元，占0%；其他收入289.1万元，占7.2%。</w:t>
      </w:r>
    </w:p>
    <w:p>
      <w:pPr>
        <w:spacing w:line="600" w:lineRule="exact"/>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（注：数据来源于财决01表</w:t>
      </w:r>
      <w:r>
        <w:rPr>
          <w:rFonts w:hint="eastAsia" w:ascii="仿宋" w:hAnsi="仿宋" w:eastAsia="仿宋" w:cs="Times New Roman"/>
          <w:color w:val="auto"/>
          <w:sz w:val="32"/>
          <w:szCs w:val="32"/>
          <w:highlight w:val="none"/>
          <w:lang w:eastAsia="zh-CN"/>
        </w:rPr>
        <w:t>，仅罗列本单位涉及的收入。</w:t>
      </w:r>
      <w:r>
        <w:rPr>
          <w:rFonts w:hint="eastAsia" w:ascii="仿宋" w:hAnsi="仿宋" w:eastAsia="仿宋" w:cs="Times New Roman"/>
          <w:color w:val="auto"/>
          <w:sz w:val="32"/>
          <w:szCs w:val="32"/>
          <w:highlight w:val="none"/>
        </w:rPr>
        <w:t>）</w:t>
      </w:r>
    </w:p>
    <w:p>
      <w:pPr>
        <w:pStyle w:val="11"/>
        <w:rPr>
          <w:rFonts w:ascii="仿宋" w:hAnsi="仿宋" w:eastAsia="仿宋"/>
          <w:b/>
          <w:color w:val="auto"/>
          <w:sz w:val="32"/>
          <w:szCs w:val="32"/>
          <w:highlight w:val="none"/>
        </w:rPr>
      </w:pPr>
      <w:r>
        <w:rPr>
          <w:highlight w:val="green"/>
        </w:rPr>
        <w:drawing>
          <wp:anchor distT="0" distB="0" distL="114300" distR="114300" simplePos="0" relativeHeight="251664384" behindDoc="0" locked="0" layoutInCell="1" allowOverlap="1">
            <wp:simplePos x="0" y="0"/>
            <wp:positionH relativeFrom="column">
              <wp:posOffset>-137160</wp:posOffset>
            </wp:positionH>
            <wp:positionV relativeFrom="paragraph">
              <wp:posOffset>256540</wp:posOffset>
            </wp:positionV>
            <wp:extent cx="5655310" cy="2657475"/>
            <wp:effectExtent l="4445" t="4445" r="17145" b="5080"/>
            <wp:wrapNone/>
            <wp:docPr id="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rPr>
          <w:rFonts w:hint="default" w:eastAsia="仿宋"/>
          <w:lang w:val="en-US" w:eastAsia="zh-CN"/>
        </w:rPr>
      </w:pPr>
      <w:r>
        <w:rPr>
          <w:rFonts w:hint="eastAsia" w:ascii="仿宋" w:hAnsi="仿宋" w:eastAsia="仿宋"/>
          <w:b/>
          <w:color w:val="auto"/>
          <w:sz w:val="32"/>
          <w:szCs w:val="32"/>
          <w:highlight w:val="none"/>
          <w:lang w:val="en-US" w:eastAsia="zh-CN"/>
        </w:rPr>
        <w:t xml:space="preserve">                                      </w:t>
      </w:r>
    </w:p>
    <w:p>
      <w:pPr>
        <w:spacing w:line="600" w:lineRule="exact"/>
        <w:ind w:firstLine="1680" w:firstLineChars="800"/>
        <w:outlineLvl w:val="1"/>
      </w:pPr>
      <w:r>
        <w:rPr>
          <w:sz w:val="21"/>
        </w:rPr>
        <mc:AlternateContent>
          <mc:Choice Requires="wps">
            <w:drawing>
              <wp:anchor distT="0" distB="0" distL="114300" distR="114300" simplePos="0" relativeHeight="251665408" behindDoc="0" locked="0" layoutInCell="1" allowOverlap="1">
                <wp:simplePos x="0" y="0"/>
                <wp:positionH relativeFrom="column">
                  <wp:posOffset>4090035</wp:posOffset>
                </wp:positionH>
                <wp:positionV relativeFrom="paragraph">
                  <wp:posOffset>54610</wp:posOffset>
                </wp:positionV>
                <wp:extent cx="962025" cy="398780"/>
                <wp:effectExtent l="0" t="0" r="9525" b="1270"/>
                <wp:wrapNone/>
                <wp:docPr id="10" name="文本框 10"/>
                <wp:cNvGraphicFramePr/>
                <a:graphic xmlns:a="http://schemas.openxmlformats.org/drawingml/2006/main">
                  <a:graphicData uri="http://schemas.microsoft.com/office/word/2010/wordprocessingShape">
                    <wps:wsp>
                      <wps:cNvSpPr txBox="1"/>
                      <wps:spPr>
                        <a:xfrm>
                          <a:off x="5233035" y="1944370"/>
                          <a:ext cx="962025" cy="3987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2.05pt;margin-top:4.3pt;height:31.4pt;width:75.75pt;z-index:251665408;mso-width-relative:page;mso-height-relative:page;" fillcolor="#FFFFFF [3201]" filled="t" stroked="f" coordsize="21600,21600" o:gfxdata="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KYKWajTAAAACAEAAA8AAAAAAAAAAQAgAAAAIgAAAGRycy9k&#10;b3ducmV2LnhtbFBLAQIUABQAAAAIAIdO4kDcNfiTQAIAAE4EAAAOAAAAAAAAAAEAIAAAACIBAABk&#10;cnMvZTJvRG9jLnhtbFBLBQYAAAAABgAGAFkBAADUBQAAAAA=&#10;">
                <v:fill on="t" focussize="0,0"/>
                <v:stroke on="f" weight="0.5pt"/>
                <v:imagedata o:title=""/>
                <o:lock v:ext="edit" aspectratio="f"/>
                <v:textbox>
                  <w:txbxContent>
                    <w:p>
                      <w:pPr>
                        <w:rPr>
                          <w:rFonts w:hint="eastAsia" w:eastAsia="宋体"/>
                          <w:lang w:eastAsia="zh-CN"/>
                        </w:rPr>
                      </w:pPr>
                      <w:r>
                        <w:rPr>
                          <w:rFonts w:hint="eastAsia"/>
                          <w:lang w:eastAsia="zh-CN"/>
                        </w:rPr>
                        <w:t>单位：万元</w:t>
                      </w:r>
                    </w:p>
                  </w:txbxContent>
                </v:textbox>
              </v:shape>
            </w:pict>
          </mc:Fallback>
        </mc:AlternateContent>
      </w:r>
    </w:p>
    <w:p>
      <w:pPr>
        <w:spacing w:line="600" w:lineRule="exact"/>
        <w:ind w:firstLine="1680" w:firstLineChars="800"/>
        <w:outlineLvl w:val="1"/>
      </w:pPr>
    </w:p>
    <w:p>
      <w:pPr>
        <w:spacing w:line="600" w:lineRule="exact"/>
        <w:ind w:firstLine="1680" w:firstLineChars="800"/>
        <w:outlineLvl w:val="1"/>
      </w:pPr>
    </w:p>
    <w:p>
      <w:pPr>
        <w:spacing w:line="600" w:lineRule="exact"/>
        <w:ind w:firstLine="1680" w:firstLineChars="800"/>
        <w:outlineLvl w:val="1"/>
      </w:pPr>
    </w:p>
    <w:p>
      <w:pPr>
        <w:spacing w:line="600" w:lineRule="exact"/>
        <w:ind w:firstLine="1680" w:firstLineChars="800"/>
        <w:outlineLvl w:val="1"/>
      </w:pPr>
    </w:p>
    <w:p>
      <w:pPr>
        <w:spacing w:line="600" w:lineRule="exact"/>
        <w:ind w:firstLine="1680" w:firstLineChars="800"/>
        <w:outlineLvl w:val="1"/>
      </w:pPr>
    </w:p>
    <w:p>
      <w:pPr>
        <w:spacing w:line="600" w:lineRule="exact"/>
        <w:ind w:firstLine="1600" w:firstLineChars="500"/>
        <w:outlineLvl w:val="1"/>
        <w:rPr>
          <w:rFonts w:hint="eastAsia" w:ascii="仿宋" w:hAnsi="仿宋" w:eastAsia="仿宋"/>
          <w:color w:val="auto"/>
          <w:sz w:val="32"/>
          <w:szCs w:val="32"/>
          <w:highlight w:val="none"/>
        </w:rPr>
      </w:pPr>
    </w:p>
    <w:p>
      <w:pPr>
        <w:spacing w:line="600" w:lineRule="exact"/>
        <w:ind w:firstLine="1600" w:firstLineChars="500"/>
        <w:outlineLvl w:val="1"/>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（图2：收入决算结构图）</w:t>
      </w:r>
    </w:p>
    <w:p>
      <w:pPr>
        <w:pStyle w:val="3"/>
      </w:pPr>
    </w:p>
    <w:p>
      <w:pPr>
        <w:pStyle w:val="28"/>
        <w:numPr>
          <w:ilvl w:val="0"/>
          <w:numId w:val="2"/>
        </w:numPr>
        <w:spacing w:line="600" w:lineRule="exact"/>
        <w:ind w:firstLineChars="0"/>
        <w:outlineLvl w:val="1"/>
        <w:rPr>
          <w:rStyle w:val="30"/>
          <w:rFonts w:ascii="黑体" w:hAnsi="黑体" w:eastAsia="黑体"/>
          <w:b w:val="0"/>
          <w:color w:val="auto"/>
          <w:highlight w:val="none"/>
        </w:rPr>
      </w:pPr>
      <w:bookmarkStart w:id="44" w:name="_Toc15377207"/>
      <w:bookmarkStart w:id="45" w:name="_Toc9365_WPSOffice_Level2"/>
      <w:bookmarkStart w:id="46" w:name="_Toc15396605"/>
      <w:r>
        <w:rPr>
          <w:rFonts w:hint="eastAsia" w:ascii="黑体" w:hAnsi="黑体" w:eastAsia="黑体"/>
          <w:color w:val="auto"/>
          <w:sz w:val="32"/>
          <w:szCs w:val="32"/>
          <w:highlight w:val="none"/>
        </w:rPr>
        <w:t>支</w:t>
      </w:r>
      <w:r>
        <w:rPr>
          <w:rStyle w:val="30"/>
          <w:rFonts w:hint="eastAsia" w:ascii="黑体" w:hAnsi="黑体" w:eastAsia="黑体"/>
          <w:b w:val="0"/>
          <w:color w:val="auto"/>
          <w:highlight w:val="none"/>
        </w:rPr>
        <w:t>出决算情况说明</w:t>
      </w:r>
      <w:bookmarkEnd w:id="44"/>
      <w:bookmarkEnd w:id="45"/>
      <w:bookmarkEnd w:id="46"/>
    </w:p>
    <w:p>
      <w:pPr>
        <w:spacing w:line="600" w:lineRule="exact"/>
        <w:ind w:firstLine="640" w:firstLineChars="200"/>
        <w:rPr>
          <w:rFonts w:hint="eastAsia" w:ascii="仿宋_GB2312" w:hAnsi="仿宋" w:eastAsia="仿宋_GB2312" w:cs="Times New Roman"/>
          <w:b w:val="0"/>
          <w:bCs w:val="0"/>
          <w:kern w:val="2"/>
          <w:sz w:val="32"/>
          <w:szCs w:val="32"/>
          <w:lang w:val="en-US" w:eastAsia="zh-CN" w:bidi="ar-SA"/>
        </w:rPr>
      </w:pPr>
      <w:r>
        <w:rPr>
          <w:rFonts w:hint="eastAsia" w:ascii="仿宋_GB2312" w:hAnsi="仿宋" w:eastAsia="仿宋_GB2312" w:cs="Times New Roman"/>
          <w:b w:val="0"/>
          <w:bCs w:val="0"/>
          <w:kern w:val="2"/>
          <w:sz w:val="32"/>
          <w:szCs w:val="32"/>
          <w:lang w:val="en-US" w:eastAsia="zh-CN" w:bidi="ar-SA"/>
        </w:rPr>
        <w:t>2023年本年支出合计4984.44万元，其中：基本支出4399.69万元，占88.3%；项目支出584.75万元，占11.7%；上缴上级支出0万元，占0%；经营支出0万元，占0%；对附属单位补助支出0万元，占0%。</w:t>
      </w:r>
    </w:p>
    <w:p>
      <w:pPr>
        <w:spacing w:line="600" w:lineRule="exact"/>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（注：数据来源于财决04表</w:t>
      </w:r>
      <w:r>
        <w:rPr>
          <w:rFonts w:hint="eastAsia" w:ascii="仿宋" w:hAnsi="仿宋" w:eastAsia="仿宋" w:cs="Times New Roman"/>
          <w:color w:val="auto"/>
          <w:sz w:val="32"/>
          <w:szCs w:val="32"/>
          <w:highlight w:val="none"/>
          <w:lang w:eastAsia="zh-CN"/>
        </w:rPr>
        <w:t>，仅罗列本单位涉及的支出。</w:t>
      </w:r>
      <w:r>
        <w:rPr>
          <w:rFonts w:hint="eastAsia" w:ascii="仿宋" w:hAnsi="仿宋" w:eastAsia="仿宋" w:cs="Times New Roman"/>
          <w:color w:val="auto"/>
          <w:sz w:val="32"/>
          <w:szCs w:val="32"/>
          <w:highlight w:val="none"/>
        </w:rPr>
        <w:t>）</w:t>
      </w:r>
    </w:p>
    <w:p>
      <w:pPr>
        <w:spacing w:line="600" w:lineRule="exact"/>
        <w:rPr>
          <w:rFonts w:hint="eastAsia" w:ascii="仿宋" w:hAnsi="仿宋" w:eastAsia="仿宋" w:cs="Times New Roman"/>
          <w:color w:val="auto"/>
          <w:sz w:val="32"/>
          <w:szCs w:val="32"/>
          <w:highlight w:val="none"/>
        </w:rPr>
      </w:pPr>
    </w:p>
    <w:p>
      <w:pPr>
        <w:pStyle w:val="3"/>
        <w:rPr>
          <w:rFonts w:hint="eastAsia" w:ascii="仿宋" w:hAnsi="仿宋" w:eastAsia="仿宋"/>
          <w:b/>
          <w:color w:val="auto"/>
          <w:sz w:val="32"/>
          <w:szCs w:val="32"/>
          <w:highlight w:val="none"/>
        </w:rPr>
      </w:pPr>
    </w:p>
    <w:p>
      <w:pPr>
        <w:pStyle w:val="3"/>
        <w:rPr>
          <w:rFonts w:hint="eastAsia" w:ascii="仿宋" w:hAnsi="仿宋" w:eastAsia="仿宋"/>
          <w:b/>
          <w:color w:val="auto"/>
          <w:sz w:val="32"/>
          <w:szCs w:val="32"/>
          <w:highlight w:val="none"/>
        </w:rPr>
      </w:pPr>
    </w:p>
    <w:p>
      <w:pPr>
        <w:spacing w:line="600" w:lineRule="exact"/>
        <w:ind w:firstLine="2569" w:firstLineChars="803"/>
        <w:rPr>
          <w:rFonts w:hint="eastAsia" w:ascii="仿宋" w:hAnsi="仿宋" w:eastAsia="仿宋"/>
          <w:color w:val="auto"/>
          <w:sz w:val="32"/>
          <w:szCs w:val="32"/>
          <w:highlight w:val="none"/>
        </w:rPr>
      </w:pPr>
    </w:p>
    <w:p>
      <w:pPr>
        <w:spacing w:line="600" w:lineRule="exact"/>
        <w:ind w:firstLine="2569" w:firstLineChars="803"/>
        <w:rPr>
          <w:rFonts w:hint="eastAsia" w:ascii="仿宋" w:hAnsi="仿宋" w:eastAsia="仿宋"/>
          <w:color w:val="auto"/>
          <w:sz w:val="32"/>
          <w:szCs w:val="32"/>
          <w:highlight w:val="none"/>
        </w:rPr>
      </w:pPr>
    </w:p>
    <w:p>
      <w:pPr>
        <w:spacing w:line="600" w:lineRule="exact"/>
        <w:ind w:firstLine="1686" w:firstLineChars="803"/>
        <w:rPr>
          <w:rFonts w:hint="eastAsia" w:ascii="仿宋" w:hAnsi="仿宋" w:eastAsia="仿宋"/>
          <w:color w:val="auto"/>
          <w:sz w:val="32"/>
          <w:szCs w:val="32"/>
          <w:highlight w:val="none"/>
        </w:rPr>
      </w:pPr>
      <w:r>
        <w:rPr>
          <w:sz w:val="21"/>
        </w:rPr>
        <mc:AlternateContent>
          <mc:Choice Requires="wps">
            <w:drawing>
              <wp:anchor distT="0" distB="0" distL="114300" distR="114300" simplePos="0" relativeHeight="251667456" behindDoc="0" locked="0" layoutInCell="1" allowOverlap="1">
                <wp:simplePos x="0" y="0"/>
                <wp:positionH relativeFrom="column">
                  <wp:posOffset>-1447800</wp:posOffset>
                </wp:positionH>
                <wp:positionV relativeFrom="paragraph">
                  <wp:posOffset>271145</wp:posOffset>
                </wp:positionV>
                <wp:extent cx="1038225" cy="361950"/>
                <wp:effectExtent l="0" t="0" r="9525" b="0"/>
                <wp:wrapNone/>
                <wp:docPr id="11" name="文本框 11"/>
                <wp:cNvGraphicFramePr/>
                <a:graphic xmlns:a="http://schemas.openxmlformats.org/drawingml/2006/main">
                  <a:graphicData uri="http://schemas.microsoft.com/office/word/2010/wordprocessingShape">
                    <wps:wsp>
                      <wps:cNvSpPr txBox="1"/>
                      <wps:spPr>
                        <a:xfrm>
                          <a:off x="4680585" y="1185545"/>
                          <a:ext cx="1038225" cy="3619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4pt;margin-top:21.35pt;height:28.5pt;width:81.75pt;z-index:251667456;mso-width-relative:page;mso-height-relative:page;" fillcolor="#FFFFFF [3201]" filled="t" stroked="f" coordsize="21600,21600" o:gfxdata="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&#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SauOrWAAAACgEAAA8AAAAAAAAAAQAgAAAAIgAAAGRy&#10;cy9kb3ducmV2LnhtbFBLAQIUABQAAAAIAIdO4kAi495oQAIAAE8EAAAOAAAAAAAAAAEAIAAAACUB&#10;AABkcnMvZTJvRG9jLnhtbFBLBQYAAAAABgAGAFkBAADXBQAAAAA=&#10;">
                <v:fill on="t" focussize="0,0"/>
                <v:stroke on="f" weight="0.5pt"/>
                <v:imagedata o:title=""/>
                <o:lock v:ext="edit" aspectratio="f"/>
                <v:textbox>
                  <w:txbxContent>
                    <w:p>
                      <w:pPr>
                        <w:rPr>
                          <w:rFonts w:hint="eastAsia" w:eastAsia="宋体"/>
                          <w:lang w:eastAsia="zh-CN"/>
                        </w:rPr>
                      </w:pPr>
                      <w:r>
                        <w:rPr>
                          <w:rFonts w:hint="eastAsia"/>
                          <w:lang w:eastAsia="zh-CN"/>
                        </w:rPr>
                        <w:t>单位：万元</w:t>
                      </w:r>
                    </w:p>
                  </w:txbxContent>
                </v:textbox>
              </v:shape>
            </w:pict>
          </mc:Fallback>
        </mc:AlternateContent>
      </w:r>
      <w:r>
        <w:drawing>
          <wp:anchor distT="0" distB="0" distL="114300" distR="114300" simplePos="0" relativeHeight="251666432" behindDoc="0" locked="0" layoutInCell="1" allowOverlap="1">
            <wp:simplePos x="0" y="0"/>
            <wp:positionH relativeFrom="column">
              <wp:posOffset>284480</wp:posOffset>
            </wp:positionH>
            <wp:positionV relativeFrom="paragraph">
              <wp:posOffset>-83185</wp:posOffset>
            </wp:positionV>
            <wp:extent cx="4572000" cy="2743200"/>
            <wp:effectExtent l="4445" t="4445" r="14605" b="14605"/>
            <wp:wrapSquare wrapText="bothSides"/>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2569" w:firstLineChars="803"/>
        <w:rPr>
          <w:rFonts w:hint="eastAsia" w:ascii="仿宋" w:hAnsi="仿宋" w:eastAsia="仿宋"/>
          <w:color w:val="auto"/>
          <w:sz w:val="32"/>
          <w:szCs w:val="32"/>
          <w:highlight w:val="none"/>
        </w:rPr>
      </w:pPr>
    </w:p>
    <w:p>
      <w:pPr>
        <w:spacing w:line="600" w:lineRule="exact"/>
        <w:ind w:firstLine="1686" w:firstLineChars="803"/>
      </w:pPr>
    </w:p>
    <w:p>
      <w:pPr>
        <w:pStyle w:val="3"/>
        <w:rPr>
          <w:rFonts w:hint="eastAsia"/>
        </w:rPr>
      </w:pPr>
    </w:p>
    <w:p>
      <w:pPr>
        <w:spacing w:line="600" w:lineRule="exact"/>
        <w:ind w:firstLine="2569" w:firstLineChars="803"/>
        <w:rPr>
          <w:rFonts w:hint="eastAsia" w:ascii="仿宋" w:hAnsi="仿宋" w:eastAsia="仿宋"/>
          <w:color w:val="auto"/>
          <w:sz w:val="32"/>
          <w:szCs w:val="32"/>
          <w:highlight w:val="none"/>
        </w:rPr>
      </w:pPr>
    </w:p>
    <w:p>
      <w:pPr>
        <w:spacing w:line="600" w:lineRule="exact"/>
        <w:ind w:firstLine="2569" w:firstLineChars="803"/>
        <w:rPr>
          <w:rFonts w:hint="eastAsia" w:ascii="仿宋" w:hAnsi="仿宋" w:eastAsia="仿宋"/>
          <w:color w:val="auto"/>
          <w:sz w:val="32"/>
          <w:szCs w:val="32"/>
          <w:highlight w:val="none"/>
        </w:rPr>
      </w:pPr>
    </w:p>
    <w:p>
      <w:pPr>
        <w:spacing w:line="600" w:lineRule="exact"/>
        <w:ind w:firstLine="2569" w:firstLineChars="803"/>
        <w:rPr>
          <w:rFonts w:hint="eastAsia" w:ascii="仿宋" w:hAnsi="仿宋" w:eastAsia="仿宋"/>
          <w:color w:val="auto"/>
          <w:sz w:val="32"/>
          <w:szCs w:val="32"/>
          <w:highlight w:val="none"/>
        </w:rPr>
      </w:pPr>
    </w:p>
    <w:p>
      <w:pPr>
        <w:spacing w:line="600" w:lineRule="exact"/>
        <w:ind w:left="1599" w:leftChars="152" w:hanging="1280" w:hangingChars="4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（图3：支出决算结构图）</w:t>
      </w:r>
      <w:bookmarkStart w:id="47" w:name="_Toc15377208"/>
      <w:bookmarkStart w:id="48" w:name="_Toc15396606"/>
    </w:p>
    <w:p>
      <w:pPr>
        <w:spacing w:line="600" w:lineRule="exact"/>
        <w:ind w:firstLine="320" w:firstLineChars="100"/>
        <w:outlineLvl w:val="1"/>
        <w:rPr>
          <w:rStyle w:val="30"/>
          <w:rFonts w:hint="eastAsia" w:ascii="黑体" w:hAnsi="黑体" w:eastAsia="黑体"/>
          <w:b w:val="0"/>
          <w:color w:val="auto"/>
          <w:highlight w:val="none"/>
          <w:lang w:val="en-US" w:eastAsia="zh-CN" w:bidi="ar-SA"/>
        </w:rPr>
      </w:pPr>
      <w:bookmarkStart w:id="49" w:name="_Toc13704_WPSOffice_Level2"/>
      <w:r>
        <w:rPr>
          <w:rStyle w:val="30"/>
          <w:rFonts w:hint="eastAsia" w:ascii="黑体" w:hAnsi="黑体" w:eastAsia="黑体"/>
          <w:b w:val="0"/>
          <w:color w:val="auto"/>
          <w:highlight w:val="none"/>
          <w:lang w:val="en-US" w:eastAsia="zh-CN" w:bidi="ar-SA"/>
        </w:rPr>
        <w:t>四、财政拨款收入支出决算总体情况说明</w:t>
      </w:r>
      <w:bookmarkEnd w:id="47"/>
      <w:bookmarkEnd w:id="48"/>
      <w:bookmarkEnd w:id="49"/>
    </w:p>
    <w:p>
      <w:pPr>
        <w:spacing w:line="600" w:lineRule="exact"/>
        <w:ind w:firstLine="640" w:firstLineChars="200"/>
        <w:rPr>
          <w:rFonts w:hint="eastAsia" w:ascii="仿宋_GB2312" w:hAnsi="仿宋" w:eastAsia="仿宋_GB2312" w:cs="Times New Roman"/>
          <w:b w:val="0"/>
          <w:bCs w:val="0"/>
          <w:kern w:val="2"/>
          <w:sz w:val="32"/>
          <w:szCs w:val="32"/>
          <w:lang w:val="en-US" w:eastAsia="zh-CN" w:bidi="ar-SA"/>
        </w:rPr>
      </w:pPr>
      <w:r>
        <w:rPr>
          <w:rFonts w:hint="eastAsia" w:ascii="仿宋_GB2312" w:hAnsi="仿宋" w:eastAsia="仿宋_GB2312" w:cs="Times New Roman"/>
          <w:b w:val="0"/>
          <w:bCs w:val="0"/>
          <w:kern w:val="2"/>
          <w:sz w:val="32"/>
          <w:szCs w:val="32"/>
          <w:lang w:val="en-US" w:eastAsia="zh-CN" w:bidi="ar-SA"/>
        </w:rPr>
        <w:t>2023年财政拨款收、支总计700.71万元。与2022年相比，财政拨款收、支总计各增加76.52万元，上升12.3%。主要变动原因是2023年财政拨款项目资金较2022年有所增加。</w:t>
      </w:r>
    </w:p>
    <w:p>
      <w:pPr>
        <w:spacing w:line="600" w:lineRule="exact"/>
        <w:ind w:firstLine="1600" w:firstLineChars="5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（注：数据来源于财决01-1表）</w:t>
      </w:r>
    </w:p>
    <w:p>
      <w:pPr>
        <w:pStyle w:val="11"/>
        <w:rPr>
          <w:rFonts w:hint="eastAsia"/>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320" w:firstLineChars="100"/>
        <w:rPr>
          <w:rFonts w:hint="eastAsia" w:ascii="仿宋" w:hAnsi="仿宋" w:eastAsia="仿宋"/>
          <w:color w:val="auto"/>
          <w:sz w:val="32"/>
          <w:szCs w:val="32"/>
          <w:highlight w:val="none"/>
        </w:rPr>
      </w:pPr>
    </w:p>
    <w:p>
      <w:pPr>
        <w:spacing w:line="600" w:lineRule="exact"/>
        <w:ind w:firstLine="320" w:firstLineChars="100"/>
        <w:rPr>
          <w:rFonts w:hint="eastAsia" w:ascii="仿宋" w:hAnsi="仿宋" w:eastAsia="仿宋"/>
          <w:color w:val="auto"/>
          <w:sz w:val="32"/>
          <w:szCs w:val="32"/>
          <w:highlight w:val="none"/>
        </w:rPr>
      </w:pPr>
    </w:p>
    <w:p>
      <w:pPr>
        <w:spacing w:line="600" w:lineRule="exact"/>
        <w:ind w:firstLine="320" w:firstLineChars="100"/>
        <w:rPr>
          <w:rFonts w:hint="eastAsia" w:ascii="仿宋" w:hAnsi="仿宋" w:eastAsia="仿宋"/>
          <w:color w:val="auto"/>
          <w:sz w:val="32"/>
          <w:szCs w:val="32"/>
          <w:highlight w:val="none"/>
        </w:rPr>
      </w:pPr>
    </w:p>
    <w:p>
      <w:pPr>
        <w:spacing w:line="600" w:lineRule="exact"/>
        <w:ind w:firstLine="320" w:firstLineChars="100"/>
        <w:rPr>
          <w:rFonts w:hint="eastAsia" w:ascii="仿宋" w:hAnsi="仿宋" w:eastAsia="仿宋"/>
          <w:color w:val="auto"/>
          <w:sz w:val="32"/>
          <w:szCs w:val="32"/>
          <w:highlight w:val="none"/>
        </w:rPr>
      </w:pPr>
    </w:p>
    <w:p>
      <w:pPr>
        <w:spacing w:line="600" w:lineRule="exact"/>
        <w:ind w:firstLine="210" w:firstLineChars="100"/>
        <w:rPr>
          <w:rFonts w:hint="eastAsia" w:ascii="黑体" w:hAnsi="黑体" w:eastAsia="黑体"/>
          <w:color w:val="auto"/>
          <w:sz w:val="32"/>
          <w:szCs w:val="32"/>
          <w:highlight w:val="none"/>
        </w:rPr>
      </w:pPr>
      <w:r>
        <w:drawing>
          <wp:anchor distT="0" distB="0" distL="114300" distR="114300" simplePos="0" relativeHeight="251668480" behindDoc="0" locked="0" layoutInCell="1" allowOverlap="1">
            <wp:simplePos x="0" y="0"/>
            <wp:positionH relativeFrom="column">
              <wp:posOffset>204470</wp:posOffset>
            </wp:positionH>
            <wp:positionV relativeFrom="paragraph">
              <wp:posOffset>-386080</wp:posOffset>
            </wp:positionV>
            <wp:extent cx="5133340" cy="2971800"/>
            <wp:effectExtent l="4445" t="4445" r="5715" b="14605"/>
            <wp:wrapSquare wrapText="bothSides"/>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sz w:val="21"/>
        </w:rPr>
        <mc:AlternateContent>
          <mc:Choice Requires="wps">
            <w:drawing>
              <wp:anchor distT="0" distB="0" distL="114300" distR="114300" simplePos="0" relativeHeight="251669504" behindDoc="0" locked="0" layoutInCell="1" allowOverlap="1">
                <wp:simplePos x="0" y="0"/>
                <wp:positionH relativeFrom="column">
                  <wp:posOffset>4413885</wp:posOffset>
                </wp:positionH>
                <wp:positionV relativeFrom="paragraph">
                  <wp:posOffset>-55880</wp:posOffset>
                </wp:positionV>
                <wp:extent cx="800100" cy="266700"/>
                <wp:effectExtent l="0" t="0" r="0" b="0"/>
                <wp:wrapNone/>
                <wp:docPr id="13" name="文本框 13"/>
                <wp:cNvGraphicFramePr/>
                <a:graphic xmlns:a="http://schemas.openxmlformats.org/drawingml/2006/main">
                  <a:graphicData uri="http://schemas.microsoft.com/office/word/2010/wordprocessingShape">
                    <wps:wsp>
                      <wps:cNvSpPr txBox="1"/>
                      <wps:spPr>
                        <a:xfrm>
                          <a:off x="5556885" y="858520"/>
                          <a:ext cx="800100" cy="2667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55pt;margin-top:-4.4pt;height:21pt;width:63pt;z-index:251669504;mso-width-relative:page;mso-height-relative:page;" fillcolor="#FFFFFF [3201]" filled="t" stroked="f" coordsize="21600,21600" o:gfxdata="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K1cApdQAAAAJAQAADwAAAAAAAAABACAAAAAiAAAAZHJzL2Rv&#10;d25yZXYueG1sUEsBAhQAFAAAAAgAh07iQFirhdI+AgAATQQAAA4AAAAAAAAAAQAgAAAAIwEAAGRy&#10;cy9lMm9Eb2MueG1sUEsFBgAAAAAGAAYAWQEAANMFAAAAAA==&#10;">
                <v:fill on="t" focussize="0,0"/>
                <v:stroke on="f" weight="0.5pt"/>
                <v:imagedata o:title=""/>
                <o:lock v:ext="edit" aspectratio="f"/>
                <v:textbox>
                  <w:txbxContent>
                    <w:p>
                      <w:pPr>
                        <w:rPr>
                          <w:rFonts w:hint="eastAsia" w:eastAsia="宋体"/>
                          <w:lang w:eastAsia="zh-CN"/>
                        </w:rPr>
                      </w:pPr>
                      <w:r>
                        <w:rPr>
                          <w:rFonts w:hint="eastAsia"/>
                          <w:lang w:eastAsia="zh-CN"/>
                        </w:rPr>
                        <w:t>单位：万元</w:t>
                      </w:r>
                    </w:p>
                  </w:txbxContent>
                </v:textbox>
              </v:shape>
            </w:pict>
          </mc:Fallback>
        </mc:AlternateContent>
      </w:r>
      <w:r>
        <w:rPr>
          <w:rFonts w:hint="eastAsia"/>
          <w:lang w:val="en-US" w:eastAsia="zh-CN"/>
        </w:rPr>
        <w:t xml:space="preserve">       </w:t>
      </w:r>
      <w:r>
        <w:rPr>
          <w:rFonts w:hint="eastAsia" w:ascii="仿宋" w:hAnsi="仿宋" w:eastAsia="仿宋" w:cs="Times New Roman"/>
          <w:color w:val="auto"/>
          <w:sz w:val="32"/>
          <w:szCs w:val="32"/>
          <w:highlight w:val="none"/>
          <w:lang w:val="en-US" w:eastAsia="zh-CN"/>
        </w:rPr>
        <w:t xml:space="preserve">  </w:t>
      </w:r>
      <w:r>
        <w:rPr>
          <w:rFonts w:hint="eastAsia" w:ascii="仿宋" w:hAnsi="仿宋" w:eastAsia="仿宋" w:cs="Times New Roman"/>
          <w:color w:val="auto"/>
          <w:sz w:val="32"/>
          <w:szCs w:val="32"/>
          <w:highlight w:val="none"/>
          <w:lang w:eastAsia="zh-CN"/>
        </w:rPr>
        <w:t>（</w:t>
      </w:r>
      <w:r>
        <w:rPr>
          <w:rFonts w:hint="eastAsia" w:ascii="仿宋" w:hAnsi="仿宋" w:eastAsia="仿宋" w:cs="Times New Roman"/>
          <w:color w:val="auto"/>
          <w:sz w:val="32"/>
          <w:szCs w:val="32"/>
          <w:highlight w:val="none"/>
        </w:rPr>
        <w:t>图4：财政拨款收、支决算总计变动情况）</w:t>
      </w:r>
      <w:bookmarkStart w:id="50" w:name="_Toc15396607"/>
      <w:bookmarkStart w:id="51" w:name="_Toc15377209"/>
    </w:p>
    <w:p>
      <w:pPr>
        <w:spacing w:line="600" w:lineRule="exact"/>
        <w:ind w:firstLine="640" w:firstLineChars="200"/>
        <w:outlineLvl w:val="1"/>
        <w:rPr>
          <w:rStyle w:val="30"/>
          <w:rFonts w:ascii="黑体" w:hAnsi="黑体" w:eastAsia="黑体"/>
          <w:b w:val="0"/>
          <w:color w:val="auto"/>
          <w:highlight w:val="none"/>
        </w:rPr>
      </w:pPr>
      <w:bookmarkStart w:id="52" w:name="_Toc29374_WPSOffice_Level2"/>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般公共预算财政拨款支出决算情况说明</w:t>
      </w:r>
      <w:bookmarkEnd w:id="50"/>
      <w:bookmarkEnd w:id="51"/>
      <w:bookmarkEnd w:id="52"/>
    </w:p>
    <w:p>
      <w:pPr>
        <w:spacing w:line="600" w:lineRule="exact"/>
        <w:ind w:firstLine="640" w:firstLineChars="200"/>
        <w:outlineLvl w:val="2"/>
        <w:rPr>
          <w:rFonts w:ascii="仿宋" w:hAnsi="仿宋" w:eastAsia="仿宋"/>
          <w:b/>
          <w:color w:val="auto"/>
          <w:sz w:val="32"/>
          <w:szCs w:val="32"/>
          <w:highlight w:val="none"/>
        </w:rPr>
      </w:pPr>
      <w:bookmarkStart w:id="53" w:name="_Toc15377210"/>
      <w:r>
        <w:rPr>
          <w:rFonts w:hint="eastAsia" w:ascii="仿宋" w:hAnsi="仿宋" w:eastAsia="仿宋"/>
          <w:b/>
          <w:color w:val="auto"/>
          <w:sz w:val="32"/>
          <w:szCs w:val="32"/>
          <w:highlight w:val="none"/>
        </w:rPr>
        <w:t>（一）一般公共预算财政拨款支出决算总体情况</w:t>
      </w:r>
      <w:bookmarkEnd w:id="53"/>
    </w:p>
    <w:p>
      <w:pPr>
        <w:spacing w:line="600" w:lineRule="exact"/>
        <w:ind w:firstLine="640" w:firstLineChars="200"/>
        <w:rPr>
          <w:rFonts w:hint="eastAsia" w:ascii="仿宋_GB2312" w:hAnsi="仿宋" w:eastAsia="仿宋_GB2312" w:cs="Times New Roman"/>
          <w:b w:val="0"/>
          <w:bCs w:val="0"/>
          <w:kern w:val="2"/>
          <w:sz w:val="32"/>
          <w:szCs w:val="32"/>
          <w:lang w:val="en-US" w:eastAsia="zh-CN" w:bidi="ar-SA"/>
        </w:rPr>
      </w:pPr>
      <w:r>
        <w:rPr>
          <w:rFonts w:hint="eastAsia" w:ascii="仿宋_GB2312" w:hAnsi="仿宋" w:eastAsia="仿宋_GB2312" w:cs="Times New Roman"/>
          <w:b w:val="0"/>
          <w:bCs w:val="0"/>
          <w:kern w:val="2"/>
          <w:sz w:val="32"/>
          <w:szCs w:val="32"/>
          <w:lang w:val="en-US" w:eastAsia="zh-CN" w:bidi="ar-SA"/>
        </w:rPr>
        <w:t>2023年一般公共预算财政拨款支出700.71万元，占本年支出合计的14%。与2022年相比，一般公共预算财政拨款</w:t>
      </w:r>
    </w:p>
    <w:p>
      <w:pPr>
        <w:spacing w:line="600" w:lineRule="exact"/>
        <w:rPr>
          <w:rFonts w:hint="eastAsia" w:ascii="仿宋_GB2312" w:hAnsi="仿宋" w:eastAsia="仿宋_GB2312" w:cs="Times New Roman"/>
          <w:b w:val="0"/>
          <w:bCs w:val="0"/>
          <w:kern w:val="2"/>
          <w:sz w:val="32"/>
          <w:szCs w:val="32"/>
          <w:lang w:val="en-US" w:eastAsia="zh-CN" w:bidi="ar-SA"/>
        </w:rPr>
      </w:pPr>
      <w:r>
        <w:rPr>
          <w:rFonts w:hint="eastAsia" w:ascii="仿宋_GB2312" w:hAnsi="仿宋" w:eastAsia="仿宋_GB2312" w:cs="Times New Roman"/>
          <w:b w:val="0"/>
          <w:bCs w:val="0"/>
          <w:kern w:val="2"/>
          <w:sz w:val="32"/>
          <w:szCs w:val="32"/>
          <w:lang w:val="en-US" w:eastAsia="zh-CN" w:bidi="ar-SA"/>
        </w:rPr>
        <w:t>支出增加76.52万元，上升12.3%。主要变动原因是2023年财政拨款项目资金较2022年有所增加。</w:t>
      </w:r>
    </w:p>
    <w:p>
      <w:pPr>
        <w:spacing w:line="600" w:lineRule="exact"/>
        <w:ind w:firstLine="420" w:firstLineChars="200"/>
      </w:pPr>
      <w:r>
        <w:drawing>
          <wp:anchor distT="0" distB="0" distL="114300" distR="114300" simplePos="0" relativeHeight="251680768" behindDoc="0" locked="0" layoutInCell="1" allowOverlap="1">
            <wp:simplePos x="0" y="0"/>
            <wp:positionH relativeFrom="column">
              <wp:posOffset>-41910</wp:posOffset>
            </wp:positionH>
            <wp:positionV relativeFrom="paragraph">
              <wp:posOffset>150495</wp:posOffset>
            </wp:positionV>
            <wp:extent cx="5692140" cy="2506345"/>
            <wp:effectExtent l="4445" t="4445" r="18415" b="22860"/>
            <wp:wrapSquare wrapText="bothSides"/>
            <wp:docPr id="1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sz w:val="21"/>
        </w:rPr>
        <mc:AlternateContent>
          <mc:Choice Requires="wps">
            <w:drawing>
              <wp:anchor distT="0" distB="0" distL="114300" distR="114300" simplePos="0" relativeHeight="251681792" behindDoc="0" locked="0" layoutInCell="1" allowOverlap="1">
                <wp:simplePos x="0" y="0"/>
                <wp:positionH relativeFrom="column">
                  <wp:posOffset>4804410</wp:posOffset>
                </wp:positionH>
                <wp:positionV relativeFrom="paragraph">
                  <wp:posOffset>421005</wp:posOffset>
                </wp:positionV>
                <wp:extent cx="800100" cy="323850"/>
                <wp:effectExtent l="0" t="0" r="0" b="0"/>
                <wp:wrapNone/>
                <wp:docPr id="17" name="文本框 17"/>
                <wp:cNvGraphicFramePr/>
                <a:graphic xmlns:a="http://schemas.openxmlformats.org/drawingml/2006/main">
                  <a:graphicData uri="http://schemas.microsoft.com/office/word/2010/wordprocessingShape">
                    <wps:wsp>
                      <wps:cNvSpPr txBox="1"/>
                      <wps:spPr>
                        <a:xfrm>
                          <a:off x="5852160" y="567690"/>
                          <a:ext cx="800100" cy="3238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8.3pt;margin-top:33.15pt;height:25.5pt;width:63pt;z-index:251681792;mso-width-relative:page;mso-height-relative:page;" fillcolor="#FFFFFF [3201]" filled="t" stroked="f" coordsize="21600,21600" o:gfxdata="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KCwbKbVAAAACgEAAA8AAAAAAAAAAQAgAAAAIgAAAGRycy9k&#10;b3ducmV2LnhtbFBLAQIUABQAAAAIAIdO4kCs3khnPgIAAE0EAAAOAAAAAAAAAAEAIAAAACQBAABk&#10;cnMvZTJvRG9jLnhtbFBLBQYAAAAABgAGAFkBAADUBQAAAAA=&#10;">
                <v:fill on="t" focussize="0,0"/>
                <v:stroke on="f" weight="0.5pt"/>
                <v:imagedata o:title=""/>
                <o:lock v:ext="edit" aspectratio="f"/>
                <v:textbox>
                  <w:txbxContent>
                    <w:p>
                      <w:pPr>
                        <w:rPr>
                          <w:rFonts w:hint="eastAsia" w:eastAsia="宋体"/>
                          <w:lang w:eastAsia="zh-CN"/>
                        </w:rPr>
                      </w:pPr>
                      <w:r>
                        <w:rPr>
                          <w:rFonts w:hint="eastAsia"/>
                          <w:lang w:eastAsia="zh-CN"/>
                        </w:rPr>
                        <w:t>单位：万元</w:t>
                      </w:r>
                    </w:p>
                  </w:txbxContent>
                </v:textbox>
              </v:shape>
            </w:pict>
          </mc:Fallback>
        </mc:AlternateContent>
      </w:r>
    </w:p>
    <w:p>
      <w:pPr>
        <w:spacing w:line="600" w:lineRule="exact"/>
        <w:ind w:firstLine="640" w:firstLineChars="200"/>
        <w:rPr>
          <w:rFonts w:hint="eastAsia" w:ascii="仿宋" w:hAnsi="仿宋" w:eastAsia="仿宋"/>
          <w:b/>
          <w:color w:val="auto"/>
          <w:sz w:val="32"/>
          <w:szCs w:val="32"/>
          <w:highlight w:val="none"/>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图5：一般公共预算财政拨款支出决算变动情况）</w:t>
      </w:r>
      <w:bookmarkStart w:id="54" w:name="_Toc15377211"/>
    </w:p>
    <w:p>
      <w:pPr>
        <w:spacing w:line="600" w:lineRule="exact"/>
        <w:ind w:firstLine="640"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（二）一般公共预算财政拨款支出决算结构情况</w:t>
      </w:r>
      <w:bookmarkEnd w:id="54"/>
    </w:p>
    <w:p>
      <w:pPr>
        <w:spacing w:line="600" w:lineRule="exact"/>
        <w:ind w:firstLine="640" w:firstLineChars="200"/>
        <w:rPr>
          <w:rFonts w:hint="eastAsia" w:ascii="仿宋_GB2312" w:hAnsi="仿宋" w:eastAsia="仿宋_GB2312" w:cs="Times New Roman"/>
          <w:b w:val="0"/>
          <w:bCs w:val="0"/>
          <w:kern w:val="2"/>
          <w:sz w:val="32"/>
          <w:szCs w:val="32"/>
          <w:lang w:val="en-US" w:eastAsia="zh-CN" w:bidi="ar-SA"/>
        </w:rPr>
      </w:pPr>
      <w:r>
        <w:rPr>
          <w:rFonts w:hint="eastAsia" w:ascii="仿宋_GB2312" w:hAnsi="仿宋" w:eastAsia="仿宋_GB2312" w:cs="Times New Roman"/>
          <w:b w:val="0"/>
          <w:bCs w:val="0"/>
          <w:kern w:val="2"/>
          <w:sz w:val="32"/>
          <w:szCs w:val="32"/>
          <w:lang w:val="en-US" w:eastAsia="zh-CN" w:bidi="ar-SA"/>
        </w:rPr>
        <w:t>2023年一般公共预算财政拨款支出700.71万元，主要用于以下方面:</w:t>
      </w:r>
      <w:r>
        <w:rPr>
          <w:rFonts w:hint="eastAsia" w:ascii="仿宋_GB2312" w:hAnsi="仿宋_GB2312" w:eastAsia="仿宋_GB2312" w:cs="仿宋_GB2312"/>
          <w:b/>
          <w:color w:val="auto"/>
          <w:sz w:val="32"/>
          <w:szCs w:val="32"/>
          <w:lang w:val="en-US" w:eastAsia="zh-CN"/>
        </w:rPr>
        <w:t>社会保障和就业（208）</w:t>
      </w:r>
      <w:r>
        <w:rPr>
          <w:rFonts w:hint="eastAsia" w:ascii="仿宋_GB2312" w:hAnsi="仿宋" w:eastAsia="仿宋_GB2312" w:cs="Times New Roman"/>
          <w:b w:val="0"/>
          <w:bCs w:val="0"/>
          <w:kern w:val="2"/>
          <w:sz w:val="32"/>
          <w:szCs w:val="32"/>
          <w:lang w:val="en-US" w:eastAsia="zh-CN" w:bidi="ar-SA"/>
        </w:rPr>
        <w:t>支出27.23万元，占3.9%；</w:t>
      </w:r>
      <w:r>
        <w:rPr>
          <w:rFonts w:hint="eastAsia" w:ascii="仿宋_GB2312" w:hAnsi="仿宋_GB2312" w:eastAsia="仿宋_GB2312" w:cs="仿宋_GB2312"/>
          <w:b/>
          <w:color w:val="auto"/>
          <w:sz w:val="32"/>
          <w:szCs w:val="32"/>
          <w:lang w:val="en-US" w:eastAsia="zh-CN"/>
        </w:rPr>
        <w:t>卫生健康（210）</w:t>
      </w:r>
      <w:r>
        <w:rPr>
          <w:rFonts w:hint="eastAsia" w:ascii="仿宋_GB2312" w:hAnsi="仿宋" w:eastAsia="仿宋_GB2312" w:cs="Times New Roman"/>
          <w:b w:val="0"/>
          <w:bCs w:val="0"/>
          <w:kern w:val="2"/>
          <w:sz w:val="32"/>
          <w:szCs w:val="32"/>
          <w:lang w:val="en-US" w:eastAsia="zh-CN" w:bidi="ar-SA"/>
        </w:rPr>
        <w:t>支出662.46万元，占94.5%；</w:t>
      </w:r>
      <w:r>
        <w:rPr>
          <w:rFonts w:hint="eastAsia" w:ascii="仿宋_GB2312" w:hAnsi="仿宋_GB2312" w:eastAsia="仿宋_GB2312" w:cs="仿宋_GB2312"/>
          <w:b/>
          <w:color w:val="auto"/>
          <w:sz w:val="32"/>
          <w:szCs w:val="32"/>
          <w:lang w:val="en-US" w:eastAsia="zh-CN"/>
        </w:rPr>
        <w:t>住房保障（221）</w:t>
      </w:r>
      <w:r>
        <w:rPr>
          <w:rFonts w:hint="eastAsia" w:ascii="仿宋_GB2312" w:hAnsi="仿宋" w:eastAsia="仿宋_GB2312" w:cs="Times New Roman"/>
          <w:b w:val="0"/>
          <w:bCs w:val="0"/>
          <w:kern w:val="2"/>
          <w:sz w:val="32"/>
          <w:szCs w:val="32"/>
          <w:lang w:val="en-US" w:eastAsia="zh-CN" w:bidi="ar-SA"/>
        </w:rPr>
        <w:t>支出11.02万元，占1.6%。</w:t>
      </w:r>
    </w:p>
    <w:p>
      <w:pPr>
        <w:spacing w:line="600" w:lineRule="exact"/>
        <w:ind w:firstLine="420" w:firstLineChars="200"/>
        <w:rPr>
          <w:rFonts w:hint="eastAsia" w:ascii="仿宋" w:hAnsi="仿宋" w:eastAsia="仿宋"/>
          <w:color w:val="auto"/>
          <w:sz w:val="32"/>
          <w:szCs w:val="32"/>
          <w:highlight w:val="none"/>
        </w:rPr>
      </w:pPr>
      <w:r>
        <w:drawing>
          <wp:anchor distT="0" distB="0" distL="114300" distR="114300" simplePos="0" relativeHeight="251682816" behindDoc="0" locked="0" layoutInCell="1" allowOverlap="1">
            <wp:simplePos x="0" y="0"/>
            <wp:positionH relativeFrom="column">
              <wp:posOffset>375920</wp:posOffset>
            </wp:positionH>
            <wp:positionV relativeFrom="paragraph">
              <wp:posOffset>271145</wp:posOffset>
            </wp:positionV>
            <wp:extent cx="4476115" cy="2555240"/>
            <wp:effectExtent l="4445" t="5080" r="15240" b="11430"/>
            <wp:wrapSquare wrapText="bothSides"/>
            <wp:docPr id="1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hint="eastAsia" w:ascii="仿宋" w:hAnsi="仿宋" w:eastAsia="仿宋"/>
          <w:color w:val="auto"/>
          <w:sz w:val="32"/>
          <w:szCs w:val="32"/>
          <w:highlight w:val="none"/>
        </w:rPr>
      </w:pPr>
      <w:r>
        <w:rPr>
          <w:sz w:val="32"/>
        </w:rPr>
        <mc:AlternateContent>
          <mc:Choice Requires="wps">
            <w:drawing>
              <wp:anchor distT="0" distB="0" distL="114300" distR="114300" simplePos="0" relativeHeight="251683840" behindDoc="0" locked="0" layoutInCell="1" allowOverlap="1">
                <wp:simplePos x="0" y="0"/>
                <wp:positionH relativeFrom="column">
                  <wp:posOffset>3556635</wp:posOffset>
                </wp:positionH>
                <wp:positionV relativeFrom="paragraph">
                  <wp:posOffset>274320</wp:posOffset>
                </wp:positionV>
                <wp:extent cx="990600" cy="323850"/>
                <wp:effectExtent l="0" t="0" r="0" b="0"/>
                <wp:wrapNone/>
                <wp:docPr id="19" name="文本框 19"/>
                <wp:cNvGraphicFramePr/>
                <a:graphic xmlns:a="http://schemas.openxmlformats.org/drawingml/2006/main">
                  <a:graphicData uri="http://schemas.microsoft.com/office/word/2010/wordprocessingShape">
                    <wps:wsp>
                      <wps:cNvSpPr txBox="1"/>
                      <wps:spPr>
                        <a:xfrm>
                          <a:off x="4699635" y="6237605"/>
                          <a:ext cx="990600" cy="3238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0.05pt;margin-top:21.6pt;height:25.5pt;width:78pt;z-index:251683840;mso-width-relative:page;mso-height-relative:page;" fillcolor="#FFFFFF [3201]" filled="t" stroked="f" coordsize="21600,21600" o:gfxdata="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&#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Uk/jbVAAAACQEAAA8AAAAAAAAAAQAgAAAAIgAAAGRy&#10;cy9kb3ducmV2LnhtbFBLAQIUABQAAAAIAIdO4kBckl0/QQIAAE4EAAAOAAAAAAAAAAEAIAAAACQB&#10;AABkcnMvZTJvRG9jLnhtbFBLBQYAAAAABgAGAFkBAADXBQAAAAA=&#10;">
                <v:fill on="t" focussize="0,0"/>
                <v:stroke on="f" weight="0.5pt"/>
                <v:imagedata o:title=""/>
                <o:lock v:ext="edit" aspectratio="f"/>
                <v:textbox>
                  <w:txbxContent>
                    <w:p>
                      <w:pPr>
                        <w:rPr>
                          <w:rFonts w:hint="eastAsia" w:eastAsia="宋体"/>
                          <w:lang w:eastAsia="zh-CN"/>
                        </w:rPr>
                      </w:pPr>
                      <w:r>
                        <w:rPr>
                          <w:rFonts w:hint="eastAsia"/>
                          <w:lang w:eastAsia="zh-CN"/>
                        </w:rPr>
                        <w:t>单位：万元</w:t>
                      </w:r>
                    </w:p>
                  </w:txbxContent>
                </v:textbox>
              </v:shape>
            </w:pict>
          </mc:Fallback>
        </mc:AlternateContent>
      </w: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960" w:firstLineChars="300"/>
        <w:rPr>
          <w:rFonts w:hint="eastAsia" w:ascii="仿宋" w:hAnsi="仿宋" w:eastAsia="仿宋"/>
          <w:b/>
          <w:color w:val="auto"/>
          <w:sz w:val="32"/>
          <w:szCs w:val="32"/>
          <w:highlight w:val="none"/>
        </w:rPr>
      </w:pPr>
      <w:r>
        <w:rPr>
          <w:rFonts w:hint="eastAsia" w:ascii="仿宋" w:hAnsi="仿宋" w:eastAsia="仿宋"/>
          <w:color w:val="auto"/>
          <w:sz w:val="32"/>
          <w:szCs w:val="32"/>
          <w:highlight w:val="none"/>
        </w:rPr>
        <w:t>（图6：一般公共预算财政拨款支出决算结构）</w:t>
      </w:r>
      <w:bookmarkStart w:id="55" w:name="_Toc15377212"/>
    </w:p>
    <w:p>
      <w:pPr>
        <w:pageBreakBefore w:val="0"/>
        <w:kinsoku/>
        <w:wordWrap/>
        <w:overflowPunct/>
        <w:topLinePunct w:val="0"/>
        <w:bidi w:val="0"/>
        <w:spacing w:line="240" w:lineRule="auto"/>
        <w:ind w:firstLine="640" w:firstLineChars="200"/>
        <w:outlineLvl w:val="2"/>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（三）一般公共预算财政拨款支出决算具体情况</w:t>
      </w:r>
      <w:bookmarkEnd w:id="55"/>
    </w:p>
    <w:p>
      <w:pPr>
        <w:pageBreakBefore w:val="0"/>
        <w:kinsoku/>
        <w:wordWrap/>
        <w:overflowPunct/>
        <w:topLinePunct w:val="0"/>
        <w:bidi w:val="0"/>
        <w:spacing w:line="240" w:lineRule="auto"/>
        <w:ind w:firstLine="640" w:firstLineChars="200"/>
        <w:outlineLvl w:val="2"/>
        <w:rPr>
          <w:rFonts w:hint="eastAsia" w:ascii="仿宋" w:hAnsi="仿宋" w:eastAsia="仿宋"/>
          <w:b/>
          <w:color w:val="auto"/>
          <w:sz w:val="32"/>
          <w:szCs w:val="32"/>
          <w:highlight w:val="none"/>
        </w:rPr>
      </w:pPr>
      <w:bookmarkStart w:id="56" w:name="_Toc15378460"/>
      <w:bookmarkStart w:id="57" w:name="_Toc15377444"/>
      <w:bookmarkStart w:id="58" w:name="_Toc15377213"/>
      <w:r>
        <w:rPr>
          <w:rFonts w:hint="eastAsia" w:ascii="仿宋" w:hAnsi="仿宋" w:eastAsia="仿宋"/>
          <w:b/>
          <w:color w:val="auto"/>
          <w:sz w:val="32"/>
          <w:szCs w:val="32"/>
          <w:highlight w:val="none"/>
          <w:lang w:val="en-US" w:eastAsia="zh-CN"/>
        </w:rPr>
        <w:t>2023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700.71万元</w:t>
      </w:r>
      <w:r>
        <w:rPr>
          <w:rFonts w:hint="eastAsia" w:ascii="仿宋" w:hAnsi="仿宋" w:eastAsia="仿宋"/>
          <w:b/>
          <w:color w:val="auto"/>
          <w:sz w:val="32"/>
          <w:szCs w:val="32"/>
          <w:highlight w:val="none"/>
        </w:rPr>
        <w:t>，完成预算</w:t>
      </w:r>
      <w:r>
        <w:rPr>
          <w:rFonts w:hint="eastAsia" w:ascii="仿宋" w:hAnsi="仿宋" w:eastAsia="仿宋"/>
          <w:b/>
          <w:color w:val="auto"/>
          <w:sz w:val="32"/>
          <w:szCs w:val="32"/>
          <w:highlight w:val="none"/>
          <w:lang w:val="en-US" w:eastAsia="zh-CN"/>
        </w:rPr>
        <w:t>100</w:t>
      </w:r>
      <w:r>
        <w:rPr>
          <w:rFonts w:hint="eastAsia" w:ascii="仿宋" w:hAnsi="仿宋" w:eastAsia="仿宋"/>
          <w:b/>
          <w:color w:val="auto"/>
          <w:sz w:val="32"/>
          <w:szCs w:val="32"/>
          <w:highlight w:val="none"/>
        </w:rPr>
        <w:t>%。其中：</w:t>
      </w:r>
      <w:bookmarkEnd w:id="56"/>
      <w:bookmarkEnd w:id="57"/>
      <w:bookmarkEnd w:id="58"/>
    </w:p>
    <w:p>
      <w:pPr>
        <w:keepNext w:val="0"/>
        <w:keepLines w:val="0"/>
        <w:pageBreakBefore w:val="0"/>
        <w:widowControl w:val="0"/>
        <w:kinsoku/>
        <w:wordWrap/>
        <w:overflowPunct/>
        <w:topLinePunct w:val="0"/>
        <w:bidi w:val="0"/>
        <w:snapToGrid/>
        <w:spacing w:line="360" w:lineRule="auto"/>
        <w:ind w:left="0" w:leftChars="0" w:right="0" w:firstLine="643" w:firstLineChars="200"/>
        <w:textAlignment w:val="auto"/>
        <w:rPr>
          <w:rStyle w:val="19"/>
          <w:rFonts w:hint="eastAsia" w:ascii="仿宋_GB2312" w:hAnsi="仿宋_GB2312" w:eastAsia="仿宋_GB2312" w:cs="仿宋_GB2312"/>
          <w:b w:val="0"/>
          <w:bCs w:val="0"/>
          <w:color w:val="auto"/>
          <w:sz w:val="32"/>
          <w:szCs w:val="32"/>
          <w:lang w:val="en-US" w:eastAsia="zh-CN"/>
        </w:rPr>
      </w:pPr>
      <w:r>
        <w:rPr>
          <w:rStyle w:val="19"/>
          <w:rFonts w:hint="eastAsia" w:ascii="仿宋_GB2312" w:hAnsi="仿宋_GB2312" w:eastAsia="仿宋_GB2312" w:cs="仿宋_GB2312"/>
          <w:bCs/>
          <w:color w:val="auto"/>
          <w:sz w:val="32"/>
          <w:szCs w:val="32"/>
          <w:lang w:val="en-US" w:eastAsia="zh-CN"/>
        </w:rPr>
        <w:t xml:space="preserve">1.社会保障和就业支出（208）行政事业单位养老支出（05）行政单位离退休（01）: </w:t>
      </w:r>
      <w:r>
        <w:rPr>
          <w:rStyle w:val="19"/>
          <w:rFonts w:hint="eastAsia" w:ascii="仿宋_GB2312" w:hAnsi="仿宋_GB2312" w:eastAsia="仿宋_GB2312" w:cs="仿宋_GB2312"/>
          <w:b w:val="0"/>
          <w:bCs w:val="0"/>
          <w:color w:val="auto"/>
          <w:sz w:val="32"/>
          <w:szCs w:val="32"/>
          <w:lang w:val="en-US" w:eastAsia="zh-CN"/>
        </w:rPr>
        <w:t>支出决算为1.36万元，完成预算100%。</w:t>
      </w:r>
    </w:p>
    <w:p>
      <w:pPr>
        <w:keepNext w:val="0"/>
        <w:keepLines w:val="0"/>
        <w:pageBreakBefore w:val="0"/>
        <w:widowControl w:val="0"/>
        <w:kinsoku/>
        <w:wordWrap/>
        <w:overflowPunct/>
        <w:topLinePunct w:val="0"/>
        <w:bidi w:val="0"/>
        <w:snapToGrid/>
        <w:spacing w:line="360" w:lineRule="auto"/>
        <w:ind w:left="0" w:leftChars="0" w:right="0" w:firstLine="643" w:firstLineChars="200"/>
        <w:textAlignment w:val="auto"/>
        <w:rPr>
          <w:rStyle w:val="19"/>
          <w:rFonts w:hint="eastAsia" w:ascii="仿宋_GB2312" w:hAnsi="仿宋_GB2312" w:eastAsia="仿宋_GB2312" w:cs="仿宋_GB2312"/>
          <w:b w:val="0"/>
          <w:bCs w:val="0"/>
          <w:color w:val="auto"/>
          <w:sz w:val="32"/>
          <w:szCs w:val="32"/>
          <w:lang w:val="en-US" w:eastAsia="zh-CN"/>
        </w:rPr>
      </w:pPr>
      <w:r>
        <w:rPr>
          <w:rStyle w:val="19"/>
          <w:rFonts w:hint="eastAsia" w:ascii="仿宋_GB2312" w:hAnsi="仿宋_GB2312" w:eastAsia="仿宋_GB2312" w:cs="仿宋_GB2312"/>
          <w:bCs/>
          <w:color w:val="auto"/>
          <w:sz w:val="32"/>
          <w:szCs w:val="32"/>
          <w:lang w:val="en-US" w:eastAsia="zh-CN"/>
        </w:rPr>
        <w:t xml:space="preserve">2.社会保障和就业支出（208）行政事业单位养老支出（05）机关事业单位基本养老保险缴费支出（05）: </w:t>
      </w:r>
      <w:r>
        <w:rPr>
          <w:rStyle w:val="19"/>
          <w:rFonts w:hint="eastAsia" w:ascii="仿宋_GB2312" w:hAnsi="仿宋_GB2312" w:eastAsia="仿宋_GB2312" w:cs="仿宋_GB2312"/>
          <w:b w:val="0"/>
          <w:bCs w:val="0"/>
          <w:color w:val="auto"/>
          <w:sz w:val="32"/>
          <w:szCs w:val="32"/>
          <w:lang w:val="en-US" w:eastAsia="zh-CN"/>
        </w:rPr>
        <w:t>支出决算为13.69万元，完成预算100%。</w:t>
      </w:r>
    </w:p>
    <w:p>
      <w:pPr>
        <w:keepNext w:val="0"/>
        <w:keepLines w:val="0"/>
        <w:pageBreakBefore w:val="0"/>
        <w:widowControl w:val="0"/>
        <w:kinsoku/>
        <w:wordWrap/>
        <w:overflowPunct/>
        <w:topLinePunct w:val="0"/>
        <w:bidi w:val="0"/>
        <w:snapToGrid/>
        <w:spacing w:line="360" w:lineRule="auto"/>
        <w:ind w:left="0" w:leftChars="0" w:right="0" w:firstLine="643" w:firstLineChars="200"/>
        <w:textAlignment w:val="auto"/>
        <w:rPr>
          <w:rStyle w:val="19"/>
          <w:rFonts w:hint="eastAsia" w:ascii="仿宋_GB2312" w:hAnsi="仿宋_GB2312" w:eastAsia="仿宋_GB2312" w:cs="仿宋_GB2312"/>
          <w:bCs/>
          <w:color w:val="auto"/>
          <w:sz w:val="32"/>
          <w:szCs w:val="32"/>
          <w:lang w:val="en-US" w:eastAsia="zh-CN"/>
        </w:rPr>
      </w:pPr>
      <w:r>
        <w:rPr>
          <w:rStyle w:val="19"/>
          <w:rFonts w:hint="eastAsia" w:ascii="仿宋_GB2312" w:hAnsi="仿宋_GB2312" w:eastAsia="仿宋_GB2312" w:cs="仿宋_GB2312"/>
          <w:bCs/>
          <w:color w:val="auto"/>
          <w:sz w:val="32"/>
          <w:szCs w:val="32"/>
          <w:lang w:val="en-US" w:eastAsia="zh-CN"/>
        </w:rPr>
        <w:t xml:space="preserve">3.社会保障和就业支出（208）残疾人事业（11）残疾人就业（05）: </w:t>
      </w:r>
      <w:r>
        <w:rPr>
          <w:rStyle w:val="19"/>
          <w:rFonts w:hint="eastAsia" w:ascii="仿宋_GB2312" w:hAnsi="仿宋_GB2312" w:eastAsia="仿宋_GB2312" w:cs="仿宋_GB2312"/>
          <w:b w:val="0"/>
          <w:bCs w:val="0"/>
          <w:color w:val="auto"/>
          <w:sz w:val="32"/>
          <w:szCs w:val="32"/>
          <w:lang w:val="en-US" w:eastAsia="zh-CN"/>
        </w:rPr>
        <w:t>支出决算为11.68万元，完成预算100%。</w:t>
      </w:r>
    </w:p>
    <w:p>
      <w:pPr>
        <w:keepNext w:val="0"/>
        <w:keepLines w:val="0"/>
        <w:pageBreakBefore w:val="0"/>
        <w:widowControl w:val="0"/>
        <w:kinsoku/>
        <w:wordWrap/>
        <w:overflowPunct/>
        <w:topLinePunct w:val="0"/>
        <w:bidi w:val="0"/>
        <w:snapToGrid/>
        <w:spacing w:line="360" w:lineRule="auto"/>
        <w:ind w:left="0" w:leftChars="0" w:right="0" w:firstLine="643" w:firstLineChars="200"/>
        <w:textAlignment w:val="auto"/>
        <w:rPr>
          <w:rStyle w:val="19"/>
          <w:rFonts w:hint="eastAsia" w:ascii="仿宋_GB2312" w:hAnsi="仿宋_GB2312" w:eastAsia="仿宋_GB2312" w:cs="仿宋_GB2312"/>
          <w:b w:val="0"/>
          <w:bCs w:val="0"/>
          <w:color w:val="auto"/>
          <w:sz w:val="32"/>
          <w:szCs w:val="32"/>
          <w:lang w:val="en-US" w:eastAsia="zh-CN"/>
        </w:rPr>
      </w:pPr>
      <w:r>
        <w:rPr>
          <w:rStyle w:val="19"/>
          <w:rFonts w:hint="eastAsia" w:ascii="仿宋_GB2312" w:hAnsi="仿宋_GB2312" w:eastAsia="仿宋_GB2312" w:cs="仿宋_GB2312"/>
          <w:bCs/>
          <w:color w:val="auto"/>
          <w:sz w:val="32"/>
          <w:szCs w:val="32"/>
          <w:lang w:val="en-US" w:eastAsia="zh-CN"/>
        </w:rPr>
        <w:t xml:space="preserve">4.社会保障和就业支出（208）其他社会保障和就业支出（99）其他社会保障和就业支出（99）: </w:t>
      </w:r>
      <w:r>
        <w:rPr>
          <w:rStyle w:val="19"/>
          <w:rFonts w:hint="eastAsia" w:ascii="仿宋_GB2312" w:hAnsi="仿宋_GB2312" w:eastAsia="仿宋_GB2312" w:cs="仿宋_GB2312"/>
          <w:b w:val="0"/>
          <w:bCs w:val="0"/>
          <w:color w:val="auto"/>
          <w:sz w:val="32"/>
          <w:szCs w:val="32"/>
          <w:lang w:val="en-US" w:eastAsia="zh-CN"/>
        </w:rPr>
        <w:t>支出决算为0.5万元，完成预算100%。</w:t>
      </w:r>
    </w:p>
    <w:p>
      <w:pPr>
        <w:keepNext w:val="0"/>
        <w:keepLines w:val="0"/>
        <w:pageBreakBefore w:val="0"/>
        <w:widowControl w:val="0"/>
        <w:kinsoku/>
        <w:wordWrap/>
        <w:overflowPunct/>
        <w:topLinePunct w:val="0"/>
        <w:bidi w:val="0"/>
        <w:snapToGrid/>
        <w:spacing w:line="360" w:lineRule="auto"/>
        <w:ind w:left="0" w:leftChars="0" w:right="0" w:firstLine="643" w:firstLineChars="200"/>
        <w:textAlignment w:val="auto"/>
        <w:rPr>
          <w:rStyle w:val="19"/>
          <w:rFonts w:hint="eastAsia" w:ascii="仿宋_GB2312" w:hAnsi="仿宋_GB2312" w:eastAsia="仿宋_GB2312" w:cs="仿宋_GB2312"/>
          <w:bCs/>
          <w:color w:val="auto"/>
          <w:sz w:val="32"/>
          <w:szCs w:val="32"/>
          <w:lang w:val="en-US" w:eastAsia="zh-CN"/>
        </w:rPr>
      </w:pPr>
      <w:r>
        <w:rPr>
          <w:rStyle w:val="19"/>
          <w:rFonts w:hint="eastAsia" w:ascii="仿宋_GB2312" w:hAnsi="仿宋_GB2312" w:eastAsia="仿宋_GB2312" w:cs="仿宋_GB2312"/>
          <w:bCs/>
          <w:color w:val="auto"/>
          <w:sz w:val="32"/>
          <w:szCs w:val="32"/>
          <w:lang w:val="en-US" w:eastAsia="zh-CN"/>
        </w:rPr>
        <w:t>5.卫生健康支出（210）公立医院（02）妇幼保健医院(06):</w:t>
      </w:r>
      <w:r>
        <w:rPr>
          <w:rStyle w:val="19"/>
          <w:rFonts w:hint="eastAsia" w:ascii="仿宋_GB2312" w:hAnsi="仿宋_GB2312" w:eastAsia="仿宋_GB2312" w:cs="仿宋_GB2312"/>
          <w:b w:val="0"/>
          <w:bCs w:val="0"/>
          <w:color w:val="auto"/>
          <w:sz w:val="32"/>
          <w:szCs w:val="32"/>
          <w:lang w:val="en-US" w:eastAsia="zh-CN"/>
        </w:rPr>
        <w:t>支出决算为10.24万元，完成预算100%。</w:t>
      </w:r>
    </w:p>
    <w:p>
      <w:pPr>
        <w:keepNext w:val="0"/>
        <w:keepLines w:val="0"/>
        <w:pageBreakBefore w:val="0"/>
        <w:widowControl w:val="0"/>
        <w:kinsoku/>
        <w:wordWrap/>
        <w:overflowPunct/>
        <w:topLinePunct w:val="0"/>
        <w:bidi w:val="0"/>
        <w:snapToGrid/>
        <w:spacing w:line="360" w:lineRule="auto"/>
        <w:ind w:left="0" w:leftChars="0" w:right="0" w:firstLine="643" w:firstLineChars="200"/>
        <w:textAlignment w:val="auto"/>
        <w:rPr>
          <w:rStyle w:val="19"/>
          <w:rFonts w:hint="eastAsia" w:ascii="仿宋_GB2312" w:hAnsi="仿宋_GB2312" w:eastAsia="仿宋_GB2312" w:cs="仿宋_GB2312"/>
          <w:b w:val="0"/>
          <w:bCs w:val="0"/>
          <w:color w:val="auto"/>
          <w:sz w:val="32"/>
          <w:szCs w:val="32"/>
          <w:lang w:val="en-US" w:eastAsia="zh-CN"/>
        </w:rPr>
      </w:pPr>
      <w:r>
        <w:rPr>
          <w:rStyle w:val="19"/>
          <w:rFonts w:hint="eastAsia" w:ascii="仿宋_GB2312" w:hAnsi="仿宋_GB2312" w:eastAsia="仿宋_GB2312" w:cs="仿宋_GB2312"/>
          <w:bCs/>
          <w:color w:val="auto"/>
          <w:sz w:val="32"/>
          <w:szCs w:val="32"/>
          <w:lang w:val="en-US" w:eastAsia="zh-CN"/>
        </w:rPr>
        <w:t>6.卫生健康支出（210）公共卫生（04）妇幼保健机构（03）:</w:t>
      </w:r>
      <w:r>
        <w:rPr>
          <w:rStyle w:val="19"/>
          <w:rFonts w:hint="eastAsia" w:ascii="仿宋_GB2312" w:hAnsi="仿宋_GB2312" w:eastAsia="仿宋_GB2312" w:cs="仿宋_GB2312"/>
          <w:b w:val="0"/>
          <w:bCs w:val="0"/>
          <w:color w:val="auto"/>
          <w:sz w:val="32"/>
          <w:szCs w:val="32"/>
          <w:lang w:val="en-US" w:eastAsia="zh-CN"/>
        </w:rPr>
        <w:t>支出决算为453.17万元，完成预算100%。</w:t>
      </w:r>
    </w:p>
    <w:p>
      <w:pPr>
        <w:keepNext w:val="0"/>
        <w:keepLines w:val="0"/>
        <w:pageBreakBefore w:val="0"/>
        <w:widowControl w:val="0"/>
        <w:kinsoku/>
        <w:wordWrap/>
        <w:overflowPunct/>
        <w:topLinePunct w:val="0"/>
        <w:bidi w:val="0"/>
        <w:snapToGrid/>
        <w:spacing w:line="360" w:lineRule="auto"/>
        <w:ind w:left="0" w:leftChars="0" w:right="0" w:firstLine="643" w:firstLineChars="200"/>
        <w:textAlignment w:val="auto"/>
        <w:rPr>
          <w:rStyle w:val="19"/>
          <w:rFonts w:hint="eastAsia" w:ascii="仿宋_GB2312" w:hAnsi="仿宋_GB2312" w:eastAsia="仿宋_GB2312" w:cs="仿宋_GB2312"/>
          <w:b w:val="0"/>
          <w:bCs w:val="0"/>
          <w:color w:val="auto"/>
          <w:sz w:val="32"/>
          <w:szCs w:val="32"/>
          <w:lang w:val="en-US" w:eastAsia="zh-CN"/>
        </w:rPr>
      </w:pPr>
      <w:r>
        <w:rPr>
          <w:rStyle w:val="19"/>
          <w:rFonts w:hint="eastAsia" w:ascii="仿宋_GB2312" w:hAnsi="仿宋_GB2312" w:eastAsia="仿宋_GB2312" w:cs="仿宋_GB2312"/>
          <w:bCs/>
          <w:color w:val="auto"/>
          <w:sz w:val="32"/>
          <w:szCs w:val="32"/>
          <w:lang w:val="en-US" w:eastAsia="zh-CN"/>
        </w:rPr>
        <w:t>7.卫生健康支出（210）公共卫生（04）基本公共卫生服务（08）:</w:t>
      </w:r>
      <w:r>
        <w:rPr>
          <w:rStyle w:val="19"/>
          <w:rFonts w:hint="eastAsia" w:ascii="仿宋_GB2312" w:hAnsi="仿宋_GB2312" w:eastAsia="仿宋_GB2312" w:cs="仿宋_GB2312"/>
          <w:b w:val="0"/>
          <w:bCs w:val="0"/>
          <w:color w:val="auto"/>
          <w:sz w:val="32"/>
          <w:szCs w:val="32"/>
          <w:lang w:val="en-US" w:eastAsia="zh-CN"/>
        </w:rPr>
        <w:t>支出决算为103.42万元，完成预算100%。</w:t>
      </w:r>
    </w:p>
    <w:p>
      <w:pPr>
        <w:keepNext w:val="0"/>
        <w:keepLines w:val="0"/>
        <w:pageBreakBefore w:val="0"/>
        <w:widowControl w:val="0"/>
        <w:kinsoku/>
        <w:wordWrap/>
        <w:overflowPunct/>
        <w:topLinePunct w:val="0"/>
        <w:bidi w:val="0"/>
        <w:snapToGrid/>
        <w:spacing w:line="360" w:lineRule="auto"/>
        <w:ind w:left="0" w:leftChars="0" w:right="0" w:firstLine="643" w:firstLineChars="200"/>
        <w:textAlignment w:val="auto"/>
        <w:rPr>
          <w:rStyle w:val="19"/>
          <w:rFonts w:hint="eastAsia" w:ascii="仿宋_GB2312" w:hAnsi="仿宋_GB2312" w:eastAsia="仿宋_GB2312" w:cs="仿宋_GB2312"/>
          <w:b w:val="0"/>
          <w:bCs w:val="0"/>
          <w:color w:val="auto"/>
          <w:sz w:val="32"/>
          <w:szCs w:val="32"/>
          <w:lang w:val="en-US" w:eastAsia="zh-CN"/>
        </w:rPr>
      </w:pPr>
      <w:r>
        <w:rPr>
          <w:rStyle w:val="19"/>
          <w:rFonts w:hint="eastAsia" w:ascii="仿宋_GB2312" w:hAnsi="仿宋_GB2312" w:eastAsia="仿宋_GB2312" w:cs="仿宋_GB2312"/>
          <w:bCs/>
          <w:color w:val="auto"/>
          <w:sz w:val="32"/>
          <w:szCs w:val="32"/>
          <w:lang w:val="en-US" w:eastAsia="zh-CN"/>
        </w:rPr>
        <w:t>8.卫生健康支出（210）公共卫生（04）重大公共卫生服务（09）:</w:t>
      </w:r>
      <w:r>
        <w:rPr>
          <w:rStyle w:val="19"/>
          <w:rFonts w:hint="eastAsia" w:ascii="仿宋_GB2312" w:hAnsi="仿宋_GB2312" w:eastAsia="仿宋_GB2312" w:cs="仿宋_GB2312"/>
          <w:b w:val="0"/>
          <w:bCs w:val="0"/>
          <w:color w:val="auto"/>
          <w:sz w:val="32"/>
          <w:szCs w:val="32"/>
          <w:lang w:val="en-US" w:eastAsia="zh-CN"/>
        </w:rPr>
        <w:t>支出决算为13.08万元，完成预算100%</w:t>
      </w:r>
    </w:p>
    <w:p>
      <w:pPr>
        <w:keepNext w:val="0"/>
        <w:keepLines w:val="0"/>
        <w:pageBreakBefore w:val="0"/>
        <w:widowControl w:val="0"/>
        <w:kinsoku/>
        <w:wordWrap/>
        <w:overflowPunct/>
        <w:topLinePunct w:val="0"/>
        <w:bidi w:val="0"/>
        <w:snapToGrid/>
        <w:spacing w:line="360" w:lineRule="auto"/>
        <w:ind w:left="0" w:leftChars="0" w:right="0" w:firstLine="643" w:firstLineChars="200"/>
        <w:textAlignment w:val="auto"/>
        <w:rPr>
          <w:rStyle w:val="19"/>
          <w:rFonts w:hint="eastAsia" w:ascii="仿宋_GB2312" w:hAnsi="仿宋_GB2312" w:eastAsia="仿宋_GB2312" w:cs="仿宋_GB2312"/>
          <w:b w:val="0"/>
          <w:bCs w:val="0"/>
          <w:color w:val="auto"/>
          <w:sz w:val="32"/>
          <w:szCs w:val="32"/>
          <w:lang w:val="en-US" w:eastAsia="zh-CN"/>
        </w:rPr>
      </w:pPr>
      <w:r>
        <w:rPr>
          <w:rStyle w:val="19"/>
          <w:rFonts w:hint="eastAsia" w:ascii="仿宋_GB2312" w:hAnsi="仿宋_GB2312" w:eastAsia="仿宋_GB2312" w:cs="仿宋_GB2312"/>
          <w:bCs/>
          <w:color w:val="auto"/>
          <w:sz w:val="32"/>
          <w:szCs w:val="32"/>
          <w:lang w:val="en-US" w:eastAsia="zh-CN"/>
        </w:rPr>
        <w:t>9.卫生健康支出（210）公共卫生（04）突发公共卫生事件应急处理（10）:</w:t>
      </w:r>
      <w:r>
        <w:rPr>
          <w:rStyle w:val="19"/>
          <w:rFonts w:hint="eastAsia" w:ascii="仿宋_GB2312" w:hAnsi="仿宋_GB2312" w:eastAsia="仿宋_GB2312" w:cs="仿宋_GB2312"/>
          <w:b w:val="0"/>
          <w:bCs w:val="0"/>
          <w:color w:val="auto"/>
          <w:sz w:val="32"/>
          <w:szCs w:val="32"/>
          <w:lang w:val="en-US" w:eastAsia="zh-CN"/>
        </w:rPr>
        <w:t>支出决算为3万元，完成预算100%。</w:t>
      </w:r>
    </w:p>
    <w:p>
      <w:pPr>
        <w:keepNext w:val="0"/>
        <w:keepLines w:val="0"/>
        <w:pageBreakBefore w:val="0"/>
        <w:widowControl w:val="0"/>
        <w:kinsoku/>
        <w:wordWrap/>
        <w:overflowPunct/>
        <w:topLinePunct w:val="0"/>
        <w:bidi w:val="0"/>
        <w:snapToGrid/>
        <w:spacing w:line="360" w:lineRule="auto"/>
        <w:ind w:left="0" w:leftChars="0" w:right="0" w:firstLine="643" w:firstLineChars="200"/>
        <w:textAlignment w:val="auto"/>
        <w:rPr>
          <w:rStyle w:val="19"/>
          <w:rFonts w:hint="eastAsia" w:ascii="仿宋_GB2312" w:hAnsi="仿宋_GB2312" w:eastAsia="仿宋_GB2312" w:cs="仿宋_GB2312"/>
          <w:bCs/>
          <w:color w:val="auto"/>
          <w:sz w:val="32"/>
          <w:szCs w:val="32"/>
          <w:lang w:val="en-US" w:eastAsia="zh-CN"/>
        </w:rPr>
      </w:pPr>
      <w:r>
        <w:rPr>
          <w:rStyle w:val="19"/>
          <w:rFonts w:hint="eastAsia" w:ascii="仿宋_GB2312" w:hAnsi="仿宋_GB2312" w:eastAsia="仿宋_GB2312" w:cs="仿宋_GB2312"/>
          <w:bCs/>
          <w:color w:val="auto"/>
          <w:sz w:val="32"/>
          <w:szCs w:val="32"/>
          <w:lang w:val="en-US" w:eastAsia="zh-CN"/>
        </w:rPr>
        <w:t>10.卫生健康支出（210）公共卫生（04）其他公共卫生支出（99）:</w:t>
      </w:r>
      <w:r>
        <w:rPr>
          <w:rStyle w:val="19"/>
          <w:rFonts w:hint="eastAsia" w:ascii="仿宋_GB2312" w:hAnsi="仿宋_GB2312" w:eastAsia="仿宋_GB2312" w:cs="仿宋_GB2312"/>
          <w:b w:val="0"/>
          <w:bCs w:val="0"/>
          <w:color w:val="auto"/>
          <w:sz w:val="32"/>
          <w:szCs w:val="32"/>
          <w:lang w:val="en-US" w:eastAsia="zh-CN"/>
        </w:rPr>
        <w:t>支出决算为28.36万元，完成预算100%。</w:t>
      </w:r>
    </w:p>
    <w:p>
      <w:pPr>
        <w:keepNext w:val="0"/>
        <w:keepLines w:val="0"/>
        <w:pageBreakBefore w:val="0"/>
        <w:widowControl w:val="0"/>
        <w:kinsoku/>
        <w:wordWrap/>
        <w:overflowPunct/>
        <w:topLinePunct w:val="0"/>
        <w:bidi w:val="0"/>
        <w:snapToGrid/>
        <w:spacing w:line="360" w:lineRule="auto"/>
        <w:ind w:left="0" w:leftChars="0" w:right="0" w:firstLine="643" w:firstLineChars="200"/>
        <w:textAlignment w:val="auto"/>
        <w:rPr>
          <w:rStyle w:val="19"/>
          <w:rFonts w:hint="eastAsia" w:ascii="仿宋_GB2312" w:hAnsi="仿宋_GB2312" w:eastAsia="仿宋_GB2312" w:cs="仿宋_GB2312"/>
          <w:b w:val="0"/>
          <w:bCs w:val="0"/>
          <w:color w:val="auto"/>
          <w:sz w:val="32"/>
          <w:szCs w:val="32"/>
          <w:lang w:val="en-US" w:eastAsia="zh-CN"/>
        </w:rPr>
      </w:pPr>
      <w:r>
        <w:rPr>
          <w:rStyle w:val="19"/>
          <w:rFonts w:hint="eastAsia" w:ascii="仿宋_GB2312" w:hAnsi="仿宋_GB2312" w:eastAsia="仿宋_GB2312" w:cs="仿宋_GB2312"/>
          <w:bCs/>
          <w:color w:val="auto"/>
          <w:sz w:val="32"/>
          <w:szCs w:val="32"/>
          <w:lang w:val="en-US" w:eastAsia="zh-CN"/>
        </w:rPr>
        <w:t>11.卫生健康支出（210）计划生育事务（07）计划生育服务（17）：</w:t>
      </w:r>
      <w:r>
        <w:rPr>
          <w:rStyle w:val="19"/>
          <w:rFonts w:hint="eastAsia" w:ascii="仿宋_GB2312" w:hAnsi="仿宋_GB2312" w:eastAsia="仿宋_GB2312" w:cs="仿宋_GB2312"/>
          <w:b w:val="0"/>
          <w:bCs w:val="0"/>
          <w:color w:val="auto"/>
          <w:sz w:val="32"/>
          <w:szCs w:val="32"/>
          <w:lang w:val="en-US" w:eastAsia="zh-CN"/>
        </w:rPr>
        <w:t>支出决算为14.59万元，完成预算100%。</w:t>
      </w:r>
    </w:p>
    <w:p>
      <w:pPr>
        <w:keepNext w:val="0"/>
        <w:keepLines w:val="0"/>
        <w:pageBreakBefore w:val="0"/>
        <w:widowControl w:val="0"/>
        <w:kinsoku/>
        <w:wordWrap/>
        <w:overflowPunct/>
        <w:topLinePunct w:val="0"/>
        <w:bidi w:val="0"/>
        <w:snapToGrid/>
        <w:spacing w:line="360" w:lineRule="auto"/>
        <w:ind w:left="0" w:leftChars="0" w:right="0" w:firstLine="643" w:firstLineChars="200"/>
        <w:textAlignment w:val="auto"/>
        <w:rPr>
          <w:rStyle w:val="19"/>
          <w:rFonts w:hint="eastAsia" w:ascii="仿宋_GB2312" w:hAnsi="仿宋_GB2312" w:eastAsia="仿宋_GB2312" w:cs="仿宋_GB2312"/>
          <w:bCs/>
          <w:color w:val="auto"/>
          <w:sz w:val="32"/>
          <w:szCs w:val="32"/>
          <w:lang w:val="en-US" w:eastAsia="zh-CN"/>
        </w:rPr>
      </w:pPr>
      <w:r>
        <w:rPr>
          <w:rStyle w:val="19"/>
          <w:rFonts w:hint="eastAsia" w:ascii="仿宋_GB2312" w:hAnsi="仿宋_GB2312" w:eastAsia="仿宋_GB2312" w:cs="仿宋_GB2312"/>
          <w:bCs/>
          <w:color w:val="auto"/>
          <w:sz w:val="32"/>
          <w:szCs w:val="32"/>
          <w:lang w:val="en-US" w:eastAsia="zh-CN"/>
        </w:rPr>
        <w:t>12.卫生健康支出（210）计划生育事务（07）其他计划生育事务支出（99）：</w:t>
      </w:r>
      <w:r>
        <w:rPr>
          <w:rStyle w:val="19"/>
          <w:rFonts w:hint="eastAsia" w:ascii="仿宋_GB2312" w:hAnsi="仿宋_GB2312" w:eastAsia="仿宋_GB2312" w:cs="仿宋_GB2312"/>
          <w:b w:val="0"/>
          <w:bCs w:val="0"/>
          <w:color w:val="auto"/>
          <w:sz w:val="32"/>
          <w:szCs w:val="32"/>
          <w:lang w:val="en-US" w:eastAsia="zh-CN"/>
        </w:rPr>
        <w:t>支出决算为8.67万元，完成预算100%。</w:t>
      </w:r>
    </w:p>
    <w:p>
      <w:pPr>
        <w:keepNext w:val="0"/>
        <w:keepLines w:val="0"/>
        <w:pageBreakBefore w:val="0"/>
        <w:widowControl w:val="0"/>
        <w:kinsoku/>
        <w:wordWrap/>
        <w:overflowPunct/>
        <w:topLinePunct w:val="0"/>
        <w:bidi w:val="0"/>
        <w:snapToGrid/>
        <w:spacing w:line="360" w:lineRule="auto"/>
        <w:ind w:left="0" w:leftChars="0" w:right="0" w:firstLine="643" w:firstLineChars="200"/>
        <w:textAlignment w:val="auto"/>
        <w:rPr>
          <w:rStyle w:val="19"/>
          <w:rFonts w:hint="eastAsia" w:ascii="仿宋_GB2312" w:hAnsi="仿宋_GB2312" w:eastAsia="仿宋_GB2312" w:cs="仿宋_GB2312"/>
          <w:b w:val="0"/>
          <w:bCs w:val="0"/>
          <w:color w:val="auto"/>
          <w:sz w:val="32"/>
          <w:szCs w:val="32"/>
          <w:lang w:val="en-US" w:eastAsia="zh-CN"/>
        </w:rPr>
      </w:pPr>
      <w:r>
        <w:rPr>
          <w:rStyle w:val="19"/>
          <w:rFonts w:hint="eastAsia" w:ascii="仿宋_GB2312" w:hAnsi="仿宋_GB2312" w:eastAsia="仿宋_GB2312" w:cs="仿宋_GB2312"/>
          <w:bCs/>
          <w:color w:val="auto"/>
          <w:sz w:val="32"/>
          <w:szCs w:val="32"/>
          <w:lang w:val="en-US" w:eastAsia="zh-CN"/>
        </w:rPr>
        <w:t>13.卫生健康支出（210）行政事业单位医疗(11)事业单位医疗(02):</w:t>
      </w:r>
      <w:r>
        <w:rPr>
          <w:rStyle w:val="19"/>
          <w:rFonts w:hint="eastAsia" w:ascii="仿宋_GB2312" w:hAnsi="仿宋_GB2312" w:eastAsia="仿宋_GB2312" w:cs="仿宋_GB2312"/>
          <w:b w:val="0"/>
          <w:bCs w:val="0"/>
          <w:color w:val="auto"/>
          <w:sz w:val="32"/>
          <w:szCs w:val="32"/>
          <w:lang w:val="en-US" w:eastAsia="zh-CN"/>
        </w:rPr>
        <w:t>支出决算为4.66万元，完成预算100%。</w:t>
      </w:r>
    </w:p>
    <w:p>
      <w:pPr>
        <w:keepNext w:val="0"/>
        <w:keepLines w:val="0"/>
        <w:pageBreakBefore w:val="0"/>
        <w:widowControl w:val="0"/>
        <w:kinsoku/>
        <w:wordWrap/>
        <w:overflowPunct/>
        <w:topLinePunct w:val="0"/>
        <w:bidi w:val="0"/>
        <w:snapToGrid/>
        <w:spacing w:line="360" w:lineRule="auto"/>
        <w:ind w:left="0" w:leftChars="0" w:right="0" w:firstLine="643" w:firstLineChars="200"/>
        <w:textAlignment w:val="auto"/>
        <w:rPr>
          <w:rStyle w:val="19"/>
          <w:rFonts w:hint="eastAsia" w:ascii="仿宋_GB2312" w:hAnsi="仿宋_GB2312" w:eastAsia="仿宋_GB2312" w:cs="仿宋_GB2312"/>
          <w:b w:val="0"/>
          <w:bCs w:val="0"/>
          <w:color w:val="auto"/>
          <w:sz w:val="32"/>
          <w:szCs w:val="32"/>
          <w:lang w:val="en-US" w:eastAsia="zh-CN"/>
        </w:rPr>
      </w:pPr>
      <w:r>
        <w:rPr>
          <w:rStyle w:val="19"/>
          <w:rFonts w:hint="eastAsia" w:ascii="仿宋_GB2312" w:hAnsi="仿宋_GB2312" w:eastAsia="仿宋_GB2312" w:cs="仿宋_GB2312"/>
          <w:bCs/>
          <w:color w:val="auto"/>
          <w:sz w:val="32"/>
          <w:szCs w:val="32"/>
          <w:lang w:val="en-US" w:eastAsia="zh-CN"/>
        </w:rPr>
        <w:t>14.卫生健康支出（210）行政事业单位医疗(11)公务员医疗补助（03):</w:t>
      </w:r>
      <w:r>
        <w:rPr>
          <w:rStyle w:val="19"/>
          <w:rFonts w:hint="eastAsia" w:ascii="仿宋_GB2312" w:hAnsi="仿宋_GB2312" w:eastAsia="仿宋_GB2312" w:cs="仿宋_GB2312"/>
          <w:b w:val="0"/>
          <w:bCs w:val="0"/>
          <w:color w:val="auto"/>
          <w:sz w:val="32"/>
          <w:szCs w:val="32"/>
          <w:lang w:val="en-US" w:eastAsia="zh-CN"/>
        </w:rPr>
        <w:t>支出决算为1.38万元，完成预算100%。</w:t>
      </w:r>
    </w:p>
    <w:p>
      <w:pPr>
        <w:keepNext w:val="0"/>
        <w:keepLines w:val="0"/>
        <w:pageBreakBefore w:val="0"/>
        <w:widowControl w:val="0"/>
        <w:kinsoku/>
        <w:wordWrap/>
        <w:overflowPunct/>
        <w:topLinePunct w:val="0"/>
        <w:bidi w:val="0"/>
        <w:snapToGrid/>
        <w:spacing w:line="360" w:lineRule="auto"/>
        <w:ind w:left="0" w:leftChars="0" w:right="0" w:firstLine="643" w:firstLineChars="200"/>
        <w:textAlignment w:val="auto"/>
        <w:rPr>
          <w:rStyle w:val="19"/>
          <w:rFonts w:hint="eastAsia" w:ascii="仿宋_GB2312" w:hAnsi="仿宋_GB2312" w:eastAsia="仿宋_GB2312" w:cs="仿宋_GB2312"/>
          <w:b w:val="0"/>
          <w:bCs w:val="0"/>
          <w:color w:val="auto"/>
          <w:sz w:val="32"/>
          <w:szCs w:val="32"/>
          <w:lang w:val="en-US" w:eastAsia="zh-CN"/>
        </w:rPr>
      </w:pPr>
      <w:r>
        <w:rPr>
          <w:rStyle w:val="19"/>
          <w:rFonts w:hint="eastAsia" w:ascii="仿宋_GB2312" w:hAnsi="仿宋_GB2312" w:eastAsia="仿宋_GB2312" w:cs="仿宋_GB2312"/>
          <w:bCs/>
          <w:color w:val="auto"/>
          <w:sz w:val="32"/>
          <w:szCs w:val="32"/>
          <w:lang w:val="en-US" w:eastAsia="zh-CN"/>
        </w:rPr>
        <w:t>15.卫生健康支出（210）其他卫生健康支出(99)其他卫生健康支出（99):</w:t>
      </w:r>
      <w:r>
        <w:rPr>
          <w:rStyle w:val="19"/>
          <w:rFonts w:hint="eastAsia" w:ascii="仿宋_GB2312" w:hAnsi="仿宋_GB2312" w:eastAsia="仿宋_GB2312" w:cs="仿宋_GB2312"/>
          <w:b w:val="0"/>
          <w:bCs w:val="0"/>
          <w:color w:val="auto"/>
          <w:sz w:val="32"/>
          <w:szCs w:val="32"/>
          <w:lang w:val="en-US" w:eastAsia="zh-CN"/>
        </w:rPr>
        <w:t>支出决算为21.89万元，完成预算100%。</w:t>
      </w:r>
    </w:p>
    <w:p>
      <w:pPr>
        <w:keepNext w:val="0"/>
        <w:keepLines w:val="0"/>
        <w:pageBreakBefore w:val="0"/>
        <w:widowControl w:val="0"/>
        <w:kinsoku/>
        <w:wordWrap/>
        <w:overflowPunct/>
        <w:topLinePunct w:val="0"/>
        <w:bidi w:val="0"/>
        <w:snapToGrid/>
        <w:spacing w:line="360" w:lineRule="auto"/>
        <w:ind w:left="0" w:leftChars="0" w:right="0" w:firstLine="643" w:firstLineChars="200"/>
        <w:textAlignment w:val="auto"/>
        <w:rPr>
          <w:rFonts w:hint="default" w:ascii="仿宋" w:hAnsi="仿宋" w:eastAsia="仿宋"/>
          <w:b w:val="0"/>
          <w:bCs w:val="0"/>
          <w:color w:val="auto"/>
          <w:sz w:val="32"/>
          <w:szCs w:val="32"/>
          <w:highlight w:val="none"/>
          <w:lang w:val="en-US" w:eastAsia="zh-CN"/>
        </w:rPr>
      </w:pPr>
      <w:r>
        <w:rPr>
          <w:rStyle w:val="19"/>
          <w:rFonts w:hint="eastAsia" w:ascii="仿宋_GB2312" w:hAnsi="仿宋_GB2312" w:eastAsia="仿宋_GB2312" w:cs="仿宋_GB2312"/>
          <w:bCs/>
          <w:color w:val="auto"/>
          <w:sz w:val="32"/>
          <w:szCs w:val="32"/>
          <w:lang w:val="en-US" w:eastAsia="zh-CN"/>
        </w:rPr>
        <w:t>16.住房保障支出（221）住房改革支出（02）住房公积金（01）：</w:t>
      </w:r>
      <w:r>
        <w:rPr>
          <w:rStyle w:val="19"/>
          <w:rFonts w:hint="eastAsia" w:ascii="仿宋_GB2312" w:hAnsi="仿宋_GB2312" w:eastAsia="仿宋_GB2312" w:cs="仿宋_GB2312"/>
          <w:b w:val="0"/>
          <w:bCs w:val="0"/>
          <w:color w:val="auto"/>
          <w:sz w:val="32"/>
          <w:szCs w:val="32"/>
          <w:lang w:val="en-US" w:eastAsia="zh-CN"/>
        </w:rPr>
        <w:t>支出决算为11.02万元，完成预算100%。</w:t>
      </w:r>
    </w:p>
    <w:p>
      <w:pPr>
        <w:tabs>
          <w:tab w:val="right" w:pos="8306"/>
        </w:tabs>
        <w:spacing w:line="600" w:lineRule="exact"/>
        <w:ind w:firstLine="640" w:firstLineChars="200"/>
        <w:outlineLvl w:val="1"/>
        <w:rPr>
          <w:rStyle w:val="30"/>
          <w:color w:val="auto"/>
          <w:highlight w:val="none"/>
        </w:rPr>
      </w:pPr>
      <w:bookmarkStart w:id="59" w:name="_Toc15396608"/>
      <w:bookmarkStart w:id="60" w:name="_Toc15377214"/>
      <w:bookmarkStart w:id="61" w:name="_Toc23706_WPSOffice_Level2"/>
      <w:r>
        <w:rPr>
          <w:rFonts w:hint="eastAsia" w:ascii="黑体" w:eastAsia="黑体"/>
          <w:color w:val="auto"/>
          <w:sz w:val="32"/>
          <w:szCs w:val="32"/>
          <w:highlight w:val="none"/>
        </w:rPr>
        <w:t>六、一般公共预算财政拨款基本支出决算情况说明</w:t>
      </w:r>
      <w:bookmarkEnd w:id="59"/>
      <w:bookmarkEnd w:id="60"/>
      <w:bookmarkEnd w:id="61"/>
      <w:r>
        <w:rPr>
          <w:rStyle w:val="30"/>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2023</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497.61</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color w:val="auto"/>
          <w:sz w:val="32"/>
          <w:szCs w:val="32"/>
          <w:highlight w:val="none"/>
        </w:rPr>
      </w:pPr>
      <w:r>
        <w:rPr>
          <w:rFonts w:hint="eastAsia" w:ascii="仿宋_GB2312" w:hAnsi="仿宋_GB2312" w:eastAsia="仿宋_GB2312" w:cs="仿宋_GB2312"/>
          <w:color w:val="auto"/>
          <w:sz w:val="32"/>
          <w:szCs w:val="32"/>
        </w:rPr>
        <w:t>人员经费</w:t>
      </w:r>
      <w:r>
        <w:rPr>
          <w:rFonts w:hint="eastAsia" w:ascii="仿宋_GB2312" w:hAnsi="仿宋_GB2312" w:eastAsia="仿宋_GB2312" w:cs="仿宋_GB2312"/>
          <w:color w:val="auto"/>
          <w:sz w:val="32"/>
          <w:szCs w:val="32"/>
          <w:lang w:val="en-US" w:eastAsia="zh-CN"/>
        </w:rPr>
        <w:t>482.35</w:t>
      </w:r>
      <w:r>
        <w:rPr>
          <w:rFonts w:hint="eastAsia" w:ascii="仿宋_GB2312" w:hAnsi="仿宋_GB2312" w:eastAsia="仿宋_GB2312" w:cs="仿宋_GB2312"/>
          <w:color w:val="auto"/>
          <w:sz w:val="32"/>
          <w:szCs w:val="32"/>
        </w:rPr>
        <w:t>万元，主要包括：基本工资、绩效工资、机关事业单位基本养老保险缴费、其他社会保障缴费、其他工资福利支出、离休费、退休费、抚恤金、生活补助、医疗费补助、奖励金、住房公积金、其他对个人和家庭的补助支出等。</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公用经费</w:t>
      </w:r>
      <w:r>
        <w:rPr>
          <w:rFonts w:hint="eastAsia" w:ascii="仿宋_GB2312" w:hAnsi="仿宋_GB2312" w:eastAsia="仿宋_GB2312" w:cs="仿宋_GB2312"/>
          <w:color w:val="auto"/>
          <w:sz w:val="32"/>
          <w:szCs w:val="32"/>
          <w:lang w:val="en-US" w:eastAsia="zh-CN"/>
        </w:rPr>
        <w:t>15.26</w:t>
      </w:r>
      <w:r>
        <w:rPr>
          <w:rFonts w:hint="eastAsia" w:ascii="仿宋_GB2312" w:hAnsi="仿宋_GB2312" w:eastAsia="仿宋_GB2312" w:cs="仿宋_GB2312"/>
          <w:color w:val="auto"/>
          <w:sz w:val="32"/>
          <w:szCs w:val="32"/>
        </w:rPr>
        <w:t>万元，主要包括：</w:t>
      </w:r>
      <w:r>
        <w:rPr>
          <w:rFonts w:hint="eastAsia" w:ascii="仿宋_GB2312" w:hAnsi="仿宋_GB2312" w:eastAsia="仿宋_GB2312" w:cs="仿宋_GB2312"/>
          <w:color w:val="auto"/>
          <w:sz w:val="32"/>
          <w:szCs w:val="32"/>
          <w:lang w:eastAsia="zh-CN"/>
        </w:rPr>
        <w:t>电费、公务接待费、福利费、</w:t>
      </w:r>
      <w:r>
        <w:rPr>
          <w:rFonts w:hint="eastAsia" w:ascii="仿宋_GB2312" w:hAnsi="仿宋_GB2312" w:eastAsia="仿宋_GB2312" w:cs="仿宋_GB2312"/>
          <w:color w:val="auto"/>
          <w:sz w:val="32"/>
          <w:szCs w:val="32"/>
        </w:rPr>
        <w:t>其他商品和服务支出。</w:t>
      </w:r>
    </w:p>
    <w:p>
      <w:pPr>
        <w:spacing w:line="600" w:lineRule="exact"/>
        <w:ind w:firstLine="320" w:firstLineChars="1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（注：数据来源于财决07表</w:t>
      </w:r>
      <w:r>
        <w:rPr>
          <w:rFonts w:hint="eastAsia" w:ascii="仿宋" w:hAnsi="仿宋" w:eastAsia="仿宋" w:cs="Times New Roman"/>
          <w:color w:val="auto"/>
          <w:sz w:val="32"/>
          <w:szCs w:val="32"/>
          <w:highlight w:val="none"/>
          <w:lang w:eastAsia="zh-CN"/>
        </w:rPr>
        <w:t>和财决</w:t>
      </w:r>
      <w:r>
        <w:rPr>
          <w:rFonts w:hint="eastAsia" w:ascii="仿宋" w:hAnsi="仿宋" w:eastAsia="仿宋" w:cs="Times New Roman"/>
          <w:color w:val="auto"/>
          <w:sz w:val="32"/>
          <w:szCs w:val="32"/>
          <w:highlight w:val="none"/>
          <w:lang w:val="en-US" w:eastAsia="zh-CN"/>
        </w:rPr>
        <w:t>08-1表</w:t>
      </w: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eastAsia="zh-CN"/>
        </w:rPr>
        <w:t>仅罗列</w:t>
      </w:r>
      <w:r>
        <w:rPr>
          <w:rFonts w:hint="eastAsia" w:ascii="仿宋" w:hAnsi="仿宋" w:eastAsia="仿宋" w:cs="Times New Roman"/>
          <w:color w:val="auto"/>
          <w:sz w:val="32"/>
          <w:szCs w:val="32"/>
          <w:highlight w:val="none"/>
        </w:rPr>
        <w:t>本</w:t>
      </w:r>
      <w:r>
        <w:rPr>
          <w:rFonts w:hint="eastAsia" w:ascii="仿宋" w:hAnsi="仿宋" w:eastAsia="仿宋" w:cs="Times New Roman"/>
          <w:color w:val="auto"/>
          <w:sz w:val="32"/>
          <w:szCs w:val="32"/>
          <w:highlight w:val="none"/>
          <w:lang w:eastAsia="zh-CN"/>
        </w:rPr>
        <w:t>单位</w:t>
      </w:r>
      <w:r>
        <w:rPr>
          <w:rFonts w:hint="eastAsia" w:ascii="仿宋" w:hAnsi="仿宋" w:eastAsia="仿宋" w:cs="Times New Roman"/>
          <w:color w:val="auto"/>
          <w:sz w:val="32"/>
          <w:szCs w:val="32"/>
          <w:highlight w:val="none"/>
        </w:rPr>
        <w:t>实际支出</w:t>
      </w:r>
      <w:r>
        <w:rPr>
          <w:rFonts w:hint="eastAsia" w:ascii="仿宋" w:hAnsi="仿宋" w:eastAsia="仿宋" w:cs="Times New Roman"/>
          <w:color w:val="auto"/>
          <w:sz w:val="32"/>
          <w:szCs w:val="32"/>
          <w:highlight w:val="none"/>
          <w:lang w:eastAsia="zh-CN"/>
        </w:rPr>
        <w:t>涉及的</w:t>
      </w:r>
      <w:r>
        <w:rPr>
          <w:rFonts w:hint="eastAsia" w:ascii="仿宋" w:hAnsi="仿宋" w:eastAsia="仿宋" w:cs="Times New Roman"/>
          <w:color w:val="auto"/>
          <w:sz w:val="32"/>
          <w:szCs w:val="32"/>
          <w:highlight w:val="none"/>
        </w:rPr>
        <w:t>经济分类科目。）</w:t>
      </w:r>
    </w:p>
    <w:p>
      <w:pPr>
        <w:tabs>
          <w:tab w:val="right" w:pos="8306"/>
        </w:tabs>
        <w:spacing w:line="600" w:lineRule="exact"/>
        <w:ind w:firstLine="640" w:firstLineChars="200"/>
        <w:outlineLvl w:val="1"/>
        <w:rPr>
          <w:rFonts w:hint="eastAsia" w:ascii="黑体" w:eastAsia="黑体"/>
          <w:color w:val="auto"/>
          <w:sz w:val="32"/>
          <w:szCs w:val="32"/>
          <w:highlight w:val="none"/>
        </w:rPr>
      </w:pPr>
      <w:bookmarkStart w:id="62" w:name="_Toc15377215"/>
      <w:bookmarkStart w:id="63" w:name="_Toc15396609"/>
      <w:bookmarkStart w:id="64" w:name="_Toc9596_WPSOffice_Level2"/>
      <w:r>
        <w:rPr>
          <w:rFonts w:hint="eastAsia" w:ascii="黑体" w:eastAsia="黑体"/>
          <w:color w:val="auto"/>
          <w:sz w:val="32"/>
          <w:szCs w:val="32"/>
          <w:highlight w:val="none"/>
        </w:rPr>
        <w:t>七、财政拨款“三公”经费支出决算情况说明</w:t>
      </w:r>
      <w:bookmarkEnd w:id="62"/>
      <w:bookmarkEnd w:id="63"/>
      <w:bookmarkEnd w:id="64"/>
    </w:p>
    <w:p>
      <w:pPr>
        <w:spacing w:line="600" w:lineRule="exact"/>
        <w:ind w:firstLine="640"/>
        <w:outlineLvl w:val="2"/>
        <w:rPr>
          <w:rFonts w:ascii="仿宋" w:hAnsi="仿宋" w:eastAsia="仿宋"/>
          <w:b/>
          <w:color w:val="auto"/>
          <w:sz w:val="32"/>
          <w:szCs w:val="32"/>
          <w:highlight w:val="none"/>
        </w:rPr>
      </w:pPr>
      <w:bookmarkStart w:id="65" w:name="_Toc15377216"/>
      <w:r>
        <w:rPr>
          <w:rFonts w:hint="eastAsia" w:ascii="仿宋" w:hAnsi="仿宋" w:eastAsia="仿宋"/>
          <w:b/>
          <w:color w:val="auto"/>
          <w:sz w:val="32"/>
          <w:szCs w:val="32"/>
          <w:highlight w:val="none"/>
        </w:rPr>
        <w:t>（一）三公”经费财政拨款支出决算总体情况说明</w:t>
      </w:r>
      <w:bookmarkEnd w:id="65"/>
    </w:p>
    <w:p>
      <w:pPr>
        <w:spacing w:line="600" w:lineRule="exact"/>
        <w:ind w:firstLine="645"/>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rPr>
        <w:t>年“三公”经费财政拨款支出决算为</w:t>
      </w:r>
      <w:r>
        <w:rPr>
          <w:rFonts w:hint="eastAsia" w:ascii="仿宋_GB2312" w:hAnsi="仿宋_GB2312" w:eastAsia="仿宋_GB2312" w:cs="仿宋_GB2312"/>
          <w:color w:val="auto"/>
          <w:sz w:val="32"/>
          <w:szCs w:val="32"/>
          <w:lang w:val="en-US" w:eastAsia="zh-CN"/>
        </w:rPr>
        <w:t>0.69</w:t>
      </w:r>
      <w:r>
        <w:rPr>
          <w:rFonts w:hint="eastAsia" w:ascii="仿宋_GB2312" w:hAnsi="仿宋_GB2312" w:eastAsia="仿宋_GB2312" w:cs="仿宋_GB2312"/>
          <w:color w:val="auto"/>
          <w:sz w:val="32"/>
          <w:szCs w:val="32"/>
        </w:rPr>
        <w:t>万元，完成预算</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pPr>
        <w:spacing w:line="600" w:lineRule="exact"/>
        <w:ind w:firstLine="640"/>
        <w:outlineLvl w:val="2"/>
        <w:rPr>
          <w:rFonts w:ascii="仿宋" w:hAnsi="仿宋" w:eastAsia="仿宋"/>
          <w:b/>
          <w:color w:val="auto"/>
          <w:sz w:val="32"/>
          <w:szCs w:val="32"/>
          <w:highlight w:val="none"/>
        </w:rPr>
      </w:pPr>
      <w:bookmarkStart w:id="66" w:name="_Toc15377217"/>
      <w:r>
        <w:rPr>
          <w:rFonts w:hint="eastAsia" w:ascii="仿宋" w:hAnsi="仿宋" w:eastAsia="仿宋"/>
          <w:b/>
          <w:color w:val="auto"/>
          <w:sz w:val="32"/>
          <w:szCs w:val="32"/>
          <w:highlight w:val="none"/>
        </w:rPr>
        <w:t>（二）“三公”经费财政拨款支出决算具体情况说明</w:t>
      </w:r>
      <w:bookmarkEnd w:id="66"/>
    </w:p>
    <w:p>
      <w:pPr>
        <w:spacing w:line="600" w:lineRule="exact"/>
        <w:ind w:firstLine="64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rPr>
        <w:t>年“三公”经费财政拨款支出决算中，因公出国（境）费支出决算</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%；公务用车购置及运行维护费支出决算</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%；公务接待费支出决算</w:t>
      </w:r>
      <w:r>
        <w:rPr>
          <w:rFonts w:hint="eastAsia" w:ascii="仿宋_GB2312" w:hAnsi="仿宋_GB2312" w:eastAsia="仿宋_GB2312" w:cs="仿宋_GB2312"/>
          <w:color w:val="auto"/>
          <w:sz w:val="32"/>
          <w:szCs w:val="32"/>
          <w:lang w:val="en-US" w:eastAsia="zh-CN"/>
        </w:rPr>
        <w:t>0.69</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%。具体情况如下：</w:t>
      </w:r>
    </w:p>
    <w:p>
      <w:pPr>
        <w:numPr>
          <w:ilvl w:val="0"/>
          <w:numId w:val="0"/>
        </w:numPr>
        <w:spacing w:line="600" w:lineRule="exact"/>
        <w:ind w:firstLine="643" w:firstLineChars="200"/>
        <w:rPr>
          <w:rFonts w:hint="eastAsia" w:ascii="仿宋_GB2312" w:eastAsia="仿宋_GB2312"/>
          <w:color w:val="auto"/>
          <w:sz w:val="32"/>
          <w:szCs w:val="32"/>
          <w:highlight w:val="none"/>
        </w:rPr>
      </w:pPr>
      <w:r>
        <w:rPr>
          <w:rFonts w:hint="eastAsia" w:ascii="仿宋_GB2312" w:eastAsia="仿宋_GB2312"/>
          <w:b/>
          <w:color w:val="auto"/>
          <w:sz w:val="32"/>
          <w:szCs w:val="32"/>
          <w:highlight w:val="none"/>
          <w:lang w:val="en-US" w:eastAsia="zh-CN"/>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hint="eastAsia" w:ascii="仿宋_GB2312" w:eastAsia="仿宋_GB2312"/>
          <w:color w:val="auto"/>
          <w:sz w:val="32"/>
          <w:szCs w:val="32"/>
          <w:highlight w:val="none"/>
          <w:lang w:val="en-US" w:eastAsia="zh-CN"/>
        </w:rPr>
        <w:t>2022</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numPr>
          <w:ilvl w:val="0"/>
          <w:numId w:val="0"/>
        </w:numPr>
        <w:spacing w:line="600" w:lineRule="exact"/>
        <w:ind w:firstLine="643" w:firstLineChars="20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hint="eastAsia" w:ascii="仿宋_GB2312" w:eastAsia="仿宋_GB2312"/>
          <w:color w:val="auto"/>
          <w:sz w:val="32"/>
          <w:szCs w:val="32"/>
          <w:highlight w:val="none"/>
          <w:lang w:val="en-US" w:eastAsia="zh-CN"/>
        </w:rPr>
        <w:t>2022</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0"/>
        </w:numPr>
        <w:spacing w:line="600" w:lineRule="exact"/>
        <w:ind w:firstLine="643" w:firstLineChars="200"/>
        <w:rPr>
          <w:rFonts w:hint="eastAsia" w:ascii="仿宋_GB2312" w:eastAsia="仿宋_GB2312"/>
          <w:color w:val="auto"/>
          <w:sz w:val="32"/>
          <w:szCs w:val="32"/>
          <w:highlight w:val="none"/>
        </w:rPr>
      </w:pPr>
      <w:r>
        <w:rPr>
          <w:rFonts w:hint="eastAsia" w:ascii="仿宋_GB2312" w:eastAsia="仿宋_GB2312"/>
          <w:b/>
          <w:color w:val="auto"/>
          <w:sz w:val="32"/>
          <w:szCs w:val="32"/>
          <w:highlight w:val="none"/>
          <w:lang w:val="en-US" w:eastAsia="zh-CN"/>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0.69</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val="en-US" w:eastAsia="zh-CN"/>
        </w:rPr>
        <w:t>2022</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0.69</w:t>
      </w:r>
      <w:r>
        <w:rPr>
          <w:rFonts w:hint="eastAsia" w:ascii="仿宋_GB2312" w:eastAsia="仿宋_GB2312"/>
          <w:color w:val="auto"/>
          <w:sz w:val="32"/>
          <w:szCs w:val="32"/>
          <w:highlight w:val="none"/>
        </w:rPr>
        <w:t>万元，增</w:t>
      </w:r>
      <w:r>
        <w:rPr>
          <w:rFonts w:hint="eastAsia" w:ascii="仿宋_GB2312" w:eastAsia="仿宋_GB2312"/>
          <w:color w:val="auto"/>
          <w:sz w:val="32"/>
          <w:szCs w:val="32"/>
          <w:highlight w:val="none"/>
          <w:lang w:eastAsia="zh-CN"/>
        </w:rPr>
        <w:t>长</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spacing w:line="600" w:lineRule="exact"/>
        <w:ind w:firstLine="643" w:firstLineChars="200"/>
        <w:rPr>
          <w:rFonts w:ascii="仿宋_GB2312" w:eastAsia="仿宋_GB2312"/>
          <w:color w:val="auto"/>
          <w:sz w:val="32"/>
          <w:szCs w:val="32"/>
          <w:highlight w:val="none"/>
        </w:rPr>
      </w:pPr>
      <w:r>
        <w:rPr>
          <w:rFonts w:hint="eastAsia" w:ascii="仿宋_GB2312" w:eastAsia="仿宋_GB2312"/>
          <w:b/>
          <w:color w:val="auto"/>
          <w:sz w:val="32"/>
          <w:szCs w:val="32"/>
          <w:highlight w:val="none"/>
        </w:rPr>
        <w:t>国内公务接待支出</w:t>
      </w:r>
      <w:r>
        <w:rPr>
          <w:rFonts w:hint="eastAsia" w:ascii="仿宋_GB2312" w:eastAsia="仿宋_GB2312"/>
          <w:b w:val="0"/>
          <w:bCs/>
          <w:color w:val="auto"/>
          <w:sz w:val="32"/>
          <w:szCs w:val="32"/>
          <w:highlight w:val="none"/>
          <w:lang w:val="en-US" w:eastAsia="zh-CN"/>
        </w:rPr>
        <w:t>0.69</w:t>
      </w:r>
      <w:r>
        <w:rPr>
          <w:rFonts w:hint="eastAsia" w:ascii="仿宋_GB2312" w:eastAsia="仿宋_GB2312"/>
          <w:color w:val="auto"/>
          <w:sz w:val="32"/>
          <w:szCs w:val="32"/>
          <w:highlight w:val="none"/>
        </w:rPr>
        <w:t>万元。</w:t>
      </w:r>
      <w:r>
        <w:rPr>
          <w:rFonts w:hint="eastAsia" w:ascii="仿宋_GB2312" w:eastAsia="仿宋_GB2312"/>
          <w:color w:val="auto"/>
          <w:sz w:val="32"/>
          <w:szCs w:val="32"/>
          <w:lang w:eastAsia="zh-CN"/>
        </w:rPr>
        <w:t>公务</w:t>
      </w:r>
      <w:r>
        <w:rPr>
          <w:rFonts w:hint="eastAsia" w:ascii="仿宋_GB2312" w:eastAsia="仿宋_GB2312"/>
          <w:color w:val="auto"/>
          <w:sz w:val="32"/>
          <w:szCs w:val="32"/>
        </w:rPr>
        <w:t>接待</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批次，</w:t>
      </w:r>
      <w:r>
        <w:rPr>
          <w:rFonts w:hint="eastAsia" w:ascii="仿宋_GB2312" w:eastAsia="仿宋_GB2312"/>
          <w:color w:val="auto"/>
          <w:sz w:val="32"/>
          <w:szCs w:val="32"/>
          <w:highlight w:val="none"/>
          <w:lang w:val="en-US" w:eastAsia="zh-CN"/>
        </w:rPr>
        <w:t>75</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val="en-US" w:eastAsia="zh-CN"/>
        </w:rPr>
        <w:t>次</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0.69</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pPr>
        <w:spacing w:line="600" w:lineRule="exact"/>
        <w:ind w:firstLine="643" w:firstLineChars="200"/>
        <w:rPr>
          <w:rFonts w:hint="eastAsia" w:ascii="黑体" w:eastAsia="仿宋_GB2312"/>
          <w:color w:val="auto"/>
          <w:sz w:val="32"/>
          <w:szCs w:val="32"/>
          <w:highlight w:val="none"/>
          <w:lang w:eastAsia="zh-CN"/>
        </w:rPr>
      </w:pPr>
      <w:r>
        <w:rPr>
          <w:rFonts w:hint="eastAsia" w:ascii="仿宋_GB2312" w:eastAsia="仿宋_GB2312"/>
          <w:b/>
          <w:color w:val="auto"/>
          <w:sz w:val="32"/>
          <w:szCs w:val="32"/>
          <w:highlight w:val="none"/>
        </w:rPr>
        <w:t>外事接待支出</w:t>
      </w:r>
      <w:r>
        <w:rPr>
          <w:rFonts w:hint="eastAsia" w:ascii="仿宋_GB2312" w:eastAsia="仿宋_GB2312"/>
          <w:b w:val="0"/>
          <w:bCs/>
          <w:color w:val="auto"/>
          <w:sz w:val="32"/>
          <w:szCs w:val="32"/>
          <w:highlight w:val="none"/>
          <w:lang w:val="en-US" w:eastAsia="zh-CN"/>
        </w:rPr>
        <w:t>0万元</w:t>
      </w:r>
      <w:bookmarkStart w:id="67" w:name="_Toc15396610"/>
      <w:bookmarkStart w:id="68" w:name="_Toc15377218"/>
      <w:r>
        <w:rPr>
          <w:rFonts w:hint="eastAsia" w:ascii="仿宋_GB2312" w:eastAsia="仿宋_GB2312"/>
          <w:color w:val="auto"/>
          <w:sz w:val="32"/>
          <w:szCs w:val="32"/>
        </w:rPr>
        <w:t>，外事接待0批次，0人</w:t>
      </w:r>
      <w:r>
        <w:rPr>
          <w:rFonts w:hint="eastAsia" w:ascii="仿宋_GB2312" w:eastAsia="仿宋_GB2312"/>
          <w:color w:val="auto"/>
          <w:sz w:val="32"/>
          <w:szCs w:val="32"/>
          <w:lang w:val="en-US" w:eastAsia="zh-CN"/>
        </w:rPr>
        <w:t>次</w:t>
      </w:r>
      <w:r>
        <w:rPr>
          <w:rFonts w:hint="eastAsia" w:ascii="仿宋_GB2312" w:eastAsia="仿宋_GB2312"/>
          <w:color w:val="auto"/>
          <w:sz w:val="32"/>
          <w:szCs w:val="32"/>
        </w:rPr>
        <w:t>，共计支出0万元。</w:t>
      </w:r>
    </w:p>
    <w:p>
      <w:pPr>
        <w:spacing w:line="600" w:lineRule="exact"/>
        <w:ind w:firstLine="640"/>
        <w:outlineLvl w:val="1"/>
        <w:rPr>
          <w:rStyle w:val="30"/>
          <w:rFonts w:ascii="黑体" w:hAnsi="黑体" w:eastAsia="黑体"/>
          <w:color w:val="auto"/>
          <w:highlight w:val="none"/>
        </w:rPr>
      </w:pPr>
      <w:bookmarkStart w:id="69" w:name="_Toc13989_WPSOffice_Level2"/>
      <w:r>
        <w:rPr>
          <w:rFonts w:hint="eastAsia" w:ascii="黑体" w:eastAsia="黑体"/>
          <w:color w:val="auto"/>
          <w:sz w:val="32"/>
          <w:szCs w:val="32"/>
          <w:highlight w:val="none"/>
        </w:rPr>
        <w:t>八、</w:t>
      </w:r>
      <w:r>
        <w:rPr>
          <w:rStyle w:val="30"/>
          <w:rFonts w:hint="eastAsia" w:ascii="黑体" w:hAnsi="黑体" w:eastAsia="黑体"/>
          <w:b w:val="0"/>
          <w:color w:val="auto"/>
          <w:highlight w:val="none"/>
        </w:rPr>
        <w:t>政府性基金预算支出决算情况说明</w:t>
      </w:r>
      <w:bookmarkEnd w:id="67"/>
      <w:bookmarkEnd w:id="68"/>
      <w:bookmarkEnd w:id="69"/>
    </w:p>
    <w:p>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2023</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30"/>
          <w:rFonts w:ascii="黑体" w:hAnsi="黑体" w:eastAsia="黑体"/>
          <w:b w:val="0"/>
          <w:color w:val="auto"/>
          <w:highlight w:val="none"/>
        </w:rPr>
      </w:pPr>
      <w:bookmarkStart w:id="70" w:name="_Toc15377219"/>
      <w:bookmarkStart w:id="71" w:name="_Toc15396611"/>
      <w:bookmarkStart w:id="72" w:name="_Toc559_WPSOffice_Level2"/>
      <w:r>
        <w:rPr>
          <w:rStyle w:val="30"/>
          <w:rFonts w:hint="eastAsia" w:ascii="黑体" w:hAnsi="黑体" w:eastAsia="黑体"/>
          <w:b w:val="0"/>
          <w:color w:val="auto"/>
          <w:highlight w:val="none"/>
        </w:rPr>
        <w:t>国有资本经营预算支出决算情况说明</w:t>
      </w:r>
      <w:bookmarkEnd w:id="70"/>
      <w:bookmarkEnd w:id="71"/>
      <w:bookmarkEnd w:id="72"/>
    </w:p>
    <w:p>
      <w:pPr>
        <w:spacing w:line="600" w:lineRule="exact"/>
        <w:ind w:firstLine="640"/>
        <w:rPr>
          <w:rFonts w:ascii="方正小标宋简体" w:hAnsi="方正小标宋简体" w:eastAsia="方正小标宋简体" w:cs="方正小标宋简体"/>
          <w:color w:val="auto"/>
          <w:sz w:val="44"/>
          <w:szCs w:val="44"/>
          <w:highlight w:val="none"/>
        </w:rPr>
      </w:pPr>
      <w:r>
        <w:rPr>
          <w:rFonts w:hint="eastAsia" w:ascii="仿宋_GB2312" w:eastAsia="仿宋_GB2312"/>
          <w:color w:val="auto"/>
          <w:sz w:val="32"/>
          <w:szCs w:val="32"/>
          <w:highlight w:val="none"/>
          <w:lang w:val="en-US" w:eastAsia="zh-CN"/>
        </w:rPr>
        <w:t>2023</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30"/>
          <w:rFonts w:hint="eastAsia" w:ascii="黑体" w:hAnsi="黑体" w:eastAsia="黑体"/>
          <w:b w:val="0"/>
          <w:color w:val="auto"/>
          <w:highlight w:val="none"/>
        </w:rPr>
      </w:pPr>
      <w:bookmarkStart w:id="73" w:name="_Toc15396612"/>
      <w:bookmarkStart w:id="74" w:name="_Toc15377221"/>
      <w:bookmarkStart w:id="75" w:name="_Toc6957_WPSOffice_Level2"/>
      <w:r>
        <w:rPr>
          <w:rStyle w:val="30"/>
          <w:rFonts w:hint="eastAsia" w:ascii="黑体" w:hAnsi="黑体" w:eastAsia="黑体"/>
          <w:b w:val="0"/>
          <w:color w:val="auto"/>
          <w:highlight w:val="none"/>
        </w:rPr>
        <w:t>其他重要事项的情况说明</w:t>
      </w:r>
      <w:bookmarkEnd w:id="73"/>
      <w:bookmarkEnd w:id="74"/>
      <w:bookmarkEnd w:id="75"/>
    </w:p>
    <w:p>
      <w:pPr>
        <w:spacing w:line="600" w:lineRule="exact"/>
        <w:ind w:firstLine="640" w:firstLineChars="200"/>
        <w:outlineLvl w:val="2"/>
        <w:rPr>
          <w:rFonts w:ascii="仿宋" w:hAnsi="仿宋" w:eastAsia="仿宋"/>
          <w:color w:val="auto"/>
          <w:sz w:val="32"/>
          <w:szCs w:val="32"/>
          <w:highlight w:val="none"/>
        </w:rPr>
      </w:pPr>
      <w:bookmarkStart w:id="76" w:name="_Toc15377222"/>
      <w:r>
        <w:rPr>
          <w:rFonts w:hint="eastAsia" w:ascii="仿宋" w:hAnsi="仿宋" w:eastAsia="仿宋"/>
          <w:b/>
          <w:color w:val="auto"/>
          <w:sz w:val="32"/>
          <w:szCs w:val="32"/>
          <w:highlight w:val="none"/>
        </w:rPr>
        <w:t>（一）机关运行经费支出情况</w:t>
      </w:r>
      <w:bookmarkEnd w:id="76"/>
    </w:p>
    <w:p>
      <w:pPr>
        <w:spacing w:line="600" w:lineRule="exact"/>
        <w:ind w:firstLine="640" w:firstLineChars="200"/>
        <w:rPr>
          <w:rFonts w:hint="eastAsia" w:ascii="仿宋" w:hAnsi="仿宋" w:eastAsia="仿宋_GB2312"/>
          <w:b/>
          <w:color w:val="auto"/>
          <w:sz w:val="32"/>
          <w:szCs w:val="32"/>
          <w:highlight w:val="none"/>
          <w:lang w:eastAsia="zh-CN"/>
        </w:rPr>
      </w:pPr>
      <w:r>
        <w:rPr>
          <w:rFonts w:hint="eastAsia" w:ascii="仿宋_GB2312" w:eastAsia="仿宋_GB2312"/>
          <w:color w:val="auto"/>
          <w:sz w:val="32"/>
          <w:szCs w:val="32"/>
          <w:highlight w:val="none"/>
          <w:lang w:val="en-US" w:eastAsia="zh-CN"/>
        </w:rPr>
        <w:t>2023</w:t>
      </w:r>
      <w:r>
        <w:rPr>
          <w:rFonts w:hint="eastAsia" w:ascii="仿宋_GB2312" w:eastAsia="仿宋_GB2312"/>
          <w:color w:val="auto"/>
          <w:sz w:val="32"/>
          <w:szCs w:val="32"/>
          <w:highlight w:val="none"/>
        </w:rPr>
        <w:t>年，</w:t>
      </w:r>
      <w:r>
        <w:rPr>
          <w:rFonts w:hint="eastAsia" w:ascii="仿宋_GB2312" w:eastAsia="仿宋_GB2312"/>
          <w:color w:val="000000"/>
          <w:sz w:val="32"/>
          <w:szCs w:val="32"/>
        </w:rPr>
        <w:t>船山区</w:t>
      </w:r>
      <w:r>
        <w:rPr>
          <w:rFonts w:hint="eastAsia" w:ascii="仿宋_GB2312" w:eastAsia="仿宋_GB2312"/>
          <w:color w:val="000000"/>
          <w:sz w:val="32"/>
          <w:szCs w:val="32"/>
          <w:lang w:val="en-US" w:eastAsia="zh-CN"/>
        </w:rPr>
        <w:t>妇幼保健院</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pPr>
        <w:autoSpaceDE w:val="0"/>
        <w:autoSpaceDN w:val="0"/>
        <w:adjustRightInd w:val="0"/>
        <w:spacing w:line="600" w:lineRule="exact"/>
        <w:ind w:firstLine="640" w:firstLineChars="200"/>
        <w:jc w:val="left"/>
        <w:outlineLvl w:val="2"/>
        <w:rPr>
          <w:rFonts w:ascii="仿宋" w:hAnsi="仿宋" w:eastAsia="仿宋"/>
          <w:b/>
          <w:color w:val="auto"/>
          <w:sz w:val="32"/>
          <w:szCs w:val="32"/>
          <w:highlight w:val="none"/>
        </w:rPr>
      </w:pPr>
      <w:bookmarkStart w:id="77" w:name="_Toc15377223"/>
      <w:r>
        <w:rPr>
          <w:rFonts w:hint="eastAsia" w:ascii="仿宋" w:hAnsi="仿宋" w:eastAsia="仿宋"/>
          <w:b/>
          <w:color w:val="auto"/>
          <w:sz w:val="32"/>
          <w:szCs w:val="32"/>
          <w:highlight w:val="none"/>
        </w:rPr>
        <w:t>（二）政府采购支出情况</w:t>
      </w:r>
      <w:bookmarkEnd w:id="77"/>
    </w:p>
    <w:p>
      <w:pPr>
        <w:pageBreakBefore w:val="0"/>
        <w:kinsoku/>
        <w:wordWrap/>
        <w:overflowPunct/>
        <w:topLinePunct w:val="0"/>
        <w:bidi w:val="0"/>
        <w:spacing w:line="240" w:lineRule="auto"/>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2023</w:t>
      </w:r>
      <w:r>
        <w:rPr>
          <w:rFonts w:hint="eastAsia" w:ascii="仿宋_GB2312" w:eastAsia="仿宋_GB2312"/>
          <w:color w:val="auto"/>
          <w:sz w:val="32"/>
          <w:szCs w:val="32"/>
          <w:highlight w:val="none"/>
        </w:rPr>
        <w:t>年，</w:t>
      </w:r>
      <w:r>
        <w:rPr>
          <w:rFonts w:hint="eastAsia" w:ascii="仿宋_GB2312" w:eastAsia="仿宋_GB2312"/>
          <w:color w:val="000000"/>
          <w:sz w:val="32"/>
          <w:szCs w:val="32"/>
        </w:rPr>
        <w:t>船山区</w:t>
      </w:r>
      <w:r>
        <w:rPr>
          <w:rFonts w:hint="eastAsia" w:ascii="仿宋_GB2312" w:eastAsia="仿宋_GB2312"/>
          <w:color w:val="000000"/>
          <w:sz w:val="32"/>
          <w:szCs w:val="32"/>
          <w:lang w:val="en-US" w:eastAsia="zh-CN"/>
        </w:rPr>
        <w:t>妇幼保健院</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348.9</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48.9</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300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主要用于</w:t>
      </w:r>
      <w:r>
        <w:rPr>
          <w:rFonts w:hint="eastAsia" w:ascii="仿宋_GB2312" w:eastAsia="仿宋_GB2312"/>
          <w:color w:val="auto"/>
          <w:sz w:val="32"/>
          <w:szCs w:val="32"/>
          <w:highlight w:val="none"/>
          <w:lang w:eastAsia="zh-CN"/>
        </w:rPr>
        <w:t>医疗设备和试剂采购</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bookmarkStart w:id="99" w:name="_GoBack"/>
      <w:bookmarkEnd w:id="99"/>
    </w:p>
    <w:p>
      <w:pPr>
        <w:autoSpaceDE w:val="0"/>
        <w:autoSpaceDN w:val="0"/>
        <w:adjustRightInd w:val="0"/>
        <w:spacing w:line="600" w:lineRule="exact"/>
        <w:ind w:firstLine="640" w:firstLineChars="200"/>
        <w:jc w:val="left"/>
        <w:outlineLvl w:val="2"/>
        <w:rPr>
          <w:rFonts w:ascii="仿宋" w:hAnsi="仿宋" w:eastAsia="仿宋"/>
          <w:b/>
          <w:color w:val="auto"/>
          <w:sz w:val="32"/>
          <w:szCs w:val="32"/>
          <w:highlight w:val="none"/>
        </w:rPr>
      </w:pPr>
      <w:bookmarkStart w:id="78" w:name="_Toc15377224"/>
      <w:r>
        <w:rPr>
          <w:rFonts w:hint="eastAsia" w:ascii="仿宋" w:hAnsi="仿宋" w:eastAsia="仿宋"/>
          <w:b/>
          <w:color w:val="auto"/>
          <w:sz w:val="32"/>
          <w:szCs w:val="32"/>
          <w:highlight w:val="none"/>
        </w:rPr>
        <w:t>（三）国有资产占有使用情况</w:t>
      </w:r>
      <w:bookmarkEnd w:id="78"/>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val="en-US"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000000"/>
          <w:sz w:val="32"/>
          <w:szCs w:val="32"/>
          <w:highlight w:val="none"/>
        </w:rPr>
        <w:t>船山区</w:t>
      </w:r>
      <w:r>
        <w:rPr>
          <w:rFonts w:hint="eastAsia" w:ascii="仿宋_GB2312" w:eastAsia="仿宋_GB2312"/>
          <w:color w:val="000000"/>
          <w:sz w:val="32"/>
          <w:szCs w:val="32"/>
          <w:highlight w:val="none"/>
          <w:lang w:val="en-US" w:eastAsia="zh-CN"/>
        </w:rPr>
        <w:t>妇幼保健院</w:t>
      </w:r>
      <w:r>
        <w:rPr>
          <w:rFonts w:hint="eastAsia" w:ascii="仿宋_GB2312" w:eastAsia="仿宋_GB2312"/>
          <w:color w:val="000000"/>
          <w:sz w:val="32"/>
          <w:szCs w:val="32"/>
          <w:highlight w:val="none"/>
        </w:rPr>
        <w:t>共有车辆</w:t>
      </w:r>
      <w:r>
        <w:rPr>
          <w:rFonts w:hint="eastAsia" w:ascii="仿宋_GB2312" w:eastAsia="仿宋_GB2312"/>
          <w:color w:val="000000"/>
          <w:sz w:val="32"/>
          <w:szCs w:val="32"/>
          <w:highlight w:val="none"/>
          <w:lang w:val="en-US" w:eastAsia="zh-CN"/>
        </w:rPr>
        <w:t>6</w:t>
      </w:r>
      <w:r>
        <w:rPr>
          <w:rFonts w:hint="eastAsia" w:ascii="仿宋_GB2312" w:eastAsia="仿宋_GB2312"/>
          <w:color w:val="000000"/>
          <w:sz w:val="32"/>
          <w:szCs w:val="32"/>
          <w:highlight w:val="none"/>
        </w:rPr>
        <w:t>辆，其中：主要领导干部用车0辆、机要通信用车0辆、应急保障用车</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辆、执法执勤用车</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辆，特种专业技术用车4辆，其他用车2辆，</w:t>
      </w:r>
      <w:r>
        <w:rPr>
          <w:rFonts w:hint="eastAsia" w:ascii="仿宋_GB2312" w:eastAsia="仿宋_GB2312"/>
          <w:color w:val="000000" w:themeColor="text1"/>
          <w:sz w:val="32"/>
          <w:szCs w:val="32"/>
          <w:highlight w:val="none"/>
          <w14:textFill>
            <w14:solidFill>
              <w14:schemeClr w14:val="tx1"/>
            </w14:solidFill>
          </w14:textFill>
        </w:rPr>
        <w:t>其他用车主要是用于领导干部因公需要使用时用车。单价</w:t>
      </w:r>
      <w:r>
        <w:rPr>
          <w:rFonts w:ascii="仿宋_GB2312" w:eastAsia="仿宋_GB2312"/>
          <w:color w:val="000000" w:themeColor="text1"/>
          <w:sz w:val="32"/>
          <w:szCs w:val="32"/>
          <w:highlight w:val="none"/>
          <w14:textFill>
            <w14:solidFill>
              <w14:schemeClr w14:val="tx1"/>
            </w14:solidFill>
          </w14:textFill>
        </w:rPr>
        <w:t>50</w:t>
      </w:r>
      <w:r>
        <w:rPr>
          <w:rFonts w:hint="eastAsia" w:ascii="仿宋_GB2312" w:eastAsia="仿宋_GB2312"/>
          <w:color w:val="000000" w:themeColor="text1"/>
          <w:sz w:val="32"/>
          <w:szCs w:val="32"/>
          <w:highlight w:val="none"/>
          <w14:textFill>
            <w14:solidFill>
              <w14:schemeClr w14:val="tx1"/>
            </w14:solidFill>
          </w14:textFill>
        </w:rPr>
        <w:t>万元以上通用设备</w:t>
      </w:r>
      <w:r>
        <w:rPr>
          <w:rFonts w:hint="eastAsia" w:ascii="仿宋_GB2312" w:eastAsia="仿宋_GB2312"/>
          <w:color w:val="000000" w:themeColor="text1"/>
          <w:sz w:val="32"/>
          <w:szCs w:val="32"/>
          <w:highlight w:val="none"/>
          <w:lang w:val="en-US" w:eastAsia="zh-CN"/>
          <w14:textFill>
            <w14:solidFill>
              <w14:schemeClr w14:val="tx1"/>
            </w14:solidFill>
          </w14:textFill>
        </w:rPr>
        <w:t>0</w:t>
      </w:r>
      <w:r>
        <w:rPr>
          <w:rFonts w:hint="eastAsia" w:ascii="仿宋_GB2312" w:eastAsia="仿宋_GB2312"/>
          <w:color w:val="000000" w:themeColor="text1"/>
          <w:sz w:val="32"/>
          <w:szCs w:val="32"/>
          <w:highlight w:val="none"/>
          <w14:textFill>
            <w14:solidFill>
              <w14:schemeClr w14:val="tx1"/>
            </w14:solidFill>
          </w14:textFill>
        </w:rPr>
        <w:t>台（套），单价</w:t>
      </w:r>
      <w:r>
        <w:rPr>
          <w:rFonts w:ascii="仿宋_GB2312" w:eastAsia="仿宋_GB2312"/>
          <w:color w:val="000000" w:themeColor="text1"/>
          <w:sz w:val="32"/>
          <w:szCs w:val="32"/>
          <w:highlight w:val="none"/>
          <w14:textFill>
            <w14:solidFill>
              <w14:schemeClr w14:val="tx1"/>
            </w14:solidFill>
          </w14:textFill>
        </w:rPr>
        <w:t>100</w:t>
      </w:r>
      <w:r>
        <w:rPr>
          <w:rFonts w:hint="eastAsia" w:ascii="仿宋_GB2312" w:eastAsia="仿宋_GB2312"/>
          <w:color w:val="000000"/>
          <w:sz w:val="32"/>
          <w:szCs w:val="32"/>
          <w:highlight w:val="none"/>
        </w:rPr>
        <w:t>万元以上专用设备</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台（套）。</w:t>
      </w:r>
    </w:p>
    <w:p>
      <w:pPr>
        <w:autoSpaceDE w:val="0"/>
        <w:autoSpaceDN w:val="0"/>
        <w:adjustRightInd w:val="0"/>
        <w:spacing w:line="600" w:lineRule="exact"/>
        <w:ind w:firstLine="640"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pPr>
        <w:pStyle w:val="9"/>
        <w:ind w:firstLine="640" w:firstLineChars="200"/>
        <w:rPr>
          <w:color w:val="auto"/>
          <w:highlight w:val="yellow"/>
        </w:rPr>
      </w:pPr>
      <w:r>
        <w:rPr>
          <w:rFonts w:hint="eastAsia" w:ascii="仿宋_GB2312" w:hAnsi="仿宋_GB2312" w:eastAsia="仿宋_GB2312" w:cs="仿宋_GB2312"/>
          <w:color w:val="auto"/>
          <w:sz w:val="32"/>
          <w:szCs w:val="32"/>
          <w:highlight w:val="none"/>
        </w:rPr>
        <w:t>根据预算绩效管理要求，本单位在</w:t>
      </w:r>
      <w:r>
        <w:rPr>
          <w:rFonts w:hint="eastAsia" w:hAnsi="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rPr>
        <w:t>年度预算编制阶段，组织对医疗服务与保障能力提升（卫生健康人才培养）上级补助资金</w:t>
      </w:r>
      <w:r>
        <w:rPr>
          <w:rFonts w:hint="eastAsia" w:hAnsi="仿宋_GB2312" w:cs="仿宋_GB2312"/>
          <w:color w:val="auto"/>
          <w:sz w:val="32"/>
          <w:szCs w:val="32"/>
          <w:highlight w:val="none"/>
          <w:lang w:eastAsia="zh-CN"/>
        </w:rPr>
        <w:t>、医疗服务与保障能力提升（公立医院综合改革）上级补助资金、重大传染病防控上级专项补助资金、省级卫生健康专项资金、老年大学新冠疫苗接种点运行经费、医疗机构闭环管理人员生活及住宿费用、其他公共卫生服务（新并基公卫）上级专项资金、上级相关医务人员临时性工作补助资金、为农村适龄妇女免费提供“两癌”筛查、公立医院取消药品加成补助、医疗卫生事业发展上级资金、卫生健康服务上级补助资金、遂宁市船山区2023年医疗卫生机构新冠疫情防控能力提升项目（一般债券）</w:t>
      </w:r>
      <w:r>
        <w:rPr>
          <w:rFonts w:hint="eastAsia" w:ascii="仿宋_GB2312" w:hAnsi="仿宋_GB2312" w:eastAsia="仿宋_GB2312" w:cs="仿宋_GB2312"/>
          <w:color w:val="auto"/>
          <w:sz w:val="32"/>
          <w:szCs w:val="32"/>
          <w:highlight w:val="none"/>
        </w:rPr>
        <w:t>等</w:t>
      </w:r>
      <w:r>
        <w:rPr>
          <w:rFonts w:hint="eastAsia" w:hAnsi="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个项目开展了预算事前绩效评估，对</w:t>
      </w:r>
      <w:r>
        <w:rPr>
          <w:rFonts w:hint="eastAsia" w:hAnsi="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个项目编制了绩效目标，预算执行过程中，选取</w:t>
      </w:r>
      <w:r>
        <w:rPr>
          <w:rFonts w:hint="eastAsia" w:hAnsi="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个项目开展绩效监控，组织对</w:t>
      </w:r>
      <w:r>
        <w:rPr>
          <w:rFonts w:hint="eastAsia" w:hAnsi="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个项目开展绩效自评，绩效自评表详见</w:t>
      </w:r>
      <w:r>
        <w:rPr>
          <w:rFonts w:hint="eastAsia" w:hAnsi="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附件。</w:t>
      </w: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pStyle w:val="11"/>
      </w:pPr>
    </w:p>
    <w:p>
      <w:pPr>
        <w:numPr>
          <w:ilvl w:val="0"/>
          <w:numId w:val="4"/>
        </w:numPr>
        <w:spacing w:line="600" w:lineRule="exact"/>
        <w:ind w:firstLine="660" w:firstLineChars="150"/>
        <w:jc w:val="center"/>
        <w:outlineLvl w:val="0"/>
        <w:rPr>
          <w:rStyle w:val="29"/>
          <w:rFonts w:ascii="黑体" w:hAnsi="黑体" w:eastAsia="黑体"/>
          <w:b w:val="0"/>
          <w:color w:val="auto"/>
          <w:highlight w:val="none"/>
        </w:rPr>
      </w:pPr>
      <w:bookmarkStart w:id="79" w:name="_Toc15377225"/>
      <w:bookmarkStart w:id="80" w:name="_Toc15396613"/>
      <w:bookmarkStart w:id="81" w:name="_Toc19173_WPSOffice_Level1"/>
      <w:r>
        <w:rPr>
          <w:rFonts w:hint="eastAsia" w:ascii="黑体" w:hAnsi="黑体" w:eastAsia="黑体"/>
          <w:color w:val="auto"/>
          <w:sz w:val="44"/>
          <w:szCs w:val="44"/>
          <w:highlight w:val="none"/>
        </w:rPr>
        <w:t>名</w:t>
      </w:r>
      <w:r>
        <w:rPr>
          <w:rStyle w:val="29"/>
          <w:rFonts w:hint="eastAsia" w:ascii="黑体" w:hAnsi="黑体" w:eastAsia="黑体"/>
          <w:b w:val="0"/>
          <w:color w:val="auto"/>
          <w:highlight w:val="none"/>
        </w:rPr>
        <w:t>词解释</w:t>
      </w:r>
      <w:bookmarkEnd w:id="79"/>
      <w:bookmarkEnd w:id="80"/>
      <w:bookmarkEnd w:id="81"/>
    </w:p>
    <w:p>
      <w:pPr>
        <w:spacing w:line="600" w:lineRule="exact"/>
        <w:jc w:val="left"/>
        <w:rPr>
          <w:rFonts w:ascii="宋体"/>
          <w:b/>
          <w:color w:val="auto"/>
          <w:sz w:val="44"/>
          <w:szCs w:val="44"/>
          <w:highlight w:val="none"/>
        </w:rPr>
      </w:pPr>
    </w:p>
    <w:p>
      <w:pPr>
        <w:pStyle w:val="27"/>
        <w:keepNext w:val="0"/>
        <w:keepLines w:val="0"/>
        <w:pageBreakBefore w:val="0"/>
        <w:widowControl w:val="0"/>
        <w:kinsoku/>
        <w:wordWrap/>
        <w:overflowPunct/>
        <w:topLinePunct w:val="0"/>
        <w:bidi w:val="0"/>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1.财政拨款收入：指单位从同级财政部门取得的财政预算资金。</w:t>
      </w:r>
    </w:p>
    <w:p>
      <w:pPr>
        <w:pStyle w:val="27"/>
        <w:keepNext w:val="0"/>
        <w:keepLines w:val="0"/>
        <w:pageBreakBefore w:val="0"/>
        <w:widowControl w:val="0"/>
        <w:kinsoku/>
        <w:wordWrap/>
        <w:overflowPunct/>
        <w:topLinePunct w:val="0"/>
        <w:bidi w:val="0"/>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2.事业收入：指事业单位开展专业业务活动及辅助活动取得的收入。</w:t>
      </w:r>
    </w:p>
    <w:p>
      <w:pPr>
        <w:pStyle w:val="27"/>
        <w:keepNext w:val="0"/>
        <w:keepLines w:val="0"/>
        <w:pageBreakBefore w:val="0"/>
        <w:widowControl w:val="0"/>
        <w:kinsoku/>
        <w:wordWrap/>
        <w:overflowPunct/>
        <w:topLinePunct w:val="0"/>
        <w:bidi w:val="0"/>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 xml:space="preserve">.其他收入：指单位取得的除上述收入以外的各项收入。主要是上级、本级各部门拨款等。 </w:t>
      </w:r>
    </w:p>
    <w:p>
      <w:pPr>
        <w:pStyle w:val="27"/>
        <w:keepNext w:val="0"/>
        <w:keepLines w:val="0"/>
        <w:pageBreakBefore w:val="0"/>
        <w:widowControl w:val="0"/>
        <w:kinsoku/>
        <w:wordWrap/>
        <w:overflowPunct/>
        <w:topLinePunct w:val="0"/>
        <w:bidi w:val="0"/>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 xml:space="preserve">.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7"/>
        <w:keepNext w:val="0"/>
        <w:keepLines w:val="0"/>
        <w:pageBreakBefore w:val="0"/>
        <w:widowControl w:val="0"/>
        <w:kinsoku/>
        <w:wordWrap/>
        <w:overflowPunct/>
        <w:topLinePunct w:val="0"/>
        <w:bidi w:val="0"/>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 xml:space="preserve">.年初结转和结余：指以前年度尚未完成、结转到本年按有关规定继续使用的资金。 </w:t>
      </w:r>
    </w:p>
    <w:p>
      <w:pPr>
        <w:pStyle w:val="27"/>
        <w:keepNext w:val="0"/>
        <w:keepLines w:val="0"/>
        <w:pageBreakBefore w:val="0"/>
        <w:widowControl w:val="0"/>
        <w:kinsoku/>
        <w:wordWrap/>
        <w:overflowPunct/>
        <w:topLinePunct w:val="0"/>
        <w:bidi w:val="0"/>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.结余分配：指事业单位按照事业单位会计制度的规定从非财政补助结余中分配的事业基金和职工福利基金等。</w:t>
      </w:r>
    </w:p>
    <w:p>
      <w:pPr>
        <w:pStyle w:val="27"/>
        <w:keepNext w:val="0"/>
        <w:keepLines w:val="0"/>
        <w:pageBreakBefore w:val="0"/>
        <w:widowControl w:val="0"/>
        <w:kinsoku/>
        <w:wordWrap/>
        <w:overflowPunct/>
        <w:topLinePunct w:val="0"/>
        <w:bidi w:val="0"/>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、年末结转和结余：指单位按有关规定结转到下年或以后年度继续使用的资金。</w:t>
      </w:r>
    </w:p>
    <w:p>
      <w:pPr>
        <w:pStyle w:val="27"/>
        <w:keepNext w:val="0"/>
        <w:keepLines w:val="0"/>
        <w:pageBreakBefore w:val="0"/>
        <w:widowControl w:val="0"/>
        <w:kinsoku/>
        <w:wordWrap/>
        <w:overflowPunct/>
        <w:topLinePunct w:val="0"/>
        <w:bidi w:val="0"/>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8、社会保障和就业支出（208）行政事业单位养老支出（05）行政单位离退休（01）:指行政事业单位离退休费。</w:t>
      </w:r>
    </w:p>
    <w:p>
      <w:pPr>
        <w:pStyle w:val="27"/>
        <w:keepNext w:val="0"/>
        <w:keepLines w:val="0"/>
        <w:pageBreakBefore w:val="0"/>
        <w:widowControl w:val="0"/>
        <w:kinsoku/>
        <w:wordWrap/>
        <w:overflowPunct/>
        <w:topLinePunct w:val="0"/>
        <w:bidi w:val="0"/>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9、社会保障和就业支出（208）行政事业单位养老支出（05）机关事业单位基本养老保险缴费支出（05）: 指行政事业单位养老支出。</w:t>
      </w:r>
    </w:p>
    <w:p>
      <w:pPr>
        <w:pStyle w:val="27"/>
        <w:keepNext w:val="0"/>
        <w:keepLines w:val="0"/>
        <w:pageBreakBefore w:val="0"/>
        <w:widowControl w:val="0"/>
        <w:kinsoku/>
        <w:wordWrap/>
        <w:overflowPunct/>
        <w:topLinePunct w:val="0"/>
        <w:bidi w:val="0"/>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10、社会保障和就业支出（208）残疾人事业（11）残疾人就业（05）: </w:t>
      </w:r>
      <w:r>
        <w:rPr>
          <w:rStyle w:val="19"/>
          <w:rFonts w:hint="eastAsia" w:ascii="仿宋_GB2312" w:hAnsi="仿宋_GB2312" w:eastAsia="仿宋_GB2312" w:cs="仿宋_GB2312"/>
          <w:b w:val="0"/>
          <w:bCs w:val="0"/>
          <w:color w:val="auto"/>
          <w:sz w:val="32"/>
          <w:szCs w:val="32"/>
          <w:lang w:eastAsia="zh-CN"/>
        </w:rPr>
        <w:t>指未安排残疾人就业所缴纳的残疾人就业保障金。</w:t>
      </w:r>
    </w:p>
    <w:p>
      <w:pPr>
        <w:pStyle w:val="27"/>
        <w:keepNext w:val="0"/>
        <w:keepLines w:val="0"/>
        <w:pageBreakBefore w:val="0"/>
        <w:widowControl w:val="0"/>
        <w:kinsoku/>
        <w:wordWrap/>
        <w:overflowPunct/>
        <w:topLinePunct w:val="0"/>
        <w:bidi w:val="0"/>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11、社会保障和就业支出（208）其他社会保障和就业支出（99）其他社会保障和就业支出（99）: 指行政事业单位其他社会保障和就业支出。</w:t>
      </w:r>
    </w:p>
    <w:p>
      <w:pPr>
        <w:pStyle w:val="27"/>
        <w:keepNext w:val="0"/>
        <w:keepLines w:val="0"/>
        <w:pageBreakBefore w:val="0"/>
        <w:widowControl w:val="0"/>
        <w:kinsoku/>
        <w:wordWrap/>
        <w:overflowPunct/>
        <w:topLinePunct w:val="0"/>
        <w:bidi w:val="0"/>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12、卫生健康支出（210）公立医院（02）妇幼保健医院(06):</w:t>
      </w:r>
      <w:r>
        <w:rPr>
          <w:rStyle w:val="19"/>
          <w:rFonts w:hint="eastAsia" w:ascii="仿宋_GB2312" w:hAnsi="仿宋_GB2312" w:eastAsia="仿宋_GB2312" w:cs="仿宋_GB2312"/>
          <w:b w:val="0"/>
          <w:bCs w:val="0"/>
          <w:color w:val="auto"/>
          <w:sz w:val="32"/>
          <w:szCs w:val="32"/>
          <w:lang w:eastAsia="zh-CN"/>
        </w:rPr>
        <w:t>指公立医院卫生健康支出。</w:t>
      </w:r>
    </w:p>
    <w:p>
      <w:pPr>
        <w:pStyle w:val="27"/>
        <w:keepNext w:val="0"/>
        <w:keepLines w:val="0"/>
        <w:pageBreakBefore w:val="0"/>
        <w:widowControl w:val="0"/>
        <w:kinsoku/>
        <w:wordWrap/>
        <w:overflowPunct/>
        <w:topLinePunct w:val="0"/>
        <w:bidi w:val="0"/>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13、卫生健康支出（210）公共卫生（04）妇幼保健机构（03）:</w:t>
      </w:r>
      <w:r>
        <w:rPr>
          <w:rFonts w:hint="eastAsia" w:ascii="仿宋_GB2312" w:hAnsi="仿宋_GB2312" w:eastAsia="仿宋_GB2312" w:cs="仿宋_GB2312"/>
          <w:color w:val="auto"/>
          <w:sz w:val="32"/>
          <w:szCs w:val="32"/>
          <w:highlight w:val="none"/>
        </w:rPr>
        <w:t>指</w:t>
      </w:r>
      <w:r>
        <w:rPr>
          <w:rFonts w:hint="eastAsia" w:ascii="仿宋_GB2312" w:hAnsi="仿宋_GB2312" w:eastAsia="仿宋_GB2312" w:cs="仿宋_GB2312"/>
          <w:color w:val="auto"/>
          <w:sz w:val="32"/>
          <w:szCs w:val="32"/>
          <w:highlight w:val="none"/>
          <w:lang w:eastAsia="zh-CN"/>
        </w:rPr>
        <w:t>公立医院</w:t>
      </w:r>
      <w:r>
        <w:rPr>
          <w:rFonts w:hint="eastAsia" w:ascii="仿宋_GB2312" w:hAnsi="仿宋_GB2312" w:eastAsia="仿宋_GB2312" w:cs="仿宋_GB2312"/>
          <w:color w:val="auto"/>
          <w:sz w:val="32"/>
          <w:szCs w:val="32"/>
          <w:highlight w:val="none"/>
        </w:rPr>
        <w:t>正常运行、开展日常工作的基本支出和项目支出。</w:t>
      </w:r>
    </w:p>
    <w:p>
      <w:pPr>
        <w:pStyle w:val="27"/>
        <w:keepNext w:val="0"/>
        <w:keepLines w:val="0"/>
        <w:pageBreakBefore w:val="0"/>
        <w:widowControl w:val="0"/>
        <w:kinsoku/>
        <w:wordWrap/>
        <w:overflowPunct/>
        <w:topLinePunct w:val="0"/>
        <w:bidi w:val="0"/>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14、卫生健康支出（210）公共卫生（04）基本公共卫生服务（08）:指公立医院开展基本公共卫生服务支出。</w:t>
      </w:r>
    </w:p>
    <w:p>
      <w:pPr>
        <w:pStyle w:val="27"/>
        <w:keepNext w:val="0"/>
        <w:keepLines w:val="0"/>
        <w:pageBreakBefore w:val="0"/>
        <w:widowControl w:val="0"/>
        <w:kinsoku/>
        <w:wordWrap/>
        <w:overflowPunct/>
        <w:topLinePunct w:val="0"/>
        <w:bidi w:val="0"/>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15、卫生健康支出（210）公共卫生（04）重大公共卫生服务（09）:指公立医院开展重大公共卫生服务支出。</w:t>
      </w:r>
    </w:p>
    <w:p>
      <w:pPr>
        <w:pStyle w:val="27"/>
        <w:keepNext w:val="0"/>
        <w:keepLines w:val="0"/>
        <w:pageBreakBefore w:val="0"/>
        <w:widowControl w:val="0"/>
        <w:kinsoku/>
        <w:wordWrap/>
        <w:overflowPunct/>
        <w:topLinePunct w:val="0"/>
        <w:bidi w:val="0"/>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16、卫生健康支出（210）公共卫生（04）突发公共卫生事件应急处理（10）:指公立医院开展突发公共卫生事件应急处理支出。</w:t>
      </w:r>
    </w:p>
    <w:p>
      <w:pPr>
        <w:pStyle w:val="27"/>
        <w:keepNext w:val="0"/>
        <w:keepLines w:val="0"/>
        <w:pageBreakBefore w:val="0"/>
        <w:widowControl w:val="0"/>
        <w:kinsoku/>
        <w:wordWrap/>
        <w:overflowPunct/>
        <w:topLinePunct w:val="0"/>
        <w:bidi w:val="0"/>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17、卫生健康支出（210）公共卫生（04）其他公共卫生支出（99）:指公立医院开展其他公共卫生服务支出。</w:t>
      </w:r>
    </w:p>
    <w:p>
      <w:pPr>
        <w:pStyle w:val="27"/>
        <w:keepNext w:val="0"/>
        <w:keepLines w:val="0"/>
        <w:pageBreakBefore w:val="0"/>
        <w:widowControl w:val="0"/>
        <w:kinsoku/>
        <w:wordWrap/>
        <w:overflowPunct/>
        <w:topLinePunct w:val="0"/>
        <w:bidi w:val="0"/>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18、卫生健康支出（210）计划生育事务（07）计划生育服务（17）：支指公立医院开展计划生育服务支出。</w:t>
      </w:r>
    </w:p>
    <w:p>
      <w:pPr>
        <w:pStyle w:val="27"/>
        <w:keepNext w:val="0"/>
        <w:keepLines w:val="0"/>
        <w:pageBreakBefore w:val="0"/>
        <w:widowControl w:val="0"/>
        <w:kinsoku/>
        <w:wordWrap/>
        <w:overflowPunct/>
        <w:topLinePunct w:val="0"/>
        <w:bidi w:val="0"/>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19、卫生健康支出（210）计划生育事务（07）其他计划生育事务支出（99）：指公立医院开展其他计划生育服务支出。</w:t>
      </w:r>
    </w:p>
    <w:p>
      <w:pPr>
        <w:pStyle w:val="27"/>
        <w:keepNext w:val="0"/>
        <w:keepLines w:val="0"/>
        <w:pageBreakBefore w:val="0"/>
        <w:widowControl w:val="0"/>
        <w:kinsoku/>
        <w:wordWrap/>
        <w:overflowPunct/>
        <w:topLinePunct w:val="0"/>
        <w:bidi w:val="0"/>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20、卫生健康支出（210）行政事业单位医疗(11)事业单位医疗(02):指公立医院开展事业单位医疗服务支出。</w:t>
      </w:r>
    </w:p>
    <w:p>
      <w:pPr>
        <w:pStyle w:val="27"/>
        <w:keepNext w:val="0"/>
        <w:keepLines w:val="0"/>
        <w:pageBreakBefore w:val="0"/>
        <w:widowControl w:val="0"/>
        <w:kinsoku/>
        <w:wordWrap/>
        <w:overflowPunct/>
        <w:topLinePunct w:val="0"/>
        <w:bidi w:val="0"/>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21、卫生健康支出（210）行政事业单位医疗(11)公务员医疗补助（03):指医疗补助。</w:t>
      </w:r>
    </w:p>
    <w:p>
      <w:pPr>
        <w:pStyle w:val="27"/>
        <w:keepNext w:val="0"/>
        <w:keepLines w:val="0"/>
        <w:pageBreakBefore w:val="0"/>
        <w:widowControl w:val="0"/>
        <w:kinsoku/>
        <w:wordWrap/>
        <w:overflowPunct/>
        <w:topLinePunct w:val="0"/>
        <w:bidi w:val="0"/>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22、卫生健康支出（210）其他卫生健康支出(99)其他卫生健康支出（99):指公立医院开展其他卫生健康服务支出。</w:t>
      </w:r>
    </w:p>
    <w:p>
      <w:pPr>
        <w:pStyle w:val="27"/>
        <w:keepNext w:val="0"/>
        <w:keepLines w:val="0"/>
        <w:pageBreakBefore w:val="0"/>
        <w:widowControl w:val="0"/>
        <w:kinsoku/>
        <w:wordWrap/>
        <w:overflowPunct/>
        <w:topLinePunct w:val="0"/>
        <w:bidi w:val="0"/>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23、住房保障支出（221）住房改革支出（02）住房公积金（01）：指住房保障支出。</w:t>
      </w:r>
    </w:p>
    <w:p>
      <w:pPr>
        <w:keepNext w:val="0"/>
        <w:keepLines w:val="0"/>
        <w:pageBreakBefore w:val="0"/>
        <w:widowControl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 xml:space="preserve">项目支出：指在基本支出之外为完成特定行政任务和事业发展目标所发生的支出。 </w:t>
      </w:r>
    </w:p>
    <w:p>
      <w:pPr>
        <w:pStyle w:val="27"/>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26、</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rPr>
          <w:rFonts w:ascii="宋体"/>
          <w:b/>
          <w:color w:val="auto"/>
          <w:sz w:val="44"/>
          <w:szCs w:val="44"/>
          <w:highlight w:val="none"/>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bookmarkStart w:id="82" w:name="_Toc15377226"/>
      <w:r>
        <w:rPr>
          <w:rFonts w:ascii="宋体"/>
          <w:b/>
          <w:color w:val="auto"/>
          <w:sz w:val="44"/>
          <w:szCs w:val="44"/>
          <w:highlight w:val="none"/>
        </w:rPr>
        <w:br w:type="page"/>
      </w:r>
    </w:p>
    <w:p>
      <w:pPr>
        <w:pStyle w:val="2"/>
      </w:pPr>
    </w:p>
    <w:p>
      <w:pPr>
        <w:spacing w:line="600" w:lineRule="exact"/>
        <w:jc w:val="center"/>
        <w:outlineLvl w:val="0"/>
        <w:rPr>
          <w:rStyle w:val="29"/>
          <w:rFonts w:ascii="黑体" w:hAnsi="黑体" w:eastAsia="黑体"/>
          <w:b w:val="0"/>
          <w:color w:val="auto"/>
          <w:highlight w:val="none"/>
        </w:rPr>
      </w:pPr>
      <w:bookmarkStart w:id="83" w:name="_Toc29313_WPSOffice_Level1"/>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四部分 附件</w:t>
      </w:r>
      <w:bookmarkEnd w:id="83"/>
    </w:p>
    <w:p>
      <w:pPr>
        <w:keepNext w:val="0"/>
        <w:keepLines w:val="0"/>
        <w:pageBreakBefore w:val="0"/>
        <w:kinsoku/>
        <w:wordWrap/>
        <w:overflowPunct/>
        <w:topLinePunct w:val="0"/>
        <w:autoSpaceDE/>
        <w:autoSpaceDN/>
        <w:bidi w:val="0"/>
        <w:spacing w:line="572" w:lineRule="exact"/>
        <w:jc w:val="left"/>
        <w:textAlignment w:val="auto"/>
        <w:outlineLvl w:val="0"/>
        <w:rPr>
          <w:rFonts w:ascii="仿宋_GB2312" w:hAnsi="仿宋_GB2312" w:eastAsia="仿宋_GB2312" w:cs="仿宋_GB2312"/>
          <w:color w:val="auto"/>
          <w:sz w:val="32"/>
          <w:szCs w:val="32"/>
          <w:highlight w:val="none"/>
        </w:rPr>
      </w:pPr>
    </w:p>
    <w:tbl>
      <w:tblPr>
        <w:tblStyle w:val="17"/>
        <w:tblW w:w="142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80"/>
        <w:gridCol w:w="2028"/>
        <w:gridCol w:w="1760"/>
        <w:gridCol w:w="2370"/>
        <w:gridCol w:w="516"/>
        <w:gridCol w:w="1661"/>
        <w:gridCol w:w="653"/>
        <w:gridCol w:w="1085"/>
        <w:gridCol w:w="502"/>
        <w:gridCol w:w="454"/>
        <w:gridCol w:w="25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4" w:hRule="atLeast"/>
        </w:trPr>
        <w:tc>
          <w:tcPr>
            <w:tcW w:w="1423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27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52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51090322T000006132150-医疗服务与保障能力提升（卫生健康人才培养）上级补助资金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2" w:hRule="atLeast"/>
        </w:trPr>
        <w:tc>
          <w:tcPr>
            <w:tcW w:w="27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9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四川省遂宁市船山区卫生健康局部门</w:t>
            </w:r>
          </w:p>
        </w:tc>
        <w:tc>
          <w:tcPr>
            <w:tcW w:w="108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4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四川省遂宁市船山区妇幼保健院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9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56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9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培养卫生健康人才，提升医疗服务与保障能力</w:t>
            </w:r>
          </w:p>
        </w:tc>
        <w:tc>
          <w:tcPr>
            <w:tcW w:w="456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52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用于卫生健康人才培养，提升医疗服务与保障能力。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由区财政局年度内根据上级文件及区卫健局分配划拨指标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2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3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1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6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5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技术升级和业务保障能力提升</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w:t>
            </w:r>
          </w:p>
        </w:tc>
        <w:tc>
          <w:tcPr>
            <w:tcW w:w="252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技术升级和业务保障能力提升经费</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w:t>
            </w:r>
          </w:p>
        </w:tc>
        <w:tc>
          <w:tcPr>
            <w:tcW w:w="252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技术升级和业务保障能力提升及时率</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w:t>
            </w:r>
          </w:p>
        </w:tc>
        <w:tc>
          <w:tcPr>
            <w:tcW w:w="252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传染病应急参训人员的培训完成率</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w:t>
            </w:r>
          </w:p>
        </w:tc>
        <w:tc>
          <w:tcPr>
            <w:tcW w:w="252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可持续发展指标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传染病智慧化监测预警和风险评估能力</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有效提升</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有效提升</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w:t>
            </w:r>
          </w:p>
        </w:tc>
        <w:tc>
          <w:tcPr>
            <w:tcW w:w="252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技术升级和业务保障能力提升</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逐步提高</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逐步提高</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w:t>
            </w:r>
          </w:p>
        </w:tc>
        <w:tc>
          <w:tcPr>
            <w:tcW w:w="252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培训学员满意度</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252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1075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55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该项目自评最终得分100分，提升了医疗服务与保障能力。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2"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55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55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735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项目负责人：杨鸣凤</w:t>
            </w:r>
          </w:p>
        </w:tc>
        <w:tc>
          <w:tcPr>
            <w:tcW w:w="688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财务负责人：陈思思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6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2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6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37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1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6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8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2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4" w:hRule="atLeast"/>
        </w:trPr>
        <w:tc>
          <w:tcPr>
            <w:tcW w:w="1423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27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52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51090322T000006132198-医疗服务与保障能力提升（公立医院综合改革）上级补助资金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2" w:hRule="atLeast"/>
        </w:trPr>
        <w:tc>
          <w:tcPr>
            <w:tcW w:w="27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9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四川省遂宁市船山区卫生健康局部门</w:t>
            </w:r>
          </w:p>
        </w:tc>
        <w:tc>
          <w:tcPr>
            <w:tcW w:w="108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4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四川省遂宁市船山区妇幼保健院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9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56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9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根据遂财社（2023）47号文件要求，用于取消药品加成补助，提升了医疗服务与保障能力</w:t>
            </w:r>
          </w:p>
        </w:tc>
        <w:tc>
          <w:tcPr>
            <w:tcW w:w="456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52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用于取消药品加成补助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5.42</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5.42</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由区财政局年度内根据上级文件及区卫健局分配划拨指标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5.42</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5.42</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2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3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1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6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5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购买药品补助金额</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5.42</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5.42</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w:t>
            </w:r>
          </w:p>
        </w:tc>
        <w:tc>
          <w:tcPr>
            <w:tcW w:w="252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药品补助资金到位率</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252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药品补助资金使用及时率</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252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资金管理制度机制健全性</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2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取消药品加成补助应补尽补率</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2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社会群众满意度</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2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药品补助资金</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5.42</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5.42</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2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37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5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5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1075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55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该项目自评最终得分100分，主要提升了医院医疗服务与保障能力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2"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55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55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735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项目负责人：薛静</w:t>
            </w:r>
          </w:p>
        </w:tc>
        <w:tc>
          <w:tcPr>
            <w:tcW w:w="688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财务负责人：陈思思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6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2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6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37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1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6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8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2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4" w:hRule="atLeast"/>
        </w:trPr>
        <w:tc>
          <w:tcPr>
            <w:tcW w:w="1423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27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52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51090322T000006134111-重大传染病防控上级专项补助资金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2" w:hRule="atLeast"/>
        </w:trPr>
        <w:tc>
          <w:tcPr>
            <w:tcW w:w="27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9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四川省遂宁市船山区卫生健康局部门</w:t>
            </w:r>
          </w:p>
        </w:tc>
        <w:tc>
          <w:tcPr>
            <w:tcW w:w="108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4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四川省遂宁市船山区妇幼保健院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9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56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9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完善“政府组织领导、部门各负其责、全社会共同参与”的防治机制，全面落实各项艾滋病和性病预防控制措施，提高发现率，扩大治疗覆盖面，提升治疗成功率，降低死亡率，降低新发感染，提高感染者和病人的生活质量</w:t>
            </w:r>
          </w:p>
        </w:tc>
        <w:tc>
          <w:tcPr>
            <w:tcW w:w="456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基本完成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52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主要用于重大传染病艾滋病防控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90.55</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206.56</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13.08</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6.33%</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2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因财政资金紧张，暂未拨付剩余部分资金。由区财政局年度内根据上级文件及区卫健局分配划拨指标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90.55</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206.56</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13.08</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6.33%</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3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830"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资金使用及时率</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资金使用合规率</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艾滋病高危人群检查及时率</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可持续发展指标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资金管理机制健全性</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健全</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健全</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项目所需经费</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206.56</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13.08</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因财政资金紧张，暂未拨付剩余部分资金。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获益群众满意度</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1075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55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该项目自评最终得分90分，主要用于重大传染病艾滋病防控。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2"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55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55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735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项目负责人：陈虹</w:t>
            </w:r>
          </w:p>
        </w:tc>
        <w:tc>
          <w:tcPr>
            <w:tcW w:w="688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财务负责人：陈思思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6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2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6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37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1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6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8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2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4" w:hRule="atLeast"/>
        </w:trPr>
        <w:tc>
          <w:tcPr>
            <w:tcW w:w="1423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27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52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51090322T000006889310-省级卫生健康专项资金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2" w:hRule="atLeast"/>
        </w:trPr>
        <w:tc>
          <w:tcPr>
            <w:tcW w:w="27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9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四川省遂宁市船山区卫生健康局部门</w:t>
            </w:r>
          </w:p>
        </w:tc>
        <w:tc>
          <w:tcPr>
            <w:tcW w:w="108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4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四川省遂宁市船山区妇幼保健院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9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56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9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完成本年度自愿免费婚前医学检查和农村妇女“两癌”筛查任务。</w:t>
            </w:r>
          </w:p>
        </w:tc>
        <w:tc>
          <w:tcPr>
            <w:tcW w:w="456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基本完成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52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用于自愿免费婚前医学检查和农村妇女“两癌”筛查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34.76</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34.76</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14.59</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41.97%</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2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因财政资金紧张，暂未拨付剩余部分资金。由区财政局年度内根据上级文件及区卫健局分配划拨指标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34.76</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34.76</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14.59</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41.97%</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农村妇女两癌筛查任务数2240</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2240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人数</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2240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采购试剂耗材合格率</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检查率</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试剂耗材采购成本</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145900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145900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两癌和婚检应检尽检</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受众群众满意度</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1075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96</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55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该项目自评最终得分96分，主要用于自愿免费婚前医学检查和农村妇女“两癌”筛查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2"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55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55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735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项目负责人：陈虹</w:t>
            </w:r>
          </w:p>
        </w:tc>
        <w:tc>
          <w:tcPr>
            <w:tcW w:w="688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财务负责人：陈思思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6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2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6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37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1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6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8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2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4" w:hRule="atLeast"/>
        </w:trPr>
        <w:tc>
          <w:tcPr>
            <w:tcW w:w="1423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27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52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51090323T000007805566-老年大学新冠疫苗接种点运行经费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2" w:hRule="atLeast"/>
        </w:trPr>
        <w:tc>
          <w:tcPr>
            <w:tcW w:w="27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9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四川省遂宁市船山区卫生健康局部门</w:t>
            </w:r>
          </w:p>
        </w:tc>
        <w:tc>
          <w:tcPr>
            <w:tcW w:w="108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4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四川省遂宁市船山区妇幼保健院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9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56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9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解决区老年大学疫苗接种点运行经费</w:t>
            </w:r>
          </w:p>
        </w:tc>
        <w:tc>
          <w:tcPr>
            <w:tcW w:w="456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52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用于解决区老年大学疫苗接种点运行经费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12.95</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12.95</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12.95</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由区财政局年度内根据上级文件及区卫健局分配划拨指标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12.95</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12.95</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12.95</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3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1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6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5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76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老年大学新冠疫苗接种点</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0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52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76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保证疫苗接种工作顺利进行</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0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52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76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接种及时率</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0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52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76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新冠疫苗接种应种尽检率</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0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52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76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可持续发展指标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新冠疫苗接种补助项目</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w:t>
            </w:r>
          </w:p>
        </w:tc>
        <w:tc>
          <w:tcPr>
            <w:tcW w:w="50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52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76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受众群众满意度</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0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52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60"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5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1075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55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该项目自评最终得分100分，主要用于用于解决区老年大学疫苗接种点运行经费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2"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55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55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735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项目负责人：敬杨</w:t>
            </w:r>
          </w:p>
        </w:tc>
        <w:tc>
          <w:tcPr>
            <w:tcW w:w="688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财务负责人：陈思思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6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2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6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37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1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6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8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2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4" w:hRule="atLeast"/>
        </w:trPr>
        <w:tc>
          <w:tcPr>
            <w:tcW w:w="1423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27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52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51090323T000008268007-医疗机构闭环管理人员生活及住宿费用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2" w:hRule="atLeast"/>
        </w:trPr>
        <w:tc>
          <w:tcPr>
            <w:tcW w:w="27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9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四川省遂宁市船山区卫生健康局部门</w:t>
            </w:r>
          </w:p>
        </w:tc>
        <w:tc>
          <w:tcPr>
            <w:tcW w:w="108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4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四川省遂宁市船山区妇幼保健院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9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56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9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保障闭环管理期间医务人员生活及住宿费用</w:t>
            </w:r>
          </w:p>
        </w:tc>
        <w:tc>
          <w:tcPr>
            <w:tcW w:w="456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52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主要用于闭环管理期间医务人员的住宿及伙食费。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由区财政局年度内根据上级文件及区卫健局分配划拨指标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3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资金到位及时率</w:t>
            </w:r>
          </w:p>
        </w:tc>
        <w:tc>
          <w:tcPr>
            <w:tcW w:w="51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6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5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6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37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闭环管理设施设备质量达标率</w:t>
            </w:r>
          </w:p>
        </w:tc>
        <w:tc>
          <w:tcPr>
            <w:tcW w:w="51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6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5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0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45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526"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参与9.20疫情防控医务人员批次</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批次</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参与闭环管理工作人员应补尽补率</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可持续发展指标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闭环管理机制健全性</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健全</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基本健全</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受益群众满意度</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项目所需经费</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30000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1075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55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该项目自评最终得分100分，主要用于闭环管理期间医务人员的住宿及伙食费。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2"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55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55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735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项目负责人：敬杨</w:t>
            </w:r>
          </w:p>
        </w:tc>
        <w:tc>
          <w:tcPr>
            <w:tcW w:w="688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财务负责人：陈思思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6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2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6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37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1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6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8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2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4" w:hRule="atLeast"/>
        </w:trPr>
        <w:tc>
          <w:tcPr>
            <w:tcW w:w="1423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27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52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51090323T000009460432-其他公共卫生服务（新并基公卫）上级专项资金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2" w:hRule="atLeast"/>
        </w:trPr>
        <w:tc>
          <w:tcPr>
            <w:tcW w:w="27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9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四川省遂宁市船山区卫生健康局部门</w:t>
            </w:r>
          </w:p>
        </w:tc>
        <w:tc>
          <w:tcPr>
            <w:tcW w:w="108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4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四川省遂宁市船山区妇幼保健院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9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56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9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承担基本公共卫生服务</w:t>
            </w:r>
          </w:p>
        </w:tc>
        <w:tc>
          <w:tcPr>
            <w:tcW w:w="456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52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主要用于婚前医学检查、农村妇女两癌筛查、免费婚孕检项目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140.45</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140.45</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由区财政局年度内根据上级文件及区卫健局分配划拨指标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140.45</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140.45</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采购试剂质量合格率</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试剂购买及时率</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婚前医学检查率</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85</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农村妇女“两癌”筛查目标任务完成率</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可持续发展指标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免费婚孕检项目机制健全性</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免费婚孕检应检尽检率</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受众群众满意度</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试剂采购费用</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140.45</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1075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55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该项目自评最终得分97分，主要用于婚前医学检查、农村妇女两癌筛查、免费婚孕检项目。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2"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55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55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735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项目负责人：杨淦、陈虹</w:t>
            </w:r>
          </w:p>
        </w:tc>
        <w:tc>
          <w:tcPr>
            <w:tcW w:w="688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财务负责人：陈思思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6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2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6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37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1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6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8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2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4" w:hRule="atLeast"/>
        </w:trPr>
        <w:tc>
          <w:tcPr>
            <w:tcW w:w="1423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27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52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51090323T000009599839-上级相关医务人员临时性工作补助资金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2" w:hRule="atLeast"/>
        </w:trPr>
        <w:tc>
          <w:tcPr>
            <w:tcW w:w="27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9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四川省遂宁市船山区卫生健康局部门</w:t>
            </w:r>
          </w:p>
        </w:tc>
        <w:tc>
          <w:tcPr>
            <w:tcW w:w="108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4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四川省遂宁市船山区妇幼保健院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9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56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9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用于直接参与疫情防控救治的发热门诊、急诊等相关医护人员、急救员给予临时性工作补助</w:t>
            </w:r>
          </w:p>
        </w:tc>
        <w:tc>
          <w:tcPr>
            <w:tcW w:w="456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52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用于发放临时性工作补贴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0.97</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0.97</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由区财政局年度内根据上级文件及区卫健局分配划拨指标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0.97</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0.97</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参与疫情防控救治的医护人员人数</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人/天</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落实疫情防控规范的合格率</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救治患者的及时率</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疫情防控救治对周边群众覆盖率</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可持续发展指标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防控救治管理机制健全率</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健全</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健全</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医务人员满意度</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参与疫情防控救治的医护人员补助标准</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元/天</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1075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55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该项目自评最终得分100分，主要提升了医务人员参与应急工作的积极性。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2"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55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55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735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项目负责人：杨鸣凤</w:t>
            </w:r>
          </w:p>
        </w:tc>
        <w:tc>
          <w:tcPr>
            <w:tcW w:w="688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财务负责人：陈思思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4" w:hRule="atLeast"/>
        </w:trPr>
        <w:tc>
          <w:tcPr>
            <w:tcW w:w="1423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27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52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51090322T000006817435-为农村适龄妇女免费提供“两癌”筛查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2" w:hRule="atLeast"/>
        </w:trPr>
        <w:tc>
          <w:tcPr>
            <w:tcW w:w="27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9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四川省遂宁市船山区卫生健康局部门</w:t>
            </w:r>
          </w:p>
        </w:tc>
        <w:tc>
          <w:tcPr>
            <w:tcW w:w="108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4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四川省遂宁市船山区妇幼保健院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9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56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9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农村妇女“两癌”筛查</w:t>
            </w:r>
          </w:p>
        </w:tc>
        <w:tc>
          <w:tcPr>
            <w:tcW w:w="456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52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为农村适龄妇女提供免费“两癌”筛查服务，促进“两癌”早发现、早诊断、早治疗，逐步提高我区妇女自我保健意识和健康水平。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10.24</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10.24</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由区财政局年度内根据上级文件及区卫健局分配划拨指标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10.24</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10.24</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农村妇女两癌筛查任务数2240</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2240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人数</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2240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采购试剂耗材合格率</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检查率</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试剂耗材采购成本</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102400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102400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两癌和婚检应检尽检</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可持续发展指标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经费补助</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优良中低差</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优良中低差</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受众群众满意度</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0" w:hRule="atLeast"/>
        </w:trPr>
        <w:tc>
          <w:tcPr>
            <w:tcW w:w="1075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55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该项目最终自评得分94分，主要用于农村妇女两癌筛查。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55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55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35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项目负责人：陈虹</w:t>
            </w:r>
          </w:p>
        </w:tc>
        <w:tc>
          <w:tcPr>
            <w:tcW w:w="688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财务负责人：陈思思</w:t>
            </w:r>
          </w:p>
        </w:tc>
      </w:tr>
    </w:tbl>
    <w:p>
      <w:pPr>
        <w:spacing w:line="600" w:lineRule="exact"/>
        <w:jc w:val="center"/>
        <w:outlineLvl w:val="0"/>
        <w:rPr>
          <w:rFonts w:ascii="宋体"/>
          <w:b/>
          <w:color w:val="auto"/>
          <w:sz w:val="44"/>
          <w:szCs w:val="44"/>
          <w:highlight w:val="none"/>
        </w:rPr>
        <w:sectPr>
          <w:pgSz w:w="16838" w:h="11906" w:orient="landscape"/>
          <w:pgMar w:top="1800" w:right="1440" w:bottom="1800" w:left="1440" w:header="851" w:footer="992" w:gutter="0"/>
          <w:pgNumType w:start="1"/>
          <w:cols w:space="425" w:num="1"/>
          <w:titlePg/>
          <w:docGrid w:type="lines" w:linePitch="312" w:charSpace="0"/>
        </w:sectPr>
      </w:pPr>
    </w:p>
    <w:p>
      <w:pPr>
        <w:spacing w:line="600" w:lineRule="exact"/>
        <w:jc w:val="center"/>
        <w:outlineLvl w:val="0"/>
        <w:rPr>
          <w:rFonts w:hint="eastAsia" w:ascii="仿宋" w:hAnsi="仿宋" w:eastAsia="仿宋"/>
          <w:b w:val="0"/>
          <w:color w:val="auto"/>
          <w:highlight w:val="none"/>
        </w:rPr>
      </w:pPr>
      <w:bookmarkStart w:id="84" w:name="_Toc16853_WPSOffice_Level1"/>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五部分 附表</w:t>
      </w:r>
      <w:bookmarkEnd w:id="84"/>
    </w:p>
    <w:p>
      <w:pPr>
        <w:pStyle w:val="6"/>
        <w:rPr>
          <w:rFonts w:ascii="仿宋" w:hAnsi="仿宋" w:eastAsia="仿宋"/>
          <w:color w:val="auto"/>
          <w:highlight w:val="none"/>
        </w:rPr>
      </w:pPr>
      <w:bookmarkStart w:id="85" w:name="_Toc13134_WPSOffice_Level2"/>
      <w:r>
        <w:rPr>
          <w:rFonts w:hint="eastAsia" w:ascii="仿宋" w:hAnsi="仿宋" w:eastAsia="仿宋"/>
          <w:b w:val="0"/>
          <w:color w:val="auto"/>
          <w:highlight w:val="none"/>
        </w:rPr>
        <w:t>一、收</w:t>
      </w:r>
      <w:r>
        <w:rPr>
          <w:rStyle w:val="30"/>
          <w:rFonts w:hint="eastAsia" w:ascii="仿宋" w:hAnsi="仿宋" w:eastAsia="仿宋"/>
          <w:b w:val="0"/>
          <w:bCs w:val="0"/>
          <w:color w:val="auto"/>
          <w:highlight w:val="none"/>
        </w:rPr>
        <w:t>入支出决算总表</w:t>
      </w:r>
      <w:bookmarkEnd w:id="85"/>
    </w:p>
    <w:p>
      <w:pPr>
        <w:pStyle w:val="6"/>
        <w:rPr>
          <w:rFonts w:ascii="仿宋" w:hAnsi="仿宋" w:eastAsia="仿宋"/>
          <w:color w:val="auto"/>
          <w:highlight w:val="none"/>
        </w:rPr>
      </w:pPr>
      <w:bookmarkStart w:id="86" w:name="_Toc32717_WPSOffice_Level2"/>
      <w:r>
        <w:rPr>
          <w:rFonts w:hint="eastAsia" w:ascii="仿宋" w:hAnsi="仿宋" w:eastAsia="仿宋"/>
          <w:b w:val="0"/>
          <w:color w:val="auto"/>
          <w:highlight w:val="none"/>
        </w:rPr>
        <w:t>二、收</w:t>
      </w:r>
      <w:r>
        <w:rPr>
          <w:rStyle w:val="30"/>
          <w:rFonts w:hint="eastAsia" w:ascii="仿宋" w:hAnsi="仿宋" w:eastAsia="仿宋"/>
          <w:b w:val="0"/>
          <w:bCs w:val="0"/>
          <w:color w:val="auto"/>
          <w:highlight w:val="none"/>
        </w:rPr>
        <w:t>入决算表</w:t>
      </w:r>
      <w:bookmarkEnd w:id="86"/>
    </w:p>
    <w:p>
      <w:pPr>
        <w:pStyle w:val="6"/>
        <w:rPr>
          <w:rFonts w:ascii="仿宋" w:hAnsi="仿宋" w:eastAsia="仿宋"/>
          <w:color w:val="auto"/>
          <w:highlight w:val="none"/>
        </w:rPr>
      </w:pPr>
      <w:bookmarkStart w:id="87" w:name="_Toc24857_WPSOffice_Level2"/>
      <w:r>
        <w:rPr>
          <w:rStyle w:val="30"/>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0"/>
          <w:rFonts w:hint="eastAsia" w:ascii="仿宋" w:hAnsi="仿宋" w:eastAsia="仿宋"/>
          <w:b w:val="0"/>
          <w:bCs w:val="0"/>
          <w:color w:val="auto"/>
          <w:highlight w:val="none"/>
        </w:rPr>
        <w:t>出决算表</w:t>
      </w:r>
      <w:bookmarkEnd w:id="87"/>
    </w:p>
    <w:p>
      <w:pPr>
        <w:pStyle w:val="6"/>
        <w:rPr>
          <w:rFonts w:ascii="仿宋" w:hAnsi="仿宋" w:eastAsia="仿宋"/>
          <w:b w:val="0"/>
          <w:color w:val="auto"/>
          <w:highlight w:val="none"/>
        </w:rPr>
      </w:pPr>
      <w:bookmarkStart w:id="88" w:name="_Toc6285_WPSOffice_Level2"/>
      <w:r>
        <w:rPr>
          <w:rStyle w:val="30"/>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政拨款收入支出决算总表</w:t>
      </w:r>
      <w:bookmarkEnd w:id="88"/>
    </w:p>
    <w:p>
      <w:pPr>
        <w:pStyle w:val="6"/>
        <w:rPr>
          <w:rStyle w:val="30"/>
          <w:rFonts w:ascii="仿宋" w:hAnsi="仿宋" w:eastAsia="仿宋"/>
          <w:b w:val="0"/>
          <w:bCs w:val="0"/>
          <w:color w:val="auto"/>
          <w:highlight w:val="none"/>
        </w:rPr>
      </w:pPr>
      <w:bookmarkStart w:id="89" w:name="_Toc4377_WPSOffice_Level2"/>
      <w:r>
        <w:rPr>
          <w:rStyle w:val="30"/>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政拨款支出决算明细表</w:t>
      </w:r>
      <w:bookmarkEnd w:id="89"/>
    </w:p>
    <w:p>
      <w:pPr>
        <w:pStyle w:val="6"/>
        <w:rPr>
          <w:rFonts w:ascii="仿宋" w:hAnsi="仿宋" w:eastAsia="仿宋"/>
          <w:color w:val="auto"/>
          <w:highlight w:val="none"/>
        </w:rPr>
      </w:pPr>
      <w:bookmarkStart w:id="90" w:name="_Toc30698_WPSOffice_Level2"/>
      <w:r>
        <w:rPr>
          <w:rStyle w:val="30"/>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般公共预算财政拨款支出决算表</w:t>
      </w:r>
      <w:bookmarkEnd w:id="90"/>
    </w:p>
    <w:p>
      <w:pPr>
        <w:pStyle w:val="6"/>
        <w:rPr>
          <w:rFonts w:ascii="仿宋" w:hAnsi="仿宋" w:eastAsia="仿宋"/>
          <w:color w:val="auto"/>
          <w:highlight w:val="none"/>
        </w:rPr>
      </w:pPr>
      <w:bookmarkStart w:id="91" w:name="_Toc2701_WPSOffice_Level2"/>
      <w:r>
        <w:rPr>
          <w:rStyle w:val="30"/>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般公共预算财政拨款支出决算明细表</w:t>
      </w:r>
      <w:bookmarkEnd w:id="91"/>
    </w:p>
    <w:p>
      <w:pPr>
        <w:pStyle w:val="6"/>
        <w:rPr>
          <w:rFonts w:ascii="仿宋" w:hAnsi="仿宋" w:eastAsia="仿宋"/>
          <w:color w:val="auto"/>
          <w:highlight w:val="none"/>
        </w:rPr>
      </w:pPr>
      <w:bookmarkStart w:id="92" w:name="_Toc5139_WPSOffice_Level2"/>
      <w:r>
        <w:rPr>
          <w:rStyle w:val="30"/>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般公共预算财政拨款基本支出决算表</w:t>
      </w:r>
      <w:bookmarkEnd w:id="92"/>
    </w:p>
    <w:p>
      <w:pPr>
        <w:pStyle w:val="6"/>
        <w:rPr>
          <w:rFonts w:ascii="仿宋" w:hAnsi="仿宋" w:eastAsia="仿宋"/>
          <w:color w:val="auto"/>
          <w:highlight w:val="none"/>
        </w:rPr>
      </w:pPr>
      <w:bookmarkStart w:id="93" w:name="_Toc12069_WPSOffice_Level2"/>
      <w:r>
        <w:rPr>
          <w:rStyle w:val="30"/>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般公共预算财政拨款项目支出决算表</w:t>
      </w:r>
      <w:bookmarkEnd w:id="93"/>
    </w:p>
    <w:p>
      <w:pPr>
        <w:pStyle w:val="6"/>
        <w:rPr>
          <w:rFonts w:ascii="仿宋" w:hAnsi="仿宋" w:eastAsia="仿宋"/>
          <w:color w:val="auto"/>
          <w:highlight w:val="none"/>
        </w:rPr>
      </w:pPr>
      <w:bookmarkStart w:id="94" w:name="_Toc29922_WPSOffice_Level2"/>
      <w:r>
        <w:rPr>
          <w:rStyle w:val="30"/>
          <w:rFonts w:hint="eastAsia" w:ascii="仿宋" w:hAnsi="仿宋" w:eastAsia="仿宋"/>
          <w:b w:val="0"/>
          <w:bCs w:val="0"/>
          <w:color w:val="auto"/>
          <w:highlight w:val="none"/>
        </w:rPr>
        <w:t>十、</w:t>
      </w:r>
      <w:r>
        <w:rPr>
          <w:rFonts w:hint="eastAsia" w:ascii="仿宋" w:hAnsi="仿宋" w:eastAsia="仿宋"/>
          <w:b w:val="0"/>
          <w:color w:val="auto"/>
          <w:highlight w:val="none"/>
        </w:rPr>
        <w:t>政</w:t>
      </w:r>
      <w:r>
        <w:rPr>
          <w:rStyle w:val="30"/>
          <w:rFonts w:hint="eastAsia" w:ascii="仿宋" w:hAnsi="仿宋" w:eastAsia="仿宋"/>
          <w:b w:val="0"/>
          <w:bCs w:val="0"/>
          <w:color w:val="auto"/>
          <w:highlight w:val="none"/>
        </w:rPr>
        <w:t>府性基金预算财政拨款收入支出决算表</w:t>
      </w:r>
      <w:bookmarkEnd w:id="94"/>
    </w:p>
    <w:p>
      <w:pPr>
        <w:pStyle w:val="6"/>
        <w:rPr>
          <w:rFonts w:ascii="仿宋" w:hAnsi="仿宋" w:eastAsia="仿宋"/>
          <w:color w:val="auto"/>
          <w:highlight w:val="none"/>
        </w:rPr>
      </w:pPr>
      <w:bookmarkStart w:id="95" w:name="_Toc14409_WPSOffice_Level2"/>
      <w:r>
        <w:rPr>
          <w:rStyle w:val="30"/>
          <w:rFonts w:hint="eastAsia" w:ascii="仿宋" w:hAnsi="仿宋" w:eastAsia="仿宋"/>
          <w:b w:val="0"/>
          <w:bCs w:val="0"/>
          <w:color w:val="auto"/>
          <w:highlight w:val="none"/>
        </w:rPr>
        <w:t>十一、</w:t>
      </w:r>
      <w:r>
        <w:rPr>
          <w:rFonts w:hint="eastAsia" w:ascii="仿宋" w:hAnsi="仿宋" w:eastAsia="仿宋"/>
          <w:b w:val="0"/>
          <w:color w:val="auto"/>
          <w:highlight w:val="none"/>
        </w:rPr>
        <w:t>国</w:t>
      </w:r>
      <w:r>
        <w:rPr>
          <w:rStyle w:val="30"/>
          <w:rFonts w:hint="eastAsia" w:ascii="仿宋" w:hAnsi="仿宋" w:eastAsia="仿宋"/>
          <w:b w:val="0"/>
          <w:bCs w:val="0"/>
          <w:color w:val="auto"/>
          <w:highlight w:val="none"/>
        </w:rPr>
        <w:t>有资本经营预算</w:t>
      </w:r>
      <w:r>
        <w:rPr>
          <w:rStyle w:val="30"/>
          <w:rFonts w:hint="eastAsia" w:ascii="仿宋" w:hAnsi="仿宋" w:eastAsia="仿宋"/>
          <w:b w:val="0"/>
          <w:bCs w:val="0"/>
          <w:color w:val="auto"/>
          <w:highlight w:val="none"/>
          <w:lang w:eastAsia="zh-CN"/>
        </w:rPr>
        <w:t>财政拨款收入</w:t>
      </w:r>
      <w:r>
        <w:rPr>
          <w:rStyle w:val="30"/>
          <w:rFonts w:hint="eastAsia" w:ascii="仿宋" w:hAnsi="仿宋" w:eastAsia="仿宋"/>
          <w:b w:val="0"/>
          <w:bCs w:val="0"/>
          <w:color w:val="auto"/>
          <w:highlight w:val="none"/>
        </w:rPr>
        <w:t>支出决算表</w:t>
      </w:r>
      <w:bookmarkEnd w:id="95"/>
    </w:p>
    <w:p>
      <w:pPr>
        <w:pStyle w:val="6"/>
        <w:rPr>
          <w:rFonts w:ascii="仿宋" w:hAnsi="仿宋" w:eastAsia="仿宋"/>
          <w:color w:val="auto"/>
          <w:highlight w:val="none"/>
        </w:rPr>
      </w:pPr>
      <w:bookmarkStart w:id="96" w:name="_Toc8148_WPSOffice_Level2"/>
      <w:r>
        <w:rPr>
          <w:rStyle w:val="30"/>
          <w:rFonts w:hint="eastAsia" w:ascii="仿宋" w:hAnsi="仿宋" w:eastAsia="仿宋"/>
          <w:b w:val="0"/>
          <w:bCs w:val="0"/>
          <w:color w:val="auto"/>
          <w:highlight w:val="none"/>
        </w:rPr>
        <w:t>十二、</w:t>
      </w:r>
      <w:r>
        <w:rPr>
          <w:rStyle w:val="30"/>
          <w:rFonts w:hint="eastAsia" w:ascii="仿宋" w:hAnsi="仿宋" w:eastAsia="仿宋"/>
          <w:b w:val="0"/>
          <w:bCs w:val="0"/>
          <w:color w:val="auto"/>
          <w:highlight w:val="none"/>
          <w:lang w:eastAsia="zh-CN"/>
        </w:rPr>
        <w:t>国有资本经营预算财政拨款支出决算表</w:t>
      </w:r>
      <w:bookmarkEnd w:id="96"/>
    </w:p>
    <w:p>
      <w:pPr>
        <w:pStyle w:val="6"/>
        <w:rPr>
          <w:rFonts w:hint="eastAsia" w:eastAsia="仿宋"/>
          <w:color w:val="auto"/>
          <w:highlight w:val="none"/>
          <w:lang w:eastAsia="zh-CN"/>
        </w:rPr>
      </w:pPr>
      <w:bookmarkStart w:id="97" w:name="_Toc17503_WPSOffice_Level2"/>
      <w:r>
        <w:rPr>
          <w:rStyle w:val="30"/>
          <w:rFonts w:hint="eastAsia" w:ascii="仿宋" w:hAnsi="仿宋" w:eastAsia="仿宋"/>
          <w:b w:val="0"/>
          <w:bCs w:val="0"/>
          <w:color w:val="auto"/>
          <w:highlight w:val="none"/>
        </w:rPr>
        <w:t>十三、</w:t>
      </w:r>
      <w:r>
        <w:rPr>
          <w:rStyle w:val="30"/>
          <w:rFonts w:hint="eastAsia" w:ascii="仿宋" w:hAnsi="仿宋" w:eastAsia="仿宋"/>
          <w:b w:val="0"/>
          <w:bCs w:val="0"/>
          <w:color w:val="auto"/>
          <w:highlight w:val="none"/>
          <w:lang w:eastAsia="zh-CN"/>
        </w:rPr>
        <w:t>财政拨款“三公”经费支出决算表</w:t>
      </w:r>
      <w:bookmarkEnd w:id="97"/>
    </w:p>
    <w:p>
      <w:pPr>
        <w:pStyle w:val="6"/>
        <w:rPr>
          <w:rFonts w:hint="eastAsia" w:eastAsia="仿宋"/>
          <w:color w:val="auto"/>
          <w:highlight w:val="none"/>
          <w:lang w:eastAsia="zh-CN"/>
        </w:rPr>
      </w:pPr>
      <w:r>
        <w:rPr>
          <w:rFonts w:ascii="宋体"/>
          <w:b/>
          <w:color w:val="auto"/>
          <w:sz w:val="44"/>
          <w:szCs w:val="44"/>
          <w:highlight w:val="none"/>
        </w:rPr>
        <w:br w:type="page"/>
      </w:r>
      <w:bookmarkStart w:id="98" w:name="_Toc15396618"/>
    </w:p>
    <w:p>
      <w:pPr>
        <w:spacing w:line="600" w:lineRule="exact"/>
        <w:ind w:firstLine="640" w:firstLineChars="200"/>
        <w:jc w:val="left"/>
        <w:outlineLvl w:val="0"/>
        <w:rPr>
          <w:rFonts w:hint="eastAsia" w:ascii="仿宋_GB2312" w:hAnsi="Calibri" w:eastAsia="仿宋_GB2312" w:cs="仿宋"/>
          <w:color w:val="auto"/>
          <w:kern w:val="0"/>
          <w:sz w:val="32"/>
          <w:szCs w:val="32"/>
          <w:highlight w:val="none"/>
          <w:lang w:val="en-US" w:eastAsia="zh-CN" w:bidi="ar-SA"/>
        </w:rPr>
      </w:pPr>
    </w:p>
    <w:p>
      <w:pPr>
        <w:pStyle w:val="9"/>
        <w:rPr>
          <w:rFonts w:hint="eastAsia" w:ascii="仿宋_GB2312" w:hAnsi="Calibri" w:eastAsia="仿宋_GB2312" w:cs="仿宋"/>
          <w:color w:val="auto"/>
          <w:kern w:val="0"/>
          <w:sz w:val="32"/>
          <w:szCs w:val="32"/>
          <w:highlight w:val="none"/>
          <w:lang w:val="en-US" w:eastAsia="zh-CN" w:bidi="ar-SA"/>
        </w:rPr>
      </w:pPr>
    </w:p>
    <w:p>
      <w:pPr>
        <w:pStyle w:val="9"/>
        <w:rPr>
          <w:rFonts w:hint="eastAsia" w:ascii="仿宋_GB2312" w:hAnsi="Calibri" w:eastAsia="仿宋_GB2312" w:cs="仿宋"/>
          <w:color w:val="auto"/>
          <w:kern w:val="0"/>
          <w:sz w:val="32"/>
          <w:szCs w:val="32"/>
          <w:highlight w:val="none"/>
          <w:lang w:val="en-US" w:eastAsia="zh-CN" w:bidi="ar-SA"/>
        </w:rPr>
      </w:pPr>
    </w:p>
    <w:p>
      <w:pPr>
        <w:pStyle w:val="9"/>
        <w:rPr>
          <w:rFonts w:hint="eastAsia" w:ascii="仿宋_GB2312" w:hAnsi="Calibri" w:eastAsia="仿宋_GB2312" w:cs="仿宋"/>
          <w:color w:val="auto"/>
          <w:kern w:val="0"/>
          <w:sz w:val="32"/>
          <w:szCs w:val="32"/>
          <w:highlight w:val="none"/>
          <w:lang w:val="en-US" w:eastAsia="zh-CN" w:bidi="ar-SA"/>
        </w:rPr>
      </w:pPr>
    </w:p>
    <w:p>
      <w:pPr>
        <w:pStyle w:val="9"/>
        <w:rPr>
          <w:rFonts w:hint="eastAsia" w:ascii="仿宋_GB2312" w:hAnsi="Calibri" w:eastAsia="仿宋_GB2312" w:cs="仿宋"/>
          <w:color w:val="auto"/>
          <w:kern w:val="0"/>
          <w:sz w:val="32"/>
          <w:szCs w:val="32"/>
          <w:highlight w:val="none"/>
          <w:lang w:val="en-US" w:eastAsia="zh-CN" w:bidi="ar-SA"/>
        </w:rPr>
      </w:pPr>
    </w:p>
    <w:p>
      <w:pPr>
        <w:pStyle w:val="9"/>
        <w:rPr>
          <w:rFonts w:hint="eastAsia" w:ascii="仿宋_GB2312" w:hAnsi="Calibri" w:eastAsia="仿宋_GB2312" w:cs="仿宋"/>
          <w:color w:val="auto"/>
          <w:kern w:val="0"/>
          <w:sz w:val="32"/>
          <w:szCs w:val="32"/>
          <w:highlight w:val="none"/>
          <w:lang w:val="en-US" w:eastAsia="zh-CN" w:bidi="ar-SA"/>
        </w:rPr>
      </w:pPr>
    </w:p>
    <w:p>
      <w:pPr>
        <w:pStyle w:val="9"/>
        <w:rPr>
          <w:rFonts w:hint="eastAsia" w:ascii="仿宋_GB2312" w:hAnsi="Calibri" w:eastAsia="仿宋_GB2312" w:cs="仿宋"/>
          <w:color w:val="auto"/>
          <w:kern w:val="0"/>
          <w:sz w:val="32"/>
          <w:szCs w:val="32"/>
          <w:highlight w:val="none"/>
          <w:lang w:val="en-US" w:eastAsia="zh-CN" w:bidi="ar-SA"/>
        </w:rPr>
      </w:pPr>
    </w:p>
    <w:p>
      <w:pPr>
        <w:pStyle w:val="9"/>
        <w:rPr>
          <w:rFonts w:hint="eastAsia" w:ascii="仿宋_GB2312" w:hAnsi="Calibri" w:eastAsia="仿宋_GB2312" w:cs="仿宋"/>
          <w:color w:val="auto"/>
          <w:kern w:val="0"/>
          <w:sz w:val="32"/>
          <w:szCs w:val="32"/>
          <w:highlight w:val="none"/>
          <w:lang w:val="en-US" w:eastAsia="zh-CN" w:bidi="ar-SA"/>
        </w:rPr>
      </w:pPr>
    </w:p>
    <w:p>
      <w:pPr>
        <w:pStyle w:val="9"/>
        <w:rPr>
          <w:rFonts w:hint="eastAsia" w:ascii="仿宋_GB2312" w:hAnsi="Calibri" w:eastAsia="仿宋_GB2312" w:cs="仿宋"/>
          <w:color w:val="auto"/>
          <w:kern w:val="0"/>
          <w:sz w:val="32"/>
          <w:szCs w:val="32"/>
          <w:highlight w:val="none"/>
          <w:lang w:val="en-US" w:eastAsia="zh-CN" w:bidi="ar-SA"/>
        </w:rPr>
      </w:pPr>
    </w:p>
    <w:p>
      <w:pPr>
        <w:pStyle w:val="9"/>
        <w:rPr>
          <w:rFonts w:hint="eastAsia" w:ascii="仿宋_GB2312" w:hAnsi="Calibri" w:eastAsia="仿宋_GB2312" w:cs="仿宋"/>
          <w:color w:val="auto"/>
          <w:kern w:val="0"/>
          <w:sz w:val="32"/>
          <w:szCs w:val="32"/>
          <w:highlight w:val="none"/>
          <w:lang w:val="en-US" w:eastAsia="zh-CN" w:bidi="ar-SA"/>
        </w:rPr>
      </w:pPr>
    </w:p>
    <w:p>
      <w:pPr>
        <w:pStyle w:val="9"/>
        <w:rPr>
          <w:rFonts w:hint="eastAsia" w:ascii="仿宋_GB2312" w:hAnsi="Calibri" w:eastAsia="仿宋_GB2312" w:cs="仿宋"/>
          <w:color w:val="auto"/>
          <w:kern w:val="0"/>
          <w:sz w:val="32"/>
          <w:szCs w:val="32"/>
          <w:highlight w:val="none"/>
          <w:lang w:val="en-US" w:eastAsia="zh-CN" w:bidi="ar-SA"/>
        </w:rPr>
      </w:pPr>
    </w:p>
    <w:p>
      <w:pPr>
        <w:pStyle w:val="9"/>
        <w:rPr>
          <w:rFonts w:hint="eastAsia" w:ascii="仿宋_GB2312" w:hAnsi="Calibri" w:eastAsia="仿宋_GB2312" w:cs="仿宋"/>
          <w:color w:val="auto"/>
          <w:kern w:val="0"/>
          <w:sz w:val="32"/>
          <w:szCs w:val="32"/>
          <w:highlight w:val="none"/>
          <w:lang w:val="en-US" w:eastAsia="zh-CN" w:bidi="ar-SA"/>
        </w:rPr>
      </w:pPr>
    </w:p>
    <w:bookmarkEnd w:id="82"/>
    <w:bookmarkEnd w:id="98"/>
    <w:p>
      <w:pPr>
        <w:pStyle w:val="9"/>
        <w:rPr>
          <w:rFonts w:hint="eastAsia" w:ascii="仿宋_GB2312" w:hAnsi="Calibri" w:eastAsia="仿宋_GB2312" w:cs="仿宋"/>
          <w:color w:val="auto"/>
          <w:kern w:val="0"/>
          <w:sz w:val="32"/>
          <w:szCs w:val="32"/>
          <w:highlight w:val="none"/>
          <w:lang w:val="en-US" w:eastAsia="zh-CN" w:bidi="ar-SA"/>
        </w:rPr>
      </w:pPr>
    </w:p>
    <w:sectPr>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3"/>
          <w:jc w:val="center"/>
        </w:pPr>
        <w:r>
          <w:fldChar w:fldCharType="begin"/>
        </w:r>
        <w:r>
          <w:instrText xml:space="preserve">PAGE   \* MERGEFORMAT</w:instrText>
        </w:r>
        <w:r>
          <w:fldChar w:fldCharType="separate"/>
        </w:r>
        <w:r>
          <w:rPr>
            <w:lang w:val="zh-CN"/>
          </w:rPr>
          <w:t>8</w:t>
        </w:r>
        <w: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1B7D67"/>
    <w:multiLevelType w:val="singleLevel"/>
    <w:tmpl w:val="B61B7D67"/>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3A62B5"/>
    <w:rsid w:val="07982AF6"/>
    <w:rsid w:val="09817486"/>
    <w:rsid w:val="0A2032A3"/>
    <w:rsid w:val="0ACA0137"/>
    <w:rsid w:val="0B8A37D8"/>
    <w:rsid w:val="0EDC4345"/>
    <w:rsid w:val="0F3813A6"/>
    <w:rsid w:val="10C055FF"/>
    <w:rsid w:val="118107EC"/>
    <w:rsid w:val="11DD6519"/>
    <w:rsid w:val="127C6F34"/>
    <w:rsid w:val="1349678C"/>
    <w:rsid w:val="14DD527B"/>
    <w:rsid w:val="16BB723D"/>
    <w:rsid w:val="16C4569F"/>
    <w:rsid w:val="18015F3F"/>
    <w:rsid w:val="18BB1214"/>
    <w:rsid w:val="18DD7208"/>
    <w:rsid w:val="1A9519C9"/>
    <w:rsid w:val="1BD12834"/>
    <w:rsid w:val="1BD93A7D"/>
    <w:rsid w:val="1BE8440E"/>
    <w:rsid w:val="1D155CEE"/>
    <w:rsid w:val="1E104CB6"/>
    <w:rsid w:val="200D15A6"/>
    <w:rsid w:val="207448DE"/>
    <w:rsid w:val="20A376D5"/>
    <w:rsid w:val="20F57F95"/>
    <w:rsid w:val="240371BF"/>
    <w:rsid w:val="25711CC6"/>
    <w:rsid w:val="25976629"/>
    <w:rsid w:val="25C741E6"/>
    <w:rsid w:val="27164452"/>
    <w:rsid w:val="275E5BB0"/>
    <w:rsid w:val="27842671"/>
    <w:rsid w:val="29FD04D3"/>
    <w:rsid w:val="2ABE7A3E"/>
    <w:rsid w:val="2CA234A8"/>
    <w:rsid w:val="2D893CDE"/>
    <w:rsid w:val="2EFA178C"/>
    <w:rsid w:val="30B46D73"/>
    <w:rsid w:val="30C71824"/>
    <w:rsid w:val="319F7F4E"/>
    <w:rsid w:val="32C328CD"/>
    <w:rsid w:val="347A2A5F"/>
    <w:rsid w:val="371B366C"/>
    <w:rsid w:val="383D272C"/>
    <w:rsid w:val="398E12EC"/>
    <w:rsid w:val="39AE70AB"/>
    <w:rsid w:val="3BFD6014"/>
    <w:rsid w:val="3C0C0783"/>
    <w:rsid w:val="3C961295"/>
    <w:rsid w:val="3D8D0109"/>
    <w:rsid w:val="3F9F3A96"/>
    <w:rsid w:val="411F037A"/>
    <w:rsid w:val="415A42A1"/>
    <w:rsid w:val="41DD575F"/>
    <w:rsid w:val="43B72A08"/>
    <w:rsid w:val="46CC3F60"/>
    <w:rsid w:val="48231EC7"/>
    <w:rsid w:val="48BF60AB"/>
    <w:rsid w:val="493C27E9"/>
    <w:rsid w:val="496F39ED"/>
    <w:rsid w:val="49FF41D3"/>
    <w:rsid w:val="4BDB35BA"/>
    <w:rsid w:val="4BE068DB"/>
    <w:rsid w:val="4BF6002B"/>
    <w:rsid w:val="4C68266F"/>
    <w:rsid w:val="4E6974B1"/>
    <w:rsid w:val="4ECE2238"/>
    <w:rsid w:val="4F971F78"/>
    <w:rsid w:val="50582884"/>
    <w:rsid w:val="51DB4B86"/>
    <w:rsid w:val="552E7F84"/>
    <w:rsid w:val="55333C3E"/>
    <w:rsid w:val="56561112"/>
    <w:rsid w:val="5C7E78D9"/>
    <w:rsid w:val="5C863E65"/>
    <w:rsid w:val="5CF649D4"/>
    <w:rsid w:val="5D7D1706"/>
    <w:rsid w:val="5EBF7AEA"/>
    <w:rsid w:val="5F2A2B68"/>
    <w:rsid w:val="64CA39A1"/>
    <w:rsid w:val="67FE75F5"/>
    <w:rsid w:val="69630ADE"/>
    <w:rsid w:val="6A894622"/>
    <w:rsid w:val="6AFC75BC"/>
    <w:rsid w:val="6BDE51E3"/>
    <w:rsid w:val="6C4A05C8"/>
    <w:rsid w:val="6D3B1A89"/>
    <w:rsid w:val="6DCD716C"/>
    <w:rsid w:val="6DD70F80"/>
    <w:rsid w:val="6E09157D"/>
    <w:rsid w:val="6EF31091"/>
    <w:rsid w:val="71BF4EC2"/>
    <w:rsid w:val="72734D90"/>
    <w:rsid w:val="7412278C"/>
    <w:rsid w:val="74831CEB"/>
    <w:rsid w:val="766B5713"/>
    <w:rsid w:val="77492AD6"/>
    <w:rsid w:val="79E7B28D"/>
    <w:rsid w:val="7B5C115E"/>
    <w:rsid w:val="7C59788D"/>
    <w:rsid w:val="7D3C010F"/>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paragraph" w:styleId="8">
    <w:name w:val="heading 5"/>
    <w:basedOn w:val="1"/>
    <w:next w:val="1"/>
    <w:qFormat/>
    <w:uiPriority w:val="0"/>
    <w:pPr>
      <w:spacing w:before="240" w:after="60"/>
      <w:outlineLvl w:val="4"/>
    </w:pPr>
    <w:rPr>
      <w:rFonts w:ascii="Times New Roman" w:hAnsi="Times New Roman" w:eastAsia="宋体" w:cs="Times New Roman"/>
      <w:bCs/>
      <w:iCs/>
      <w:szCs w:val="20"/>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9">
    <w:name w:val="Body Text"/>
    <w:basedOn w:val="1"/>
    <w:link w:val="26"/>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Plain Text"/>
    <w:basedOn w:val="1"/>
    <w:next w:val="1"/>
    <w:qFormat/>
    <w:uiPriority w:val="0"/>
    <w:rPr>
      <w:rFonts w:ascii="宋体" w:hAnsi="Courier New" w:cs="Courier New"/>
      <w:szCs w:val="21"/>
    </w:rPr>
  </w:style>
  <w:style w:type="paragraph" w:styleId="12">
    <w:name w:val="Balloon Text"/>
    <w:basedOn w:val="1"/>
    <w:link w:val="32"/>
    <w:semiHidden/>
    <w:unhideWhenUsed/>
    <w:qFormat/>
    <w:uiPriority w:val="99"/>
    <w:rPr>
      <w:sz w:val="18"/>
      <w:szCs w:val="18"/>
    </w:rPr>
  </w:style>
  <w:style w:type="paragraph" w:styleId="13">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Header Char"/>
    <w:basedOn w:val="18"/>
    <w:semiHidden/>
    <w:qFormat/>
    <w:uiPriority w:val="99"/>
    <w:rPr>
      <w:rFonts w:ascii="Times New Roman" w:hAnsi="Times New Roman"/>
      <w:sz w:val="18"/>
      <w:szCs w:val="18"/>
    </w:rPr>
  </w:style>
  <w:style w:type="character" w:customStyle="1" w:styleId="22">
    <w:name w:val="页眉 Char"/>
    <w:link w:val="14"/>
    <w:semiHidden/>
    <w:qFormat/>
    <w:locked/>
    <w:uiPriority w:val="99"/>
    <w:rPr>
      <w:sz w:val="18"/>
    </w:rPr>
  </w:style>
  <w:style w:type="character" w:customStyle="1" w:styleId="23">
    <w:name w:val="Footer Char"/>
    <w:basedOn w:val="18"/>
    <w:semiHidden/>
    <w:qFormat/>
    <w:uiPriority w:val="99"/>
    <w:rPr>
      <w:rFonts w:ascii="Times New Roman" w:hAnsi="Times New Roman"/>
      <w:sz w:val="18"/>
      <w:szCs w:val="18"/>
    </w:rPr>
  </w:style>
  <w:style w:type="character" w:customStyle="1" w:styleId="24">
    <w:name w:val="页脚 Char"/>
    <w:link w:val="13"/>
    <w:qFormat/>
    <w:locked/>
    <w:uiPriority w:val="99"/>
    <w:rPr>
      <w:sz w:val="18"/>
    </w:rPr>
  </w:style>
  <w:style w:type="character" w:customStyle="1" w:styleId="25">
    <w:name w:val="Body Text Char"/>
    <w:basedOn w:val="18"/>
    <w:semiHidden/>
    <w:qFormat/>
    <w:uiPriority w:val="99"/>
    <w:rPr>
      <w:rFonts w:ascii="Times New Roman" w:hAnsi="Times New Roman"/>
      <w:szCs w:val="24"/>
    </w:rPr>
  </w:style>
  <w:style w:type="character" w:customStyle="1" w:styleId="26">
    <w:name w:val="正文文本 Char"/>
    <w:link w:val="9"/>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8"/>
    <w:link w:val="5"/>
    <w:qFormat/>
    <w:uiPriority w:val="9"/>
    <w:rPr>
      <w:rFonts w:ascii="Times New Roman" w:hAnsi="Times New Roman"/>
      <w:b/>
      <w:bCs/>
      <w:kern w:val="44"/>
      <w:sz w:val="44"/>
      <w:szCs w:val="44"/>
    </w:rPr>
  </w:style>
  <w:style w:type="character" w:customStyle="1" w:styleId="30">
    <w:name w:val="标题 2 Char"/>
    <w:basedOn w:val="18"/>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8"/>
    <w:link w:val="12"/>
    <w:semiHidden/>
    <w:qFormat/>
    <w:uiPriority w:val="99"/>
    <w:rPr>
      <w:rFonts w:ascii="Times New Roman" w:hAnsi="Times New Roman"/>
      <w:kern w:val="2"/>
      <w:sz w:val="18"/>
      <w:szCs w:val="18"/>
    </w:rPr>
  </w:style>
  <w:style w:type="character" w:customStyle="1" w:styleId="33">
    <w:name w:val="标题 3 Char"/>
    <w:basedOn w:val="18"/>
    <w:link w:val="7"/>
    <w:qFormat/>
    <w:uiPriority w:val="9"/>
    <w:rPr>
      <w:rFonts w:ascii="Times New Roman" w:hAnsi="Times New Roman"/>
      <w:b/>
      <w:bCs/>
      <w:kern w:val="2"/>
      <w:sz w:val="32"/>
      <w:szCs w:val="32"/>
    </w:rPr>
  </w:style>
  <w:style w:type="paragraph" w:customStyle="1" w:styleId="34">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WPSOffice手动目录 1"/>
    <w:uiPriority w:val="0"/>
    <w:pPr>
      <w:ind w:leftChars="0"/>
    </w:pPr>
    <w:rPr>
      <w:rFonts w:ascii="Times New Roman" w:hAnsi="Times New Roman" w:eastAsia="宋体" w:cs="Times New Roman"/>
      <w:sz w:val="20"/>
      <w:szCs w:val="20"/>
    </w:rPr>
  </w:style>
  <w:style w:type="paragraph" w:customStyle="1" w:styleId="36">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Documents%20and%20Settings\Administrator\&#26700;&#38754;\2023&#24180;&#20915;&#31639;&#20844;&#24320;\2023&#22235;&#24029;&#30465;&#36930;&#23425;&#24066;&#33337;&#23665;&#21306;&#22919;&#24188;&#20445;&#20581;&#38498;&#20915;&#31639;&#32479;&#35745;&#34920;(11).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Documents%20and%20Settings\Administrator\&#26700;&#38754;\2023&#24180;&#20915;&#31639;&#20844;&#24320;\2023&#22235;&#24029;&#30465;&#36930;&#23425;&#24066;&#33337;&#23665;&#21306;&#22919;&#24188;&#20445;&#20581;&#38498;&#20915;&#31639;&#32479;&#35745;&#34920;(11).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Documents%20and%20Settings\Administrator\&#26700;&#38754;\2023&#24180;&#20915;&#31639;&#20844;&#24320;\2023&#22235;&#24029;&#30465;&#36930;&#23425;&#24066;&#33337;&#23665;&#21306;&#22919;&#24188;&#20445;&#20581;&#38498;&#20915;&#31639;&#32479;&#35745;&#34920;(11).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Documents%20and%20Settings\Administrator\&#26700;&#38754;\2023&#24180;&#20915;&#31639;&#20844;&#24320;\2023&#22235;&#24029;&#30465;&#36930;&#23425;&#24066;&#33337;&#23665;&#21306;&#22919;&#24188;&#20445;&#20581;&#38498;&#20915;&#31639;&#32479;&#35745;&#34920;(11).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Documents%20and%20Settings\Administrator\&#26700;&#38754;\2023&#24180;&#20915;&#31639;&#20844;&#24320;\2023&#22235;&#24029;&#30465;&#36930;&#23425;&#24066;&#33337;&#23665;&#21306;&#22919;&#24188;&#20445;&#20581;&#38498;&#20915;&#31639;&#32479;&#35745;&#34920;(11).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Documents%20and%20Settings\Administrator\&#26700;&#38754;\2023&#24180;&#20915;&#31639;&#20844;&#24320;\2023&#22235;&#24029;&#30465;&#36930;&#23425;&#24066;&#33337;&#23665;&#21306;&#22919;&#24188;&#20445;&#20581;&#38498;&#20915;&#31639;&#32479;&#35745;&#34920;(1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t>收入、支出对比情况表</a:t>
            </a:r>
          </a:p>
        </c:rich>
      </c:tx>
      <c:layout>
        <c:manualLayout>
          <c:xMode val="edge"/>
          <c:yMode val="edge"/>
          <c:x val="0.294305555555556"/>
          <c:y val="0.0486111111111111"/>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'[2023四川省遂宁市船山区妇幼保健院决算统计表(11).xls]Sheet1'!$B$2:$C$2</c:f>
              <c:strCache>
                <c:ptCount val="2"/>
                <c:pt idx="0">
                  <c:v>2023年</c:v>
                </c:pt>
                <c:pt idx="1">
                  <c:v>2022年</c:v>
                </c:pt>
              </c:strCache>
            </c:strRef>
          </c:cat>
          <c:val>
            <c:numRef>
              <c:f>'[2023四川省遂宁市船山区妇幼保健院决算统计表(11).xls]Sheet1'!$B$3:$C$3</c:f>
              <c:numCache>
                <c:formatCode>General</c:formatCode>
                <c:ptCount val="2"/>
                <c:pt idx="0">
                  <c:v>4984.44</c:v>
                </c:pt>
                <c:pt idx="1">
                  <c:v>10078.04</c:v>
                </c:pt>
              </c:numCache>
            </c:numRef>
          </c:val>
        </c:ser>
        <c:dLbls>
          <c:showLegendKey val="0"/>
          <c:showVal val="1"/>
          <c:showCatName val="0"/>
          <c:showSerName val="0"/>
          <c:showPercent val="0"/>
          <c:showBubbleSize val="0"/>
        </c:dLbls>
        <c:gapWidth val="219"/>
        <c:overlap val="-27"/>
        <c:axId val="597621407"/>
        <c:axId val="899478707"/>
      </c:barChart>
      <c:catAx>
        <c:axId val="59762140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9478707"/>
        <c:crosses val="autoZero"/>
        <c:auto val="1"/>
        <c:lblAlgn val="ctr"/>
        <c:lblOffset val="100"/>
        <c:noMultiLvlLbl val="0"/>
      </c:catAx>
      <c:valAx>
        <c:axId val="8994787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76214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b="1"/>
              <a:t>收入决算结构图</a:t>
            </a:r>
            <a:endParaRPr b="1"/>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'[2023四川省遂宁市船山区妇幼保健院决算统计表(11).xls]Sheet1'!$I$2:$K$2</c:f>
              <c:strCache>
                <c:ptCount val="3"/>
                <c:pt idx="0">
                  <c:v>一般公共预算财政拨款收入</c:v>
                </c:pt>
                <c:pt idx="1">
                  <c:v>事业收入</c:v>
                </c:pt>
                <c:pt idx="2">
                  <c:v>其他收入</c:v>
                </c:pt>
              </c:strCache>
            </c:strRef>
          </c:cat>
          <c:val>
            <c:numRef>
              <c:f>'[2023四川省遂宁市船山区妇幼保健院决算统计表(11).xls]Sheet1'!$I$3:$K$3</c:f>
              <c:numCache>
                <c:formatCode>General</c:formatCode>
                <c:ptCount val="3"/>
                <c:pt idx="0">
                  <c:v>700.71</c:v>
                </c:pt>
                <c:pt idx="1">
                  <c:v>3041.06</c:v>
                </c:pt>
                <c:pt idx="2">
                  <c:v>289.1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t>支出决算结构图</a:t>
            </a:r>
            <a:endParaRPr b="1"/>
          </a:p>
        </c:rich>
      </c:tx>
      <c:layout>
        <c:manualLayout>
          <c:xMode val="edge"/>
          <c:yMode val="edge"/>
          <c:x val="0.358194444444444"/>
          <c:y val="0.0381944444444444"/>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'[2023四川省遂宁市船山区妇幼保健院决算统计表(11).xls]Sheet1'!$K$13:$L$13</c:f>
              <c:strCache>
                <c:ptCount val="2"/>
                <c:pt idx="0">
                  <c:v>基本支出</c:v>
                </c:pt>
                <c:pt idx="1">
                  <c:v>项目支出</c:v>
                </c:pt>
              </c:strCache>
            </c:strRef>
          </c:cat>
          <c:val>
            <c:numRef>
              <c:f>'[2023四川省遂宁市船山区妇幼保健院决算统计表(11).xls]Sheet1'!$K$14:$L$14</c:f>
              <c:numCache>
                <c:formatCode>General</c:formatCode>
                <c:ptCount val="2"/>
                <c:pt idx="0">
                  <c:v>4399.69</c:v>
                </c:pt>
                <c:pt idx="1">
                  <c:v>584.75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t>财政拨款收、支决算总计变动情况</a:t>
            </a:r>
            <a:endParaRPr b="1"/>
          </a:p>
        </c:rich>
      </c:tx>
      <c:layout/>
      <c:overlay val="0"/>
      <c:spPr>
        <a:noFill/>
        <a:ln>
          <a:noFill/>
        </a:ln>
        <a:effectLst/>
      </c:spPr>
    </c:title>
    <c:autoTitleDeleted val="0"/>
    <c:plotArea>
      <c:layout/>
      <c:barChart>
        <c:barDir val="col"/>
        <c:grouping val="clustered"/>
        <c:varyColors val="0"/>
        <c:ser>
          <c:idx val="0"/>
          <c:order val="0"/>
          <c:tx>
            <c:strRef>
              <c:f>'[2023四川省遂宁市船山区妇幼保健院决算统计表(11).xls]Sheet2'!$B$2</c:f>
              <c:strCache>
                <c:ptCount val="1"/>
                <c:pt idx="0">
                  <c:v>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'[2023四川省遂宁市船山区妇幼保健院决算统计表(11).xls]Sheet2'!$C$1:$D$1</c:f>
              <c:strCache>
                <c:ptCount val="2"/>
                <c:pt idx="0">
                  <c:v>2023年</c:v>
                </c:pt>
                <c:pt idx="1">
                  <c:v>2022年</c:v>
                </c:pt>
              </c:strCache>
            </c:strRef>
          </c:cat>
          <c:val>
            <c:numRef>
              <c:f>'[2023四川省遂宁市船山区妇幼保健院决算统计表(11).xls]Sheet2'!$C$2:$D$2</c:f>
              <c:numCache>
                <c:formatCode>General</c:formatCode>
                <c:ptCount val="2"/>
                <c:pt idx="0">
                  <c:v>700.71</c:v>
                </c:pt>
                <c:pt idx="1">
                  <c:v>624.19</c:v>
                </c:pt>
              </c:numCache>
            </c:numRef>
          </c:val>
        </c:ser>
        <c:dLbls>
          <c:showLegendKey val="0"/>
          <c:showVal val="1"/>
          <c:showCatName val="0"/>
          <c:showSerName val="0"/>
          <c:showPercent val="0"/>
          <c:showBubbleSize val="0"/>
        </c:dLbls>
        <c:gapWidth val="75"/>
        <c:overlap val="-25"/>
        <c:axId val="814435404"/>
        <c:axId val="502942849"/>
      </c:barChart>
      <c:catAx>
        <c:axId val="81443540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2942849"/>
        <c:crosses val="autoZero"/>
        <c:auto val="1"/>
        <c:lblAlgn val="ctr"/>
        <c:lblOffset val="100"/>
        <c:noMultiLvlLbl val="0"/>
      </c:catAx>
      <c:valAx>
        <c:axId val="50294284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44354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t>一般公共预算财政拨款支出决算变动情况</a:t>
            </a:r>
            <a:endParaRPr b="1"/>
          </a:p>
        </c:rich>
      </c:tx>
      <c:layout>
        <c:manualLayout>
          <c:xMode val="edge"/>
          <c:yMode val="edge"/>
          <c:x val="0.21062025881303"/>
          <c:y val="0.00760070939954396"/>
        </c:manualLayout>
      </c:layout>
      <c:overlay val="0"/>
      <c:spPr>
        <a:noFill/>
        <a:ln>
          <a:noFill/>
        </a:ln>
        <a:effectLst/>
      </c:spPr>
    </c:title>
    <c:autoTitleDeleted val="0"/>
    <c:plotArea>
      <c:layout/>
      <c:barChart>
        <c:barDir val="col"/>
        <c:grouping val="clustered"/>
        <c:varyColors val="0"/>
        <c:ser>
          <c:idx val="0"/>
          <c:order val="0"/>
          <c:tx>
            <c:strRef>
              <c:f>'[2023四川省遂宁市船山区妇幼保健院决算统计表(11).xls]Sheet2'!$B$2</c:f>
              <c:strCache>
                <c:ptCount val="1"/>
                <c:pt idx="0">
                  <c:v>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'[2023四川省遂宁市船山区妇幼保健院决算统计表(11).xls]Sheet2'!$C$1:$D$1</c:f>
              <c:strCache>
                <c:ptCount val="2"/>
                <c:pt idx="0">
                  <c:v>2023年</c:v>
                </c:pt>
                <c:pt idx="1">
                  <c:v>2022年</c:v>
                </c:pt>
              </c:strCache>
            </c:strRef>
          </c:cat>
          <c:val>
            <c:numRef>
              <c:f>'[2023四川省遂宁市船山区妇幼保健院决算统计表(11).xls]Sheet2'!$C$2:$D$2</c:f>
              <c:numCache>
                <c:formatCode>General</c:formatCode>
                <c:ptCount val="2"/>
                <c:pt idx="0">
                  <c:v>700.71</c:v>
                </c:pt>
                <c:pt idx="1">
                  <c:v>624.19</c:v>
                </c:pt>
              </c:numCache>
            </c:numRef>
          </c:val>
        </c:ser>
        <c:dLbls>
          <c:showLegendKey val="0"/>
          <c:showVal val="1"/>
          <c:showCatName val="0"/>
          <c:showSerName val="0"/>
          <c:showPercent val="0"/>
          <c:showBubbleSize val="0"/>
        </c:dLbls>
        <c:gapWidth val="75"/>
        <c:overlap val="-25"/>
        <c:axId val="814435404"/>
        <c:axId val="502942849"/>
      </c:barChart>
      <c:catAx>
        <c:axId val="81443540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2942849"/>
        <c:crosses val="autoZero"/>
        <c:auto val="1"/>
        <c:lblAlgn val="ctr"/>
        <c:lblOffset val="100"/>
        <c:noMultiLvlLbl val="0"/>
      </c:catAx>
      <c:valAx>
        <c:axId val="50294284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44354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t>一般公共预算财政拨款支出决算结构图</a:t>
            </a:r>
            <a:endParaRPr b="1"/>
          </a:p>
        </c:rich>
      </c:tx>
      <c:layout>
        <c:manualLayout>
          <c:xMode val="edge"/>
          <c:yMode val="edge"/>
          <c:x val="0.137111647042134"/>
          <c:y val="0.0186381709741551"/>
        </c:manualLayout>
      </c:layout>
      <c:overlay val="0"/>
      <c:spPr>
        <a:noFill/>
        <a:ln>
          <a:noFill/>
        </a:ln>
        <a:effectLst/>
      </c:spPr>
    </c:title>
    <c:autoTitleDeleted val="0"/>
    <c:plotArea>
      <c:layout>
        <c:manualLayout>
          <c:layoutTarget val="inner"/>
          <c:xMode val="edge"/>
          <c:yMode val="edge"/>
          <c:x val="0.122916666666667"/>
          <c:y val="0.186342592592593"/>
          <c:w val="0.46875"/>
          <c:h val="0.78125"/>
        </c:manualLayout>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872464179316215"/>
                  <c:y val="0.022365805168986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12796141296638"/>
                  <c:y val="-0.14249358091162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723506880408569"/>
                  <c:y val="0"/>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'[2023四川省遂宁市船山区妇幼保健院决算统计表(11).xls]Sheet2'!$I$2:$K$2</c:f>
              <c:strCache>
                <c:ptCount val="3"/>
                <c:pt idx="0">
                  <c:v>社会保障和就业支出</c:v>
                </c:pt>
                <c:pt idx="1">
                  <c:v>卫生健康支出</c:v>
                </c:pt>
                <c:pt idx="2">
                  <c:v>住房保障支出</c:v>
                </c:pt>
              </c:strCache>
            </c:strRef>
          </c:cat>
          <c:val>
            <c:numRef>
              <c:f>'[2023四川省遂宁市船山区妇幼保健院决算统计表(11).xls]Sheet2'!$I$3:$K$3</c:f>
              <c:numCache>
                <c:formatCode>General</c:formatCode>
                <c:ptCount val="3"/>
                <c:pt idx="0">
                  <c:v>27.23</c:v>
                </c:pt>
                <c:pt idx="1">
                  <c:v>662.46</c:v>
                </c:pt>
                <c:pt idx="2">
                  <c:v>11.02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26ab9ab-4031-4105-82c4-9f22769ddd72}"/>
        <w:style w:val=""/>
        <w:category>
          <w:name w:val="常规"/>
          <w:gallery w:val="placeholder"/>
        </w:category>
        <w:types>
          <w:type w:val="bbPlcHdr"/>
        </w:types>
        <w:behaviors>
          <w:behavior w:val="content"/>
        </w:behaviors>
        <w:description w:val=""/>
        <w:guid w:val="{826ab9ab-4031-4105-82c4-9f22769ddd72}"/>
      </w:docPartPr>
      <w:docPartBody>
        <w:p>
          <w:r>
            <w:rPr>
              <w:color w:val="808080"/>
            </w:rPr>
            <w:t>单击此处输入文字。</w:t>
          </w:r>
        </w:p>
      </w:docPartBody>
    </w:docPart>
    <w:docPart>
      <w:docPartPr>
        <w:name w:val="{58e06760-448d-4586-963a-d90031194583}"/>
        <w:style w:val=""/>
        <w:category>
          <w:name w:val="常规"/>
          <w:gallery w:val="placeholder"/>
        </w:category>
        <w:types>
          <w:type w:val="bbPlcHdr"/>
        </w:types>
        <w:behaviors>
          <w:behavior w:val="content"/>
        </w:behaviors>
        <w:description w:val=""/>
        <w:guid w:val="{58e06760-448d-4586-963a-d90031194583}"/>
      </w:docPartPr>
      <w:docPartBody>
        <w:p>
          <w:r>
            <w:rPr>
              <w:color w:val="808080"/>
            </w:rPr>
            <w:t>单击此处输入文字。</w:t>
          </w:r>
        </w:p>
      </w:docPartBody>
    </w:docPart>
    <w:docPart>
      <w:docPartPr>
        <w:name w:val="{85468d99-739b-4282-8eda-83584db6d55f}"/>
        <w:style w:val=""/>
        <w:category>
          <w:name w:val="常规"/>
          <w:gallery w:val="placeholder"/>
        </w:category>
        <w:types>
          <w:type w:val="bbPlcHdr"/>
        </w:types>
        <w:behaviors>
          <w:behavior w:val="content"/>
        </w:behaviors>
        <w:description w:val=""/>
        <w:guid w:val="{85468d99-739b-4282-8eda-83584db6d55f}"/>
      </w:docPartPr>
      <w:docPartBody>
        <w:p>
          <w:r>
            <w:rPr>
              <w:color w:val="808080"/>
            </w:rPr>
            <w:t>单击此处输入文字。</w:t>
          </w:r>
        </w:p>
      </w:docPartBody>
    </w:docPart>
    <w:docPart>
      <w:docPartPr>
        <w:name w:val="{807e7fbe-3d13-452b-a56e-6d15c636500d}"/>
        <w:style w:val=""/>
        <w:category>
          <w:name w:val="常规"/>
          <w:gallery w:val="placeholder"/>
        </w:category>
        <w:types>
          <w:type w:val="bbPlcHdr"/>
        </w:types>
        <w:behaviors>
          <w:behavior w:val="content"/>
        </w:behaviors>
        <w:description w:val=""/>
        <w:guid w:val="{807e7fbe-3d13-452b-a56e-6d15c636500d}"/>
      </w:docPartPr>
      <w:docPartBody>
        <w:p>
          <w:r>
            <w:rPr>
              <w:color w:val="808080"/>
            </w:rPr>
            <w:t>单击此处输入文字。</w:t>
          </w:r>
        </w:p>
      </w:docPartBody>
    </w:docPart>
    <w:docPart>
      <w:docPartPr>
        <w:name w:val="{84da4cad-2dc3-4351-9dc8-7e51d2aa8a0a}"/>
        <w:style w:val=""/>
        <w:category>
          <w:name w:val="常规"/>
          <w:gallery w:val="placeholder"/>
        </w:category>
        <w:types>
          <w:type w:val="bbPlcHdr"/>
        </w:types>
        <w:behaviors>
          <w:behavior w:val="content"/>
        </w:behaviors>
        <w:description w:val=""/>
        <w:guid w:val="{84da4cad-2dc3-4351-9dc8-7e51d2aa8a0a}"/>
      </w:docPartPr>
      <w:docPartBody>
        <w:p>
          <w:r>
            <w:rPr>
              <w:color w:val="808080"/>
            </w:rPr>
            <w:t>单击此处输入文字。</w:t>
          </w:r>
        </w:p>
      </w:docPartBody>
    </w:docPart>
    <w:docPart>
      <w:docPartPr>
        <w:name w:val="{d9bc5446-f10b-46b0-b5c2-1b6e4bdbfbf0}"/>
        <w:style w:val=""/>
        <w:category>
          <w:name w:val="常规"/>
          <w:gallery w:val="placeholder"/>
        </w:category>
        <w:types>
          <w:type w:val="bbPlcHdr"/>
        </w:types>
        <w:behaviors>
          <w:behavior w:val="content"/>
        </w:behaviors>
        <w:description w:val=""/>
        <w:guid w:val="{d9bc5446-f10b-46b0-b5c2-1b6e4bdbfbf0}"/>
      </w:docPartPr>
      <w:docPartBody>
        <w:p>
          <w:r>
            <w:rPr>
              <w:color w:val="808080"/>
            </w:rPr>
            <w:t>单击此处输入文字。</w:t>
          </w:r>
        </w:p>
      </w:docPartBody>
    </w:docPart>
    <w:docPart>
      <w:docPartPr>
        <w:name w:val="{a0f89693-f984-4565-af88-3fcdc6857da8}"/>
        <w:style w:val=""/>
        <w:category>
          <w:name w:val="常规"/>
          <w:gallery w:val="placeholder"/>
        </w:category>
        <w:types>
          <w:type w:val="bbPlcHdr"/>
        </w:types>
        <w:behaviors>
          <w:behavior w:val="content"/>
        </w:behaviors>
        <w:description w:val=""/>
        <w:guid w:val="{a0f89693-f984-4565-af88-3fcdc6857da8}"/>
      </w:docPartPr>
      <w:docPartBody>
        <w:p>
          <w:r>
            <w:rPr>
              <w:color w:val="808080"/>
            </w:rPr>
            <w:t>单击此处输入文字。</w:t>
          </w:r>
        </w:p>
      </w:docPartBody>
    </w:docPart>
    <w:docPart>
      <w:docPartPr>
        <w:name w:val="{dd27df85-3ff3-427b-9f95-ef0a8f660c1a}"/>
        <w:style w:val=""/>
        <w:category>
          <w:name w:val="常规"/>
          <w:gallery w:val="placeholder"/>
        </w:category>
        <w:types>
          <w:type w:val="bbPlcHdr"/>
        </w:types>
        <w:behaviors>
          <w:behavior w:val="content"/>
        </w:behaviors>
        <w:description w:val=""/>
        <w:guid w:val="{dd27df85-3ff3-427b-9f95-ef0a8f660c1a}"/>
      </w:docPartPr>
      <w:docPartBody>
        <w:p>
          <w:r>
            <w:rPr>
              <w:color w:val="808080"/>
            </w:rPr>
            <w:t>单击此处输入文字。</w:t>
          </w:r>
        </w:p>
      </w:docPartBody>
    </w:docPart>
    <w:docPart>
      <w:docPartPr>
        <w:name w:val="{6e177eea-4be6-408b-9641-c71daabb5b41}"/>
        <w:style w:val=""/>
        <w:category>
          <w:name w:val="常规"/>
          <w:gallery w:val="placeholder"/>
        </w:category>
        <w:types>
          <w:type w:val="bbPlcHdr"/>
        </w:types>
        <w:behaviors>
          <w:behavior w:val="content"/>
        </w:behaviors>
        <w:description w:val=""/>
        <w:guid w:val="{6e177eea-4be6-408b-9641-c71daabb5b41}"/>
      </w:docPartPr>
      <w:docPartBody>
        <w:p>
          <w:r>
            <w:rPr>
              <w:color w:val="808080"/>
            </w:rPr>
            <w:t>单击此处输入文字。</w:t>
          </w:r>
        </w:p>
      </w:docPartBody>
    </w:docPart>
    <w:docPart>
      <w:docPartPr>
        <w:name w:val="{cc3cc4f8-3b72-458c-99c1-7d7a522dd0f0}"/>
        <w:style w:val=""/>
        <w:category>
          <w:name w:val="常规"/>
          <w:gallery w:val="placeholder"/>
        </w:category>
        <w:types>
          <w:type w:val="bbPlcHdr"/>
        </w:types>
        <w:behaviors>
          <w:behavior w:val="content"/>
        </w:behaviors>
        <w:description w:val=""/>
        <w:guid w:val="{cc3cc4f8-3b72-458c-99c1-7d7a522dd0f0}"/>
      </w:docPartPr>
      <w:docPartBody>
        <w:p>
          <w:r>
            <w:rPr>
              <w:color w:val="808080"/>
            </w:rPr>
            <w:t>单击此处输入文字。</w:t>
          </w:r>
        </w:p>
      </w:docPartBody>
    </w:docPart>
    <w:docPart>
      <w:docPartPr>
        <w:name w:val="{2081987e-0f75-4fa9-95ae-c166db272fce}"/>
        <w:style w:val=""/>
        <w:category>
          <w:name w:val="常规"/>
          <w:gallery w:val="placeholder"/>
        </w:category>
        <w:types>
          <w:type w:val="bbPlcHdr"/>
        </w:types>
        <w:behaviors>
          <w:behavior w:val="content"/>
        </w:behaviors>
        <w:description w:val=""/>
        <w:guid w:val="{2081987e-0f75-4fa9-95ae-c166db272fce}"/>
      </w:docPartPr>
      <w:docPartBody>
        <w:p>
          <w:r>
            <w:rPr>
              <w:color w:val="808080"/>
            </w:rPr>
            <w:t>单击此处输入文字。</w:t>
          </w:r>
        </w:p>
      </w:docPartBody>
    </w:docPart>
    <w:docPart>
      <w:docPartPr>
        <w:name w:val="{62c3815b-c6d7-43a8-a082-47b21e36d19b}"/>
        <w:style w:val=""/>
        <w:category>
          <w:name w:val="常规"/>
          <w:gallery w:val="placeholder"/>
        </w:category>
        <w:types>
          <w:type w:val="bbPlcHdr"/>
        </w:types>
        <w:behaviors>
          <w:behavior w:val="content"/>
        </w:behaviors>
        <w:description w:val=""/>
        <w:guid w:val="{62c3815b-c6d7-43a8-a082-47b21e36d19b}"/>
      </w:docPartPr>
      <w:docPartBody>
        <w:p>
          <w:r>
            <w:rPr>
              <w:color w:val="808080"/>
            </w:rPr>
            <w:t>单击此处输入文字。</w:t>
          </w:r>
        </w:p>
      </w:docPartBody>
    </w:docPart>
    <w:docPart>
      <w:docPartPr>
        <w:name w:val="{e2e757d8-137d-4712-b73d-62c19d536327}"/>
        <w:style w:val=""/>
        <w:category>
          <w:name w:val="常规"/>
          <w:gallery w:val="placeholder"/>
        </w:category>
        <w:types>
          <w:type w:val="bbPlcHdr"/>
        </w:types>
        <w:behaviors>
          <w:behavior w:val="content"/>
        </w:behaviors>
        <w:description w:val=""/>
        <w:guid w:val="{e2e757d8-137d-4712-b73d-62c19d536327}"/>
      </w:docPartPr>
      <w:docPartBody>
        <w:p>
          <w:r>
            <w:rPr>
              <w:color w:val="808080"/>
            </w:rPr>
            <w:t>单击此处输入文字。</w:t>
          </w:r>
        </w:p>
      </w:docPartBody>
    </w:docPart>
    <w:docPart>
      <w:docPartPr>
        <w:name w:val="{2e54b8f2-129a-4d71-89f9-e3413cc49300}"/>
        <w:style w:val=""/>
        <w:category>
          <w:name w:val="常规"/>
          <w:gallery w:val="placeholder"/>
        </w:category>
        <w:types>
          <w:type w:val="bbPlcHdr"/>
        </w:types>
        <w:behaviors>
          <w:behavior w:val="content"/>
        </w:behaviors>
        <w:description w:val=""/>
        <w:guid w:val="{2e54b8f2-129a-4d71-89f9-e3413cc49300}"/>
      </w:docPartPr>
      <w:docPartBody>
        <w:p>
          <w:r>
            <w:rPr>
              <w:color w:val="808080"/>
            </w:rPr>
            <w:t>单击此处输入文字。</w:t>
          </w:r>
        </w:p>
      </w:docPartBody>
    </w:docPart>
    <w:docPart>
      <w:docPartPr>
        <w:name w:val="{9527d800-4849-43f0-a93f-0d7d5880e31b}"/>
        <w:style w:val=""/>
        <w:category>
          <w:name w:val="常规"/>
          <w:gallery w:val="placeholder"/>
        </w:category>
        <w:types>
          <w:type w:val="bbPlcHdr"/>
        </w:types>
        <w:behaviors>
          <w:behavior w:val="content"/>
        </w:behaviors>
        <w:description w:val=""/>
        <w:guid w:val="{9527d800-4849-43f0-a93f-0d7d5880e31b}"/>
      </w:docPartPr>
      <w:docPartBody>
        <w:p>
          <w:r>
            <w:rPr>
              <w:color w:val="808080"/>
            </w:rPr>
            <w:t>单击此处输入文字。</w:t>
          </w:r>
        </w:p>
      </w:docPartBody>
    </w:docPart>
    <w:docPart>
      <w:docPartPr>
        <w:name w:val="{08b409a6-0304-4fdd-9348-f54da3ddeec1}"/>
        <w:style w:val=""/>
        <w:category>
          <w:name w:val="常规"/>
          <w:gallery w:val="placeholder"/>
        </w:category>
        <w:types>
          <w:type w:val="bbPlcHdr"/>
        </w:types>
        <w:behaviors>
          <w:behavior w:val="content"/>
        </w:behaviors>
        <w:description w:val=""/>
        <w:guid w:val="{08b409a6-0304-4fdd-9348-f54da3ddeec1}"/>
      </w:docPartPr>
      <w:docPartBody>
        <w:p>
          <w:r>
            <w:rPr>
              <w:color w:val="808080"/>
            </w:rPr>
            <w:t>单击此处输入文字。</w:t>
          </w:r>
        </w:p>
      </w:docPartBody>
    </w:docPart>
    <w:docPart>
      <w:docPartPr>
        <w:name w:val="{7d310773-2ffb-486d-8b4b-af0d8fa1c2b2}"/>
        <w:style w:val=""/>
        <w:category>
          <w:name w:val="常规"/>
          <w:gallery w:val="placeholder"/>
        </w:category>
        <w:types>
          <w:type w:val="bbPlcHdr"/>
        </w:types>
        <w:behaviors>
          <w:behavior w:val="content"/>
        </w:behaviors>
        <w:description w:val=""/>
        <w:guid w:val="{7d310773-2ffb-486d-8b4b-af0d8fa1c2b2}"/>
      </w:docPartPr>
      <w:docPartBody>
        <w:p>
          <w:r>
            <w:rPr>
              <w:color w:val="808080"/>
            </w:rPr>
            <w:t>单击此处输入文字。</w:t>
          </w:r>
        </w:p>
      </w:docPartBody>
    </w:docPart>
    <w:docPart>
      <w:docPartPr>
        <w:name w:val="{f7ceba0d-569b-4757-9623-cc59df61efea}"/>
        <w:style w:val=""/>
        <w:category>
          <w:name w:val="常规"/>
          <w:gallery w:val="placeholder"/>
        </w:category>
        <w:types>
          <w:type w:val="bbPlcHdr"/>
        </w:types>
        <w:behaviors>
          <w:behavior w:val="content"/>
        </w:behaviors>
        <w:description w:val=""/>
        <w:guid w:val="{f7ceba0d-569b-4757-9623-cc59df61efea}"/>
      </w:docPartPr>
      <w:docPartBody>
        <w:p>
          <w:r>
            <w:rPr>
              <w:color w:val="808080"/>
            </w:rPr>
            <w:t>单击此处输入文字。</w:t>
          </w:r>
        </w:p>
      </w:docPartBody>
    </w:docPart>
    <w:docPart>
      <w:docPartPr>
        <w:name w:val="{3b122de2-07ab-4a2a-815d-3c577f49ac72}"/>
        <w:style w:val=""/>
        <w:category>
          <w:name w:val="常规"/>
          <w:gallery w:val="placeholder"/>
        </w:category>
        <w:types>
          <w:type w:val="bbPlcHdr"/>
        </w:types>
        <w:behaviors>
          <w:behavior w:val="content"/>
        </w:behaviors>
        <w:description w:val=""/>
        <w:guid w:val="{3b122de2-07ab-4a2a-815d-3c577f49ac72}"/>
      </w:docPartPr>
      <w:docPartBody>
        <w:p>
          <w:r>
            <w:rPr>
              <w:color w:val="808080"/>
            </w:rPr>
            <w:t>单击此处输入文字。</w:t>
          </w:r>
        </w:p>
      </w:docPartBody>
    </w:docPart>
    <w:docPart>
      <w:docPartPr>
        <w:name w:val="{de92c4d5-335b-433e-9ea9-c55ec995dcaf}"/>
        <w:style w:val=""/>
        <w:category>
          <w:name w:val="常规"/>
          <w:gallery w:val="placeholder"/>
        </w:category>
        <w:types>
          <w:type w:val="bbPlcHdr"/>
        </w:types>
        <w:behaviors>
          <w:behavior w:val="content"/>
        </w:behaviors>
        <w:description w:val=""/>
        <w:guid w:val="{de92c4d5-335b-433e-9ea9-c55ec995dcaf}"/>
      </w:docPartPr>
      <w:docPartBody>
        <w:p>
          <w:r>
            <w:rPr>
              <w:color w:val="808080"/>
            </w:rPr>
            <w:t>单击此处输入文字。</w:t>
          </w:r>
        </w:p>
      </w:docPartBody>
    </w:docPart>
    <w:docPart>
      <w:docPartPr>
        <w:name w:val="{48d8cd45-db84-4e6c-98d0-7eb3b23c4a4d}"/>
        <w:style w:val=""/>
        <w:category>
          <w:name w:val="常规"/>
          <w:gallery w:val="placeholder"/>
        </w:category>
        <w:types>
          <w:type w:val="bbPlcHdr"/>
        </w:types>
        <w:behaviors>
          <w:behavior w:val="content"/>
        </w:behaviors>
        <w:description w:val=""/>
        <w:guid w:val="{48d8cd45-db84-4e6c-98d0-7eb3b23c4a4d}"/>
      </w:docPartPr>
      <w:docPartBody>
        <w:p>
          <w:r>
            <w:rPr>
              <w:color w:val="808080"/>
            </w:rPr>
            <w:t>单击此处输入文字。</w:t>
          </w:r>
        </w:p>
      </w:docPartBody>
    </w:docPart>
    <w:docPart>
      <w:docPartPr>
        <w:name w:val="{5b337b10-8f7d-43e0-839d-640f70b66f09}"/>
        <w:style w:val=""/>
        <w:category>
          <w:name w:val="常规"/>
          <w:gallery w:val="placeholder"/>
        </w:category>
        <w:types>
          <w:type w:val="bbPlcHdr"/>
        </w:types>
        <w:behaviors>
          <w:behavior w:val="content"/>
        </w:behaviors>
        <w:description w:val=""/>
        <w:guid w:val="{5b337b10-8f7d-43e0-839d-640f70b66f09}"/>
      </w:docPartPr>
      <w:docPartBody>
        <w:p>
          <w:r>
            <w:rPr>
              <w:color w:val="808080"/>
            </w:rPr>
            <w:t>单击此处输入文字。</w:t>
          </w:r>
        </w:p>
      </w:docPartBody>
    </w:docPart>
    <w:docPart>
      <w:docPartPr>
        <w:name w:val="{1c70c216-27b1-4dc9-8385-f4fd778388bb}"/>
        <w:style w:val=""/>
        <w:category>
          <w:name w:val="常规"/>
          <w:gallery w:val="placeholder"/>
        </w:category>
        <w:types>
          <w:type w:val="bbPlcHdr"/>
        </w:types>
        <w:behaviors>
          <w:behavior w:val="content"/>
        </w:behaviors>
        <w:description w:val=""/>
        <w:guid w:val="{1c70c216-27b1-4dc9-8385-f4fd778388bb}"/>
      </w:docPartPr>
      <w:docPartBody>
        <w:p>
          <w:r>
            <w:rPr>
              <w:color w:val="808080"/>
            </w:rPr>
            <w:t>单击此处输入文字。</w:t>
          </w:r>
        </w:p>
      </w:docPartBody>
    </w:docPart>
    <w:docPart>
      <w:docPartPr>
        <w:name w:val="{f29f33b9-a346-4696-99b8-7f7b18e17907}"/>
        <w:style w:val=""/>
        <w:category>
          <w:name w:val="常规"/>
          <w:gallery w:val="placeholder"/>
        </w:category>
        <w:types>
          <w:type w:val="bbPlcHdr"/>
        </w:types>
        <w:behaviors>
          <w:behavior w:val="content"/>
        </w:behaviors>
        <w:description w:val=""/>
        <w:guid w:val="{f29f33b9-a346-4696-99b8-7f7b18e17907}"/>
      </w:docPartPr>
      <w:docPartBody>
        <w:p>
          <w:r>
            <w:rPr>
              <w:color w:val="808080"/>
            </w:rPr>
            <w:t>单击此处输入文字。</w:t>
          </w:r>
        </w:p>
      </w:docPartBody>
    </w:docPart>
    <w:docPart>
      <w:docPartPr>
        <w:name w:val="{9b485c5a-c168-4e3e-91fd-596f28369e4d}"/>
        <w:style w:val=""/>
        <w:category>
          <w:name w:val="常规"/>
          <w:gallery w:val="placeholder"/>
        </w:category>
        <w:types>
          <w:type w:val="bbPlcHdr"/>
        </w:types>
        <w:behaviors>
          <w:behavior w:val="content"/>
        </w:behaviors>
        <w:description w:val=""/>
        <w:guid w:val="{9b485c5a-c168-4e3e-91fd-596f28369e4d}"/>
      </w:docPartPr>
      <w:docPartBody>
        <w:p>
          <w:r>
            <w:rPr>
              <w:color w:val="808080"/>
            </w:rPr>
            <w:t>单击此处输入文字。</w:t>
          </w:r>
        </w:p>
      </w:docPartBody>
    </w:docPart>
    <w:docPart>
      <w:docPartPr>
        <w:name w:val="{34e77818-faff-4aa9-b063-29f877803b1f}"/>
        <w:style w:val=""/>
        <w:category>
          <w:name w:val="常规"/>
          <w:gallery w:val="placeholder"/>
        </w:category>
        <w:types>
          <w:type w:val="bbPlcHdr"/>
        </w:types>
        <w:behaviors>
          <w:behavior w:val="content"/>
        </w:behaviors>
        <w:description w:val=""/>
        <w:guid w:val="{34e77818-faff-4aa9-b063-29f877803b1f}"/>
      </w:docPartPr>
      <w:docPartBody>
        <w:p>
          <w:r>
            <w:rPr>
              <w:color w:val="808080"/>
            </w:rPr>
            <w:t>单击此处输入文字。</w:t>
          </w:r>
        </w:p>
      </w:docPartBody>
    </w:docPart>
    <w:docPart>
      <w:docPartPr>
        <w:name w:val="{413d7f37-15ce-4f2a-a380-b737d9e8f5d9}"/>
        <w:style w:val=""/>
        <w:category>
          <w:name w:val="常规"/>
          <w:gallery w:val="placeholder"/>
        </w:category>
        <w:types>
          <w:type w:val="bbPlcHdr"/>
        </w:types>
        <w:behaviors>
          <w:behavior w:val="content"/>
        </w:behaviors>
        <w:description w:val=""/>
        <w:guid w:val="{413d7f37-15ce-4f2a-a380-b737d9e8f5d9}"/>
      </w:docPartPr>
      <w:docPartBody>
        <w:p>
          <w:r>
            <w:rPr>
              <w:color w:val="808080"/>
            </w:rPr>
            <w:t>单击此处输入文字。</w:t>
          </w:r>
        </w:p>
      </w:docPartBody>
    </w:docPart>
    <w:docPart>
      <w:docPartPr>
        <w:name w:val="{0d80cb80-b577-4c2b-82bf-9ca64d2985f0}"/>
        <w:style w:val=""/>
        <w:category>
          <w:name w:val="常规"/>
          <w:gallery w:val="placeholder"/>
        </w:category>
        <w:types>
          <w:type w:val="bbPlcHdr"/>
        </w:types>
        <w:behaviors>
          <w:behavior w:val="content"/>
        </w:behaviors>
        <w:description w:val=""/>
        <w:guid w:val="{0d80cb80-b577-4c2b-82bf-9ca64d2985f0}"/>
      </w:docPartPr>
      <w:docPartBody>
        <w:p>
          <w:r>
            <w:rPr>
              <w:color w:val="808080"/>
            </w:rPr>
            <w:t>单击此处输入文字。</w:t>
          </w:r>
        </w:p>
      </w:docPartBody>
    </w:docPart>
    <w:docPart>
      <w:docPartPr>
        <w:name w:val="{854a8696-cbb7-4478-a7c6-181a9a72bf6a}"/>
        <w:style w:val=""/>
        <w:category>
          <w:name w:val="常规"/>
          <w:gallery w:val="placeholder"/>
        </w:category>
        <w:types>
          <w:type w:val="bbPlcHdr"/>
        </w:types>
        <w:behaviors>
          <w:behavior w:val="content"/>
        </w:behaviors>
        <w:description w:val=""/>
        <w:guid w:val="{854a8696-cbb7-4478-a7c6-181a9a72bf6a}"/>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1299</Words>
  <Characters>7410</Characters>
  <Lines>61</Lines>
  <Paragraphs>17</Paragraphs>
  <TotalTime>40</TotalTime>
  <ScaleCrop>false</ScaleCrop>
  <LinksUpToDate>false</LinksUpToDate>
  <CharactersWithSpaces>8692</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2024-09-13T03:43:00Z</cp:lastPrinted>
  <dcterms:modified xsi:type="dcterms:W3CDTF">2024-09-13T08:06:53Z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ies>
</file>