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sz w:val="72"/>
          <w:szCs w:val="72"/>
        </w:rPr>
      </w:pPr>
      <w:bookmarkStart w:id="0" w:name="_Toc15306267"/>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p>
      <w:pPr>
        <w:adjustRightInd w:val="0"/>
        <w:snapToGrid w:val="0"/>
        <w:spacing w:line="360" w:lineRule="auto"/>
        <w:jc w:val="center"/>
        <w:outlineLvl w:val="0"/>
        <w:rPr>
          <w:rFonts w:hint="default" w:ascii="Times New Roman" w:hAnsi="Times New Roman" w:eastAsia="方正小标宋简体" w:cs="Times New Roman"/>
          <w:sz w:val="56"/>
          <w:szCs w:val="56"/>
        </w:rPr>
      </w:pPr>
      <w:bookmarkStart w:id="1" w:name="_Toc15377425"/>
      <w:bookmarkStart w:id="2" w:name="_Toc15377193"/>
      <w:bookmarkStart w:id="3" w:name="_Toc1850"/>
      <w:bookmarkStart w:id="4" w:name="_Toc15396475"/>
      <w:bookmarkStart w:id="5" w:name="_Toc15396597"/>
      <w:bookmarkStart w:id="6" w:name="_Toc15378441"/>
      <w:bookmarkStart w:id="7" w:name="_Toc113893507"/>
      <w:r>
        <w:rPr>
          <w:rFonts w:hint="default" w:ascii="Times New Roman" w:hAnsi="Times New Roman" w:eastAsia="方正小标宋简体" w:cs="Times New Roman"/>
          <w:sz w:val="56"/>
          <w:szCs w:val="56"/>
        </w:rPr>
        <w:t>202</w:t>
      </w:r>
      <w:r>
        <w:rPr>
          <w:rFonts w:hint="eastAsia" w:eastAsia="方正小标宋简体" w:cs="Times New Roman"/>
          <w:sz w:val="56"/>
          <w:szCs w:val="56"/>
          <w:lang w:val="en-US" w:eastAsia="zh-CN"/>
        </w:rPr>
        <w:t>3</w:t>
      </w:r>
      <w:r>
        <w:rPr>
          <w:rFonts w:hint="default" w:ascii="Times New Roman" w:hAnsi="Times New Roman" w:eastAsia="方正小标宋简体" w:cs="Times New Roman"/>
          <w:sz w:val="56"/>
          <w:szCs w:val="56"/>
        </w:rPr>
        <w:t>年度</w:t>
      </w:r>
      <w:bookmarkEnd w:id="1"/>
      <w:bookmarkEnd w:id="2"/>
      <w:bookmarkEnd w:id="3"/>
      <w:bookmarkEnd w:id="4"/>
      <w:bookmarkEnd w:id="5"/>
      <w:bookmarkEnd w:id="6"/>
      <w:bookmarkEnd w:id="7"/>
    </w:p>
    <w:bookmarkEnd w:id="0"/>
    <w:p>
      <w:pPr>
        <w:adjustRightInd w:val="0"/>
        <w:snapToGrid w:val="0"/>
        <w:spacing w:line="360" w:lineRule="auto"/>
        <w:jc w:val="center"/>
        <w:outlineLvl w:val="0"/>
        <w:rPr>
          <w:rFonts w:hint="default" w:ascii="Times New Roman" w:hAnsi="Times New Roman" w:eastAsia="方正小标宋简体" w:cs="Times New Roman"/>
          <w:sz w:val="56"/>
          <w:szCs w:val="56"/>
        </w:rPr>
      </w:pPr>
      <w:bookmarkStart w:id="8" w:name="_Toc113893508"/>
      <w:bookmarkStart w:id="9" w:name="_Toc26327"/>
      <w:r>
        <w:rPr>
          <w:rFonts w:hint="default" w:ascii="Times New Roman" w:hAnsi="Times New Roman" w:eastAsia="方正小标宋简体" w:cs="Times New Roman"/>
          <w:sz w:val="56"/>
          <w:szCs w:val="56"/>
        </w:rPr>
        <w:t>遂宁市船山区油房街小学校</w:t>
      </w:r>
      <w:bookmarkEnd w:id="8"/>
      <w:bookmarkEnd w:id="9"/>
    </w:p>
    <w:p>
      <w:pPr>
        <w:adjustRightInd w:val="0"/>
        <w:snapToGrid w:val="0"/>
        <w:spacing w:line="360" w:lineRule="auto"/>
        <w:jc w:val="center"/>
        <w:outlineLvl w:val="0"/>
        <w:rPr>
          <w:rFonts w:hint="default" w:ascii="Times New Roman" w:hAnsi="Times New Roman" w:eastAsia="方正小标宋简体" w:cs="Times New Roman"/>
          <w:sz w:val="56"/>
          <w:szCs w:val="56"/>
        </w:rPr>
      </w:pPr>
      <w:bookmarkStart w:id="10" w:name="_Toc31284"/>
    </w:p>
    <w:p>
      <w:pPr>
        <w:adjustRightInd w:val="0"/>
        <w:snapToGrid w:val="0"/>
        <w:spacing w:line="360" w:lineRule="auto"/>
        <w:jc w:val="center"/>
        <w:outlineLvl w:val="0"/>
        <w:rPr>
          <w:rFonts w:hint="default" w:ascii="Times New Roman" w:hAnsi="Times New Roman" w:eastAsia="方正小标宋简体" w:cs="Times New Roman"/>
          <w:sz w:val="56"/>
          <w:szCs w:val="56"/>
        </w:rPr>
      </w:pPr>
    </w:p>
    <w:p>
      <w:pPr>
        <w:adjustRightInd w:val="0"/>
        <w:snapToGrid w:val="0"/>
        <w:spacing w:line="360" w:lineRule="auto"/>
        <w:jc w:val="center"/>
        <w:outlineLvl w:val="0"/>
        <w:rPr>
          <w:rFonts w:hint="default" w:ascii="Times New Roman" w:hAnsi="Times New Roman" w:eastAsia="方正小标宋简体" w:cs="Times New Roman"/>
          <w:sz w:val="56"/>
          <w:szCs w:val="56"/>
        </w:rPr>
      </w:pPr>
      <w:bookmarkStart w:id="11" w:name="_Toc113893509"/>
      <w:r>
        <w:rPr>
          <w:rFonts w:hint="eastAsia" w:eastAsia="方正小标宋简体" w:cs="Times New Roman"/>
          <w:sz w:val="56"/>
          <w:szCs w:val="56"/>
          <w:lang w:eastAsia="zh-CN"/>
        </w:rPr>
        <w:t>单位</w:t>
      </w:r>
      <w:r>
        <w:rPr>
          <w:rFonts w:hint="default" w:ascii="Times New Roman" w:hAnsi="Times New Roman" w:eastAsia="方正小标宋简体" w:cs="Times New Roman"/>
          <w:sz w:val="56"/>
          <w:szCs w:val="56"/>
        </w:rPr>
        <w:t>决算</w:t>
      </w:r>
      <w:bookmarkEnd w:id="10"/>
      <w:bookmarkEnd w:id="11"/>
    </w:p>
    <w:p>
      <w:pPr>
        <w:widowControl/>
        <w:jc w:val="center"/>
        <w:rPr>
          <w:rFonts w:hint="default" w:ascii="Times New Roman" w:hAnsi="Times New Roman" w:eastAsia="黑体" w:cs="Times New Roman"/>
          <w:sz w:val="28"/>
          <w:szCs w:val="2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 录</w:t>
      </w:r>
    </w:p>
    <w:p>
      <w:pPr>
        <w:jc w:val="center"/>
        <w:rPr>
          <w:rFonts w:hint="default" w:eastAsia="宋体"/>
          <w:lang w:val="en-US" w:eastAsia="zh-CN"/>
        </w:rPr>
      </w:pPr>
      <w:bookmarkStart w:id="12" w:name="OLE_LINK2"/>
      <w:r>
        <w:rPr>
          <w:rFonts w:hint="eastAsia" w:ascii="仿宋_GB2312" w:eastAsia="仿宋_GB2312" w:cs="Times New Roman"/>
          <w:color w:val="auto"/>
          <w:sz w:val="32"/>
          <w:szCs w:val="32"/>
          <w:highlight w:val="none"/>
          <w:lang w:val="en-US" w:eastAsia="zh-CN"/>
        </w:rPr>
        <w:t>公开时间：2024年9月11日</w:t>
      </w:r>
      <w:bookmarkEnd w:id="12"/>
    </w:p>
    <w:sdt>
      <w:sdtPr>
        <w:rPr>
          <w:rFonts w:hint="default" w:ascii="Times New Roman" w:hAnsi="Times New Roman" w:eastAsia="宋体" w:cs="Times New Roman"/>
          <w:sz w:val="21"/>
          <w:szCs w:val="24"/>
        </w:rPr>
        <w:id w:val="147470732"/>
        <w:docPartObj>
          <w:docPartGallery w:val="Table of Contents"/>
          <w:docPartUnique/>
        </w:docPartObj>
      </w:sdtPr>
      <w:sdtEndPr>
        <w:rPr>
          <w:rFonts w:hint="default" w:ascii="Times New Roman" w:hAnsi="Times New Roman" w:eastAsia="宋体" w:cs="Times New Roman"/>
          <w:sz w:val="21"/>
          <w:szCs w:val="24"/>
        </w:rPr>
      </w:sdtEndPr>
      <w:sdtContent>
        <w:p>
          <w:pPr>
            <w:pStyle w:val="12"/>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p>
        <w:p>
          <w:pPr>
            <w:pStyle w:val="12"/>
            <w:rPr>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"_Toc113893510" </w:instrText>
          </w:r>
          <w:r>
            <w:rPr>
              <w:rFonts w:hint="default" w:ascii="Times New Roman" w:hAnsi="Times New Roman" w:cs="Times New Roman"/>
            </w:rPr>
            <w:fldChar w:fldCharType="separate"/>
          </w:r>
          <w:r>
            <w:rPr>
              <w:rStyle w:val="18"/>
              <w:rFonts w:hint="default" w:ascii="Times New Roman" w:hAnsi="Times New Roman" w:eastAsia="黑体" w:cs="Times New Roman"/>
            </w:rPr>
            <w:t>第一部分 单位概况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_Toc113893510 \h </w:instrText>
          </w:r>
          <w:r>
            <w:rPr>
              <w:rFonts w:hint="default" w:ascii="Times New Roman" w:hAnsi="Times New Roman" w:eastAsia="黑体" w:cs="Times New Roman"/>
            </w:rPr>
            <w:fldChar w:fldCharType="separate"/>
          </w:r>
          <w:r>
            <w:rPr>
              <w:rFonts w:hint="default" w:ascii="Times New Roman" w:hAnsi="Times New Roman" w:eastAsia="黑体" w:cs="Times New Roman"/>
            </w:rPr>
            <w:t>4</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4"/>
            <w:tabs>
              <w:tab w:val="left" w:pos="1260"/>
            </w:tabs>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"_Toc113893511"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一、</w:t>
          </w:r>
          <w:r>
            <w:rPr>
              <w:rFonts w:hint="default" w:ascii="Times New Roman" w:hAnsi="Times New Roman" w:eastAsia="黑体" w:cs="Times New Roman"/>
              <w:sz w:val="28"/>
              <w:szCs w:val="28"/>
            </w:rPr>
            <w:tab/>
          </w:r>
          <w:r>
            <w:rPr>
              <w:rStyle w:val="18"/>
              <w:rFonts w:hint="default" w:ascii="Times New Roman" w:hAnsi="Times New Roman" w:eastAsia="黑体" w:cs="Times New Roman"/>
              <w:sz w:val="28"/>
              <w:szCs w:val="28"/>
            </w:rPr>
            <w:t>职能简介</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_Toc113893511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4</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"_Toc113893512"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二、</w:t>
          </w:r>
          <w:r>
            <w:rPr>
              <w:rStyle w:val="18"/>
              <w:rFonts w:hint="eastAsia" w:eastAsia="黑体" w:cs="Times New Roman"/>
              <w:sz w:val="28"/>
              <w:szCs w:val="28"/>
              <w:lang w:val="en-US" w:eastAsia="zh-CN"/>
            </w:rPr>
            <w:t xml:space="preserve">  机构设置</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_Toc113893512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5</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2"/>
            <w:rPr>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"_Toc113893513" </w:instrText>
          </w:r>
          <w:r>
            <w:rPr>
              <w:rFonts w:hint="default" w:ascii="Times New Roman" w:hAnsi="Times New Roman" w:cs="Times New Roman"/>
            </w:rPr>
            <w:fldChar w:fldCharType="separate"/>
          </w:r>
          <w:r>
            <w:rPr>
              <w:rStyle w:val="18"/>
              <w:rFonts w:hint="default" w:ascii="Times New Roman" w:hAnsi="Times New Roman" w:eastAsia="黑体" w:cs="Times New Roman"/>
            </w:rPr>
            <w:t>第二部分 202</w:t>
          </w:r>
          <w:r>
            <w:rPr>
              <w:rStyle w:val="18"/>
              <w:rFonts w:hint="default" w:ascii="Times New Roman" w:hAnsi="Times New Roman" w:eastAsia="黑体" w:cs="Times New Roman"/>
              <w:lang w:val="en-US" w:eastAsia="zh-CN"/>
            </w:rPr>
            <w:t>2</w:t>
          </w:r>
          <w:r>
            <w:rPr>
              <w:rStyle w:val="18"/>
              <w:rFonts w:hint="default" w:ascii="Times New Roman" w:hAnsi="Times New Roman" w:eastAsia="黑体" w:cs="Times New Roman"/>
            </w:rPr>
            <w:t>年度单位决算情况说明</w:t>
          </w:r>
          <w:r>
            <w:rPr>
              <w:rFonts w:hint="default" w:ascii="Times New Roman" w:hAnsi="Times New Roman" w:eastAsia="黑体" w:cs="Times New Roman"/>
            </w:rPr>
            <w:tab/>
          </w:r>
          <w:r>
            <w:rPr>
              <w:rFonts w:hint="eastAsia" w:ascii="Times New Roman" w:hAnsi="Times New Roman" w:eastAsia="黑体" w:cs="Times New Roman"/>
              <w:lang w:val="en-US" w:eastAsia="zh-CN"/>
            </w:rPr>
            <w:t>6</w:t>
          </w:r>
          <w:r>
            <w:rPr>
              <w:rFonts w:hint="default" w:ascii="Times New Roman" w:hAnsi="Times New Roman" w:eastAsia="黑体" w:cs="Times New Roman"/>
            </w:rPr>
            <w:fldChar w:fldCharType="end"/>
          </w:r>
        </w:p>
        <w:p>
          <w:pPr>
            <w:pStyle w:val="14"/>
            <w:tabs>
              <w:tab w:val="left" w:pos="1260"/>
            </w:tabs>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"_Toc113893514"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一、</w:t>
          </w:r>
          <w:r>
            <w:rPr>
              <w:rFonts w:hint="default" w:ascii="Times New Roman" w:hAnsi="Times New Roman" w:eastAsia="黑体" w:cs="Times New Roman"/>
              <w:sz w:val="28"/>
              <w:szCs w:val="28"/>
            </w:rPr>
            <w:tab/>
          </w:r>
          <w:r>
            <w:rPr>
              <w:rStyle w:val="18"/>
              <w:rFonts w:hint="default" w:ascii="Times New Roman" w:hAnsi="Times New Roman" w:eastAsia="黑体" w:cs="Times New Roman"/>
              <w:sz w:val="28"/>
              <w:szCs w:val="28"/>
            </w:rPr>
            <w:t>收</w:t>
          </w:r>
          <w:r>
            <w:rPr>
              <w:rStyle w:val="18"/>
              <w:rFonts w:hint="default" w:ascii="Times New Roman" w:hAnsi="Times New Roman" w:eastAsia="黑体" w:cs="Times New Roman"/>
              <w:bCs/>
              <w:sz w:val="28"/>
              <w:szCs w:val="28"/>
            </w:rPr>
            <w:t>入支出决算总体情况说明</w:t>
          </w:r>
          <w:r>
            <w:rPr>
              <w:rFonts w:hint="default" w:ascii="Times New Roman" w:hAnsi="Times New Roman" w:eastAsia="黑体" w:cs="Times New Roman"/>
              <w:sz w:val="28"/>
              <w:szCs w:val="28"/>
            </w:rPr>
            <w:tab/>
          </w:r>
          <w:r>
            <w:rPr>
              <w:rFonts w:hint="eastAsia" w:eastAsia="黑体" w:cs="Times New Roman"/>
              <w:sz w:val="28"/>
              <w:szCs w:val="28"/>
              <w:lang w:val="en-US" w:eastAsia="zh-CN"/>
            </w:rPr>
            <w:t>6</w:t>
          </w:r>
          <w:r>
            <w:rPr>
              <w:rFonts w:hint="default" w:ascii="Times New Roman" w:hAnsi="Times New Roman" w:eastAsia="黑体" w:cs="Times New Roman"/>
              <w:sz w:val="28"/>
              <w:szCs w:val="28"/>
            </w:rPr>
            <w:fldChar w:fldCharType="end"/>
          </w:r>
        </w:p>
        <w:p>
          <w:pPr>
            <w:pStyle w:val="14"/>
            <w:tabs>
              <w:tab w:val="left" w:pos="1260"/>
            </w:tabs>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"_Toc113893515"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二、</w:t>
          </w:r>
          <w:r>
            <w:rPr>
              <w:rFonts w:hint="default" w:ascii="Times New Roman" w:hAnsi="Times New Roman" w:eastAsia="黑体" w:cs="Times New Roman"/>
              <w:sz w:val="28"/>
              <w:szCs w:val="28"/>
            </w:rPr>
            <w:tab/>
          </w:r>
          <w:r>
            <w:rPr>
              <w:rStyle w:val="18"/>
              <w:rFonts w:hint="default" w:ascii="Times New Roman" w:hAnsi="Times New Roman" w:eastAsia="黑体" w:cs="Times New Roman"/>
              <w:sz w:val="28"/>
              <w:szCs w:val="28"/>
            </w:rPr>
            <w:t>收</w:t>
          </w:r>
          <w:r>
            <w:rPr>
              <w:rStyle w:val="18"/>
              <w:rFonts w:hint="default" w:ascii="Times New Roman" w:hAnsi="Times New Roman" w:eastAsia="黑体" w:cs="Times New Roman"/>
              <w:bCs/>
              <w:sz w:val="28"/>
              <w:szCs w:val="28"/>
            </w:rPr>
            <w:t>入决算情况说明</w:t>
          </w:r>
          <w:r>
            <w:rPr>
              <w:rFonts w:hint="default" w:ascii="Times New Roman" w:hAnsi="Times New Roman" w:eastAsia="黑体" w:cs="Times New Roman"/>
              <w:sz w:val="28"/>
              <w:szCs w:val="28"/>
            </w:rPr>
            <w:tab/>
          </w:r>
          <w:r>
            <w:rPr>
              <w:rFonts w:hint="eastAsia" w:eastAsia="黑体" w:cs="Times New Roman"/>
              <w:sz w:val="28"/>
              <w:szCs w:val="28"/>
              <w:lang w:val="en-US" w:eastAsia="zh-CN"/>
            </w:rPr>
            <w:t>6</w:t>
          </w:r>
          <w:r>
            <w:rPr>
              <w:rFonts w:hint="default" w:ascii="Times New Roman" w:hAnsi="Times New Roman" w:eastAsia="黑体" w:cs="Times New Roman"/>
              <w:sz w:val="28"/>
              <w:szCs w:val="28"/>
            </w:rPr>
            <w:fldChar w:fldCharType="end"/>
          </w:r>
        </w:p>
        <w:p>
          <w:pPr>
            <w:pStyle w:val="14"/>
            <w:tabs>
              <w:tab w:val="left" w:pos="1260"/>
            </w:tabs>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"_Toc113893517"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三、</w:t>
          </w:r>
          <w:r>
            <w:rPr>
              <w:rFonts w:hint="default" w:ascii="Times New Roman" w:hAnsi="Times New Roman" w:eastAsia="黑体" w:cs="Times New Roman"/>
              <w:sz w:val="28"/>
              <w:szCs w:val="28"/>
            </w:rPr>
            <w:tab/>
          </w:r>
          <w:r>
            <w:rPr>
              <w:rStyle w:val="18"/>
              <w:rFonts w:hint="default" w:ascii="Times New Roman" w:hAnsi="Times New Roman" w:eastAsia="黑体" w:cs="Times New Roman"/>
              <w:sz w:val="28"/>
              <w:szCs w:val="28"/>
            </w:rPr>
            <w:t>支</w:t>
          </w:r>
          <w:r>
            <w:rPr>
              <w:rStyle w:val="18"/>
              <w:rFonts w:hint="default" w:ascii="Times New Roman" w:hAnsi="Times New Roman" w:eastAsia="黑体" w:cs="Times New Roman"/>
              <w:bCs/>
              <w:sz w:val="28"/>
              <w:szCs w:val="28"/>
            </w:rPr>
            <w:t>出决算情况说明</w:t>
          </w:r>
          <w:r>
            <w:rPr>
              <w:rFonts w:hint="default" w:ascii="Times New Roman" w:hAnsi="Times New Roman" w:eastAsia="黑体" w:cs="Times New Roman"/>
              <w:sz w:val="28"/>
              <w:szCs w:val="28"/>
            </w:rPr>
            <w:tab/>
          </w:r>
          <w:r>
            <w:rPr>
              <w:rFonts w:hint="eastAsia" w:eastAsia="黑体" w:cs="Times New Roman"/>
              <w:sz w:val="28"/>
              <w:szCs w:val="28"/>
              <w:lang w:val="en-US" w:eastAsia="zh-CN"/>
            </w:rPr>
            <w:t>7</w:t>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"_Toc113893519"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四、财</w:t>
          </w:r>
          <w:r>
            <w:rPr>
              <w:rStyle w:val="18"/>
              <w:rFonts w:hint="default" w:ascii="Times New Roman" w:hAnsi="Times New Roman" w:eastAsia="黑体" w:cs="Times New Roman"/>
              <w:bCs/>
              <w:sz w:val="28"/>
              <w:szCs w:val="28"/>
            </w:rPr>
            <w:t>政拨款收入支出决算总体情况说明</w:t>
          </w:r>
          <w:r>
            <w:rPr>
              <w:rFonts w:hint="default" w:ascii="Times New Roman" w:hAnsi="Times New Roman" w:eastAsia="黑体" w:cs="Times New Roman"/>
              <w:sz w:val="28"/>
              <w:szCs w:val="28"/>
            </w:rPr>
            <w:tab/>
          </w:r>
          <w:r>
            <w:rPr>
              <w:rFonts w:hint="eastAsia" w:eastAsia="黑体" w:cs="Times New Roman"/>
              <w:sz w:val="28"/>
              <w:szCs w:val="28"/>
              <w:lang w:val="en-US" w:eastAsia="zh-CN"/>
            </w:rPr>
            <w:t>7</w:t>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"_Toc113893520"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五、</w:t>
          </w:r>
          <w:r>
            <w:rPr>
              <w:rStyle w:val="18"/>
              <w:rFonts w:hint="default" w:ascii="Times New Roman" w:hAnsi="Times New Roman" w:eastAsia="黑体" w:cs="Times New Roman"/>
              <w:b/>
              <w:sz w:val="28"/>
              <w:szCs w:val="28"/>
            </w:rPr>
            <w:t>一</w:t>
          </w:r>
          <w:r>
            <w:rPr>
              <w:rStyle w:val="18"/>
              <w:rFonts w:hint="default" w:ascii="Times New Roman" w:hAnsi="Times New Roman" w:eastAsia="黑体" w:cs="Times New Roman"/>
              <w:bCs/>
              <w:sz w:val="28"/>
              <w:szCs w:val="28"/>
            </w:rPr>
            <w:t>般公共预算财政拨款支出决算情况说明</w:t>
          </w:r>
          <w:r>
            <w:rPr>
              <w:rFonts w:hint="default" w:ascii="Times New Roman" w:hAnsi="Times New Roman" w:eastAsia="黑体" w:cs="Times New Roman"/>
              <w:sz w:val="28"/>
              <w:szCs w:val="28"/>
            </w:rPr>
            <w:tab/>
          </w:r>
          <w:r>
            <w:rPr>
              <w:rFonts w:hint="eastAsia" w:eastAsia="黑体" w:cs="Times New Roman"/>
              <w:sz w:val="28"/>
              <w:szCs w:val="28"/>
              <w:lang w:val="en-US" w:eastAsia="zh-CN"/>
            </w:rPr>
            <w:t>8</w:t>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"_Toc113893521"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（一）一般公共预算财政拨款支出决算总体情况</w:t>
          </w:r>
          <w:r>
            <w:rPr>
              <w:rFonts w:hint="default" w:ascii="Times New Roman" w:hAnsi="Times New Roman" w:eastAsia="黑体" w:cs="Times New Roman"/>
              <w:sz w:val="28"/>
              <w:szCs w:val="28"/>
            </w:rPr>
            <w:tab/>
          </w:r>
          <w:r>
            <w:rPr>
              <w:rFonts w:hint="eastAsia" w:eastAsia="黑体" w:cs="Times New Roman"/>
              <w:sz w:val="28"/>
              <w:szCs w:val="28"/>
              <w:lang w:val="en-US" w:eastAsia="zh-CN"/>
            </w:rPr>
            <w:t>8</w:t>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"_Toc113893522"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（二）一般公共预算财政拨款支出决算结构情况</w:t>
          </w:r>
          <w:r>
            <w:rPr>
              <w:rFonts w:hint="default" w:ascii="Times New Roman" w:hAnsi="Times New Roman" w:eastAsia="黑体" w:cs="Times New Roman"/>
              <w:sz w:val="28"/>
              <w:szCs w:val="28"/>
            </w:rPr>
            <w:tab/>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"_Toc113893523"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（三）一般公共预算财政拨款支出决算具体情况</w:t>
          </w:r>
          <w:r>
            <w:rPr>
              <w:rFonts w:hint="default" w:ascii="Times New Roman" w:hAnsi="Times New Roman" w:eastAsia="黑体" w:cs="Times New Roman"/>
              <w:sz w:val="28"/>
              <w:szCs w:val="28"/>
            </w:rPr>
            <w:tab/>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p>
        <w:p>
          <w:pPr>
            <w:pStyle w:val="14"/>
            <w:rPr>
              <w:rFonts w:hint="eastAsia" w:ascii="Times New Roman" w:hAnsi="Times New Roman" w:eastAsia="黑体"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"_Toc113893525"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六</w:t>
          </w:r>
          <w:r>
            <w:rPr>
              <w:rStyle w:val="18"/>
              <w:rFonts w:hint="default" w:ascii="Times New Roman" w:hAnsi="Times New Roman" w:eastAsia="黑体" w:cs="Times New Roman"/>
              <w:b/>
              <w:sz w:val="28"/>
              <w:szCs w:val="28"/>
            </w:rPr>
            <w:t>、一</w:t>
          </w:r>
          <w:r>
            <w:rPr>
              <w:rStyle w:val="18"/>
              <w:rFonts w:hint="default" w:ascii="Times New Roman" w:hAnsi="Times New Roman" w:eastAsia="黑体" w:cs="Times New Roman"/>
              <w:bCs/>
              <w:sz w:val="28"/>
              <w:szCs w:val="28"/>
            </w:rPr>
            <w:t>般公共预算财政拨款基本支出决算情况说明</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_Toc113893525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r>
            <w:rPr>
              <w:rFonts w:hint="eastAsia" w:eastAsia="黑体" w:cs="Times New Roman"/>
              <w:sz w:val="28"/>
              <w:szCs w:val="28"/>
              <w:lang w:val="en-US" w:eastAsia="zh-CN"/>
            </w:rPr>
            <w:t>1</w:t>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"_Toc113893526"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七、</w:t>
          </w:r>
          <w:r>
            <w:rPr>
              <w:rStyle w:val="18"/>
              <w:rFonts w:hint="default" w:ascii="Times New Roman" w:hAnsi="Times New Roman" w:eastAsia="黑体" w:cs="Times New Roman"/>
              <w:b/>
              <w:bCs/>
              <w:sz w:val="28"/>
              <w:szCs w:val="28"/>
            </w:rPr>
            <w:t>“</w:t>
          </w:r>
          <w:r>
            <w:rPr>
              <w:rStyle w:val="18"/>
              <w:rFonts w:hint="default" w:ascii="Times New Roman" w:hAnsi="Times New Roman" w:eastAsia="黑体" w:cs="Times New Roman"/>
              <w:bCs/>
              <w:sz w:val="28"/>
              <w:szCs w:val="28"/>
            </w:rPr>
            <w:t>三公”经费财政拨款支出决算情况说明</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_Toc113893526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1</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"_Toc113893529"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八、</w:t>
          </w:r>
          <w:r>
            <w:rPr>
              <w:rStyle w:val="18"/>
              <w:rFonts w:hint="default" w:ascii="Times New Roman" w:hAnsi="Times New Roman" w:eastAsia="黑体" w:cs="Times New Roman"/>
              <w:bCs/>
              <w:sz w:val="28"/>
              <w:szCs w:val="28"/>
            </w:rPr>
            <w:t>政府性基金预算支出决算情况说明</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_Toc113893529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"_Toc113893530"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九、 国有资本经营预算支出决算情况说明</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_Toc113893530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"_Toc113893531"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十、 其他重要事项的情况说明</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_Toc113893531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"_Toc113893532"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（一）机关运行经费支出情况</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_Toc113893532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"_Toc113893533"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（二）政府采购支出情况</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_Toc113893533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"_Toc113893534"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（三）国有资产占有使用情况</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_Toc113893534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3</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8"/>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"_Toc113893535" </w:instrText>
          </w:r>
          <w:r>
            <w:rPr>
              <w:rFonts w:hint="default" w:ascii="Times New Roman" w:hAnsi="Times New Roman" w:cs="Times New Roman"/>
            </w:rPr>
            <w:fldChar w:fldCharType="separate"/>
          </w:r>
          <w:r>
            <w:rPr>
              <w:rStyle w:val="18"/>
              <w:rFonts w:hint="default" w:ascii="Times New Roman" w:hAnsi="Times New Roman" w:eastAsia="黑体" w:cs="Times New Roman"/>
              <w:b/>
              <w:sz w:val="28"/>
              <w:szCs w:val="28"/>
            </w:rPr>
            <w:t>（四）预算绩效管理情况</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_Toc113893535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4</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2"/>
            <w:rPr>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"_Toc113893536" </w:instrText>
          </w:r>
          <w:r>
            <w:rPr>
              <w:rFonts w:hint="default" w:ascii="Times New Roman" w:hAnsi="Times New Roman" w:cs="Times New Roman"/>
            </w:rPr>
            <w:fldChar w:fldCharType="separate"/>
          </w:r>
          <w:r>
            <w:rPr>
              <w:rStyle w:val="18"/>
              <w:rFonts w:hint="default" w:ascii="Times New Roman" w:hAnsi="Times New Roman" w:eastAsia="黑体" w:cs="Times New Roman"/>
              <w:bCs/>
              <w:kern w:val="44"/>
            </w:rPr>
            <w:t>第三部分</w:t>
          </w:r>
          <w:r>
            <w:rPr>
              <w:rStyle w:val="18"/>
              <w:rFonts w:hint="default" w:ascii="Times New Roman" w:hAnsi="Times New Roman" w:eastAsia="黑体" w:cs="Times New Roman"/>
            </w:rPr>
            <w:t xml:space="preserve"> 名</w:t>
          </w:r>
          <w:r>
            <w:rPr>
              <w:rStyle w:val="18"/>
              <w:rFonts w:hint="default" w:ascii="Times New Roman" w:hAnsi="Times New Roman" w:eastAsia="黑体" w:cs="Times New Roman"/>
              <w:bCs/>
              <w:kern w:val="44"/>
            </w:rPr>
            <w:t>词解释</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_Toc113893536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eastAsia" w:ascii="Times New Roman" w:hAnsi="Times New Roman" w:eastAsia="黑体" w:cs="Times New Roman"/>
              <w:lang w:val="en-US" w:eastAsia="zh-CN"/>
            </w:rPr>
            <w:t>5</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2"/>
            <w:rPr>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"_Toc113893537" </w:instrText>
          </w:r>
          <w:r>
            <w:rPr>
              <w:rFonts w:hint="default" w:ascii="Times New Roman" w:hAnsi="Times New Roman" w:cs="Times New Roman"/>
            </w:rPr>
            <w:fldChar w:fldCharType="separate"/>
          </w:r>
          <w:r>
            <w:rPr>
              <w:rStyle w:val="18"/>
              <w:rFonts w:hint="default" w:ascii="Times New Roman" w:hAnsi="Times New Roman" w:eastAsia="黑体" w:cs="Times New Roman"/>
            </w:rPr>
            <w:t>第</w:t>
          </w:r>
          <w:r>
            <w:rPr>
              <w:rStyle w:val="18"/>
              <w:rFonts w:hint="default" w:ascii="Times New Roman" w:hAnsi="Times New Roman" w:eastAsia="黑体" w:cs="Times New Roman"/>
              <w:bCs/>
              <w:kern w:val="44"/>
            </w:rPr>
            <w:t>四部分 附件</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_Toc113893537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eastAsia" w:ascii="Times New Roman" w:hAnsi="Times New Roman" w:eastAsia="黑体" w:cs="Times New Roman"/>
              <w:lang w:val="en-US" w:eastAsia="zh-CN"/>
            </w:rPr>
            <w:t>7</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2"/>
            <w:rPr>
              <w:rFonts w:hint="default" w:ascii="Times New Roman" w:hAnsi="Times New Roman" w:eastAsia="黑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"_Toc113893539" </w:instrText>
          </w:r>
          <w:r>
            <w:rPr>
              <w:rFonts w:hint="default" w:ascii="Times New Roman" w:hAnsi="Times New Roman" w:cs="Times New Roman"/>
            </w:rPr>
            <w:fldChar w:fldCharType="separate"/>
          </w:r>
          <w:r>
            <w:rPr>
              <w:rStyle w:val="18"/>
              <w:rFonts w:hint="default" w:ascii="Times New Roman" w:hAnsi="Times New Roman" w:eastAsia="黑体" w:cs="Times New Roman"/>
            </w:rPr>
            <w:t>第</w:t>
          </w:r>
          <w:r>
            <w:rPr>
              <w:rStyle w:val="18"/>
              <w:rFonts w:hint="default" w:ascii="Times New Roman" w:hAnsi="Times New Roman" w:eastAsia="黑体" w:cs="Times New Roman"/>
              <w:bCs/>
              <w:kern w:val="44"/>
            </w:rPr>
            <w:t>五部分 附表</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_Toc113893539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eastAsia" w:ascii="Times New Roman" w:hAnsi="Times New Roman" w:eastAsia="黑体" w:cs="Times New Roman"/>
              <w:lang w:val="en-US" w:eastAsia="zh-CN"/>
            </w:rPr>
            <w:t>9</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"_Toc113893540"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一、收入支出决算总表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_Toc113893540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"_Toc113893541"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二、收入决算表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_Toc113893541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"_Toc113893542"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三、支出决算表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_Toc113893542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"_Toc113893543"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四、财政拨款收入支出决算总表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_Toc113893543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"_Toc113893544"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五、财政拨款支出决算明细表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_Toc113893544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"_Toc113893545"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六、一般公共预算财政拨款支出决算表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_Toc113893545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"_Toc113893546"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七、一般公共预算财政拨款支出决算明细表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_Toc113893546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"_Toc113893547"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八、一般公共预算财政拨款基本支出决算表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_Toc113893547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"_Toc113893548"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九、一般公共预算财政拨款项目支出决算表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_Toc113893548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"_Toc113893549"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十、一般公共预算财政拨款“三公”经费支出决算表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_Toc113893549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"_Toc113893550"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十一、政府性基金预算财政拨款收入支出决算表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_Toc113893550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"_Toc113893551"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十二、政府性基金预算财政拨款“三公”经费支出决算表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_Toc113893551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"_Toc113893552"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十三、国有资本经营预算财政拨款收入支出决算表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_Toc113893552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"_Toc113893553"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十四、国有资本经营预算财政拨款支出决算表</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PAGEREF _Toc113893553 \h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eastAsia" w:eastAsia="黑体" w:cs="Times New Roman"/>
              <w:sz w:val="28"/>
              <w:szCs w:val="28"/>
              <w:lang w:val="en-US" w:eastAsia="zh-CN"/>
            </w:rPr>
            <w:t>9</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fldChar w:fldCharType="end"/>
          </w:r>
        </w:p>
        <w:p>
          <w:pPr>
            <w:pStyle w:val="14"/>
            <w:adjustRightInd w:val="0"/>
            <w:snapToGrid w:val="0"/>
            <w:spacing w:line="360" w:lineRule="auto"/>
            <w:jc w:val="left"/>
            <w:rPr>
              <w:rFonts w:hint="default" w:ascii="Times New Roman" w:hAnsi="Times New Roman" w:eastAsia="仿宋" w:cs="Times New Roman"/>
              <w:sz w:val="28"/>
              <w:szCs w:val="28"/>
            </w:rPr>
          </w:pPr>
          <w:r>
            <w:rPr>
              <w:rFonts w:hint="default" w:ascii="Times New Roman" w:hAnsi="Times New Roman" w:eastAsia="仿宋" w:cs="Times New Roman"/>
              <w:szCs w:val="28"/>
            </w:rPr>
            <w:fldChar w:fldCharType="end"/>
          </w:r>
        </w:p>
      </w:sdtContent>
    </w:sdt>
    <w:p>
      <w:pPr>
        <w:widowControl/>
        <w:spacing w:line="440" w:lineRule="exact"/>
        <w:jc w:val="left"/>
        <w:rPr>
          <w:rFonts w:hint="default" w:ascii="Times New Roman" w:hAnsi="Times New Roman" w:eastAsia="仿宋" w:cs="Times New Roman"/>
          <w:bCs/>
          <w:kern w:val="44"/>
          <w:sz w:val="24"/>
        </w:rPr>
      </w:pPr>
      <w:bookmarkStart w:id="13" w:name="_Toc15377196"/>
      <w:bookmarkStart w:id="14" w:name="_Toc15396599"/>
      <w:r>
        <w:rPr>
          <w:rFonts w:hint="default" w:ascii="Times New Roman" w:hAnsi="Times New Roman" w:eastAsia="仿宋" w:cs="Times New Roman"/>
          <w:b/>
          <w:sz w:val="24"/>
        </w:rPr>
        <w:br w:type="page"/>
      </w:r>
    </w:p>
    <w:p>
      <w:pPr>
        <w:pStyle w:val="2"/>
        <w:jc w:val="center"/>
        <w:rPr>
          <w:rFonts w:hint="default" w:ascii="Times New Roman" w:hAnsi="Times New Roman" w:eastAsia="黑体" w:cs="Times New Roman"/>
          <w:sz w:val="32"/>
          <w:szCs w:val="32"/>
        </w:rPr>
      </w:pPr>
      <w:bookmarkStart w:id="15" w:name="_Toc113893510"/>
      <w:r>
        <w:rPr>
          <w:rFonts w:hint="default" w:ascii="Times New Roman" w:hAnsi="Times New Roman" w:eastAsia="黑体" w:cs="Times New Roman"/>
          <w:b w:val="0"/>
        </w:rPr>
        <w:t>第一部分 单位</w:t>
      </w:r>
      <w:r>
        <w:rPr>
          <w:rStyle w:val="27"/>
          <w:rFonts w:hint="default" w:ascii="Times New Roman" w:hAnsi="Times New Roman" w:eastAsia="黑体" w:cs="Times New Roman"/>
          <w:b w:val="0"/>
          <w:bCs w:val="0"/>
        </w:rPr>
        <w:t>概况</w:t>
      </w:r>
      <w:bookmarkEnd w:id="13"/>
      <w:bookmarkEnd w:id="14"/>
      <w:bookmarkEnd w:id="15"/>
    </w:p>
    <w:p>
      <w:pPr>
        <w:pStyle w:val="3"/>
        <w:numPr>
          <w:ilvl w:val="0"/>
          <w:numId w:val="1"/>
        </w:numPr>
        <w:rPr>
          <w:rStyle w:val="28"/>
          <w:rFonts w:hint="eastAsia" w:ascii="黑体" w:hAnsi="黑体" w:eastAsia="黑体"/>
          <w:b w:val="0"/>
          <w:bCs w:val="0"/>
          <w:color w:val="auto"/>
          <w:highlight w:val="none"/>
          <w:lang w:eastAsia="zh-CN"/>
        </w:rPr>
      </w:pPr>
      <w:bookmarkStart w:id="16" w:name="_Toc15377199"/>
      <w:bookmarkStart w:id="17" w:name="_Toc15378446"/>
      <w:bookmarkStart w:id="18" w:name="_Toc15377197"/>
      <w:bookmarkStart w:id="19" w:name="_Toc15396600"/>
      <w:r>
        <w:rPr>
          <w:rStyle w:val="28"/>
          <w:rFonts w:hint="eastAsia" w:ascii="黑体" w:hAnsi="黑体" w:eastAsia="黑体"/>
          <w:b w:val="0"/>
          <w:bCs w:val="0"/>
          <w:color w:val="auto"/>
          <w:highlight w:val="none"/>
          <w:lang w:eastAsia="zh-CN"/>
        </w:rPr>
        <w:t>主要职责</w:t>
      </w:r>
    </w:p>
    <w:p>
      <w:pPr>
        <w:snapToGrid w:val="0"/>
        <w:spacing w:line="52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部门职责</w:t>
      </w:r>
      <w:r>
        <w:rPr>
          <w:rFonts w:hint="default" w:ascii="Times New Roman" w:hAnsi="Times New Roman" w:eastAsia="仿宋" w:cs="Times New Roman"/>
          <w:sz w:val="32"/>
          <w:szCs w:val="32"/>
        </w:rPr>
        <w:t>：</w:t>
      </w:r>
    </w:p>
    <w:bookmarkEnd w:id="16"/>
    <w:bookmarkEnd w:id="17"/>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1.负责贯彻党的教育方针，正确执行上级主管部门的决议和指示，全面实施素质教育，培养德、智、体、美等方面全面发展的社会主义事业的建设者和接班人。</w:t>
      </w:r>
    </w:p>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2.根据教育规律、社会要求和学校实际，组织制定学校发展的远景规划、近期目标、学年和学期各项工作计划以及各项工作指标并组织实施。</w:t>
      </w:r>
    </w:p>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3.负责领导和组织学校的教学工作，坚持以教学为中心，保证教学计划的贯彻执行。大力推进学校改革，加强科研工作的组织领导。</w:t>
      </w:r>
    </w:p>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4.加强学校的科学化管理，制定和健全各项规章制度，规范办学行为，培养良好校风，逐步实现管理决策的科学化，管理方法的定量化和管理手段的现代化。</w:t>
      </w:r>
    </w:p>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5.负责教师队伍建设工作，制定教师队伍建设计划，不断提高他们的政治素质、文化业务水平和科研水平。</w:t>
      </w:r>
    </w:p>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6.领导和组织学校的思想政治工作，把德育放在首位。教育全体教职工做到教书育人、管理育人、服务育人、搞好学校、社会、家庭三结合教育。</w:t>
      </w:r>
    </w:p>
    <w:p>
      <w:p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7.组织制定和实施校舍建设和校园建设规划，加强对财务工作的领导，正确使用各项经费，不断改善办学条件，强化安全</w:t>
      </w:r>
      <w:r>
        <w:rPr>
          <w:rFonts w:hint="eastAsia" w:eastAsia="仿宋_GB2312" w:cs="Times New Roman"/>
          <w:sz w:val="32"/>
          <w:szCs w:val="32"/>
          <w:lang w:val="en-US" w:eastAsia="zh-CN"/>
        </w:rPr>
        <w:t>管理工作</w:t>
      </w:r>
      <w:r>
        <w:rPr>
          <w:rFonts w:hint="default" w:ascii="Times New Roman" w:hAnsi="Times New Roman" w:eastAsia="仿宋_GB2312" w:cs="Times New Roman"/>
          <w:sz w:val="32"/>
          <w:szCs w:val="32"/>
          <w:lang w:val="en-US" w:eastAsia="zh-CN"/>
        </w:rPr>
        <w:t>及安全保卫工作，创造良好的育人环境。</w:t>
      </w:r>
      <w:bookmarkStart w:id="20" w:name="_Toc15377200"/>
      <w:bookmarkStart w:id="21" w:name="_Toc15396601"/>
    </w:p>
    <w:p>
      <w:pPr>
        <w:rPr>
          <w:rStyle w:val="28"/>
          <w:rFonts w:hint="default" w:ascii="Times New Roman" w:hAnsi="Times New Roman" w:eastAsia="黑体" w:cs="Times New Roman"/>
          <w:b w:val="0"/>
          <w:bCs w:val="0"/>
          <w:lang w:val="en-US" w:eastAsia="zh-CN"/>
        </w:rPr>
      </w:pPr>
    </w:p>
    <w:p>
      <w:pPr>
        <w:rPr>
          <w:rStyle w:val="28"/>
          <w:rFonts w:hint="default" w:ascii="Times New Roman" w:hAnsi="Times New Roman" w:eastAsia="黑体" w:cs="Times New Roman"/>
          <w:b w:val="0"/>
          <w:bCs w:val="0"/>
          <w:lang w:val="en-US" w:eastAsia="zh-CN"/>
        </w:rPr>
      </w:pPr>
      <w:r>
        <w:rPr>
          <w:rStyle w:val="28"/>
          <w:rFonts w:hint="default" w:ascii="Times New Roman" w:hAnsi="Times New Roman" w:eastAsia="黑体" w:cs="Times New Roman"/>
          <w:b w:val="0"/>
          <w:bCs w:val="0"/>
          <w:lang w:val="en-US" w:eastAsia="zh-CN"/>
        </w:rPr>
        <w:t>二</w:t>
      </w:r>
      <w:r>
        <w:rPr>
          <w:rStyle w:val="28"/>
          <w:rFonts w:hint="eastAsia" w:ascii="Times New Roman" w:hAnsi="Times New Roman" w:eastAsia="黑体" w:cs="Times New Roman"/>
          <w:b w:val="0"/>
          <w:bCs w:val="0"/>
          <w:lang w:val="en-US" w:eastAsia="zh-CN"/>
        </w:rPr>
        <w:t>、</w:t>
      </w:r>
      <w:r>
        <w:rPr>
          <w:rStyle w:val="28"/>
          <w:rFonts w:hint="default" w:ascii="Times New Roman" w:hAnsi="Times New Roman" w:eastAsia="黑体" w:cs="Times New Roman"/>
          <w:b w:val="0"/>
          <w:bCs w:val="0"/>
          <w:lang w:val="en-US" w:eastAsia="zh-CN"/>
        </w:rPr>
        <w:t>机构设置</w:t>
      </w:r>
      <w:bookmarkEnd w:id="20"/>
      <w:bookmarkEnd w:id="21"/>
    </w:p>
    <w:p>
      <w:pPr>
        <w:ind w:left="0" w:leftChars="0"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遂宁市船山区油房街小学校是船山区教育和体育局二级预算单位，本单位无下属预算单位。</w:t>
      </w:r>
    </w:p>
    <w:bookmarkEnd w:id="18"/>
    <w:bookmarkEnd w:id="19"/>
    <w:p>
      <w:pPr>
        <w:pStyle w:val="2"/>
        <w:ind w:right="440"/>
        <w:jc w:val="center"/>
        <w:rPr>
          <w:rFonts w:hint="default" w:ascii="Times New Roman" w:hAnsi="Times New Roman" w:eastAsia="黑体" w:cs="Times New Roman"/>
          <w:b w:val="0"/>
        </w:rPr>
      </w:pPr>
      <w:bookmarkStart w:id="22" w:name="_Toc113893513"/>
      <w:bookmarkStart w:id="23" w:name="_Toc15396602"/>
      <w:bookmarkStart w:id="24" w:name="_Toc15377204"/>
    </w:p>
    <w:p>
      <w:pPr>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pStyle w:val="2"/>
        <w:ind w:right="440"/>
        <w:jc w:val="center"/>
        <w:rPr>
          <w:rStyle w:val="27"/>
          <w:rFonts w:hint="default" w:ascii="Times New Roman" w:hAnsi="Times New Roman" w:eastAsia="黑体" w:cs="Times New Roman"/>
          <w:b w:val="0"/>
          <w:bCs/>
        </w:rPr>
      </w:pPr>
      <w:r>
        <w:rPr>
          <w:rFonts w:hint="default" w:ascii="Times New Roman" w:hAnsi="Times New Roman" w:eastAsia="黑体" w:cs="Times New Roman"/>
          <w:b w:val="0"/>
        </w:rPr>
        <w:t>第二部分 202</w:t>
      </w:r>
      <w:r>
        <w:rPr>
          <w:rFonts w:hint="eastAsia" w:eastAsia="黑体" w:cs="Times New Roman"/>
          <w:b w:val="0"/>
          <w:lang w:val="en-US" w:eastAsia="zh-CN"/>
        </w:rPr>
        <w:t>3</w:t>
      </w:r>
      <w:r>
        <w:rPr>
          <w:rFonts w:hint="default" w:ascii="Times New Roman" w:hAnsi="Times New Roman" w:eastAsia="黑体" w:cs="Times New Roman"/>
          <w:b w:val="0"/>
        </w:rPr>
        <w:t>年度</w:t>
      </w:r>
      <w:r>
        <w:rPr>
          <w:rStyle w:val="27"/>
          <w:rFonts w:hint="default" w:ascii="Times New Roman" w:hAnsi="Times New Roman" w:eastAsia="黑体" w:cs="Times New Roman"/>
          <w:b w:val="0"/>
          <w:bCs/>
        </w:rPr>
        <w:t>单位决算情况说明</w:t>
      </w:r>
      <w:bookmarkEnd w:id="22"/>
      <w:bookmarkEnd w:id="23"/>
      <w:bookmarkEnd w:id="24"/>
    </w:p>
    <w:p>
      <w:pPr>
        <w:rPr>
          <w:rFonts w:hint="default"/>
        </w:rPr>
      </w:pPr>
    </w:p>
    <w:p>
      <w:pPr>
        <w:pStyle w:val="26"/>
        <w:numPr>
          <w:ilvl w:val="0"/>
          <w:numId w:val="2"/>
        </w:numPr>
        <w:spacing w:line="600" w:lineRule="exact"/>
        <w:ind w:firstLineChars="0"/>
        <w:outlineLvl w:val="1"/>
        <w:rPr>
          <w:rStyle w:val="28"/>
          <w:rFonts w:hint="default" w:ascii="Times New Roman" w:hAnsi="Times New Roman" w:eastAsia="黑体" w:cs="Times New Roman"/>
          <w:b w:val="0"/>
        </w:rPr>
      </w:pPr>
      <w:bookmarkStart w:id="25" w:name="_Toc15396603"/>
      <w:bookmarkStart w:id="26" w:name="_Toc113893514"/>
      <w:bookmarkStart w:id="27" w:name="_Toc15377205"/>
      <w:r>
        <w:rPr>
          <w:rFonts w:hint="default" w:ascii="Times New Roman" w:hAnsi="Times New Roman" w:eastAsia="黑体" w:cs="Times New Roman"/>
          <w:sz w:val="32"/>
          <w:szCs w:val="32"/>
        </w:rPr>
        <w:t>收</w:t>
      </w:r>
      <w:r>
        <w:rPr>
          <w:rStyle w:val="28"/>
          <w:rFonts w:hint="default" w:ascii="Times New Roman" w:hAnsi="Times New Roman" w:eastAsia="黑体" w:cs="Times New Roman"/>
          <w:b w:val="0"/>
        </w:rPr>
        <w:t>入支出决算总体情况说明</w:t>
      </w:r>
      <w:bookmarkEnd w:id="25"/>
      <w:bookmarkEnd w:id="26"/>
      <w:bookmarkEnd w:id="27"/>
    </w:p>
    <w:p>
      <w:pPr>
        <w:spacing w:line="600" w:lineRule="exact"/>
        <w:ind w:firstLine="640" w:firstLineChars="200"/>
        <w:rPr>
          <w:rFonts w:hint="eastAsia" w:eastAsia="仿宋" w:cs="Times New Roman"/>
          <w:sz w:val="32"/>
          <w:szCs w:val="32"/>
          <w:lang w:eastAsia="zh-CN"/>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年度收、支总计1352.72万元。与202</w:t>
      </w:r>
      <w:r>
        <w:rPr>
          <w:rFonts w:hint="eastAsia" w:eastAsia="仿宋" w:cs="Times New Roman"/>
          <w:sz w:val="32"/>
          <w:szCs w:val="32"/>
          <w:lang w:val="en-US" w:eastAsia="zh-CN"/>
        </w:rPr>
        <w:t>2</w:t>
      </w:r>
      <w:r>
        <w:rPr>
          <w:rFonts w:hint="default" w:ascii="Times New Roman" w:hAnsi="Times New Roman" w:eastAsia="仿宋" w:cs="Times New Roman"/>
          <w:sz w:val="32"/>
          <w:szCs w:val="32"/>
        </w:rPr>
        <w:t>年相比，收、支总计</w:t>
      </w:r>
      <w:r>
        <w:rPr>
          <w:rFonts w:hint="eastAsia" w:eastAsia="仿宋" w:cs="Times New Roman"/>
          <w:sz w:val="32"/>
          <w:szCs w:val="32"/>
          <w:lang w:eastAsia="zh-CN"/>
        </w:rPr>
        <w:t>增加</w:t>
      </w:r>
      <w:r>
        <w:rPr>
          <w:rFonts w:hint="eastAsia" w:eastAsia="仿宋" w:cs="Times New Roman"/>
          <w:sz w:val="32"/>
          <w:szCs w:val="32"/>
          <w:lang w:val="en-US" w:eastAsia="zh-CN"/>
        </w:rPr>
        <w:t>544.82</w:t>
      </w:r>
      <w:r>
        <w:rPr>
          <w:rFonts w:hint="default" w:ascii="Times New Roman" w:hAnsi="Times New Roman" w:eastAsia="仿宋" w:cs="Times New Roman"/>
          <w:sz w:val="32"/>
          <w:szCs w:val="32"/>
        </w:rPr>
        <w:t>万元，</w:t>
      </w:r>
      <w:r>
        <w:rPr>
          <w:rFonts w:hint="eastAsia" w:eastAsia="仿宋" w:cs="Times New Roman"/>
          <w:sz w:val="32"/>
          <w:szCs w:val="32"/>
          <w:lang w:val="en-US" w:eastAsia="zh-CN"/>
        </w:rPr>
        <w:t>增加67.44</w:t>
      </w:r>
      <w:r>
        <w:rPr>
          <w:rFonts w:hint="default" w:ascii="Times New Roman" w:hAnsi="Times New Roman" w:eastAsia="仿宋" w:cs="Times New Roman"/>
          <w:sz w:val="32"/>
          <w:szCs w:val="32"/>
        </w:rPr>
        <w:t>%。主要变动原因是</w:t>
      </w:r>
      <w:r>
        <w:rPr>
          <w:rFonts w:hint="eastAsia" w:eastAsia="仿宋" w:cs="Times New Roman"/>
          <w:sz w:val="32"/>
          <w:szCs w:val="32"/>
          <w:lang w:eastAsia="zh-CN"/>
        </w:rPr>
        <w:t>学校基本建设支出和人员</w:t>
      </w:r>
      <w:r>
        <w:rPr>
          <w:rFonts w:hint="eastAsia" w:eastAsia="仿宋" w:cs="Times New Roman"/>
          <w:sz w:val="32"/>
          <w:szCs w:val="32"/>
          <w:lang w:val="en-US" w:eastAsia="zh-CN"/>
        </w:rPr>
        <w:t>政策性增支</w:t>
      </w:r>
      <w:r>
        <w:rPr>
          <w:rFonts w:hint="eastAsia" w:eastAsia="仿宋" w:cs="Times New Roman"/>
          <w:sz w:val="32"/>
          <w:szCs w:val="32"/>
          <w:lang w:eastAsia="zh-CN"/>
        </w:rPr>
        <w:t>。</w:t>
      </w:r>
    </w:p>
    <w:p>
      <w:pPr>
        <w:pStyle w:val="5"/>
        <w:rPr>
          <w:rFonts w:hint="eastAsia" w:eastAsia="仿宋" w:cs="Times New Roman"/>
          <w:sz w:val="32"/>
          <w:szCs w:val="32"/>
          <w:lang w:eastAsia="zh-CN"/>
        </w:rPr>
      </w:pPr>
      <w:r>
        <w:drawing>
          <wp:inline distT="0" distB="0" distL="114300" distR="114300">
            <wp:extent cx="5162550" cy="2743200"/>
            <wp:effectExtent l="4445" t="4445" r="1460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（图1：收、支决算总计变动情况图）</w:t>
      </w:r>
    </w:p>
    <w:p>
      <w:pPr>
        <w:pStyle w:val="26"/>
        <w:numPr>
          <w:ilvl w:val="0"/>
          <w:numId w:val="2"/>
        </w:numPr>
        <w:spacing w:line="600" w:lineRule="exact"/>
        <w:ind w:firstLineChars="0"/>
        <w:outlineLvl w:val="1"/>
        <w:rPr>
          <w:rStyle w:val="28"/>
          <w:rFonts w:hint="default" w:ascii="Times New Roman" w:hAnsi="Times New Roman" w:eastAsia="黑体" w:cs="Times New Roman"/>
          <w:b w:val="0"/>
        </w:rPr>
      </w:pPr>
      <w:bookmarkStart w:id="28" w:name="_Toc15377206"/>
      <w:bookmarkStart w:id="29" w:name="_Toc113893515"/>
      <w:bookmarkStart w:id="30" w:name="_Toc15396604"/>
      <w:r>
        <w:rPr>
          <w:rFonts w:hint="default" w:ascii="Times New Roman" w:hAnsi="Times New Roman" w:eastAsia="黑体" w:cs="Times New Roman"/>
          <w:sz w:val="32"/>
          <w:szCs w:val="32"/>
        </w:rPr>
        <w:t>收</w:t>
      </w:r>
      <w:r>
        <w:rPr>
          <w:rStyle w:val="28"/>
          <w:rFonts w:hint="default" w:ascii="Times New Roman" w:hAnsi="Times New Roman" w:eastAsia="黑体" w:cs="Times New Roman"/>
          <w:b w:val="0"/>
        </w:rPr>
        <w:t>入决算情况说明</w:t>
      </w:r>
      <w:bookmarkEnd w:id="28"/>
      <w:bookmarkEnd w:id="29"/>
      <w:bookmarkEnd w:id="30"/>
    </w:p>
    <w:p>
      <w:pPr>
        <w:spacing w:line="600" w:lineRule="exact"/>
        <w:ind w:firstLine="640" w:firstLineChars="200"/>
        <w:outlineLvl w:val="1"/>
        <w:rPr>
          <w:rFonts w:hint="eastAsia" w:ascii="Times New Roman" w:hAnsi="Times New Roman" w:eastAsia="仿宋" w:cs="Times New Roman"/>
          <w:sz w:val="32"/>
          <w:szCs w:val="32"/>
          <w:lang w:eastAsia="zh-CN"/>
        </w:rPr>
      </w:pPr>
      <w:bookmarkStart w:id="31" w:name="_Toc113893516"/>
      <w:bookmarkStart w:id="32" w:name="_Toc26536"/>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年本年收入合计</w:t>
      </w:r>
      <w:r>
        <w:rPr>
          <w:rFonts w:hint="eastAsia" w:eastAsia="仿宋" w:cs="Times New Roman"/>
          <w:sz w:val="32"/>
          <w:szCs w:val="32"/>
          <w:lang w:val="en-US" w:eastAsia="zh-CN"/>
        </w:rPr>
        <w:t>1121.68</w:t>
      </w:r>
      <w:r>
        <w:rPr>
          <w:rFonts w:hint="default" w:ascii="Times New Roman" w:hAnsi="Times New Roman" w:eastAsia="仿宋" w:cs="Times New Roman"/>
          <w:sz w:val="32"/>
          <w:szCs w:val="32"/>
        </w:rPr>
        <w:t>万元，其中：一般公共预算财政拨款收入</w:t>
      </w:r>
      <w:r>
        <w:rPr>
          <w:rFonts w:hint="eastAsia" w:eastAsia="仿宋" w:cs="Times New Roman"/>
          <w:sz w:val="32"/>
          <w:szCs w:val="32"/>
          <w:lang w:val="en-US" w:eastAsia="zh-CN"/>
        </w:rPr>
        <w:t>1085.88</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96.81%</w:t>
      </w:r>
      <w:bookmarkEnd w:id="31"/>
      <w:bookmarkEnd w:id="32"/>
      <w:r>
        <w:rPr>
          <w:rFonts w:hint="eastAsia" w:eastAsia="仿宋" w:cs="Times New Roman"/>
          <w:sz w:val="32"/>
          <w:szCs w:val="32"/>
          <w:lang w:val="en-US" w:eastAsia="zh-CN"/>
        </w:rPr>
        <w:t>，其他收入35.80万元，占3.19%</w:t>
      </w:r>
      <w:r>
        <w:rPr>
          <w:rFonts w:hint="eastAsia" w:eastAsia="仿宋" w:cs="Times New Roman"/>
          <w:sz w:val="32"/>
          <w:szCs w:val="32"/>
          <w:lang w:eastAsia="zh-CN"/>
        </w:rPr>
        <w:t>。</w:t>
      </w:r>
    </w:p>
    <w:p>
      <w:pPr>
        <w:pStyle w:val="5"/>
        <w:spacing w:before="93"/>
        <w:jc w:val="center"/>
        <w:rPr>
          <w:rFonts w:hint="default" w:ascii="Times New Roman" w:hAnsi="Times New Roman" w:eastAsia="仿宋" w:cs="Times New Roman"/>
          <w:sz w:val="32"/>
          <w:szCs w:val="32"/>
        </w:rPr>
      </w:pPr>
      <w:r>
        <w:drawing>
          <wp:inline distT="0" distB="0" distL="114300" distR="114300">
            <wp:extent cx="4747260" cy="2888615"/>
            <wp:effectExtent l="4445" t="4445" r="10795" b="21590"/>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（图2：收入决算结构图）</w:t>
      </w:r>
    </w:p>
    <w:p>
      <w:pPr>
        <w:pStyle w:val="26"/>
        <w:numPr>
          <w:ilvl w:val="0"/>
          <w:numId w:val="2"/>
        </w:numPr>
        <w:spacing w:line="600" w:lineRule="exact"/>
        <w:ind w:firstLineChars="0"/>
        <w:outlineLvl w:val="1"/>
        <w:rPr>
          <w:rStyle w:val="28"/>
          <w:rFonts w:hint="default" w:ascii="Times New Roman" w:hAnsi="Times New Roman" w:eastAsia="黑体" w:cs="Times New Roman"/>
          <w:b w:val="0"/>
        </w:rPr>
      </w:pPr>
      <w:bookmarkStart w:id="33" w:name="_Toc15396605"/>
      <w:bookmarkStart w:id="34" w:name="_Toc15377207"/>
      <w:bookmarkStart w:id="35" w:name="_Toc113893517"/>
      <w:r>
        <w:rPr>
          <w:rFonts w:hint="default" w:ascii="Times New Roman" w:hAnsi="Times New Roman" w:eastAsia="黑体" w:cs="Times New Roman"/>
          <w:sz w:val="32"/>
          <w:szCs w:val="32"/>
        </w:rPr>
        <w:t>支</w:t>
      </w:r>
      <w:r>
        <w:rPr>
          <w:rStyle w:val="28"/>
          <w:rFonts w:hint="default" w:ascii="Times New Roman" w:hAnsi="Times New Roman" w:eastAsia="黑体" w:cs="Times New Roman"/>
          <w:b w:val="0"/>
        </w:rPr>
        <w:t>出决算情况说明</w:t>
      </w:r>
      <w:bookmarkEnd w:id="33"/>
      <w:bookmarkEnd w:id="34"/>
      <w:bookmarkEnd w:id="35"/>
    </w:p>
    <w:p>
      <w:pPr>
        <w:spacing w:line="600" w:lineRule="exact"/>
        <w:ind w:firstLine="640" w:firstLineChars="200"/>
        <w:outlineLvl w:val="1"/>
        <w:rPr>
          <w:rFonts w:hint="eastAsia" w:ascii="Times New Roman" w:hAnsi="Times New Roman" w:eastAsia="仿宋" w:cs="Times New Roman"/>
          <w:sz w:val="32"/>
          <w:szCs w:val="32"/>
          <w:lang w:eastAsia="zh-CN"/>
        </w:rPr>
      </w:pPr>
      <w:bookmarkStart w:id="36" w:name="_Toc8205"/>
      <w:bookmarkStart w:id="37" w:name="_Toc113893518"/>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年本年支出合计</w:t>
      </w:r>
      <w:r>
        <w:rPr>
          <w:rFonts w:hint="eastAsia" w:eastAsia="仿宋" w:cs="Times New Roman"/>
          <w:sz w:val="32"/>
          <w:szCs w:val="32"/>
          <w:lang w:val="en-US" w:eastAsia="zh-CN"/>
        </w:rPr>
        <w:t>1140.04</w:t>
      </w:r>
      <w:r>
        <w:rPr>
          <w:rFonts w:hint="default" w:ascii="Times New Roman" w:hAnsi="Times New Roman" w:eastAsia="仿宋" w:cs="Times New Roman"/>
          <w:sz w:val="32"/>
          <w:szCs w:val="32"/>
        </w:rPr>
        <w:t>万元，其中：基本支出</w:t>
      </w:r>
      <w:r>
        <w:rPr>
          <w:rFonts w:hint="eastAsia" w:eastAsia="仿宋" w:cs="Times New Roman"/>
          <w:sz w:val="32"/>
          <w:szCs w:val="32"/>
          <w:lang w:val="en-US" w:eastAsia="zh-CN"/>
        </w:rPr>
        <w:t>401.30</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35.20</w:t>
      </w:r>
      <w:r>
        <w:rPr>
          <w:rFonts w:hint="default" w:ascii="Times New Roman" w:hAnsi="Times New Roman" w:eastAsia="仿宋" w:cs="Times New Roman"/>
          <w:sz w:val="32"/>
          <w:szCs w:val="32"/>
        </w:rPr>
        <w:t>%；项目支出</w:t>
      </w:r>
      <w:r>
        <w:rPr>
          <w:rFonts w:hint="eastAsia" w:eastAsia="仿宋" w:cs="Times New Roman"/>
          <w:sz w:val="32"/>
          <w:szCs w:val="32"/>
          <w:lang w:val="en-US" w:eastAsia="zh-CN"/>
        </w:rPr>
        <w:t>738.74</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64.80</w:t>
      </w:r>
      <w:r>
        <w:rPr>
          <w:rFonts w:hint="default" w:ascii="Times New Roman" w:hAnsi="Times New Roman" w:eastAsia="仿宋" w:cs="Times New Roman"/>
          <w:sz w:val="32"/>
          <w:szCs w:val="32"/>
        </w:rPr>
        <w:t>%</w:t>
      </w:r>
      <w:bookmarkEnd w:id="36"/>
      <w:bookmarkEnd w:id="37"/>
      <w:r>
        <w:rPr>
          <w:rFonts w:hint="eastAsia" w:eastAsia="仿宋" w:cs="Times New Roman"/>
          <w:sz w:val="32"/>
          <w:szCs w:val="32"/>
          <w:lang w:eastAsia="zh-CN"/>
        </w:rPr>
        <w:t>。</w:t>
      </w:r>
    </w:p>
    <w:p>
      <w:pPr>
        <w:pStyle w:val="5"/>
        <w:spacing w:before="93"/>
        <w:jc w:val="center"/>
        <w:rPr>
          <w:rFonts w:hint="default" w:ascii="Times New Roman" w:hAnsi="Times New Roman" w:cs="Times New Roman"/>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（图3：支出决算结构图）</w:t>
      </w:r>
    </w:p>
    <w:p>
      <w:pPr>
        <w:spacing w:line="600" w:lineRule="exact"/>
        <w:ind w:firstLine="640" w:firstLineChars="200"/>
        <w:outlineLvl w:val="1"/>
        <w:rPr>
          <w:rStyle w:val="28"/>
          <w:rFonts w:hint="default" w:ascii="Times New Roman" w:hAnsi="Times New Roman" w:eastAsia="黑体" w:cs="Times New Roman"/>
          <w:b w:val="0"/>
          <w:lang w:val="en-US" w:eastAsia="zh-CN"/>
        </w:rPr>
      </w:pPr>
      <w:bookmarkStart w:id="38" w:name="_Toc113893519"/>
      <w:bookmarkStart w:id="39" w:name="_Toc15396606"/>
      <w:bookmarkStart w:id="40" w:name="_Toc15377208"/>
      <w:r>
        <w:rPr>
          <w:rFonts w:hint="default" w:ascii="Times New Roman" w:hAnsi="Times New Roman" w:eastAsia="黑体" w:cs="Times New Roman"/>
          <w:sz w:val="32"/>
          <w:szCs w:val="32"/>
        </w:rPr>
        <w:t>四、财</w:t>
      </w:r>
      <w:r>
        <w:rPr>
          <w:rStyle w:val="28"/>
          <w:rFonts w:hint="default" w:ascii="Times New Roman" w:hAnsi="Times New Roman" w:eastAsia="黑体" w:cs="Times New Roman"/>
          <w:b w:val="0"/>
        </w:rPr>
        <w:t>政拨款收入支出决算总体情况说明</w:t>
      </w:r>
      <w:bookmarkEnd w:id="38"/>
      <w:bookmarkEnd w:id="39"/>
      <w:bookmarkEnd w:id="40"/>
    </w:p>
    <w:p>
      <w:pPr>
        <w:spacing w:line="600" w:lineRule="exact"/>
        <w:ind w:firstLine="640"/>
        <w:rPr>
          <w:rFonts w:hint="default" w:ascii="Times New Roman" w:hAnsi="Times New Roman" w:cs="Times New Roman"/>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年财政拨款收、支总计</w:t>
      </w:r>
      <w:r>
        <w:rPr>
          <w:rFonts w:hint="eastAsia" w:eastAsia="仿宋" w:cs="Times New Roman"/>
          <w:sz w:val="32"/>
          <w:szCs w:val="32"/>
          <w:lang w:val="en-US" w:eastAsia="zh-CN"/>
        </w:rPr>
        <w:t>1085.88万元</w:t>
      </w:r>
      <w:r>
        <w:rPr>
          <w:rFonts w:hint="default" w:ascii="Times New Roman" w:hAnsi="Times New Roman" w:eastAsia="仿宋" w:cs="Times New Roman"/>
          <w:sz w:val="32"/>
          <w:szCs w:val="32"/>
        </w:rPr>
        <w:t>。与202</w:t>
      </w:r>
      <w:r>
        <w:rPr>
          <w:rFonts w:hint="eastAsia" w:eastAsia="仿宋" w:cs="Times New Roman"/>
          <w:sz w:val="32"/>
          <w:szCs w:val="32"/>
          <w:lang w:val="en-US" w:eastAsia="zh-CN"/>
        </w:rPr>
        <w:t>2</w:t>
      </w:r>
      <w:r>
        <w:rPr>
          <w:rFonts w:hint="default" w:ascii="Times New Roman" w:hAnsi="Times New Roman" w:eastAsia="仿宋" w:cs="Times New Roman"/>
          <w:sz w:val="32"/>
          <w:szCs w:val="32"/>
        </w:rPr>
        <w:t>年相比，财政拨</w:t>
      </w:r>
      <w:r>
        <w:rPr>
          <w:rFonts w:hint="default" w:eastAsia="仿宋" w:cs="Times New Roman"/>
          <w:sz w:val="32"/>
          <w:szCs w:val="32"/>
          <w:lang w:val="en-US" w:eastAsia="zh-CN"/>
        </w:rPr>
        <w:t>款收、支总计</w:t>
      </w:r>
      <w:r>
        <w:rPr>
          <w:rFonts w:hint="eastAsia" w:eastAsia="仿宋" w:cs="Times New Roman"/>
          <w:sz w:val="32"/>
          <w:szCs w:val="32"/>
          <w:lang w:val="en-US" w:eastAsia="zh-CN"/>
        </w:rPr>
        <w:t>增加598.02万元</w:t>
      </w:r>
      <w:r>
        <w:rPr>
          <w:rFonts w:hint="default" w:eastAsia="仿宋" w:cs="Times New Roman"/>
          <w:sz w:val="32"/>
          <w:szCs w:val="32"/>
          <w:lang w:val="en-US" w:eastAsia="zh-CN"/>
        </w:rPr>
        <w:t>，</w:t>
      </w:r>
      <w:r>
        <w:rPr>
          <w:rFonts w:hint="eastAsia" w:eastAsia="仿宋" w:cs="Times New Roman"/>
          <w:sz w:val="32"/>
          <w:szCs w:val="32"/>
          <w:lang w:val="en-US" w:eastAsia="zh-CN"/>
        </w:rPr>
        <w:t>上升122.58</w:t>
      </w:r>
      <w:r>
        <w:rPr>
          <w:rFonts w:hint="default" w:eastAsia="仿宋" w:cs="Times New Roman"/>
          <w:sz w:val="32"/>
          <w:szCs w:val="32"/>
          <w:lang w:val="en-US" w:eastAsia="zh-CN"/>
        </w:rPr>
        <w:t>%。主要变动原因是</w:t>
      </w:r>
      <w:r>
        <w:rPr>
          <w:rFonts w:hint="eastAsia" w:eastAsia="仿宋" w:cs="Times New Roman"/>
          <w:sz w:val="32"/>
          <w:szCs w:val="32"/>
          <w:lang w:val="en-US" w:eastAsia="zh-CN"/>
        </w:rPr>
        <w:t>基本建设支出增加和人员政策性增支</w:t>
      </w:r>
      <w:r>
        <w:rPr>
          <w:rFonts w:hint="default" w:eastAsia="仿宋" w:cs="Times New Roman"/>
          <w:sz w:val="32"/>
          <w:szCs w:val="32"/>
          <w:lang w:val="en-US" w:eastAsia="zh-CN"/>
        </w:rPr>
        <w:t>。</w:t>
      </w:r>
    </w:p>
    <w:p>
      <w:pPr>
        <w:pStyle w:val="5"/>
        <w:spacing w:before="93"/>
        <w:jc w:val="center"/>
        <w:rPr>
          <w:rFonts w:hint="default" w:ascii="Times New Roman" w:hAnsi="Times New Roman" w:eastAsia="仿宋_GB2312" w:cs="Times New Roman"/>
          <w:lang w:val="en-US" w:eastAsia="zh-CN"/>
        </w:rPr>
      </w:pPr>
      <w:r>
        <w:drawing>
          <wp:inline distT="0" distB="0" distL="114300" distR="114300">
            <wp:extent cx="4572000" cy="2743200"/>
            <wp:effectExtent l="4445" t="4445" r="14605" b="14605"/>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hint="default" w:ascii="Times New Roman" w:hAnsi="Times New Roman" w:cs="Times New Roman"/>
        </w:rPr>
      </w:pPr>
      <w:r>
        <w:rPr>
          <w:rFonts w:hint="default" w:ascii="Times New Roman" w:hAnsi="Times New Roman" w:eastAsia="仿宋" w:cs="Times New Roman"/>
          <w:sz w:val="32"/>
          <w:szCs w:val="32"/>
        </w:rPr>
        <w:t>（图4：财政拨款收、支决算总计变动情况）</w:t>
      </w:r>
      <w:bookmarkStart w:id="41" w:name="_Toc15396607"/>
      <w:bookmarkStart w:id="42" w:name="_Toc15377209"/>
    </w:p>
    <w:p>
      <w:pPr>
        <w:spacing w:line="600" w:lineRule="exact"/>
        <w:ind w:firstLine="640" w:firstLineChars="200"/>
        <w:outlineLvl w:val="1"/>
        <w:rPr>
          <w:rStyle w:val="28"/>
          <w:rFonts w:hint="default" w:ascii="Times New Roman" w:hAnsi="Times New Roman" w:eastAsia="黑体" w:cs="Times New Roman"/>
          <w:b w:val="0"/>
        </w:rPr>
      </w:pPr>
      <w:bookmarkStart w:id="43" w:name="_Toc113893520"/>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8"/>
          <w:rFonts w:hint="default" w:ascii="Times New Roman" w:hAnsi="Times New Roman" w:eastAsia="黑体" w:cs="Times New Roman"/>
          <w:b w:val="0"/>
        </w:rPr>
        <w:t>般公共预算财政拨款支出决算情况说明</w:t>
      </w:r>
      <w:bookmarkEnd w:id="41"/>
      <w:bookmarkEnd w:id="42"/>
      <w:bookmarkEnd w:id="43"/>
    </w:p>
    <w:p>
      <w:pPr>
        <w:spacing w:line="600" w:lineRule="exact"/>
        <w:ind w:firstLine="643" w:firstLineChars="200"/>
        <w:outlineLvl w:val="2"/>
        <w:rPr>
          <w:rFonts w:hint="default" w:ascii="Times New Roman" w:hAnsi="Times New Roman" w:eastAsia="仿宋" w:cs="Times New Roman"/>
          <w:b/>
          <w:sz w:val="32"/>
          <w:szCs w:val="32"/>
          <w:lang w:val="en-US" w:eastAsia="zh-CN"/>
        </w:rPr>
      </w:pPr>
      <w:bookmarkStart w:id="44" w:name="_Toc113893521"/>
      <w:bookmarkStart w:id="45" w:name="_Toc15377210"/>
      <w:r>
        <w:rPr>
          <w:rFonts w:hint="default" w:ascii="Times New Roman" w:hAnsi="Times New Roman" w:eastAsia="仿宋" w:cs="Times New Roman"/>
          <w:b/>
          <w:sz w:val="32"/>
          <w:szCs w:val="32"/>
        </w:rPr>
        <w:t>（一）一般公共预算财政拨款支出决算总体情况</w:t>
      </w:r>
      <w:bookmarkEnd w:id="44"/>
      <w:bookmarkEnd w:id="45"/>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年一般公共预算财政拨款支出</w:t>
      </w:r>
      <w:r>
        <w:rPr>
          <w:rFonts w:hint="eastAsia" w:eastAsia="仿宋" w:cs="Times New Roman"/>
          <w:sz w:val="32"/>
          <w:szCs w:val="32"/>
          <w:lang w:val="en-US" w:eastAsia="zh-CN"/>
        </w:rPr>
        <w:t>1085.88万元</w:t>
      </w:r>
      <w:r>
        <w:rPr>
          <w:rFonts w:hint="default" w:ascii="Times New Roman" w:hAnsi="Times New Roman" w:eastAsia="仿宋" w:cs="Times New Roman"/>
          <w:sz w:val="32"/>
          <w:szCs w:val="32"/>
        </w:rPr>
        <w:t>，占本年支出合计的100%。与202</w:t>
      </w:r>
      <w:r>
        <w:rPr>
          <w:rFonts w:hint="eastAsia" w:eastAsia="仿宋" w:cs="Times New Roman"/>
          <w:sz w:val="32"/>
          <w:szCs w:val="32"/>
          <w:lang w:val="en-US" w:eastAsia="zh-CN"/>
        </w:rPr>
        <w:t>2</w:t>
      </w:r>
      <w:r>
        <w:rPr>
          <w:rFonts w:hint="default" w:ascii="Times New Roman" w:hAnsi="Times New Roman" w:eastAsia="仿宋" w:cs="Times New Roman"/>
          <w:sz w:val="32"/>
          <w:szCs w:val="32"/>
        </w:rPr>
        <w:t>年相比，一般公共预算财政拨款支出</w:t>
      </w:r>
      <w:r>
        <w:rPr>
          <w:rFonts w:hint="eastAsia" w:eastAsia="仿宋" w:cs="Times New Roman"/>
          <w:sz w:val="32"/>
          <w:szCs w:val="32"/>
          <w:lang w:val="en-US" w:eastAsia="zh-CN"/>
        </w:rPr>
        <w:t>增加598.02万元</w:t>
      </w:r>
      <w:r>
        <w:rPr>
          <w:rFonts w:hint="default" w:eastAsia="仿宋" w:cs="Times New Roman"/>
          <w:sz w:val="32"/>
          <w:szCs w:val="32"/>
          <w:lang w:val="en-US" w:eastAsia="zh-CN"/>
        </w:rPr>
        <w:t>，</w:t>
      </w:r>
      <w:r>
        <w:rPr>
          <w:rFonts w:hint="eastAsia" w:eastAsia="仿宋" w:cs="Times New Roman"/>
          <w:sz w:val="32"/>
          <w:szCs w:val="32"/>
          <w:lang w:val="en-US" w:eastAsia="zh-CN"/>
        </w:rPr>
        <w:t>增长122.58</w:t>
      </w:r>
      <w:r>
        <w:rPr>
          <w:rFonts w:hint="default" w:eastAsia="仿宋" w:cs="Times New Roman"/>
          <w:sz w:val="32"/>
          <w:szCs w:val="32"/>
          <w:lang w:val="en-US" w:eastAsia="zh-CN"/>
        </w:rPr>
        <w:t>%</w:t>
      </w:r>
      <w:r>
        <w:rPr>
          <w:rFonts w:hint="default" w:ascii="Times New Roman" w:hAnsi="Times New Roman" w:eastAsia="仿宋" w:cs="Times New Roman"/>
          <w:sz w:val="32"/>
          <w:szCs w:val="32"/>
        </w:rPr>
        <w:t>。</w:t>
      </w:r>
      <w:r>
        <w:rPr>
          <w:rFonts w:hint="default" w:eastAsia="仿宋" w:cs="Times New Roman"/>
          <w:sz w:val="32"/>
          <w:szCs w:val="32"/>
          <w:lang w:val="en-US" w:eastAsia="zh-CN"/>
        </w:rPr>
        <w:t>主要变动原因是</w:t>
      </w:r>
      <w:r>
        <w:rPr>
          <w:rFonts w:hint="eastAsia" w:eastAsia="仿宋" w:cs="Times New Roman"/>
          <w:sz w:val="32"/>
          <w:szCs w:val="32"/>
          <w:lang w:val="en-US" w:eastAsia="zh-CN"/>
        </w:rPr>
        <w:t>基本建设支出增加和人员政策性增支</w:t>
      </w:r>
      <w:r>
        <w:rPr>
          <w:rFonts w:hint="default" w:eastAsia="仿宋" w:cs="Times New Roman"/>
          <w:sz w:val="32"/>
          <w:szCs w:val="32"/>
          <w:lang w:val="en-US" w:eastAsia="zh-CN"/>
        </w:rPr>
        <w:t>。</w:t>
      </w:r>
    </w:p>
    <w:p>
      <w:pPr>
        <w:pStyle w:val="5"/>
        <w:spacing w:before="93"/>
        <w:rPr>
          <w:rFonts w:hint="default" w:ascii="Times New Roman" w:hAnsi="Times New Roman" w:cs="Times New Roman"/>
        </w:rPr>
      </w:pPr>
      <w:r>
        <w:drawing>
          <wp:inline distT="0" distB="0" distL="114300" distR="114300">
            <wp:extent cx="5274310" cy="2440940"/>
            <wp:effectExtent l="4445" t="4445" r="17145" b="12065"/>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w:t>
      </w:r>
    </w:p>
    <w:p>
      <w:pPr>
        <w:spacing w:line="600" w:lineRule="exact"/>
        <w:ind w:firstLine="643" w:firstLineChars="200"/>
        <w:outlineLvl w:val="2"/>
        <w:rPr>
          <w:rFonts w:hint="default" w:ascii="Times New Roman" w:hAnsi="Times New Roman" w:eastAsia="仿宋" w:cs="Times New Roman"/>
          <w:b/>
          <w:sz w:val="32"/>
          <w:szCs w:val="32"/>
        </w:rPr>
      </w:pPr>
      <w:bookmarkStart w:id="46" w:name="_Toc15377211"/>
      <w:bookmarkStart w:id="47" w:name="_Toc113893522"/>
      <w:r>
        <w:rPr>
          <w:rFonts w:hint="default" w:ascii="Times New Roman" w:hAnsi="Times New Roman" w:eastAsia="仿宋" w:cs="Times New Roman"/>
          <w:b/>
          <w:sz w:val="32"/>
          <w:szCs w:val="32"/>
        </w:rPr>
        <w:t>（二）一般公共预算财政拨款支出决算结构情况</w:t>
      </w:r>
      <w:bookmarkEnd w:id="46"/>
      <w:bookmarkEnd w:id="47"/>
    </w:p>
    <w:p>
      <w:pPr>
        <w:spacing w:line="600" w:lineRule="exact"/>
        <w:ind w:firstLine="64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年一般公共预算财政拨款支出</w:t>
      </w:r>
      <w:r>
        <w:rPr>
          <w:rFonts w:hint="eastAsia" w:eastAsia="仿宋" w:cs="Times New Roman"/>
          <w:sz w:val="32"/>
          <w:szCs w:val="32"/>
          <w:lang w:val="en-US" w:eastAsia="zh-CN"/>
        </w:rPr>
        <w:t>1085.88万元</w:t>
      </w:r>
      <w:r>
        <w:rPr>
          <w:rFonts w:hint="default" w:ascii="Times New Roman" w:hAnsi="Times New Roman" w:eastAsia="仿宋" w:cs="Times New Roman"/>
          <w:sz w:val="32"/>
          <w:szCs w:val="32"/>
        </w:rPr>
        <w:t>，主要用于以下方面:</w:t>
      </w:r>
      <w:r>
        <w:rPr>
          <w:rFonts w:hint="default" w:ascii="Times New Roman" w:hAnsi="Times New Roman" w:eastAsia="仿宋" w:cs="Times New Roman"/>
          <w:b/>
          <w:sz w:val="32"/>
          <w:szCs w:val="32"/>
        </w:rPr>
        <w:t>教育支出（类）</w:t>
      </w:r>
      <w:r>
        <w:rPr>
          <w:rFonts w:hint="eastAsia" w:ascii="Times New Roman" w:hAnsi="Times New Roman" w:eastAsia="仿宋" w:cs="Times New Roman"/>
          <w:sz w:val="32"/>
          <w:szCs w:val="32"/>
          <w:lang w:val="en-US" w:eastAsia="zh-CN"/>
        </w:rPr>
        <w:t>986.49万元</w:t>
      </w:r>
      <w:r>
        <w:rPr>
          <w:rFonts w:hint="default" w:ascii="Times New Roman" w:hAnsi="Times New Roman" w:eastAsia="仿宋" w:cs="Times New Roman"/>
          <w:sz w:val="32"/>
          <w:szCs w:val="32"/>
        </w:rPr>
        <w:t>，占</w:t>
      </w:r>
      <w:r>
        <w:rPr>
          <w:rFonts w:hint="eastAsia" w:eastAsia="仿宋" w:cs="Times New Roman"/>
          <w:sz w:val="32"/>
          <w:szCs w:val="32"/>
          <w:lang w:val="en-US" w:eastAsia="zh-CN"/>
        </w:rPr>
        <w:t>90.85</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rPr>
        <w:t>社会保障和就业（类）</w:t>
      </w:r>
      <w:r>
        <w:rPr>
          <w:rFonts w:hint="default" w:ascii="Times New Roman" w:hAnsi="Times New Roman" w:eastAsia="仿宋" w:cs="Times New Roman"/>
          <w:sz w:val="32"/>
          <w:szCs w:val="32"/>
        </w:rPr>
        <w:t>支出</w:t>
      </w:r>
      <w:r>
        <w:rPr>
          <w:rFonts w:hint="eastAsia" w:eastAsia="仿宋" w:cs="Times New Roman"/>
          <w:sz w:val="32"/>
          <w:szCs w:val="32"/>
          <w:lang w:val="en-US" w:eastAsia="zh-CN"/>
        </w:rPr>
        <w:t>49.88</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4.59%</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卫生健康支出（类）</w:t>
      </w:r>
      <w:r>
        <w:rPr>
          <w:rFonts w:hint="default" w:ascii="Times New Roman" w:hAnsi="Times New Roman" w:eastAsia="仿宋" w:cs="Times New Roman"/>
          <w:sz w:val="32"/>
          <w:szCs w:val="32"/>
        </w:rPr>
        <w:t>19.37万元，占</w:t>
      </w:r>
      <w:r>
        <w:rPr>
          <w:rFonts w:hint="eastAsia" w:eastAsia="仿宋" w:cs="Times New Roman"/>
          <w:sz w:val="32"/>
          <w:szCs w:val="32"/>
          <w:lang w:val="en-US" w:eastAsia="zh-CN"/>
        </w:rPr>
        <w:t>1.78</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rPr>
        <w:t>住房保障支出（类</w:t>
      </w:r>
      <w:r>
        <w:rPr>
          <w:rFonts w:hint="default" w:ascii="Times New Roman" w:hAnsi="Times New Roman" w:eastAsia="仿宋" w:cs="Times New Roman"/>
          <w:sz w:val="32"/>
          <w:szCs w:val="32"/>
        </w:rPr>
        <w:t>）30.14万元，占</w:t>
      </w:r>
      <w:r>
        <w:rPr>
          <w:rFonts w:hint="eastAsia" w:eastAsia="仿宋" w:cs="Times New Roman"/>
          <w:sz w:val="32"/>
          <w:szCs w:val="32"/>
          <w:lang w:val="en-US" w:eastAsia="zh-CN"/>
        </w:rPr>
        <w:t>2.78</w:t>
      </w:r>
      <w:r>
        <w:rPr>
          <w:rFonts w:hint="default" w:ascii="Times New Roman" w:hAnsi="Times New Roman" w:eastAsia="仿宋" w:cs="Times New Roman"/>
          <w:sz w:val="32"/>
          <w:szCs w:val="32"/>
        </w:rPr>
        <w:t>%。</w:t>
      </w:r>
    </w:p>
    <w:p>
      <w:pPr>
        <w:pStyle w:val="5"/>
        <w:spacing w:before="93"/>
        <w:jc w:val="center"/>
        <w:rPr>
          <w:rFonts w:hint="default" w:ascii="Times New Roman" w:hAnsi="Times New Roman" w:cs="Times New Roman"/>
        </w:rPr>
      </w:pPr>
      <w:r>
        <w:drawing>
          <wp:inline distT="0" distB="0" distL="114300" distR="114300">
            <wp:extent cx="5269865" cy="2621280"/>
            <wp:effectExtent l="4445" t="4445" r="21590" b="22225"/>
            <wp:docPr id="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960" w:firstLineChars="3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w:t>
      </w:r>
    </w:p>
    <w:p>
      <w:pPr>
        <w:spacing w:line="600" w:lineRule="exact"/>
        <w:ind w:firstLine="643" w:firstLineChars="200"/>
        <w:outlineLvl w:val="2"/>
        <w:rPr>
          <w:rFonts w:hint="default" w:ascii="Times New Roman" w:hAnsi="Times New Roman" w:eastAsia="仿宋" w:cs="Times New Roman"/>
          <w:b/>
          <w:sz w:val="32"/>
          <w:szCs w:val="32"/>
        </w:rPr>
      </w:pPr>
      <w:bookmarkStart w:id="48" w:name="_Toc113893523"/>
      <w:bookmarkStart w:id="49" w:name="_Toc15377212"/>
      <w:r>
        <w:rPr>
          <w:rFonts w:hint="default" w:ascii="Times New Roman" w:hAnsi="Times New Roman" w:eastAsia="仿宋" w:cs="Times New Roman"/>
          <w:b/>
          <w:sz w:val="32"/>
          <w:szCs w:val="32"/>
        </w:rPr>
        <w:t>（三）一般公共预算财政拨款支出决算具体情况</w:t>
      </w:r>
      <w:bookmarkEnd w:id="48"/>
      <w:bookmarkEnd w:id="49"/>
    </w:p>
    <w:p>
      <w:pPr>
        <w:spacing w:line="600" w:lineRule="exact"/>
        <w:ind w:firstLine="643" w:firstLineChars="200"/>
        <w:outlineLvl w:val="2"/>
        <w:rPr>
          <w:rFonts w:hint="default" w:ascii="Times New Roman" w:hAnsi="Times New Roman" w:eastAsia="仿宋" w:cs="Times New Roman"/>
          <w:sz w:val="32"/>
          <w:szCs w:val="32"/>
        </w:rPr>
      </w:pPr>
      <w:bookmarkStart w:id="50" w:name="_Toc23952"/>
      <w:bookmarkStart w:id="51" w:name="_Toc15377213"/>
      <w:bookmarkStart w:id="52" w:name="_Toc15378460"/>
      <w:bookmarkStart w:id="53" w:name="_Toc113893524"/>
      <w:bookmarkStart w:id="54" w:name="_Toc15377444"/>
      <w:r>
        <w:rPr>
          <w:rFonts w:hint="default" w:ascii="Times New Roman" w:hAnsi="Times New Roman" w:eastAsia="仿宋" w:cs="Times New Roman"/>
          <w:b/>
          <w:sz w:val="32"/>
          <w:szCs w:val="32"/>
        </w:rPr>
        <w:t>202</w:t>
      </w:r>
      <w:r>
        <w:rPr>
          <w:rFonts w:hint="eastAsia" w:eastAsia="仿宋" w:cs="Times New Roman"/>
          <w:b/>
          <w:sz w:val="32"/>
          <w:szCs w:val="32"/>
          <w:lang w:val="en-US" w:eastAsia="zh-CN"/>
        </w:rPr>
        <w:t>3</w:t>
      </w:r>
      <w:r>
        <w:rPr>
          <w:rFonts w:hint="default" w:ascii="Times New Roman" w:hAnsi="Times New Roman" w:eastAsia="仿宋" w:cs="Times New Roman"/>
          <w:b/>
          <w:sz w:val="32"/>
          <w:szCs w:val="32"/>
        </w:rPr>
        <w:t>年一般公共预算支出决算数为</w:t>
      </w:r>
      <w:r>
        <w:rPr>
          <w:rFonts w:hint="eastAsia" w:ascii="Times New Roman" w:hAnsi="Times New Roman" w:eastAsia="仿宋" w:cs="Times New Roman"/>
          <w:b/>
          <w:sz w:val="32"/>
          <w:szCs w:val="32"/>
          <w:lang w:val="en-US" w:eastAsia="zh-CN"/>
        </w:rPr>
        <w:t>1085.88万元</w:t>
      </w:r>
      <w:r>
        <w:rPr>
          <w:rFonts w:hint="default" w:ascii="Times New Roman" w:hAnsi="Times New Roman" w:eastAsia="仿宋" w:cs="Times New Roman"/>
          <w:sz w:val="32"/>
          <w:szCs w:val="32"/>
        </w:rPr>
        <w:t>，</w:t>
      </w:r>
      <w:r>
        <w:rPr>
          <w:rStyle w:val="17"/>
          <w:rFonts w:hint="default" w:ascii="Times New Roman" w:hAnsi="Times New Roman" w:eastAsia="仿宋" w:cs="Times New Roman"/>
          <w:bCs/>
          <w:sz w:val="32"/>
          <w:szCs w:val="32"/>
        </w:rPr>
        <w:t>完成预算100%。其中：</w:t>
      </w:r>
      <w:bookmarkEnd w:id="50"/>
      <w:bookmarkEnd w:id="51"/>
      <w:bookmarkEnd w:id="52"/>
      <w:bookmarkEnd w:id="53"/>
      <w:bookmarkEnd w:id="54"/>
    </w:p>
    <w:p>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1.教育支出（类）普通教育（款）小学教育（项）:</w:t>
      </w:r>
      <w:r>
        <w:rPr>
          <w:rStyle w:val="17"/>
          <w:rFonts w:hint="default" w:ascii="Times New Roman" w:hAnsi="Times New Roman" w:eastAsia="仿宋" w:cs="Times New Roman"/>
          <w:b w:val="0"/>
          <w:bCs/>
          <w:sz w:val="32"/>
          <w:szCs w:val="32"/>
        </w:rPr>
        <w:t>支出决算为</w:t>
      </w:r>
      <w:r>
        <w:rPr>
          <w:rFonts w:hint="eastAsia" w:ascii="Times New Roman" w:hAnsi="Times New Roman" w:eastAsia="仿宋" w:cs="Times New Roman"/>
          <w:sz w:val="32"/>
          <w:szCs w:val="32"/>
          <w:lang w:val="en-US" w:eastAsia="zh-CN"/>
        </w:rPr>
        <w:t>986.49</w:t>
      </w:r>
      <w:r>
        <w:rPr>
          <w:rStyle w:val="17"/>
          <w:rFonts w:hint="default" w:ascii="Times New Roman" w:hAnsi="Times New Roman" w:eastAsia="仿宋" w:cs="Times New Roman"/>
          <w:b w:val="0"/>
          <w:bCs/>
          <w:sz w:val="32"/>
          <w:szCs w:val="32"/>
        </w:rPr>
        <w:t>万元，完成预算100%。主要用于学校人员经费支出。</w:t>
      </w:r>
    </w:p>
    <w:p>
      <w:pPr>
        <w:spacing w:line="600" w:lineRule="exact"/>
        <w:ind w:firstLine="643" w:firstLineChars="200"/>
        <w:rPr>
          <w:rStyle w:val="17"/>
          <w:rFonts w:hint="default" w:ascii="Times New Roman" w:hAnsi="Times New Roman" w:eastAsia="仿宋" w:cs="Times New Roman"/>
          <w:b w:val="0"/>
          <w:bCs/>
          <w:sz w:val="32"/>
          <w:szCs w:val="32"/>
        </w:rPr>
      </w:pPr>
      <w:r>
        <w:rPr>
          <w:rStyle w:val="17"/>
          <w:rFonts w:hint="default" w:ascii="Times New Roman" w:hAnsi="Times New Roman" w:eastAsia="仿宋" w:cs="Times New Roman"/>
          <w:bCs/>
          <w:sz w:val="32"/>
          <w:szCs w:val="32"/>
          <w:highlight w:val="none"/>
        </w:rPr>
        <w:t>2.</w:t>
      </w:r>
      <w:r>
        <w:rPr>
          <w:rStyle w:val="17"/>
          <w:rFonts w:hint="default" w:ascii="Times New Roman" w:hAnsi="Times New Roman" w:eastAsia="仿宋" w:cs="Times New Roman"/>
          <w:bCs/>
          <w:sz w:val="32"/>
          <w:szCs w:val="32"/>
        </w:rPr>
        <w:t>社会保障和就业</w:t>
      </w:r>
      <w:r>
        <w:rPr>
          <w:rStyle w:val="17"/>
          <w:rFonts w:hint="eastAsia" w:eastAsia="仿宋" w:cs="Times New Roman"/>
          <w:bCs/>
          <w:sz w:val="32"/>
          <w:szCs w:val="32"/>
          <w:lang w:eastAsia="zh-CN"/>
        </w:rPr>
        <w:t>支出</w:t>
      </w:r>
      <w:r>
        <w:rPr>
          <w:rStyle w:val="17"/>
          <w:rFonts w:hint="default" w:ascii="Times New Roman" w:hAnsi="Times New Roman" w:eastAsia="仿宋" w:cs="Times New Roman"/>
          <w:bCs/>
          <w:sz w:val="32"/>
          <w:szCs w:val="32"/>
        </w:rPr>
        <w:t>（类）行政事业单位养老支出（款）事业单位离退休（项）:</w:t>
      </w:r>
      <w:r>
        <w:rPr>
          <w:rStyle w:val="17"/>
          <w:rFonts w:hint="default" w:ascii="Times New Roman" w:hAnsi="Times New Roman" w:eastAsia="仿宋" w:cs="Times New Roman"/>
          <w:b w:val="0"/>
          <w:bCs/>
          <w:sz w:val="32"/>
          <w:szCs w:val="32"/>
        </w:rPr>
        <w:t>支出决算为</w:t>
      </w:r>
      <w:r>
        <w:rPr>
          <w:rStyle w:val="17"/>
          <w:rFonts w:hint="eastAsia" w:eastAsia="仿宋" w:cs="Times New Roman"/>
          <w:b w:val="0"/>
          <w:bCs/>
          <w:sz w:val="32"/>
          <w:szCs w:val="32"/>
          <w:lang w:val="en-US" w:eastAsia="zh-CN"/>
        </w:rPr>
        <w:t>2.85</w:t>
      </w:r>
      <w:r>
        <w:rPr>
          <w:rStyle w:val="17"/>
          <w:rFonts w:hint="default" w:ascii="Times New Roman" w:hAnsi="Times New Roman" w:eastAsia="仿宋" w:cs="Times New Roman"/>
          <w:b w:val="0"/>
          <w:bCs/>
          <w:sz w:val="32"/>
          <w:szCs w:val="32"/>
        </w:rPr>
        <w:t>万元，完成预算100%，主要是</w:t>
      </w:r>
      <w:r>
        <w:rPr>
          <w:rStyle w:val="17"/>
          <w:rFonts w:hint="default" w:ascii="Times New Roman" w:hAnsi="Times New Roman" w:eastAsia="仿宋" w:cs="Times New Roman"/>
          <w:b w:val="0"/>
          <w:bCs/>
          <w:color w:val="000000"/>
          <w:sz w:val="32"/>
          <w:szCs w:val="32"/>
        </w:rPr>
        <w:t>用于</w:t>
      </w:r>
      <w:r>
        <w:rPr>
          <w:rStyle w:val="17"/>
          <w:rFonts w:hint="eastAsia" w:eastAsia="仿宋" w:cs="Times New Roman"/>
          <w:b w:val="0"/>
          <w:bCs/>
          <w:color w:val="000000"/>
          <w:sz w:val="32"/>
          <w:szCs w:val="32"/>
          <w:lang w:val="en-US" w:eastAsia="zh-CN"/>
        </w:rPr>
        <w:t>行政单位离退休</w:t>
      </w:r>
      <w:r>
        <w:rPr>
          <w:rStyle w:val="17"/>
          <w:rFonts w:hint="default" w:ascii="Times New Roman" w:hAnsi="Times New Roman" w:eastAsia="仿宋" w:cs="Times New Roman"/>
          <w:b w:val="0"/>
          <w:bCs/>
          <w:sz w:val="32"/>
          <w:szCs w:val="32"/>
        </w:rPr>
        <w:t>支出。</w:t>
      </w:r>
    </w:p>
    <w:p>
      <w:pPr>
        <w:pStyle w:val="5"/>
        <w:ind w:firstLine="643" w:firstLineChars="200"/>
        <w:rPr>
          <w:rStyle w:val="17"/>
          <w:rFonts w:hint="default" w:ascii="Times New Roman" w:hAnsi="Times New Roman" w:eastAsia="仿宋" w:cs="Times New Roman"/>
          <w:b w:val="0"/>
          <w:bCs/>
          <w:sz w:val="32"/>
          <w:szCs w:val="32"/>
        </w:rPr>
      </w:pPr>
      <w:r>
        <w:rPr>
          <w:rStyle w:val="17"/>
          <w:rFonts w:hint="eastAsia" w:ascii="Times New Roman" w:eastAsia="仿宋" w:cs="Times New Roman"/>
          <w:bCs/>
          <w:kern w:val="2"/>
          <w:sz w:val="32"/>
          <w:szCs w:val="32"/>
          <w:lang w:val="en-US" w:eastAsia="zh-CN" w:bidi="ar-SA"/>
        </w:rPr>
        <w:t>3</w:t>
      </w:r>
      <w:r>
        <w:rPr>
          <w:rStyle w:val="17"/>
          <w:rFonts w:hint="eastAsia" w:ascii="Times New Roman" w:hAnsi="Times New Roman" w:eastAsia="仿宋" w:cs="Times New Roman"/>
          <w:bCs/>
          <w:kern w:val="2"/>
          <w:sz w:val="32"/>
          <w:szCs w:val="32"/>
          <w:lang w:val="en-US" w:eastAsia="zh-CN" w:bidi="ar-SA"/>
        </w:rPr>
        <w:t>.</w:t>
      </w:r>
      <w:r>
        <w:rPr>
          <w:rStyle w:val="17"/>
          <w:rFonts w:hint="default" w:ascii="Times New Roman" w:hAnsi="Times New Roman" w:eastAsia="仿宋" w:cs="Times New Roman"/>
          <w:bCs/>
          <w:kern w:val="2"/>
          <w:sz w:val="32"/>
          <w:szCs w:val="32"/>
          <w:lang w:val="en-US" w:eastAsia="zh-CN" w:bidi="ar-SA"/>
        </w:rPr>
        <w:t>社会保障和就业</w:t>
      </w:r>
      <w:r>
        <w:rPr>
          <w:rStyle w:val="17"/>
          <w:rFonts w:hint="eastAsia" w:ascii="Times New Roman" w:hAnsi="Times New Roman" w:eastAsia="仿宋" w:cs="Times New Roman"/>
          <w:bCs/>
          <w:kern w:val="2"/>
          <w:sz w:val="32"/>
          <w:szCs w:val="32"/>
          <w:lang w:val="en-US" w:eastAsia="zh-CN" w:bidi="ar-SA"/>
        </w:rPr>
        <w:t>支出</w:t>
      </w:r>
      <w:r>
        <w:rPr>
          <w:rStyle w:val="17"/>
          <w:rFonts w:hint="default" w:ascii="Times New Roman" w:hAnsi="Times New Roman" w:eastAsia="仿宋" w:cs="Times New Roman"/>
          <w:bCs/>
          <w:kern w:val="2"/>
          <w:sz w:val="32"/>
          <w:szCs w:val="32"/>
          <w:lang w:val="en-US" w:eastAsia="zh-CN" w:bidi="ar-SA"/>
        </w:rPr>
        <w:t>（类）行政事业单位养老支出（款）机关事</w:t>
      </w:r>
      <w:r>
        <w:rPr>
          <w:rStyle w:val="17"/>
          <w:rFonts w:hint="default" w:ascii="Times New Roman" w:hAnsi="Times New Roman" w:eastAsia="仿宋" w:cs="Times New Roman"/>
          <w:bCs/>
          <w:sz w:val="32"/>
          <w:szCs w:val="32"/>
        </w:rPr>
        <w:t>业单位基本养老保险缴费支出（项）</w:t>
      </w:r>
      <w:r>
        <w:rPr>
          <w:rStyle w:val="17"/>
          <w:rFonts w:hint="eastAsia" w:ascii="Times New Roman" w:eastAsia="仿宋" w:cs="Times New Roman"/>
          <w:bCs/>
          <w:sz w:val="32"/>
          <w:szCs w:val="32"/>
          <w:lang w:eastAsia="zh-CN"/>
        </w:rPr>
        <w:t>：</w:t>
      </w:r>
      <w:r>
        <w:rPr>
          <w:rStyle w:val="17"/>
          <w:rFonts w:hint="default" w:ascii="Times New Roman" w:hAnsi="Times New Roman" w:eastAsia="仿宋" w:cs="Times New Roman"/>
          <w:b w:val="0"/>
          <w:bCs/>
          <w:sz w:val="32"/>
          <w:szCs w:val="32"/>
        </w:rPr>
        <w:t>支出决算为</w:t>
      </w:r>
      <w:r>
        <w:rPr>
          <w:rStyle w:val="17"/>
          <w:rFonts w:hint="eastAsia" w:eastAsia="仿宋" w:cs="Times New Roman"/>
          <w:b w:val="0"/>
          <w:bCs/>
          <w:sz w:val="32"/>
          <w:szCs w:val="32"/>
          <w:lang w:val="en-US" w:eastAsia="zh-CN"/>
        </w:rPr>
        <w:t>36.41万元</w:t>
      </w:r>
      <w:r>
        <w:rPr>
          <w:rStyle w:val="17"/>
          <w:rFonts w:hint="default" w:ascii="Times New Roman" w:hAnsi="Times New Roman" w:eastAsia="仿宋" w:cs="Times New Roman"/>
          <w:b w:val="0"/>
          <w:bCs/>
          <w:sz w:val="32"/>
          <w:szCs w:val="32"/>
        </w:rPr>
        <w:t>，完成预算100%，主要是</w:t>
      </w:r>
      <w:r>
        <w:rPr>
          <w:rStyle w:val="17"/>
          <w:rFonts w:hint="default" w:ascii="Times New Roman" w:hAnsi="Times New Roman" w:eastAsia="仿宋" w:cs="Times New Roman"/>
          <w:b w:val="0"/>
          <w:bCs/>
          <w:color w:val="000000"/>
          <w:sz w:val="32"/>
          <w:szCs w:val="32"/>
        </w:rPr>
        <w:t>用于</w:t>
      </w:r>
      <w:r>
        <w:rPr>
          <w:rStyle w:val="17"/>
          <w:rFonts w:hint="eastAsia" w:eastAsia="仿宋" w:cs="Times New Roman"/>
          <w:b w:val="0"/>
          <w:bCs/>
          <w:color w:val="000000"/>
          <w:sz w:val="32"/>
          <w:szCs w:val="32"/>
          <w:lang w:val="en-US" w:eastAsia="zh-CN"/>
        </w:rPr>
        <w:t>基本养老保险缴费支出</w:t>
      </w:r>
      <w:r>
        <w:rPr>
          <w:rStyle w:val="17"/>
          <w:rFonts w:hint="default" w:ascii="Times New Roman" w:hAnsi="Times New Roman" w:eastAsia="仿宋" w:cs="Times New Roman"/>
          <w:b w:val="0"/>
          <w:bCs/>
          <w:sz w:val="32"/>
          <w:szCs w:val="32"/>
        </w:rPr>
        <w:t>。</w:t>
      </w:r>
    </w:p>
    <w:p>
      <w:pPr>
        <w:pStyle w:val="5"/>
        <w:ind w:firstLine="643" w:firstLineChars="200"/>
        <w:rPr>
          <w:rStyle w:val="17"/>
          <w:rFonts w:hint="eastAsia" w:ascii="Times New Roman" w:hAnsi="Times New Roman" w:eastAsia="仿宋" w:cs="Times New Roman"/>
          <w:b w:val="0"/>
          <w:bCs/>
          <w:sz w:val="32"/>
          <w:szCs w:val="32"/>
          <w:lang w:eastAsia="zh-CN"/>
        </w:rPr>
      </w:pPr>
      <w:r>
        <w:rPr>
          <w:rStyle w:val="17"/>
          <w:rFonts w:hint="eastAsia" w:ascii="Times New Roman" w:eastAsia="仿宋" w:cs="Times New Roman"/>
          <w:bCs/>
          <w:kern w:val="2"/>
          <w:sz w:val="32"/>
          <w:szCs w:val="32"/>
          <w:lang w:val="en-US" w:eastAsia="zh-CN" w:bidi="ar-SA"/>
        </w:rPr>
        <w:t>4.</w:t>
      </w:r>
      <w:r>
        <w:rPr>
          <w:rStyle w:val="17"/>
          <w:rFonts w:hint="default" w:ascii="Times New Roman" w:hAnsi="Times New Roman" w:eastAsia="仿宋" w:cs="Times New Roman"/>
          <w:bCs/>
          <w:kern w:val="2"/>
          <w:sz w:val="32"/>
          <w:szCs w:val="32"/>
          <w:lang w:val="en-US" w:eastAsia="zh-CN" w:bidi="ar-SA"/>
        </w:rPr>
        <w:t>社会保障和就业</w:t>
      </w:r>
      <w:r>
        <w:rPr>
          <w:rStyle w:val="17"/>
          <w:rFonts w:hint="eastAsia" w:ascii="Times New Roman" w:hAnsi="Times New Roman" w:eastAsia="仿宋" w:cs="Times New Roman"/>
          <w:bCs/>
          <w:kern w:val="2"/>
          <w:sz w:val="32"/>
          <w:szCs w:val="32"/>
          <w:lang w:val="en-US" w:eastAsia="zh-CN" w:bidi="ar-SA"/>
        </w:rPr>
        <w:t>支出</w:t>
      </w:r>
      <w:r>
        <w:rPr>
          <w:rStyle w:val="17"/>
          <w:rFonts w:hint="default" w:ascii="Times New Roman" w:hAnsi="Times New Roman" w:eastAsia="仿宋" w:cs="Times New Roman"/>
          <w:bCs/>
          <w:kern w:val="2"/>
          <w:sz w:val="32"/>
          <w:szCs w:val="32"/>
          <w:lang w:val="en-US" w:eastAsia="zh-CN" w:bidi="ar-SA"/>
        </w:rPr>
        <w:t>（类）行政事业单位养老支出（款）机关事业单位职业年金缴费支出</w:t>
      </w:r>
      <w:r>
        <w:rPr>
          <w:rStyle w:val="17"/>
          <w:rFonts w:hint="default" w:ascii="Times New Roman" w:hAnsi="Times New Roman" w:eastAsia="仿宋" w:cs="Times New Roman"/>
          <w:bCs/>
          <w:sz w:val="32"/>
          <w:szCs w:val="32"/>
        </w:rPr>
        <w:t>（项）</w:t>
      </w:r>
      <w:r>
        <w:rPr>
          <w:rStyle w:val="17"/>
          <w:rFonts w:hint="eastAsia" w:ascii="Times New Roman" w:eastAsia="仿宋" w:cs="Times New Roman"/>
          <w:bCs/>
          <w:sz w:val="32"/>
          <w:szCs w:val="32"/>
          <w:lang w:eastAsia="zh-CN"/>
        </w:rPr>
        <w:t>：</w:t>
      </w:r>
      <w:r>
        <w:rPr>
          <w:rStyle w:val="17"/>
          <w:rFonts w:hint="default" w:ascii="Times New Roman" w:hAnsi="Times New Roman" w:eastAsia="仿宋" w:cs="Times New Roman"/>
          <w:b w:val="0"/>
          <w:bCs/>
          <w:sz w:val="32"/>
          <w:szCs w:val="32"/>
        </w:rPr>
        <w:t>支出决算为</w:t>
      </w:r>
      <w:r>
        <w:rPr>
          <w:rStyle w:val="17"/>
          <w:rFonts w:hint="eastAsia" w:ascii="Times New Roman" w:hAnsi="Times New Roman" w:eastAsia="仿宋" w:cs="Times New Roman"/>
          <w:b w:val="0"/>
          <w:bCs/>
          <w:sz w:val="32"/>
          <w:szCs w:val="32"/>
          <w:lang w:val="en-US" w:eastAsia="zh-CN"/>
        </w:rPr>
        <w:t>5.58万</w:t>
      </w:r>
      <w:r>
        <w:rPr>
          <w:rStyle w:val="17"/>
          <w:rFonts w:hint="eastAsia" w:ascii="Times New Roman" w:eastAsia="仿宋" w:cs="Times New Roman"/>
          <w:b w:val="0"/>
          <w:bCs/>
          <w:sz w:val="32"/>
          <w:szCs w:val="32"/>
          <w:lang w:val="en-US" w:eastAsia="zh-CN"/>
        </w:rPr>
        <w:t>元，</w:t>
      </w:r>
      <w:r>
        <w:rPr>
          <w:rStyle w:val="17"/>
          <w:rFonts w:hint="default" w:ascii="Times New Roman" w:hAnsi="Times New Roman" w:eastAsia="仿宋" w:cs="Times New Roman"/>
          <w:b w:val="0"/>
          <w:bCs/>
          <w:sz w:val="32"/>
          <w:szCs w:val="32"/>
        </w:rPr>
        <w:t>完成预算100%，主要是</w:t>
      </w:r>
      <w:r>
        <w:rPr>
          <w:rStyle w:val="17"/>
          <w:rFonts w:hint="default" w:ascii="Times New Roman" w:hAnsi="Times New Roman" w:eastAsia="仿宋" w:cs="Times New Roman"/>
          <w:b w:val="0"/>
          <w:bCs/>
          <w:color w:val="000000"/>
          <w:sz w:val="32"/>
          <w:szCs w:val="32"/>
        </w:rPr>
        <w:t>用于</w:t>
      </w:r>
      <w:r>
        <w:rPr>
          <w:rStyle w:val="17"/>
          <w:rFonts w:hint="eastAsia" w:ascii="Times New Roman" w:eastAsia="仿宋" w:cs="Times New Roman"/>
          <w:b w:val="0"/>
          <w:bCs/>
          <w:color w:val="000000"/>
          <w:sz w:val="32"/>
          <w:szCs w:val="32"/>
          <w:lang w:eastAsia="zh-CN"/>
        </w:rPr>
        <w:t>单位</w:t>
      </w:r>
      <w:r>
        <w:rPr>
          <w:rStyle w:val="17"/>
          <w:rFonts w:hint="eastAsia" w:eastAsia="仿宋" w:cs="Times New Roman"/>
          <w:b w:val="0"/>
          <w:bCs/>
          <w:color w:val="000000"/>
          <w:sz w:val="32"/>
          <w:szCs w:val="32"/>
          <w:lang w:val="en-US" w:eastAsia="zh-CN"/>
        </w:rPr>
        <w:t>职业年金缴费支出</w:t>
      </w:r>
      <w:r>
        <w:rPr>
          <w:rStyle w:val="17"/>
          <w:rFonts w:hint="default" w:ascii="Times New Roman" w:hAnsi="Times New Roman" w:eastAsia="仿宋" w:cs="Times New Roman"/>
          <w:b w:val="0"/>
          <w:bCs/>
          <w:sz w:val="32"/>
          <w:szCs w:val="32"/>
        </w:rPr>
        <w:t>。</w:t>
      </w:r>
    </w:p>
    <w:p>
      <w:pPr>
        <w:pStyle w:val="5"/>
        <w:ind w:firstLine="643" w:firstLineChars="200"/>
        <w:rPr>
          <w:rFonts w:hint="eastAsia" w:eastAsia="仿宋"/>
          <w:lang w:eastAsia="zh-CN"/>
        </w:rPr>
      </w:pPr>
      <w:r>
        <w:rPr>
          <w:rStyle w:val="17"/>
          <w:rFonts w:hint="eastAsia" w:ascii="Times New Roman" w:eastAsia="仿宋" w:cs="Times New Roman"/>
          <w:bCs/>
          <w:sz w:val="32"/>
          <w:szCs w:val="32"/>
          <w:lang w:val="en-US" w:eastAsia="zh-CN"/>
        </w:rPr>
        <w:t>5</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Cs/>
          <w:kern w:val="2"/>
          <w:sz w:val="32"/>
          <w:szCs w:val="32"/>
          <w:lang w:val="en-US" w:eastAsia="zh-CN" w:bidi="ar-SA"/>
        </w:rPr>
        <w:t>社会保障和就业</w:t>
      </w:r>
      <w:r>
        <w:rPr>
          <w:rStyle w:val="17"/>
          <w:rFonts w:hint="eastAsia" w:ascii="Times New Roman" w:hAnsi="Times New Roman" w:eastAsia="仿宋" w:cs="Times New Roman"/>
          <w:bCs/>
          <w:kern w:val="2"/>
          <w:sz w:val="32"/>
          <w:szCs w:val="32"/>
          <w:lang w:val="en-US" w:eastAsia="zh-CN" w:bidi="ar-SA"/>
        </w:rPr>
        <w:t>支出</w:t>
      </w:r>
      <w:r>
        <w:rPr>
          <w:rStyle w:val="17"/>
          <w:rFonts w:hint="default" w:ascii="Times New Roman" w:hAnsi="Times New Roman" w:eastAsia="仿宋" w:cs="Times New Roman"/>
          <w:bCs/>
          <w:kern w:val="2"/>
          <w:sz w:val="32"/>
          <w:szCs w:val="32"/>
          <w:lang w:val="en-US" w:eastAsia="zh-CN" w:bidi="ar-SA"/>
        </w:rPr>
        <w:t>（类）残疾人事业（款）残疾人就业</w:t>
      </w:r>
      <w:r>
        <w:rPr>
          <w:rStyle w:val="17"/>
          <w:rFonts w:hint="default" w:ascii="Times New Roman" w:hAnsi="Times New Roman" w:eastAsia="仿宋" w:cs="Times New Roman"/>
          <w:bCs/>
          <w:sz w:val="32"/>
          <w:szCs w:val="32"/>
        </w:rPr>
        <w:t>（项）</w:t>
      </w:r>
      <w:r>
        <w:rPr>
          <w:rStyle w:val="17"/>
          <w:rFonts w:hint="eastAsia" w:ascii="Times New Roman" w:eastAsia="仿宋" w:cs="Times New Roman"/>
          <w:bCs/>
          <w:sz w:val="32"/>
          <w:szCs w:val="32"/>
          <w:lang w:eastAsia="zh-CN"/>
        </w:rPr>
        <w:t>：</w:t>
      </w:r>
      <w:r>
        <w:rPr>
          <w:rStyle w:val="17"/>
          <w:rFonts w:hint="default" w:ascii="Times New Roman" w:hAnsi="Times New Roman" w:eastAsia="仿宋" w:cs="Times New Roman"/>
          <w:b w:val="0"/>
          <w:bCs/>
          <w:sz w:val="32"/>
          <w:szCs w:val="32"/>
        </w:rPr>
        <w:t>支出决算为</w:t>
      </w:r>
      <w:r>
        <w:rPr>
          <w:rStyle w:val="17"/>
          <w:rFonts w:hint="eastAsia" w:ascii="Times New Roman" w:hAnsi="Times New Roman" w:eastAsia="仿宋" w:cs="Times New Roman"/>
          <w:b w:val="0"/>
          <w:bCs/>
          <w:sz w:val="32"/>
          <w:szCs w:val="32"/>
          <w:lang w:val="en-US" w:eastAsia="zh-CN"/>
        </w:rPr>
        <w:t>2.69</w:t>
      </w:r>
      <w:r>
        <w:rPr>
          <w:rStyle w:val="17"/>
          <w:rFonts w:hint="default" w:ascii="Times New Roman" w:hAnsi="Times New Roman" w:eastAsia="仿宋" w:cs="Times New Roman"/>
          <w:b w:val="0"/>
          <w:bCs/>
          <w:sz w:val="32"/>
          <w:szCs w:val="32"/>
        </w:rPr>
        <w:t>万元，完成预算100%，主要是</w:t>
      </w:r>
      <w:r>
        <w:rPr>
          <w:rStyle w:val="17"/>
          <w:rFonts w:hint="default" w:ascii="Times New Roman" w:hAnsi="Times New Roman" w:eastAsia="仿宋" w:cs="Times New Roman"/>
          <w:b w:val="0"/>
          <w:bCs/>
          <w:color w:val="000000"/>
          <w:sz w:val="32"/>
          <w:szCs w:val="32"/>
        </w:rPr>
        <w:t>用于</w:t>
      </w:r>
      <w:r>
        <w:rPr>
          <w:rStyle w:val="17"/>
          <w:rFonts w:hint="eastAsia" w:eastAsia="仿宋" w:cs="Times New Roman"/>
          <w:b w:val="0"/>
          <w:bCs/>
          <w:color w:val="000000"/>
          <w:sz w:val="32"/>
          <w:szCs w:val="32"/>
          <w:lang w:val="en-US" w:eastAsia="zh-CN"/>
        </w:rPr>
        <w:t>残疾人就业支出</w:t>
      </w:r>
      <w:r>
        <w:rPr>
          <w:rStyle w:val="17"/>
          <w:rFonts w:hint="default" w:ascii="Times New Roman" w:hAnsi="Times New Roman" w:eastAsia="仿宋" w:cs="Times New Roman"/>
          <w:b w:val="0"/>
          <w:bCs/>
          <w:sz w:val="32"/>
          <w:szCs w:val="32"/>
        </w:rPr>
        <w:t>。</w:t>
      </w:r>
    </w:p>
    <w:p>
      <w:pPr>
        <w:spacing w:line="600" w:lineRule="exact"/>
        <w:ind w:firstLine="643" w:firstLineChars="200"/>
        <w:rPr>
          <w:rStyle w:val="17"/>
          <w:rFonts w:hint="default" w:ascii="Times New Roman" w:hAnsi="Times New Roman" w:eastAsia="仿宋" w:cs="Times New Roman"/>
          <w:bCs/>
          <w:sz w:val="32"/>
          <w:szCs w:val="32"/>
        </w:rPr>
      </w:pPr>
      <w:r>
        <w:rPr>
          <w:rStyle w:val="17"/>
          <w:rFonts w:hint="eastAsia" w:eastAsia="仿宋" w:cs="Times New Roman"/>
          <w:bCs/>
          <w:kern w:val="2"/>
          <w:sz w:val="32"/>
          <w:szCs w:val="32"/>
          <w:lang w:val="en-US" w:eastAsia="zh-CN" w:bidi="ar-SA"/>
        </w:rPr>
        <w:t>6.</w:t>
      </w:r>
      <w:r>
        <w:rPr>
          <w:rStyle w:val="17"/>
          <w:rFonts w:hint="default" w:ascii="Times New Roman" w:hAnsi="Times New Roman" w:eastAsia="仿宋" w:cs="Times New Roman"/>
          <w:bCs/>
          <w:kern w:val="2"/>
          <w:sz w:val="32"/>
          <w:szCs w:val="32"/>
          <w:lang w:val="en-US" w:eastAsia="zh-CN" w:bidi="ar-SA"/>
        </w:rPr>
        <w:t>社会保障和就业</w:t>
      </w:r>
      <w:r>
        <w:rPr>
          <w:rStyle w:val="17"/>
          <w:rFonts w:hint="eastAsia" w:ascii="Times New Roman" w:hAnsi="Times New Roman" w:eastAsia="仿宋" w:cs="Times New Roman"/>
          <w:bCs/>
          <w:kern w:val="2"/>
          <w:sz w:val="32"/>
          <w:szCs w:val="32"/>
          <w:lang w:val="en-US" w:eastAsia="zh-CN" w:bidi="ar-SA"/>
        </w:rPr>
        <w:t>支出</w:t>
      </w:r>
      <w:r>
        <w:rPr>
          <w:rStyle w:val="17"/>
          <w:rFonts w:hint="default" w:ascii="Times New Roman" w:hAnsi="Times New Roman" w:eastAsia="仿宋" w:cs="Times New Roman"/>
          <w:bCs/>
          <w:kern w:val="2"/>
          <w:sz w:val="32"/>
          <w:szCs w:val="32"/>
          <w:lang w:val="en-US" w:eastAsia="zh-CN" w:bidi="ar-SA"/>
        </w:rPr>
        <w:t>（类）其他社会保障和就业支出（款）其他社会保障和就业支出</w:t>
      </w:r>
      <w:r>
        <w:rPr>
          <w:rStyle w:val="17"/>
          <w:rFonts w:hint="default" w:ascii="Times New Roman" w:hAnsi="Times New Roman" w:eastAsia="仿宋" w:cs="Times New Roman"/>
          <w:bCs/>
          <w:sz w:val="32"/>
          <w:szCs w:val="32"/>
        </w:rPr>
        <w:t>（项）</w:t>
      </w:r>
      <w:r>
        <w:rPr>
          <w:rStyle w:val="17"/>
          <w:rFonts w:hint="eastAsia" w:ascii="Times New Roman" w:eastAsia="仿宋" w:cs="Times New Roman"/>
          <w:bCs/>
          <w:sz w:val="32"/>
          <w:szCs w:val="32"/>
          <w:lang w:eastAsia="zh-CN"/>
        </w:rPr>
        <w:t>：</w:t>
      </w:r>
      <w:r>
        <w:rPr>
          <w:rStyle w:val="17"/>
          <w:rFonts w:hint="default" w:ascii="Times New Roman" w:hAnsi="Times New Roman" w:eastAsia="仿宋" w:cs="Times New Roman"/>
          <w:b w:val="0"/>
          <w:bCs/>
          <w:sz w:val="32"/>
          <w:szCs w:val="32"/>
        </w:rPr>
        <w:t>支出决</w:t>
      </w:r>
      <w:r>
        <w:rPr>
          <w:rStyle w:val="17"/>
          <w:rFonts w:hint="default" w:ascii="Times New Roman" w:hAnsi="Times New Roman" w:eastAsia="仿宋" w:cs="Times New Roman"/>
          <w:b w:val="0"/>
          <w:bCs/>
          <w:kern w:val="0"/>
          <w:sz w:val="32"/>
          <w:szCs w:val="32"/>
          <w:lang w:val="en-US" w:eastAsia="zh-CN" w:bidi="ar-SA"/>
        </w:rPr>
        <w:t>算为</w:t>
      </w:r>
      <w:r>
        <w:rPr>
          <w:rStyle w:val="17"/>
          <w:rFonts w:hint="eastAsia" w:eastAsia="仿宋" w:cs="Times New Roman"/>
          <w:b w:val="0"/>
          <w:bCs/>
          <w:kern w:val="0"/>
          <w:sz w:val="32"/>
          <w:szCs w:val="32"/>
          <w:lang w:val="en-US" w:eastAsia="zh-CN" w:bidi="ar-SA"/>
        </w:rPr>
        <w:t>2.35</w:t>
      </w:r>
      <w:r>
        <w:rPr>
          <w:rStyle w:val="17"/>
          <w:rFonts w:hint="default" w:ascii="Times New Roman" w:hAnsi="Times New Roman" w:eastAsia="仿宋" w:cs="Times New Roman"/>
          <w:b w:val="0"/>
          <w:bCs/>
          <w:sz w:val="32"/>
          <w:szCs w:val="32"/>
        </w:rPr>
        <w:t>万元，完成预算100%，主要是</w:t>
      </w:r>
      <w:r>
        <w:rPr>
          <w:rStyle w:val="17"/>
          <w:rFonts w:hint="default" w:ascii="Times New Roman" w:hAnsi="Times New Roman" w:eastAsia="仿宋" w:cs="Times New Roman"/>
          <w:b w:val="0"/>
          <w:bCs/>
          <w:color w:val="000000"/>
          <w:sz w:val="32"/>
          <w:szCs w:val="32"/>
        </w:rPr>
        <w:t>用于</w:t>
      </w:r>
      <w:r>
        <w:rPr>
          <w:rStyle w:val="17"/>
          <w:rFonts w:hint="default" w:ascii="Times New Roman" w:hAnsi="Times New Roman" w:eastAsia="仿宋" w:cs="Times New Roman"/>
          <w:b w:val="0"/>
          <w:bCs/>
          <w:color w:val="000000"/>
          <w:sz w:val="32"/>
          <w:szCs w:val="32"/>
          <w:lang w:val="en-US" w:eastAsia="zh-CN"/>
        </w:rPr>
        <w:t>其他社会保障和就业</w:t>
      </w:r>
      <w:r>
        <w:rPr>
          <w:rStyle w:val="17"/>
          <w:rFonts w:hint="eastAsia" w:ascii="Times New Roman" w:hAnsi="Times New Roman" w:eastAsia="仿宋" w:cs="Times New Roman"/>
          <w:b w:val="0"/>
          <w:bCs/>
          <w:color w:val="000000"/>
          <w:sz w:val="32"/>
          <w:szCs w:val="32"/>
          <w:lang w:val="en-US" w:eastAsia="zh-CN"/>
        </w:rPr>
        <w:t>支</w:t>
      </w:r>
      <w:r>
        <w:rPr>
          <w:rStyle w:val="17"/>
          <w:rFonts w:hint="eastAsia" w:eastAsia="仿宋" w:cs="Times New Roman"/>
          <w:b w:val="0"/>
          <w:bCs/>
          <w:color w:val="000000"/>
          <w:sz w:val="32"/>
          <w:szCs w:val="32"/>
          <w:lang w:val="en-US" w:eastAsia="zh-CN"/>
        </w:rPr>
        <w:t>出</w:t>
      </w:r>
      <w:r>
        <w:rPr>
          <w:rStyle w:val="17"/>
          <w:rFonts w:hint="default" w:ascii="Times New Roman" w:hAnsi="Times New Roman" w:eastAsia="仿宋" w:cs="Times New Roman"/>
          <w:b w:val="0"/>
          <w:bCs/>
          <w:sz w:val="32"/>
          <w:szCs w:val="32"/>
        </w:rPr>
        <w:t>。</w:t>
      </w:r>
    </w:p>
    <w:p>
      <w:pPr>
        <w:spacing w:line="600" w:lineRule="exact"/>
        <w:ind w:firstLine="643" w:firstLineChars="200"/>
        <w:rPr>
          <w:rStyle w:val="17"/>
          <w:rFonts w:hint="default" w:ascii="Times New Roman" w:hAnsi="Times New Roman" w:eastAsia="仿宋" w:cs="Times New Roman"/>
          <w:b w:val="0"/>
          <w:bCs/>
          <w:sz w:val="32"/>
          <w:szCs w:val="32"/>
        </w:rPr>
      </w:pPr>
      <w:r>
        <w:rPr>
          <w:rStyle w:val="17"/>
          <w:rFonts w:hint="eastAsia" w:eastAsia="仿宋" w:cs="Times New Roman"/>
          <w:bCs/>
          <w:sz w:val="32"/>
          <w:szCs w:val="32"/>
          <w:lang w:val="en-US" w:eastAsia="zh-CN"/>
        </w:rPr>
        <w:t>7</w:t>
      </w:r>
      <w:r>
        <w:rPr>
          <w:rStyle w:val="17"/>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卫生健康支出</w:t>
      </w:r>
      <w:r>
        <w:rPr>
          <w:rStyle w:val="17"/>
          <w:rFonts w:hint="default" w:ascii="Times New Roman" w:hAnsi="Times New Roman" w:eastAsia="仿宋" w:cs="Times New Roman"/>
          <w:bCs/>
          <w:sz w:val="32"/>
          <w:szCs w:val="32"/>
        </w:rPr>
        <w:t>（类）行政事业单位医疗（款）事业单位医疗（项）:</w:t>
      </w:r>
      <w:r>
        <w:rPr>
          <w:rStyle w:val="17"/>
          <w:rFonts w:hint="default" w:ascii="Times New Roman" w:hAnsi="Times New Roman" w:eastAsia="仿宋" w:cs="Times New Roman"/>
          <w:b w:val="0"/>
          <w:bCs/>
          <w:sz w:val="32"/>
          <w:szCs w:val="32"/>
        </w:rPr>
        <w:t>支出决算为</w:t>
      </w:r>
      <w:r>
        <w:rPr>
          <w:rStyle w:val="17"/>
          <w:rFonts w:hint="eastAsia" w:eastAsia="仿宋" w:cs="Times New Roman"/>
          <w:b w:val="0"/>
          <w:bCs/>
          <w:sz w:val="32"/>
          <w:szCs w:val="32"/>
          <w:lang w:val="en-US" w:eastAsia="zh-CN"/>
        </w:rPr>
        <w:t>14</w:t>
      </w:r>
      <w:r>
        <w:rPr>
          <w:rStyle w:val="17"/>
          <w:rFonts w:hint="default" w:ascii="Times New Roman" w:hAnsi="Times New Roman" w:eastAsia="仿宋" w:cs="Times New Roman"/>
          <w:b w:val="0"/>
          <w:bCs/>
          <w:sz w:val="32"/>
          <w:szCs w:val="32"/>
        </w:rPr>
        <w:t>万元，完成预算100%，主要是</w:t>
      </w:r>
      <w:r>
        <w:rPr>
          <w:rStyle w:val="17"/>
          <w:rFonts w:hint="default" w:ascii="Times New Roman" w:hAnsi="Times New Roman" w:eastAsia="仿宋" w:cs="Times New Roman"/>
          <w:b w:val="0"/>
          <w:bCs/>
          <w:color w:val="000000"/>
          <w:sz w:val="32"/>
          <w:szCs w:val="32"/>
        </w:rPr>
        <w:t>用于单位人员医疗保险缴费</w:t>
      </w:r>
      <w:r>
        <w:rPr>
          <w:rStyle w:val="17"/>
          <w:rFonts w:hint="default" w:ascii="Times New Roman" w:hAnsi="Times New Roman" w:eastAsia="仿宋" w:cs="Times New Roman"/>
          <w:b w:val="0"/>
          <w:bCs/>
          <w:sz w:val="32"/>
          <w:szCs w:val="32"/>
        </w:rPr>
        <w:t>支出。</w:t>
      </w:r>
    </w:p>
    <w:p>
      <w:pPr>
        <w:spacing w:line="600" w:lineRule="exact"/>
        <w:ind w:firstLine="643" w:firstLineChars="200"/>
        <w:rPr>
          <w:rStyle w:val="17"/>
          <w:rFonts w:hint="default" w:ascii="Times New Roman" w:hAnsi="Times New Roman" w:eastAsia="仿宋" w:cs="Times New Roman"/>
          <w:b w:val="0"/>
          <w:bCs/>
          <w:sz w:val="32"/>
          <w:szCs w:val="32"/>
        </w:rPr>
      </w:pPr>
      <w:r>
        <w:rPr>
          <w:rStyle w:val="17"/>
          <w:rFonts w:hint="eastAsia" w:eastAsia="仿宋" w:cs="Times New Roman"/>
          <w:bCs/>
          <w:sz w:val="32"/>
          <w:szCs w:val="32"/>
          <w:lang w:val="en-US" w:eastAsia="zh-CN"/>
        </w:rPr>
        <w:t>8</w:t>
      </w:r>
      <w:r>
        <w:rPr>
          <w:rStyle w:val="17"/>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卫生健康支出</w:t>
      </w:r>
      <w:r>
        <w:rPr>
          <w:rStyle w:val="17"/>
          <w:rFonts w:hint="default" w:ascii="Times New Roman" w:hAnsi="Times New Roman" w:eastAsia="仿宋" w:cs="Times New Roman"/>
          <w:bCs/>
          <w:sz w:val="32"/>
          <w:szCs w:val="32"/>
        </w:rPr>
        <w:t>（类）行政事业单位医疗（款）公务员医疗补助（项）:</w:t>
      </w:r>
      <w:r>
        <w:rPr>
          <w:rStyle w:val="17"/>
          <w:rFonts w:hint="default" w:ascii="Times New Roman" w:hAnsi="Times New Roman" w:eastAsia="仿宋" w:cs="Times New Roman"/>
          <w:b w:val="0"/>
          <w:bCs/>
          <w:sz w:val="32"/>
          <w:szCs w:val="32"/>
        </w:rPr>
        <w:t>支出决算为</w:t>
      </w:r>
      <w:r>
        <w:rPr>
          <w:rStyle w:val="17"/>
          <w:rFonts w:hint="eastAsia" w:eastAsia="仿宋" w:cs="Times New Roman"/>
          <w:b w:val="0"/>
          <w:bCs/>
          <w:sz w:val="32"/>
          <w:szCs w:val="32"/>
          <w:lang w:val="en-US" w:eastAsia="zh-CN"/>
        </w:rPr>
        <w:t>5.37</w:t>
      </w:r>
      <w:r>
        <w:rPr>
          <w:rStyle w:val="17"/>
          <w:rFonts w:hint="default" w:ascii="Times New Roman" w:hAnsi="Times New Roman" w:eastAsia="仿宋" w:cs="Times New Roman"/>
          <w:b w:val="0"/>
          <w:bCs/>
          <w:sz w:val="32"/>
          <w:szCs w:val="32"/>
        </w:rPr>
        <w:t>万元，完成预算100%，主要是</w:t>
      </w:r>
      <w:r>
        <w:rPr>
          <w:rStyle w:val="17"/>
          <w:rFonts w:hint="default" w:ascii="Times New Roman" w:hAnsi="Times New Roman" w:eastAsia="仿宋" w:cs="Times New Roman"/>
          <w:b w:val="0"/>
          <w:bCs/>
          <w:color w:val="000000"/>
          <w:sz w:val="32"/>
          <w:szCs w:val="32"/>
        </w:rPr>
        <w:t>用于单位人员医疗补助</w:t>
      </w:r>
      <w:r>
        <w:rPr>
          <w:rStyle w:val="17"/>
          <w:rFonts w:hint="default" w:ascii="Times New Roman" w:hAnsi="Times New Roman" w:eastAsia="仿宋" w:cs="Times New Roman"/>
          <w:b w:val="0"/>
          <w:bCs/>
          <w:sz w:val="32"/>
          <w:szCs w:val="32"/>
        </w:rPr>
        <w:t>支出。</w:t>
      </w:r>
    </w:p>
    <w:p>
      <w:pPr>
        <w:spacing w:line="600" w:lineRule="exact"/>
        <w:ind w:firstLine="643" w:firstLineChars="200"/>
        <w:rPr>
          <w:rStyle w:val="17"/>
          <w:rFonts w:hint="default" w:ascii="Times New Roman" w:hAnsi="Times New Roman" w:eastAsia="仿宋" w:cs="Times New Roman"/>
          <w:b w:val="0"/>
          <w:bCs/>
          <w:sz w:val="32"/>
          <w:szCs w:val="32"/>
        </w:rPr>
      </w:pPr>
      <w:r>
        <w:rPr>
          <w:rStyle w:val="17"/>
          <w:rFonts w:hint="eastAsia" w:eastAsia="仿宋" w:cs="Times New Roman"/>
          <w:bCs/>
          <w:sz w:val="32"/>
          <w:szCs w:val="32"/>
          <w:lang w:val="en-US" w:eastAsia="zh-CN"/>
        </w:rPr>
        <w:t>9</w:t>
      </w:r>
      <w:r>
        <w:rPr>
          <w:rStyle w:val="17"/>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住房保障支出</w:t>
      </w:r>
      <w:r>
        <w:rPr>
          <w:rStyle w:val="17"/>
          <w:rFonts w:hint="default" w:ascii="Times New Roman" w:hAnsi="Times New Roman" w:eastAsia="仿宋" w:cs="Times New Roman"/>
          <w:bCs/>
          <w:sz w:val="32"/>
          <w:szCs w:val="32"/>
        </w:rPr>
        <w:t>（类）住房改革支出（款）住房公积金（项）:</w:t>
      </w:r>
      <w:r>
        <w:rPr>
          <w:rStyle w:val="17"/>
          <w:rFonts w:hint="default" w:ascii="Times New Roman" w:hAnsi="Times New Roman" w:eastAsia="仿宋" w:cs="Times New Roman"/>
          <w:b w:val="0"/>
          <w:bCs/>
          <w:sz w:val="32"/>
          <w:szCs w:val="32"/>
        </w:rPr>
        <w:t>支出决算为3</w:t>
      </w:r>
      <w:r>
        <w:rPr>
          <w:rStyle w:val="17"/>
          <w:rFonts w:hint="eastAsia" w:eastAsia="仿宋" w:cs="Times New Roman"/>
          <w:b w:val="0"/>
          <w:bCs/>
          <w:sz w:val="32"/>
          <w:szCs w:val="32"/>
          <w:lang w:val="en-US" w:eastAsia="zh-CN"/>
        </w:rPr>
        <w:t>0.14万元</w:t>
      </w:r>
      <w:r>
        <w:rPr>
          <w:rStyle w:val="17"/>
          <w:rFonts w:hint="default" w:ascii="Times New Roman" w:hAnsi="Times New Roman" w:eastAsia="仿宋" w:cs="Times New Roman"/>
          <w:b w:val="0"/>
          <w:bCs/>
          <w:sz w:val="32"/>
          <w:szCs w:val="32"/>
        </w:rPr>
        <w:t>，完成预算100%</w:t>
      </w:r>
      <w:r>
        <w:rPr>
          <w:rFonts w:hint="default" w:ascii="Times New Roman" w:hAnsi="Times New Roman" w:cs="Times New Roman"/>
        </w:rPr>
        <w:t>。</w:t>
      </w:r>
      <w:r>
        <w:rPr>
          <w:rStyle w:val="17"/>
          <w:rFonts w:hint="default" w:ascii="Times New Roman" w:hAnsi="Times New Roman" w:eastAsia="仿宋" w:cs="Times New Roman"/>
          <w:b w:val="0"/>
          <w:bCs/>
          <w:sz w:val="32"/>
          <w:szCs w:val="32"/>
        </w:rPr>
        <w:t>主要是</w:t>
      </w:r>
      <w:r>
        <w:rPr>
          <w:rStyle w:val="17"/>
          <w:rFonts w:hint="default" w:ascii="Times New Roman" w:hAnsi="Times New Roman" w:eastAsia="仿宋" w:cs="Times New Roman"/>
          <w:b w:val="0"/>
          <w:bCs/>
          <w:color w:val="000000"/>
          <w:sz w:val="32"/>
          <w:szCs w:val="32"/>
        </w:rPr>
        <w:t>用于单位人员住房公积金</w:t>
      </w:r>
      <w:r>
        <w:rPr>
          <w:rStyle w:val="17"/>
          <w:rFonts w:hint="default" w:ascii="Times New Roman" w:hAnsi="Times New Roman" w:eastAsia="仿宋" w:cs="Times New Roman"/>
          <w:b w:val="0"/>
          <w:bCs/>
          <w:sz w:val="32"/>
          <w:szCs w:val="32"/>
        </w:rPr>
        <w:t>支出。</w:t>
      </w:r>
    </w:p>
    <w:p>
      <w:pPr>
        <w:tabs>
          <w:tab w:val="right" w:pos="8306"/>
        </w:tabs>
        <w:spacing w:line="600" w:lineRule="exact"/>
        <w:ind w:firstLine="640"/>
        <w:outlineLvl w:val="1"/>
        <w:rPr>
          <w:rStyle w:val="28"/>
          <w:rFonts w:hint="default" w:ascii="Times New Roman" w:hAnsi="Times New Roman" w:cs="Times New Roman"/>
          <w:lang w:val="en-US"/>
        </w:rPr>
      </w:pPr>
      <w:bookmarkStart w:id="55" w:name="_Toc15396608"/>
      <w:bookmarkStart w:id="56" w:name="_Toc15377214"/>
      <w:bookmarkStart w:id="57" w:name="_Toc113893525"/>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8"/>
          <w:rFonts w:hint="default" w:ascii="Times New Roman" w:hAnsi="Times New Roman" w:eastAsia="黑体" w:cs="Times New Roman"/>
          <w:b w:val="0"/>
        </w:rPr>
        <w:t>般公共预算财政拨款基本支出决算情况说明</w:t>
      </w:r>
      <w:bookmarkEnd w:id="55"/>
      <w:bookmarkEnd w:id="56"/>
      <w:bookmarkEnd w:id="57"/>
    </w:p>
    <w:p>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年一般公共预算财政拨款基本支出4</w:t>
      </w:r>
      <w:r>
        <w:rPr>
          <w:rFonts w:hint="eastAsia" w:eastAsia="仿宋" w:cs="Times New Roman"/>
          <w:sz w:val="32"/>
          <w:szCs w:val="32"/>
          <w:lang w:val="en-US" w:eastAsia="zh-CN"/>
        </w:rPr>
        <w:t>01.30</w:t>
      </w:r>
      <w:r>
        <w:rPr>
          <w:rFonts w:hint="default" w:ascii="Times New Roman" w:hAnsi="Times New Roman" w:eastAsia="仿宋" w:cs="Times New Roman"/>
          <w:sz w:val="32"/>
          <w:szCs w:val="32"/>
        </w:rPr>
        <w:t>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人员经费</w:t>
      </w:r>
      <w:r>
        <w:rPr>
          <w:rFonts w:hint="eastAsia" w:eastAsia="仿宋" w:cs="Times New Roman"/>
          <w:sz w:val="32"/>
          <w:szCs w:val="32"/>
          <w:lang w:val="en-US" w:eastAsia="zh-CN"/>
        </w:rPr>
        <w:t>381.23</w:t>
      </w:r>
      <w:r>
        <w:rPr>
          <w:rFonts w:hint="default" w:ascii="Times New Roman" w:hAnsi="Times New Roman" w:eastAsia="仿宋" w:cs="Times New Roman"/>
          <w:sz w:val="32"/>
          <w:szCs w:val="32"/>
        </w:rPr>
        <w:t>万元，主要包括：</w:t>
      </w:r>
      <w:r>
        <w:rPr>
          <w:rFonts w:hint="default" w:ascii="Times New Roman" w:hAnsi="Times New Roman" w:eastAsia="仿宋" w:cs="Times New Roman"/>
          <w:color w:val="000000"/>
          <w:sz w:val="32"/>
          <w:szCs w:val="32"/>
        </w:rPr>
        <w:t>基本工资、津贴补贴、绩效工资、机关事业单位基本养老保险缴费、</w:t>
      </w:r>
      <w:r>
        <w:rPr>
          <w:rFonts w:hint="eastAsia" w:eastAsia="仿宋" w:cs="Times New Roman"/>
          <w:color w:val="000000"/>
          <w:sz w:val="32"/>
          <w:szCs w:val="32"/>
          <w:lang w:eastAsia="zh-CN"/>
        </w:rPr>
        <w:t>职业年金、</w:t>
      </w:r>
      <w:r>
        <w:rPr>
          <w:rFonts w:hint="default" w:ascii="Times New Roman" w:hAnsi="Times New Roman" w:eastAsia="仿宋" w:cs="Times New Roman"/>
          <w:color w:val="000000"/>
          <w:sz w:val="32"/>
          <w:szCs w:val="32"/>
        </w:rPr>
        <w:t>职工基本医疗保险缴费、公务员医疗补助缴费、</w:t>
      </w:r>
      <w:r>
        <w:rPr>
          <w:rFonts w:hint="eastAsia" w:eastAsia="仿宋" w:cs="Times New Roman"/>
          <w:color w:val="000000"/>
          <w:sz w:val="32"/>
          <w:szCs w:val="32"/>
          <w:lang w:val="en-US" w:eastAsia="zh-CN"/>
        </w:rPr>
        <w:t>残疾人就业保障金、</w:t>
      </w:r>
      <w:r>
        <w:rPr>
          <w:rFonts w:hint="default" w:ascii="Times New Roman" w:hAnsi="Times New Roman" w:eastAsia="仿宋" w:cs="Times New Roman"/>
          <w:color w:val="000000"/>
          <w:sz w:val="32"/>
          <w:szCs w:val="32"/>
        </w:rPr>
        <w:t>其他社会保障缴费、住房公积金、其他工资福利支出</w:t>
      </w:r>
      <w:r>
        <w:rPr>
          <w:rFonts w:hint="eastAsia" w:eastAsia="仿宋" w:cs="Times New Roman"/>
          <w:color w:val="000000"/>
          <w:sz w:val="32"/>
          <w:szCs w:val="32"/>
          <w:lang w:eastAsia="zh-CN"/>
        </w:rPr>
        <w:t>、离退休人员经费</w:t>
      </w:r>
      <w:r>
        <w:rPr>
          <w:rFonts w:hint="default" w:ascii="Times New Roman" w:hAnsi="Times New Roman" w:eastAsia="仿宋" w:cs="Times New Roman"/>
          <w:color w:val="000000"/>
          <w:sz w:val="32"/>
          <w:szCs w:val="32"/>
        </w:rPr>
        <w:t>等。</w:t>
      </w:r>
    </w:p>
    <w:p>
      <w:pPr>
        <w:spacing w:line="600" w:lineRule="exact"/>
        <w:ind w:firstLine="645"/>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公用经费</w:t>
      </w:r>
      <w:r>
        <w:rPr>
          <w:rFonts w:hint="eastAsia" w:eastAsia="仿宋" w:cs="Times New Roman"/>
          <w:sz w:val="32"/>
          <w:szCs w:val="32"/>
          <w:lang w:val="en-US" w:eastAsia="zh-CN"/>
        </w:rPr>
        <w:t>20.07</w:t>
      </w:r>
      <w:r>
        <w:rPr>
          <w:rFonts w:hint="default" w:ascii="Times New Roman" w:hAnsi="Times New Roman" w:eastAsia="仿宋" w:cs="Times New Roman"/>
          <w:sz w:val="32"/>
          <w:szCs w:val="32"/>
        </w:rPr>
        <w:t>万元，主要包括：办公费、印刷费、手续费、水费、电费、邮电费、物业管理费、差旅费、维修（护）费、租赁费、培训费、专用材料费、工会经费、福利费、其他交通费、其他商品和服务支出等。</w:t>
      </w:r>
    </w:p>
    <w:p>
      <w:pPr>
        <w:spacing w:line="600" w:lineRule="exact"/>
        <w:ind w:firstLine="640"/>
        <w:outlineLvl w:val="1"/>
        <w:rPr>
          <w:rStyle w:val="28"/>
          <w:rFonts w:hint="default" w:ascii="Times New Roman" w:hAnsi="Times New Roman" w:eastAsia="黑体" w:cs="Times New Roman"/>
          <w:b w:val="0"/>
        </w:rPr>
      </w:pPr>
      <w:bookmarkStart w:id="58" w:name="_Toc15396609"/>
      <w:bookmarkStart w:id="59" w:name="_Toc113893526"/>
      <w:bookmarkStart w:id="60" w:name="_Toc15377215"/>
      <w:r>
        <w:rPr>
          <w:rFonts w:hint="default" w:ascii="Times New Roman" w:hAnsi="Times New Roman" w:eastAsia="黑体" w:cs="Times New Roman"/>
          <w:sz w:val="32"/>
          <w:szCs w:val="32"/>
        </w:rPr>
        <w:t>七、</w:t>
      </w:r>
      <w:r>
        <w:rPr>
          <w:rStyle w:val="28"/>
          <w:rFonts w:hint="default" w:ascii="Times New Roman" w:hAnsi="Times New Roman" w:eastAsia="黑体" w:cs="Times New Roman"/>
        </w:rPr>
        <w:t>“</w:t>
      </w:r>
      <w:r>
        <w:rPr>
          <w:rStyle w:val="28"/>
          <w:rFonts w:hint="default" w:ascii="Times New Roman" w:hAnsi="Times New Roman" w:eastAsia="黑体" w:cs="Times New Roman"/>
          <w:b w:val="0"/>
        </w:rPr>
        <w:t>三公”经费财政拨款支出决算情况说明</w:t>
      </w:r>
      <w:bookmarkEnd w:id="58"/>
      <w:bookmarkEnd w:id="59"/>
      <w:bookmarkEnd w:id="60"/>
    </w:p>
    <w:p>
      <w:pPr>
        <w:spacing w:line="600" w:lineRule="exact"/>
        <w:ind w:firstLine="640"/>
        <w:outlineLvl w:val="2"/>
        <w:rPr>
          <w:rFonts w:hint="default" w:ascii="Times New Roman" w:hAnsi="Times New Roman" w:eastAsia="仿宋" w:cs="Times New Roman"/>
          <w:b/>
          <w:sz w:val="32"/>
          <w:szCs w:val="32"/>
        </w:rPr>
      </w:pPr>
      <w:bookmarkStart w:id="61" w:name="_Toc15377216"/>
      <w:bookmarkStart w:id="62" w:name="_Toc113893527"/>
      <w:r>
        <w:rPr>
          <w:rFonts w:hint="default" w:ascii="Times New Roman" w:hAnsi="Times New Roman" w:eastAsia="仿宋" w:cs="Times New Roman"/>
          <w:b/>
          <w:sz w:val="32"/>
          <w:szCs w:val="32"/>
        </w:rPr>
        <w:t>（一）“三公”经费财政拨款支出决算总体情况说明</w:t>
      </w:r>
      <w:bookmarkEnd w:id="61"/>
      <w:bookmarkEnd w:id="62"/>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年“三公”经费财政拨款支出决算为0万元，完成预算0%，决算数与预算数持平。</w:t>
      </w:r>
    </w:p>
    <w:p>
      <w:pPr>
        <w:spacing w:line="600" w:lineRule="exact"/>
        <w:ind w:firstLine="640"/>
        <w:outlineLvl w:val="2"/>
        <w:rPr>
          <w:rFonts w:hint="default" w:ascii="Times New Roman" w:hAnsi="Times New Roman" w:eastAsia="仿宋" w:cs="Times New Roman"/>
          <w:b/>
          <w:sz w:val="32"/>
          <w:szCs w:val="32"/>
        </w:rPr>
      </w:pPr>
      <w:bookmarkStart w:id="63" w:name="_Toc113893528"/>
      <w:bookmarkStart w:id="64" w:name="_Toc15377217"/>
      <w:r>
        <w:rPr>
          <w:rFonts w:hint="default" w:ascii="Times New Roman" w:hAnsi="Times New Roman" w:eastAsia="仿宋" w:cs="Times New Roman"/>
          <w:b/>
          <w:sz w:val="32"/>
          <w:szCs w:val="32"/>
        </w:rPr>
        <w:t>（二）“三公”经费财政拨款支出决算具体情况说明</w:t>
      </w:r>
      <w:bookmarkEnd w:id="63"/>
      <w:bookmarkEnd w:id="64"/>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rPr>
        <w:t>0万元，</w:t>
      </w:r>
      <w:r>
        <w:rPr>
          <w:rStyle w:val="17"/>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sz w:val="32"/>
          <w:szCs w:val="32"/>
        </w:rPr>
        <w:t>全年安排因公出国（境）团组0次，出国（境）0人。因公出国（境）支出决算比202</w:t>
      </w:r>
      <w:r>
        <w:rPr>
          <w:rFonts w:hint="eastAsia" w:eastAsia="仿宋_GB2312" w:cs="Times New Roman"/>
          <w:sz w:val="32"/>
          <w:szCs w:val="32"/>
          <w:lang w:val="en-US" w:eastAsia="zh-CN"/>
        </w:rPr>
        <w:t>2年</w:t>
      </w:r>
      <w:r>
        <w:rPr>
          <w:rFonts w:hint="default" w:ascii="Times New Roman" w:hAnsi="Times New Roman" w:eastAsia="仿宋_GB2312" w:cs="Times New Roman"/>
          <w:sz w:val="32"/>
          <w:szCs w:val="32"/>
        </w:rPr>
        <w:t>持平。</w:t>
      </w:r>
    </w:p>
    <w:p>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rPr>
        <w:t>0万元,</w:t>
      </w:r>
      <w:r>
        <w:rPr>
          <w:rStyle w:val="17"/>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sz w:val="32"/>
          <w:szCs w:val="32"/>
        </w:rPr>
        <w:t>公务用车购置及运行维护费支出决算比202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年持平。</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rPr>
        <w:t>0万元。全年按规定更新购置公务用车0辆，其中：轿车0辆、金额0万元，越野车0辆、金额0万元，载客汽车0辆、金额0万元。截至202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年12月底，单位共有公务用车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辆，其中：轿车0辆、越野车0辆、载客汽车0辆。</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3.公务用车运行维护费支出</w:t>
      </w:r>
      <w:r>
        <w:rPr>
          <w:rFonts w:hint="default" w:ascii="Times New Roman" w:hAnsi="Times New Roman" w:eastAsia="仿宋_GB2312" w:cs="Times New Roman"/>
          <w:sz w:val="32"/>
          <w:szCs w:val="32"/>
        </w:rPr>
        <w:t>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公务接待费支出</w:t>
      </w:r>
      <w:r>
        <w:rPr>
          <w:rFonts w:hint="default" w:ascii="Times New Roman" w:hAnsi="Times New Roman" w:eastAsia="仿宋_GB2312" w:cs="Times New Roman"/>
          <w:sz w:val="32"/>
          <w:szCs w:val="32"/>
        </w:rPr>
        <w:t>0万元，</w:t>
      </w:r>
      <w:r>
        <w:rPr>
          <w:rStyle w:val="17"/>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sz w:val="32"/>
          <w:szCs w:val="32"/>
        </w:rPr>
        <w:t>公务接待费支出决算比202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年基本持平。其中：</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万元，。国内公务接待0批次，0人次（不包括陪同人员），共计支出0万元。</w:t>
      </w:r>
    </w:p>
    <w:p>
      <w:pPr>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万元，外事接待0批次，0人，共计支出0万元。</w:t>
      </w:r>
      <w:bookmarkStart w:id="65" w:name="_Toc15396610"/>
      <w:bookmarkStart w:id="66" w:name="_Toc15377218"/>
    </w:p>
    <w:p>
      <w:pPr>
        <w:spacing w:line="600" w:lineRule="exact"/>
        <w:ind w:firstLine="640"/>
        <w:outlineLvl w:val="1"/>
        <w:rPr>
          <w:rStyle w:val="28"/>
          <w:rFonts w:hint="default" w:ascii="Times New Roman" w:hAnsi="Times New Roman" w:eastAsia="黑体" w:cs="Times New Roman"/>
        </w:rPr>
      </w:pPr>
      <w:bookmarkStart w:id="67" w:name="_Toc113893529"/>
      <w:r>
        <w:rPr>
          <w:rFonts w:hint="default" w:ascii="Times New Roman" w:hAnsi="Times New Roman" w:eastAsia="黑体" w:cs="Times New Roman"/>
          <w:sz w:val="32"/>
          <w:szCs w:val="32"/>
        </w:rPr>
        <w:t>八、</w:t>
      </w:r>
      <w:r>
        <w:rPr>
          <w:rStyle w:val="28"/>
          <w:rFonts w:hint="default" w:ascii="Times New Roman" w:hAnsi="Times New Roman" w:eastAsia="黑体" w:cs="Times New Roman"/>
          <w:b w:val="0"/>
        </w:rPr>
        <w:t>政府性基金预算支出决算情况说明</w:t>
      </w:r>
      <w:bookmarkEnd w:id="65"/>
      <w:bookmarkEnd w:id="66"/>
      <w:bookmarkEnd w:id="67"/>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年政府性基金预算财政拨款支出0万元。</w:t>
      </w:r>
    </w:p>
    <w:p>
      <w:pPr>
        <w:numPr>
          <w:ilvl w:val="0"/>
          <w:numId w:val="3"/>
        </w:numPr>
        <w:spacing w:line="600" w:lineRule="exact"/>
        <w:ind w:firstLine="640"/>
        <w:outlineLvl w:val="1"/>
        <w:rPr>
          <w:rStyle w:val="28"/>
          <w:rFonts w:hint="default" w:ascii="Times New Roman" w:hAnsi="Times New Roman" w:eastAsia="黑体" w:cs="Times New Roman"/>
          <w:b w:val="0"/>
        </w:rPr>
      </w:pPr>
      <w:bookmarkStart w:id="68" w:name="_Toc113893530"/>
      <w:bookmarkStart w:id="69" w:name="_Toc15396611"/>
      <w:bookmarkStart w:id="70" w:name="_Toc15377219"/>
      <w:r>
        <w:rPr>
          <w:rStyle w:val="28"/>
          <w:rFonts w:hint="default" w:ascii="Times New Roman" w:hAnsi="Times New Roman" w:eastAsia="黑体" w:cs="Times New Roman"/>
          <w:b w:val="0"/>
        </w:rPr>
        <w:t>国有资本经营预算支出决算情况说明</w:t>
      </w:r>
      <w:bookmarkEnd w:id="68"/>
      <w:bookmarkEnd w:id="69"/>
      <w:bookmarkEnd w:id="70"/>
    </w:p>
    <w:p>
      <w:pPr>
        <w:spacing w:line="600" w:lineRule="exact"/>
        <w:ind w:firstLine="640"/>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年国有资本经营预算财政拨款支出0万元。</w:t>
      </w:r>
    </w:p>
    <w:p>
      <w:pPr>
        <w:numPr>
          <w:ilvl w:val="0"/>
          <w:numId w:val="3"/>
        </w:numPr>
        <w:spacing w:line="600" w:lineRule="exact"/>
        <w:ind w:firstLine="640"/>
        <w:outlineLvl w:val="1"/>
        <w:rPr>
          <w:rStyle w:val="28"/>
          <w:rFonts w:hint="default" w:ascii="Times New Roman" w:hAnsi="Times New Roman" w:eastAsia="黑体" w:cs="Times New Roman"/>
          <w:b w:val="0"/>
        </w:rPr>
      </w:pPr>
      <w:bookmarkStart w:id="71" w:name="_Toc113893531"/>
      <w:bookmarkStart w:id="72" w:name="_Toc15396612"/>
      <w:bookmarkStart w:id="73" w:name="_Toc15377221"/>
      <w:r>
        <w:rPr>
          <w:rStyle w:val="28"/>
          <w:rFonts w:hint="default" w:ascii="Times New Roman" w:hAnsi="Times New Roman" w:eastAsia="黑体" w:cs="Times New Roman"/>
          <w:b w:val="0"/>
        </w:rPr>
        <w:t>其他重要事项的情况说明</w:t>
      </w:r>
      <w:bookmarkEnd w:id="71"/>
      <w:bookmarkEnd w:id="72"/>
      <w:bookmarkEnd w:id="73"/>
    </w:p>
    <w:p>
      <w:pPr>
        <w:spacing w:line="600" w:lineRule="exact"/>
        <w:ind w:firstLine="643" w:firstLineChars="200"/>
        <w:outlineLvl w:val="2"/>
        <w:rPr>
          <w:rFonts w:hint="default" w:ascii="Times New Roman" w:hAnsi="Times New Roman" w:eastAsia="仿宋" w:cs="Times New Roman"/>
          <w:sz w:val="32"/>
          <w:szCs w:val="32"/>
        </w:rPr>
      </w:pPr>
      <w:bookmarkStart w:id="74" w:name="_Toc113893532"/>
      <w:bookmarkStart w:id="75" w:name="_Toc15377222"/>
      <w:r>
        <w:rPr>
          <w:rFonts w:hint="default" w:ascii="Times New Roman" w:hAnsi="Times New Roman" w:eastAsia="仿宋" w:cs="Times New Roman"/>
          <w:b/>
          <w:sz w:val="32"/>
          <w:szCs w:val="32"/>
        </w:rPr>
        <w:t>（一）机关运行经费支出情况</w:t>
      </w:r>
      <w:bookmarkEnd w:id="74"/>
      <w:bookmarkEnd w:id="75"/>
    </w:p>
    <w:p>
      <w:pPr>
        <w:rPr>
          <w:rFonts w:hint="eastAsia" w:eastAsia="宋体"/>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年，学校机关运行经费支出0万元，</w:t>
      </w:r>
      <w:bookmarkStart w:id="76" w:name="OLE_LINK1"/>
      <w:r>
        <w:rPr>
          <w:rFonts w:hint="eastAsia" w:ascii="仿宋_GB2312" w:eastAsia="仿宋_GB2312" w:cs="Times New Roman"/>
          <w:color w:val="auto"/>
          <w:sz w:val="32"/>
          <w:szCs w:val="32"/>
          <w:highlight w:val="none"/>
          <w:lang w:val="en-US" w:eastAsia="zh-CN"/>
        </w:rPr>
        <w:t>本单位是全额拨款事业单位，没有预算机关运行经费</w:t>
      </w:r>
      <w:bookmarkEnd w:id="76"/>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lang w:val="en-US" w:eastAsia="zh-CN"/>
        </w:rPr>
      </w:pPr>
      <w:bookmarkStart w:id="77" w:name="_Toc113893533"/>
      <w:bookmarkStart w:id="78" w:name="_Toc15377223"/>
      <w:r>
        <w:rPr>
          <w:rFonts w:hint="default" w:ascii="Times New Roman" w:hAnsi="Times New Roman" w:eastAsia="仿宋" w:cs="Times New Roman"/>
          <w:b/>
          <w:sz w:val="32"/>
          <w:szCs w:val="32"/>
        </w:rPr>
        <w:t>（二）政府采购支出情况</w:t>
      </w:r>
      <w:bookmarkEnd w:id="77"/>
      <w:bookmarkEnd w:id="78"/>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年，学校政府采购支出总额</w:t>
      </w:r>
      <w:r>
        <w:rPr>
          <w:rFonts w:hint="eastAsia" w:eastAsia="仿宋" w:cs="Times New Roman"/>
          <w:sz w:val="32"/>
          <w:szCs w:val="32"/>
          <w:lang w:val="en-US" w:eastAsia="zh-CN"/>
        </w:rPr>
        <w:t>0</w:t>
      </w:r>
      <w:r>
        <w:rPr>
          <w:rFonts w:hint="default" w:ascii="Times New Roman" w:hAnsi="Times New Roman" w:eastAsia="仿宋" w:cs="Times New Roman"/>
          <w:sz w:val="32"/>
          <w:szCs w:val="32"/>
        </w:rPr>
        <w:t>万元，其中：政府采购货物支出</w:t>
      </w:r>
      <w:r>
        <w:rPr>
          <w:rFonts w:hint="eastAsia" w:eastAsia="仿宋" w:cs="Times New Roman"/>
          <w:sz w:val="32"/>
          <w:szCs w:val="32"/>
          <w:lang w:val="en-US" w:eastAsia="zh-CN"/>
        </w:rPr>
        <w:t>0</w:t>
      </w:r>
      <w:r>
        <w:rPr>
          <w:rFonts w:hint="default" w:ascii="Times New Roman" w:hAnsi="Times New Roman" w:eastAsia="仿宋" w:cs="Times New Roman"/>
          <w:sz w:val="32"/>
          <w:szCs w:val="32"/>
        </w:rPr>
        <w:t>万元、政府采购工程支出0万元、政府采购服务支出0万元。授予中小企业合同金额</w:t>
      </w:r>
      <w:r>
        <w:rPr>
          <w:rFonts w:hint="eastAsia" w:eastAsia="仿宋" w:cs="Times New Roman"/>
          <w:sz w:val="32"/>
          <w:szCs w:val="32"/>
          <w:lang w:val="en-US" w:eastAsia="zh-CN"/>
        </w:rPr>
        <w:t>0</w:t>
      </w:r>
      <w:r>
        <w:rPr>
          <w:rFonts w:hint="default" w:ascii="Times New Roman" w:hAnsi="Times New Roman" w:eastAsia="仿宋" w:cs="Times New Roman"/>
          <w:sz w:val="32"/>
          <w:szCs w:val="32"/>
        </w:rPr>
        <w:t>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79" w:name="_Toc113893534"/>
      <w:bookmarkStart w:id="80" w:name="_Toc15377224"/>
      <w:r>
        <w:rPr>
          <w:rFonts w:hint="default" w:ascii="Times New Roman" w:hAnsi="Times New Roman" w:eastAsia="仿宋" w:cs="Times New Roman"/>
          <w:b/>
          <w:sz w:val="32"/>
          <w:szCs w:val="32"/>
        </w:rPr>
        <w:t>（三）国有资产占有使用情况</w:t>
      </w:r>
      <w:bookmarkEnd w:id="79"/>
      <w:bookmarkEnd w:id="80"/>
    </w:p>
    <w:p>
      <w:pPr>
        <w:autoSpaceDE w:val="0"/>
        <w:autoSpaceDN w:val="0"/>
        <w:adjustRightInd w:val="0"/>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年12月31日，共有车辆0辆，其中：主要领导干部用车0辆、机要通信用车0辆、应急保障用车0辆、其他用车0辆。单价50万元以上通用设备0台（套），单价100万元以上专用设备0台（套）。</w:t>
      </w:r>
    </w:p>
    <w:p>
      <w:pPr>
        <w:pStyle w:val="5"/>
        <w:spacing w:before="93"/>
        <w:rPr>
          <w:rFonts w:hint="default" w:ascii="Times New Roman" w:hAnsi="Times New Roman" w:cs="Times New Roman"/>
        </w:rPr>
      </w:pP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81" w:name="_Toc113893535"/>
      <w:r>
        <w:rPr>
          <w:rFonts w:hint="default" w:ascii="Times New Roman" w:hAnsi="Times New Roman" w:eastAsia="仿宋" w:cs="Times New Roman"/>
          <w:b/>
          <w:sz w:val="32"/>
          <w:szCs w:val="32"/>
        </w:rPr>
        <w:t>（四）预算绩效管理情况</w:t>
      </w:r>
      <w:bookmarkEnd w:id="81"/>
    </w:p>
    <w:p>
      <w:pPr>
        <w:pStyle w:val="5"/>
        <w:ind w:firstLine="600" w:firstLineChars="200"/>
        <w:rPr>
          <w:rFonts w:hint="default" w:ascii="Times New Roman" w:hAnsi="Times New Roman" w:cs="Times New Roman"/>
        </w:rPr>
      </w:pPr>
      <w:r>
        <w:rPr>
          <w:rFonts w:hint="default" w:ascii="Times New Roman" w:hAnsi="Times New Roman" w:cs="Times New Roman"/>
        </w:rPr>
        <w:t>根据预算绩效管理要求，本单位在202</w:t>
      </w:r>
      <w:r>
        <w:rPr>
          <w:rFonts w:hint="eastAsia" w:ascii="Times New Roman" w:cs="Times New Roman"/>
          <w:lang w:val="en-US" w:eastAsia="zh-CN"/>
        </w:rPr>
        <w:t>3</w:t>
      </w:r>
      <w:r>
        <w:rPr>
          <w:rFonts w:hint="default" w:ascii="Times New Roman" w:hAnsi="Times New Roman" w:cs="Times New Roman"/>
        </w:rPr>
        <w:t>年度预算编制阶段没有需要开展事前绩效评估的项目，故未开展预算事前评估，组织对人员类、运转类、特定目标类等3</w:t>
      </w:r>
      <w:r>
        <w:rPr>
          <w:rFonts w:hint="eastAsia" w:ascii="Times New Roman" w:cs="Times New Roman"/>
          <w:lang w:val="en-US" w:eastAsia="zh-CN"/>
        </w:rPr>
        <w:t>1</w:t>
      </w:r>
      <w:r>
        <w:rPr>
          <w:rFonts w:hint="default" w:ascii="Times New Roman" w:hAnsi="Times New Roman" w:cs="Times New Roman"/>
        </w:rPr>
        <w:t>个项目编制了绩效目标，预算执行过程中，选取</w:t>
      </w:r>
      <w:r>
        <w:rPr>
          <w:rFonts w:hint="eastAsia" w:ascii="Times New Roman" w:cs="Times New Roman"/>
          <w:lang w:val="en-US" w:eastAsia="zh-CN"/>
        </w:rPr>
        <w:t>1</w:t>
      </w:r>
      <w:r>
        <w:rPr>
          <w:rFonts w:hint="default" w:ascii="Times New Roman" w:hAnsi="Times New Roman" w:cs="Times New Roman"/>
        </w:rPr>
        <w:t>个项目开展绩效监控，组织对1个项目开展绩效自评，绩效自评表详见第四部分附件。</w:t>
      </w: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rPr>
      </w:pPr>
    </w:p>
    <w:p>
      <w:pPr>
        <w:pStyle w:val="5"/>
        <w:spacing w:before="93"/>
        <w:rPr>
          <w:rFonts w:hint="default" w:ascii="Times New Roman" w:hAnsi="Times New Roman" w:cs="Times New Roman"/>
        </w:rPr>
      </w:pPr>
    </w:p>
    <w:p>
      <w:pPr>
        <w:numPr>
          <w:ilvl w:val="0"/>
          <w:numId w:val="4"/>
        </w:numPr>
        <w:spacing w:line="600" w:lineRule="exact"/>
        <w:ind w:firstLine="660" w:firstLineChars="150"/>
        <w:jc w:val="center"/>
        <w:outlineLvl w:val="0"/>
        <w:rPr>
          <w:rStyle w:val="27"/>
          <w:rFonts w:hint="default" w:ascii="Times New Roman" w:hAnsi="Times New Roman" w:eastAsia="黑体" w:cs="Times New Roman"/>
          <w:b w:val="0"/>
        </w:rPr>
      </w:pPr>
      <w:bookmarkStart w:id="82" w:name="_Toc15396613"/>
      <w:bookmarkStart w:id="83" w:name="_Toc15377225"/>
      <w:bookmarkStart w:id="84" w:name="_Toc113893536"/>
      <w:r>
        <w:rPr>
          <w:rFonts w:hint="default" w:ascii="Times New Roman" w:hAnsi="Times New Roman" w:eastAsia="黑体" w:cs="Times New Roman"/>
          <w:sz w:val="44"/>
          <w:szCs w:val="44"/>
        </w:rPr>
        <w:t>名</w:t>
      </w:r>
      <w:r>
        <w:rPr>
          <w:rStyle w:val="27"/>
          <w:rFonts w:hint="default" w:ascii="Times New Roman" w:hAnsi="Times New Roman" w:eastAsia="黑体" w:cs="Times New Roman"/>
          <w:b w:val="0"/>
        </w:rPr>
        <w:t>词解释</w:t>
      </w:r>
      <w:bookmarkEnd w:id="82"/>
      <w:bookmarkEnd w:id="83"/>
      <w:bookmarkEnd w:id="84"/>
    </w:p>
    <w:p>
      <w:pPr>
        <w:pStyle w:val="25"/>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1.财政拨款收入：指单位从同级财政部门取得的财政预算资金。</w:t>
      </w:r>
    </w:p>
    <w:p>
      <w:pPr>
        <w:pStyle w:val="25"/>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2.其他收入：指单位取得的除上述收入以外的各项收入。</w:t>
      </w:r>
    </w:p>
    <w:p>
      <w:pPr>
        <w:pStyle w:val="25"/>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.年初结转和结余：指以前年度尚未完成、结转到本年按有关规定继续使用的资金。</w:t>
      </w:r>
    </w:p>
    <w:p>
      <w:pPr>
        <w:pStyle w:val="25"/>
        <w:spacing w:line="56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.年末结转和结余：指单位按有关规定结转到下年或以后年度继续使用的资金。</w:t>
      </w:r>
    </w:p>
    <w:p>
      <w:pPr>
        <w:pStyle w:val="25"/>
        <w:spacing w:line="560"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.教育（类）普通教育（款）小学教育（项）: 反映各部门举办的小学教育支出。政府各部门对社会中介组织等举办的小学的资助，如各类捐赠、补贴等，也在本科目中反映。</w:t>
      </w:r>
    </w:p>
    <w:p>
      <w:pPr>
        <w:pStyle w:val="25"/>
        <w:spacing w:line="560"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.教育（类）其他教育支出（款）其他教育支出（项）: 反映除上述项目以外其它教育方面的支出。</w:t>
      </w:r>
    </w:p>
    <w:p>
      <w:pPr>
        <w:pStyle w:val="25"/>
        <w:spacing w:line="560"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7</w:t>
      </w:r>
      <w:r>
        <w:rPr>
          <w:rFonts w:hint="default" w:ascii="Times New Roman" w:hAnsi="Times New Roman" w:cs="Times New Roman"/>
          <w:sz w:val="32"/>
          <w:szCs w:val="32"/>
        </w:rPr>
        <w:t>.社会保障和就业（类）行政事业单位养老支出（款）机关事业单位基本养老保险缴费支出（项）: 反映机关事业单位实施养老保险制度由单位缴纳的基本养老保险费支出。</w:t>
      </w:r>
    </w:p>
    <w:p>
      <w:pPr>
        <w:pStyle w:val="25"/>
        <w:spacing w:line="560"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8</w:t>
      </w:r>
      <w:r>
        <w:rPr>
          <w:rFonts w:hint="default" w:ascii="Times New Roman" w:hAnsi="Times New Roman" w:cs="Times New Roman"/>
          <w:sz w:val="32"/>
          <w:szCs w:val="32"/>
        </w:rPr>
        <w:t>.社会保障和就业（类）其他社会保障和就业支出（款）其他社会保障和就业支出（项）: 反映上述项目以外</w:t>
      </w:r>
      <w:r>
        <w:rPr>
          <w:rFonts w:hint="eastAsia" w:ascii="Times New Roman" w:hAnsi="Times New Roman" w:cs="Times New Roman"/>
          <w:sz w:val="32"/>
          <w:szCs w:val="32"/>
          <w:lang w:eastAsia="zh-CN"/>
        </w:rPr>
        <w:t>其他用于</w:t>
      </w:r>
      <w:bookmarkStart w:id="116" w:name="_GoBack"/>
      <w:bookmarkEnd w:id="116"/>
      <w:r>
        <w:rPr>
          <w:rFonts w:hint="default" w:ascii="Times New Roman" w:hAnsi="Times New Roman" w:cs="Times New Roman"/>
          <w:sz w:val="32"/>
          <w:szCs w:val="32"/>
        </w:rPr>
        <w:t>社会保障和就业方面的支出。</w:t>
      </w:r>
    </w:p>
    <w:p>
      <w:pPr>
        <w:pStyle w:val="25"/>
        <w:spacing w:line="560"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9</w:t>
      </w:r>
      <w:r>
        <w:rPr>
          <w:rFonts w:hint="default" w:ascii="Times New Roman" w:hAnsi="Times New Roman" w:cs="Times New Roman"/>
          <w:sz w:val="32"/>
          <w:szCs w:val="32"/>
        </w:rPr>
        <w:t>.医疗卫生与计划生育（类）行政事业单位医疗（款）事业单位医疗（项）:反映财政部门集中安排的事业单位基本医疗保险缴费经费，未参加医疗保险的事业单位的公费医疗经费，按国家规定享受离休人员待遇的医疗经费。</w:t>
      </w:r>
    </w:p>
    <w:p>
      <w:pPr>
        <w:pStyle w:val="25"/>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0</w:t>
      </w:r>
      <w:r>
        <w:rPr>
          <w:rFonts w:hint="default" w:ascii="Times New Roman" w:hAnsi="Times New Roman" w:cs="Times New Roman"/>
          <w:sz w:val="32"/>
          <w:szCs w:val="32"/>
          <w:lang w:val="en-US" w:eastAsia="zh-CN"/>
        </w:rPr>
        <w:t>.医</w:t>
      </w:r>
      <w:r>
        <w:rPr>
          <w:rFonts w:hint="default" w:ascii="Times New Roman" w:hAnsi="Times New Roman" w:cs="Times New Roman"/>
          <w:sz w:val="32"/>
          <w:szCs w:val="32"/>
        </w:rPr>
        <w:t>疗卫生与计划生育（类）行政事业单位医疗（款）公务员医疗补助（项）:反映财政部门集中安排的公务员医疗补助经费。</w:t>
      </w:r>
    </w:p>
    <w:p>
      <w:pPr>
        <w:pStyle w:val="25"/>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eastAsia="仿宋" w:cs="Times New Roman"/>
          <w:sz w:val="32"/>
          <w:szCs w:val="32"/>
          <w:lang w:val="en-US" w:eastAsia="zh-CN"/>
        </w:rPr>
        <w:t>2</w:t>
      </w:r>
      <w:r>
        <w:rPr>
          <w:rFonts w:hint="default" w:ascii="Times New Roman" w:hAnsi="Times New Roman" w:eastAsia="仿宋" w:cs="Times New Roman"/>
          <w:sz w:val="32"/>
          <w:szCs w:val="32"/>
        </w:rPr>
        <w:t>.基本支出：指为保障机构正常运转、完成日常工作任务而发生的人员支出和公用支出。</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eastAsia="仿宋" w:cs="Times New Roman"/>
          <w:sz w:val="32"/>
          <w:szCs w:val="32"/>
          <w:lang w:val="en-US" w:eastAsia="zh-CN"/>
        </w:rPr>
        <w:t>3</w:t>
      </w:r>
      <w:r>
        <w:rPr>
          <w:rFonts w:hint="default" w:ascii="Times New Roman" w:hAnsi="Times New Roman" w:eastAsia="仿宋" w:cs="Times New Roman"/>
          <w:sz w:val="32"/>
          <w:szCs w:val="32"/>
        </w:rPr>
        <w:t>.项目支出：指在基本支出之外为完成特定行政任务和事业发展目标所发生的支出。</w:t>
      </w:r>
    </w:p>
    <w:p>
      <w:pPr>
        <w:pStyle w:val="25"/>
        <w:spacing w:line="560" w:lineRule="exact"/>
        <w:ind w:firstLine="640" w:firstLineChars="200"/>
        <w:rPr>
          <w:rFonts w:hint="default" w:ascii="Times New Roman" w:hAnsi="Times New Roman" w:cs="Times New Roman"/>
          <w:color w:val="auto"/>
          <w:sz w:val="32"/>
          <w:szCs w:val="32"/>
        </w:rPr>
        <w:sectPr>
          <w:headerReference r:id="rId3" w:type="default"/>
          <w:footerReference r:id="rId4" w:type="default"/>
          <w:pgSz w:w="11906" w:h="16838"/>
          <w:pgMar w:top="1440" w:right="1800" w:bottom="993" w:left="1800" w:header="851" w:footer="992" w:gutter="0"/>
          <w:pgNumType w:fmt="numberInDash" w:start="1"/>
          <w:cols w:space="425" w:num="1"/>
          <w:titlePg/>
          <w:docGrid w:type="lines" w:linePitch="312" w:charSpace="0"/>
        </w:sect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val="en-US" w:eastAsia="zh-CN"/>
        </w:rPr>
        <w:t>7</w:t>
      </w:r>
      <w:r>
        <w:rPr>
          <w:rFonts w:hint="default" w:ascii="Times New Roman" w:hAnsi="Times New Roman"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85" w:name="_Toc15396618"/>
      <w:bookmarkStart w:id="86" w:name="_Toc15377226"/>
    </w:p>
    <w:p>
      <w:pPr>
        <w:pStyle w:val="25"/>
        <w:spacing w:line="560" w:lineRule="exact"/>
        <w:ind w:firstLine="640" w:firstLineChars="200"/>
        <w:rPr>
          <w:rFonts w:hint="default" w:ascii="Times New Roman" w:hAnsi="Times New Roman" w:cs="Times New Roman"/>
          <w:color w:val="auto"/>
          <w:sz w:val="32"/>
          <w:szCs w:val="32"/>
        </w:rPr>
      </w:pPr>
    </w:p>
    <w:bookmarkEnd w:id="85"/>
    <w:bookmarkEnd w:id="86"/>
    <w:p>
      <w:pPr>
        <w:jc w:val="center"/>
        <w:rPr>
          <w:rStyle w:val="27"/>
          <w:rFonts w:hint="default" w:ascii="Times New Roman" w:hAnsi="Times New Roman" w:eastAsia="黑体" w:cs="Times New Roman"/>
          <w:b w:val="0"/>
        </w:rPr>
      </w:pPr>
      <w:bookmarkStart w:id="87" w:name="_Toc15396614"/>
      <w:bookmarkStart w:id="88" w:name="_Toc113893537"/>
      <w:r>
        <w:rPr>
          <w:rFonts w:hint="default" w:ascii="Times New Roman" w:hAnsi="Times New Roman" w:eastAsia="黑体" w:cs="Times New Roman"/>
          <w:sz w:val="44"/>
          <w:szCs w:val="44"/>
        </w:rPr>
        <w:t>第</w:t>
      </w:r>
      <w:r>
        <w:rPr>
          <w:rStyle w:val="27"/>
          <w:rFonts w:hint="default" w:ascii="Times New Roman" w:hAnsi="Times New Roman" w:eastAsia="黑体" w:cs="Times New Roman"/>
          <w:b w:val="0"/>
        </w:rPr>
        <w:t>四部分 附件</w:t>
      </w:r>
      <w:bookmarkEnd w:id="87"/>
      <w:bookmarkEnd w:id="88"/>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1038"/>
        <w:gridCol w:w="1035"/>
        <w:gridCol w:w="1035"/>
        <w:gridCol w:w="1035"/>
        <w:gridCol w:w="1035"/>
        <w:gridCol w:w="1044"/>
        <w:gridCol w:w="1041"/>
        <w:gridCol w:w="1035"/>
        <w:gridCol w:w="1035"/>
        <w:gridCol w:w="4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51090323T000008239682-四类学生课后服务保障经费（城市）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四川省遂宁市船山区教育体育局部门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21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四川省遂宁市船山区油房街小学校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1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5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保障“四类”学生正常参加课后服务活动</w:t>
            </w:r>
          </w:p>
        </w:tc>
        <w:tc>
          <w:tcPr>
            <w:tcW w:w="25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解决经济困难家庭学生实际困难，让学生能更好的接受课后服务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2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我校本年度开设丰富的体育、手工、阅读、科学等兴趣小组和活动，促进学生全面发展，让学生能更好的接受课后服务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9.07</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指标设置无法进行有效衡量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指标设置无法进行有效衡量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为进行满意度调查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课后服务  元/年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w:t>
            </w:r>
            <w:r>
              <w:rPr>
                <w:rFonts w:hint="eastAsia" w:ascii="宋体" w:hAnsi="宋体" w:cs="宋体"/>
                <w:i w:val="0"/>
                <w:iCs w:val="0"/>
                <w:color w:val="000000"/>
                <w:kern w:val="0"/>
                <w:sz w:val="18"/>
                <w:szCs w:val="18"/>
                <w:u w:val="none"/>
                <w:lang w:val="en-US" w:eastAsia="zh-CN" w:bidi="ar"/>
              </w:rPr>
              <w:t>.93</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财政批复预算为3.83万元，截止2023年12月31日，项目资金实际到位2.17万元，资金到位100%，实际支付2.17万元，四类学生的课后学习科目均未为额外收取费用，减轻了学生家长经济压力，同时促进了学生各项全面发展</w:t>
            </w:r>
            <w:r>
              <w:rPr>
                <w:rFonts w:hint="eastAsia" w:ascii="宋体" w:hAnsi="宋体" w:cs="宋体"/>
                <w:i w:val="0"/>
                <w:iCs w:val="0"/>
                <w:color w:val="000000"/>
                <w:kern w:val="0"/>
                <w:sz w:val="18"/>
                <w:szCs w:val="18"/>
                <w:u w:val="none"/>
                <w:lang w:val="en-US" w:eastAsia="zh-CN" w:bidi="ar"/>
              </w:rPr>
              <w:t>、得分93.83分</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6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由于绩效管理的经验不足，绩效目标指标设置还不够完整、合理，资金使用未合理规划。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6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加强预算，合理安排资金分配和支付进度。动态监控项目实施情况，及时调整绩效目标，确保绩效目标合理、可行、能实现。</w:t>
            </w:r>
          </w:p>
        </w:tc>
      </w:tr>
    </w:tbl>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sectPr>
          <w:footerReference r:id="rId6" w:type="first"/>
          <w:footerReference r:id="rId5" w:type="default"/>
          <w:pgSz w:w="16838" w:h="11906" w:orient="landscape"/>
          <w:pgMar w:top="1800" w:right="1440" w:bottom="1800" w:left="993" w:header="851" w:footer="992" w:gutter="0"/>
          <w:pgNumType w:fmt="numberInDash" w:start="17"/>
          <w:cols w:space="425" w:num="1"/>
          <w:titlePg/>
          <w:docGrid w:type="lines" w:linePitch="312" w:charSpace="0"/>
        </w:sectPr>
      </w:pPr>
      <w:bookmarkStart w:id="89" w:name="_Toc113893539"/>
    </w:p>
    <w:p>
      <w:pPr>
        <w:spacing w:line="600" w:lineRule="exact"/>
        <w:jc w:val="center"/>
        <w:outlineLvl w:val="0"/>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7"/>
          <w:rFonts w:hint="default" w:ascii="Times New Roman" w:hAnsi="Times New Roman" w:eastAsia="黑体" w:cs="Times New Roman"/>
          <w:b w:val="0"/>
        </w:rPr>
        <w:t>五部分 附表</w:t>
      </w:r>
      <w:bookmarkEnd w:id="89"/>
      <w:bookmarkStart w:id="90" w:name="_Toc15396619"/>
    </w:p>
    <w:p>
      <w:pPr>
        <w:pStyle w:val="3"/>
        <w:rPr>
          <w:rFonts w:hint="default" w:ascii="Times New Roman" w:hAnsi="Times New Roman" w:eastAsia="仿宋" w:cs="Times New Roman"/>
        </w:rPr>
      </w:pPr>
      <w:bookmarkStart w:id="91" w:name="_Toc113893540"/>
      <w:r>
        <w:rPr>
          <w:rFonts w:hint="default" w:ascii="Times New Roman" w:hAnsi="Times New Roman" w:eastAsia="仿宋" w:cs="Times New Roman"/>
          <w:b w:val="0"/>
        </w:rPr>
        <w:t>一、收</w:t>
      </w:r>
      <w:r>
        <w:rPr>
          <w:rStyle w:val="28"/>
          <w:rFonts w:hint="default" w:ascii="Times New Roman" w:hAnsi="Times New Roman" w:eastAsia="仿宋" w:cs="Times New Roman"/>
          <w:b w:val="0"/>
          <w:bCs w:val="0"/>
        </w:rPr>
        <w:t>入支出决算总表</w:t>
      </w:r>
      <w:bookmarkEnd w:id="90"/>
      <w:bookmarkEnd w:id="91"/>
    </w:p>
    <w:p>
      <w:pPr>
        <w:pStyle w:val="3"/>
        <w:rPr>
          <w:rFonts w:hint="default" w:ascii="Times New Roman" w:hAnsi="Times New Roman" w:eastAsia="仿宋" w:cs="Times New Roman"/>
        </w:rPr>
      </w:pPr>
      <w:bookmarkStart w:id="92" w:name="_Toc15396620"/>
      <w:bookmarkStart w:id="93" w:name="_Toc113893541"/>
      <w:r>
        <w:rPr>
          <w:rFonts w:hint="default" w:ascii="Times New Roman" w:hAnsi="Times New Roman" w:eastAsia="仿宋" w:cs="Times New Roman"/>
          <w:b w:val="0"/>
        </w:rPr>
        <w:t>二、收</w:t>
      </w:r>
      <w:r>
        <w:rPr>
          <w:rStyle w:val="28"/>
          <w:rFonts w:hint="default" w:ascii="Times New Roman" w:hAnsi="Times New Roman" w:eastAsia="仿宋" w:cs="Times New Roman"/>
          <w:b w:val="0"/>
          <w:bCs w:val="0"/>
        </w:rPr>
        <w:t>入决算表</w:t>
      </w:r>
      <w:bookmarkEnd w:id="92"/>
      <w:bookmarkEnd w:id="93"/>
    </w:p>
    <w:p>
      <w:pPr>
        <w:pStyle w:val="3"/>
        <w:rPr>
          <w:rFonts w:hint="default" w:ascii="Times New Roman" w:hAnsi="Times New Roman" w:eastAsia="仿宋" w:cs="Times New Roman"/>
        </w:rPr>
      </w:pPr>
      <w:bookmarkStart w:id="94" w:name="_Toc15396621"/>
      <w:bookmarkStart w:id="95" w:name="_Toc113893542"/>
      <w:r>
        <w:rPr>
          <w:rStyle w:val="28"/>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28"/>
          <w:rFonts w:hint="default" w:ascii="Times New Roman" w:hAnsi="Times New Roman" w:eastAsia="仿宋" w:cs="Times New Roman"/>
          <w:b w:val="0"/>
          <w:bCs w:val="0"/>
        </w:rPr>
        <w:t>出决算表</w:t>
      </w:r>
      <w:bookmarkEnd w:id="94"/>
      <w:bookmarkEnd w:id="95"/>
    </w:p>
    <w:p>
      <w:pPr>
        <w:pStyle w:val="3"/>
        <w:rPr>
          <w:rFonts w:hint="default" w:ascii="Times New Roman" w:hAnsi="Times New Roman" w:eastAsia="仿宋" w:cs="Times New Roman"/>
          <w:b w:val="0"/>
        </w:rPr>
      </w:pPr>
      <w:bookmarkStart w:id="96" w:name="_Toc113893543"/>
      <w:bookmarkStart w:id="97" w:name="_Toc15396622"/>
      <w:r>
        <w:rPr>
          <w:rStyle w:val="28"/>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28"/>
          <w:rFonts w:hint="default" w:ascii="Times New Roman" w:hAnsi="Times New Roman" w:eastAsia="仿宋" w:cs="Times New Roman"/>
          <w:b w:val="0"/>
          <w:bCs w:val="0"/>
        </w:rPr>
        <w:t>政拨款收入支出决算总表</w:t>
      </w:r>
      <w:bookmarkEnd w:id="96"/>
      <w:bookmarkEnd w:id="97"/>
    </w:p>
    <w:p>
      <w:pPr>
        <w:pStyle w:val="3"/>
        <w:rPr>
          <w:rStyle w:val="28"/>
          <w:rFonts w:hint="default" w:ascii="Times New Roman" w:hAnsi="Times New Roman" w:eastAsia="仿宋" w:cs="Times New Roman"/>
          <w:b w:val="0"/>
          <w:bCs w:val="0"/>
        </w:rPr>
      </w:pPr>
      <w:bookmarkStart w:id="98" w:name="_Toc113893544"/>
      <w:bookmarkStart w:id="99" w:name="_Toc15396623"/>
      <w:r>
        <w:rPr>
          <w:rStyle w:val="28"/>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28"/>
          <w:rFonts w:hint="default" w:ascii="Times New Roman" w:hAnsi="Times New Roman" w:eastAsia="仿宋" w:cs="Times New Roman"/>
          <w:b w:val="0"/>
          <w:bCs w:val="0"/>
        </w:rPr>
        <w:t>政拨款支出决算明细表</w:t>
      </w:r>
      <w:bookmarkEnd w:id="98"/>
      <w:bookmarkEnd w:id="99"/>
      <w:bookmarkStart w:id="100" w:name="_Toc15396624"/>
    </w:p>
    <w:p>
      <w:pPr>
        <w:pStyle w:val="3"/>
        <w:rPr>
          <w:rFonts w:hint="default" w:ascii="Times New Roman" w:hAnsi="Times New Roman" w:eastAsia="仿宋" w:cs="Times New Roman"/>
        </w:rPr>
      </w:pPr>
      <w:bookmarkStart w:id="101" w:name="_Toc113893545"/>
      <w:r>
        <w:rPr>
          <w:rStyle w:val="28"/>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般公共预算财政拨款支出决算表</w:t>
      </w:r>
      <w:bookmarkEnd w:id="100"/>
      <w:bookmarkEnd w:id="101"/>
    </w:p>
    <w:p>
      <w:pPr>
        <w:pStyle w:val="3"/>
        <w:rPr>
          <w:rFonts w:hint="default" w:ascii="Times New Roman" w:hAnsi="Times New Roman" w:eastAsia="仿宋" w:cs="Times New Roman"/>
        </w:rPr>
      </w:pPr>
      <w:bookmarkStart w:id="102" w:name="_Toc15396625"/>
      <w:bookmarkStart w:id="103" w:name="_Toc113893546"/>
      <w:r>
        <w:rPr>
          <w:rStyle w:val="28"/>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般公共预算财政拨款支出决算明细表</w:t>
      </w:r>
      <w:bookmarkEnd w:id="102"/>
      <w:bookmarkEnd w:id="103"/>
    </w:p>
    <w:p>
      <w:pPr>
        <w:pStyle w:val="3"/>
        <w:rPr>
          <w:rFonts w:hint="default" w:ascii="Times New Roman" w:hAnsi="Times New Roman" w:eastAsia="仿宋" w:cs="Times New Roman"/>
        </w:rPr>
      </w:pPr>
      <w:bookmarkStart w:id="104" w:name="_Toc113893547"/>
      <w:bookmarkStart w:id="105" w:name="_Toc15396626"/>
      <w:r>
        <w:rPr>
          <w:rStyle w:val="28"/>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般公共预算财政拨款基本支出决算表</w:t>
      </w:r>
      <w:bookmarkEnd w:id="104"/>
      <w:bookmarkEnd w:id="105"/>
    </w:p>
    <w:p>
      <w:pPr>
        <w:pStyle w:val="3"/>
        <w:rPr>
          <w:rFonts w:hint="default" w:ascii="Times New Roman" w:hAnsi="Times New Roman" w:eastAsia="仿宋" w:cs="Times New Roman"/>
        </w:rPr>
      </w:pPr>
      <w:bookmarkStart w:id="106" w:name="_Toc113893548"/>
      <w:bookmarkStart w:id="107" w:name="_Toc15396627"/>
      <w:r>
        <w:rPr>
          <w:rStyle w:val="28"/>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28"/>
          <w:rFonts w:hint="default" w:ascii="Times New Roman" w:hAnsi="Times New Roman" w:eastAsia="仿宋" w:cs="Times New Roman"/>
          <w:b w:val="0"/>
          <w:bCs w:val="0"/>
        </w:rPr>
        <w:t>般公共预算财政拨款项目支出决算表</w:t>
      </w:r>
      <w:bookmarkEnd w:id="106"/>
      <w:bookmarkEnd w:id="107"/>
    </w:p>
    <w:p>
      <w:pPr>
        <w:pStyle w:val="3"/>
        <w:rPr>
          <w:rFonts w:hint="default" w:ascii="Times New Roman" w:hAnsi="Times New Roman" w:eastAsia="仿宋" w:cs="Times New Roman"/>
        </w:rPr>
      </w:pPr>
      <w:bookmarkStart w:id="108" w:name="_Toc113893549"/>
      <w:bookmarkStart w:id="109" w:name="_Toc15396628"/>
      <w:r>
        <w:rPr>
          <w:rStyle w:val="28"/>
          <w:rFonts w:hint="default" w:ascii="Times New Roman" w:hAnsi="Times New Roman" w:eastAsia="仿宋" w:cs="Times New Roman"/>
          <w:b w:val="0"/>
          <w:bCs w:val="0"/>
        </w:rPr>
        <w:t>十、</w:t>
      </w:r>
      <w:bookmarkEnd w:id="108"/>
      <w:bookmarkEnd w:id="109"/>
      <w:r>
        <w:rPr>
          <w:rFonts w:hint="default" w:ascii="Times New Roman" w:hAnsi="Times New Roman" w:eastAsia="仿宋" w:cs="Times New Roman"/>
          <w:b w:val="0"/>
        </w:rPr>
        <w:t>政府性基金预算财政拨款收入支出决算表</w:t>
      </w:r>
    </w:p>
    <w:p>
      <w:pPr>
        <w:pStyle w:val="3"/>
        <w:rPr>
          <w:rFonts w:hint="default" w:ascii="Times New Roman" w:hAnsi="Times New Roman" w:eastAsia="仿宋" w:cs="Times New Roman"/>
        </w:rPr>
      </w:pPr>
      <w:bookmarkStart w:id="110" w:name="_Toc113893550"/>
      <w:bookmarkStart w:id="111" w:name="_Toc15396629"/>
      <w:r>
        <w:rPr>
          <w:rStyle w:val="28"/>
          <w:rFonts w:hint="default" w:ascii="Times New Roman" w:hAnsi="Times New Roman" w:eastAsia="仿宋" w:cs="Times New Roman"/>
          <w:b w:val="0"/>
          <w:bCs w:val="0"/>
        </w:rPr>
        <w:t>十一、</w:t>
      </w:r>
      <w:bookmarkEnd w:id="110"/>
      <w:bookmarkEnd w:id="111"/>
      <w:r>
        <w:rPr>
          <w:rFonts w:hint="default" w:ascii="Times New Roman" w:hAnsi="Times New Roman" w:eastAsia="仿宋" w:cs="Times New Roman"/>
          <w:b w:val="0"/>
        </w:rPr>
        <w:t>国有资本经营预算财政拨款收入支出决算表</w:t>
      </w:r>
    </w:p>
    <w:p>
      <w:pPr>
        <w:pStyle w:val="3"/>
        <w:rPr>
          <w:rFonts w:hint="default" w:ascii="Times New Roman" w:hAnsi="Times New Roman" w:eastAsia="仿宋" w:cs="Times New Roman"/>
          <w:b w:val="0"/>
        </w:rPr>
      </w:pPr>
      <w:bookmarkStart w:id="112" w:name="_Toc113893551"/>
      <w:bookmarkStart w:id="113" w:name="_Toc15396630"/>
      <w:r>
        <w:rPr>
          <w:rStyle w:val="28"/>
          <w:rFonts w:hint="default" w:ascii="Times New Roman" w:hAnsi="Times New Roman" w:eastAsia="仿宋" w:cs="Times New Roman"/>
          <w:b w:val="0"/>
          <w:bCs w:val="0"/>
        </w:rPr>
        <w:t>十二、</w:t>
      </w:r>
      <w:bookmarkEnd w:id="112"/>
      <w:bookmarkEnd w:id="113"/>
      <w:bookmarkStart w:id="114" w:name="_Toc15396631"/>
      <w:bookmarkStart w:id="115" w:name="_Toc113893552"/>
      <w:r>
        <w:rPr>
          <w:rFonts w:hint="default" w:ascii="Times New Roman" w:hAnsi="Times New Roman" w:eastAsia="仿宋" w:cs="Times New Roman"/>
          <w:b w:val="0"/>
        </w:rPr>
        <w:t>国有资本经营预算财政拨款支出决算表</w:t>
      </w:r>
    </w:p>
    <w:p>
      <w:pPr>
        <w:pStyle w:val="3"/>
        <w:rPr>
          <w:rStyle w:val="28"/>
          <w:rFonts w:hint="default" w:ascii="Times New Roman" w:hAnsi="Times New Roman" w:eastAsia="仿宋" w:cs="Times New Roman"/>
          <w:b w:val="0"/>
          <w:bCs w:val="0"/>
        </w:rPr>
      </w:pPr>
      <w:r>
        <w:rPr>
          <w:rStyle w:val="28"/>
          <w:rFonts w:hint="default" w:ascii="Times New Roman" w:hAnsi="Times New Roman" w:eastAsia="仿宋" w:cs="Times New Roman"/>
          <w:b w:val="0"/>
          <w:bCs w:val="0"/>
        </w:rPr>
        <w:t>十三、</w:t>
      </w:r>
      <w:r>
        <w:rPr>
          <w:rFonts w:hint="default" w:ascii="Times New Roman" w:hAnsi="Times New Roman" w:eastAsia="仿宋" w:cs="Times New Roman"/>
          <w:b w:val="0"/>
        </w:rPr>
        <w:t>财政拨款“三公”经费支出决算表</w:t>
      </w:r>
      <w:bookmarkEnd w:id="114"/>
      <w:bookmarkEnd w:id="115"/>
    </w:p>
    <w:sectPr>
      <w:pgSz w:w="11906" w:h="16838"/>
      <w:pgMar w:top="1440" w:right="1800" w:bottom="993"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1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lang w:val="zh-CN"/>
                      </w:rPr>
                      <w:fldChar w:fldCharType="end"/>
                    </w:r>
                  </w:p>
                </w:sdtContent>
              </w:sdt>
              <w:p>
                <w:pPr>
                  <w:pStyle w:val="5"/>
                </w:pP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965"/>
        <w:tab w:val="center" w:pos="7262"/>
      </w:tabs>
      <w:jc w:val="left"/>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66776"/>
                </w:sdtPr>
                <w:sdtContent>
                  <w:p>
                    <w:pPr>
                      <w:pStyle w:val="1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lang w:val="zh-CN"/>
                      </w:rPr>
                      <w:fldChar w:fldCharType="end"/>
                    </w:r>
                  </w:p>
                </w:sdtContent>
              </w:sdt>
              <w:p>
                <w:pPr>
                  <w:pStyle w:val="5"/>
                </w:pPr>
              </w:p>
            </w:txbxContent>
          </v:textbox>
        </v:shape>
      </w:pict>
    </w:r>
    <w:r>
      <w:rPr>
        <w:rFonts w:hint="eastAsia"/>
        <w:lang w:eastAsia="zh-CN"/>
      </w:rPr>
      <w:tab/>
    </w:r>
    <w:r>
      <w:rPr>
        <w:rFonts w:hint="eastAsia"/>
        <w:lang w:eastAsia="zh-CN"/>
      </w:rPr>
      <w:tab/>
    </w:r>
    <w:r>
      <w:rPr>
        <w:rFonts w:hint="eastAsia"/>
        <w:lang w:eastAsia="zh-CN"/>
      </w:rPr>
      <w:tab/>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3NTM3NGMzYzk5OWQ0YzYwMmE4NTI3ODY2ODYxZmEifQ=="/>
  </w:docVars>
  <w:rsids>
    <w:rsidRoot w:val="00F1361C"/>
    <w:rsid w:val="00015438"/>
    <w:rsid w:val="000222C6"/>
    <w:rsid w:val="0002549F"/>
    <w:rsid w:val="000468DB"/>
    <w:rsid w:val="0006487A"/>
    <w:rsid w:val="00065F8F"/>
    <w:rsid w:val="00067A0C"/>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2C6F"/>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1051"/>
    <w:rsid w:val="00202B36"/>
    <w:rsid w:val="00204B7A"/>
    <w:rsid w:val="00204CDE"/>
    <w:rsid w:val="00205F4E"/>
    <w:rsid w:val="0021101A"/>
    <w:rsid w:val="00220536"/>
    <w:rsid w:val="00235629"/>
    <w:rsid w:val="00242454"/>
    <w:rsid w:val="00254907"/>
    <w:rsid w:val="00260C38"/>
    <w:rsid w:val="002616C0"/>
    <w:rsid w:val="00265372"/>
    <w:rsid w:val="002662AA"/>
    <w:rsid w:val="00280496"/>
    <w:rsid w:val="00293108"/>
    <w:rsid w:val="00294DC9"/>
    <w:rsid w:val="00295495"/>
    <w:rsid w:val="002A31DE"/>
    <w:rsid w:val="002B2613"/>
    <w:rsid w:val="002C42A6"/>
    <w:rsid w:val="002D6D05"/>
    <w:rsid w:val="002F1818"/>
    <w:rsid w:val="002F567B"/>
    <w:rsid w:val="00316C56"/>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64A7"/>
    <w:rsid w:val="00471401"/>
    <w:rsid w:val="00473F31"/>
    <w:rsid w:val="0048263A"/>
    <w:rsid w:val="00487E5D"/>
    <w:rsid w:val="004A711F"/>
    <w:rsid w:val="004B199D"/>
    <w:rsid w:val="004B4690"/>
    <w:rsid w:val="004D4662"/>
    <w:rsid w:val="004E0A2D"/>
    <w:rsid w:val="004E206B"/>
    <w:rsid w:val="004E6DF7"/>
    <w:rsid w:val="004F0FBD"/>
    <w:rsid w:val="00505A47"/>
    <w:rsid w:val="00512FDA"/>
    <w:rsid w:val="00520DA0"/>
    <w:rsid w:val="00552C19"/>
    <w:rsid w:val="005664BB"/>
    <w:rsid w:val="00566FFA"/>
    <w:rsid w:val="0057481D"/>
    <w:rsid w:val="0058486E"/>
    <w:rsid w:val="00585B33"/>
    <w:rsid w:val="0059014D"/>
    <w:rsid w:val="005B5C64"/>
    <w:rsid w:val="005C5337"/>
    <w:rsid w:val="005C6BD0"/>
    <w:rsid w:val="005D1C8B"/>
    <w:rsid w:val="005D468D"/>
    <w:rsid w:val="005D5CED"/>
    <w:rsid w:val="005F1A4C"/>
    <w:rsid w:val="006018CC"/>
    <w:rsid w:val="00605688"/>
    <w:rsid w:val="006070AF"/>
    <w:rsid w:val="00607E6C"/>
    <w:rsid w:val="006101B1"/>
    <w:rsid w:val="006148C5"/>
    <w:rsid w:val="00614E44"/>
    <w:rsid w:val="0062270A"/>
    <w:rsid w:val="00622830"/>
    <w:rsid w:val="00623DA0"/>
    <w:rsid w:val="00630AEF"/>
    <w:rsid w:val="006325F8"/>
    <w:rsid w:val="00633463"/>
    <w:rsid w:val="00634C9A"/>
    <w:rsid w:val="006440E4"/>
    <w:rsid w:val="00660B13"/>
    <w:rsid w:val="0066343B"/>
    <w:rsid w:val="00664777"/>
    <w:rsid w:val="006748A4"/>
    <w:rsid w:val="00681A31"/>
    <w:rsid w:val="00683E73"/>
    <w:rsid w:val="006A3141"/>
    <w:rsid w:val="006A5E34"/>
    <w:rsid w:val="006B2422"/>
    <w:rsid w:val="006B2B9A"/>
    <w:rsid w:val="006C1937"/>
    <w:rsid w:val="006F020C"/>
    <w:rsid w:val="006F7DBC"/>
    <w:rsid w:val="007127B7"/>
    <w:rsid w:val="0071798E"/>
    <w:rsid w:val="007416B6"/>
    <w:rsid w:val="00746F48"/>
    <w:rsid w:val="0075404D"/>
    <w:rsid w:val="0076182A"/>
    <w:rsid w:val="00767B7E"/>
    <w:rsid w:val="007770C3"/>
    <w:rsid w:val="00784D24"/>
    <w:rsid w:val="00785FBA"/>
    <w:rsid w:val="00786E4A"/>
    <w:rsid w:val="007875EB"/>
    <w:rsid w:val="007913B1"/>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47F4"/>
    <w:rsid w:val="00871F71"/>
    <w:rsid w:val="00872FD8"/>
    <w:rsid w:val="00885AF4"/>
    <w:rsid w:val="008939CD"/>
    <w:rsid w:val="008B768C"/>
    <w:rsid w:val="008C4DB1"/>
    <w:rsid w:val="008C4EAF"/>
    <w:rsid w:val="008C5176"/>
    <w:rsid w:val="008C7FD0"/>
    <w:rsid w:val="008E1DE7"/>
    <w:rsid w:val="008E41C1"/>
    <w:rsid w:val="008E707C"/>
    <w:rsid w:val="00900B08"/>
    <w:rsid w:val="00902155"/>
    <w:rsid w:val="00902FA3"/>
    <w:rsid w:val="00912189"/>
    <w:rsid w:val="00923564"/>
    <w:rsid w:val="0092392E"/>
    <w:rsid w:val="009315F9"/>
    <w:rsid w:val="00933499"/>
    <w:rsid w:val="00935C98"/>
    <w:rsid w:val="00944C41"/>
    <w:rsid w:val="00946945"/>
    <w:rsid w:val="00951248"/>
    <w:rsid w:val="0095152F"/>
    <w:rsid w:val="00954C49"/>
    <w:rsid w:val="00955E37"/>
    <w:rsid w:val="0097099F"/>
    <w:rsid w:val="00971997"/>
    <w:rsid w:val="00971FFC"/>
    <w:rsid w:val="0098660A"/>
    <w:rsid w:val="009931C3"/>
    <w:rsid w:val="009A5147"/>
    <w:rsid w:val="009B2C43"/>
    <w:rsid w:val="009B4EAE"/>
    <w:rsid w:val="009B6B72"/>
    <w:rsid w:val="009B7573"/>
    <w:rsid w:val="009C22F4"/>
    <w:rsid w:val="009C2A4B"/>
    <w:rsid w:val="009C2E98"/>
    <w:rsid w:val="009D3447"/>
    <w:rsid w:val="009D4711"/>
    <w:rsid w:val="009F1185"/>
    <w:rsid w:val="009F18CD"/>
    <w:rsid w:val="009F2A13"/>
    <w:rsid w:val="009F7527"/>
    <w:rsid w:val="00A04EB0"/>
    <w:rsid w:val="00A0709B"/>
    <w:rsid w:val="00A13CC1"/>
    <w:rsid w:val="00A16847"/>
    <w:rsid w:val="00A237D8"/>
    <w:rsid w:val="00A268C4"/>
    <w:rsid w:val="00A307CD"/>
    <w:rsid w:val="00A331C8"/>
    <w:rsid w:val="00A37FB0"/>
    <w:rsid w:val="00A40A00"/>
    <w:rsid w:val="00A4142F"/>
    <w:rsid w:val="00A422EB"/>
    <w:rsid w:val="00A45BB7"/>
    <w:rsid w:val="00A56DF2"/>
    <w:rsid w:val="00A56E6E"/>
    <w:rsid w:val="00A67AB5"/>
    <w:rsid w:val="00A733B2"/>
    <w:rsid w:val="00A741C2"/>
    <w:rsid w:val="00A849C4"/>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26C4"/>
    <w:rsid w:val="00BB4DF0"/>
    <w:rsid w:val="00BC289F"/>
    <w:rsid w:val="00BC2D50"/>
    <w:rsid w:val="00BC5361"/>
    <w:rsid w:val="00BC5460"/>
    <w:rsid w:val="00BC6B50"/>
    <w:rsid w:val="00BD0E25"/>
    <w:rsid w:val="00BF5BD6"/>
    <w:rsid w:val="00C00B4A"/>
    <w:rsid w:val="00C03E31"/>
    <w:rsid w:val="00C308C4"/>
    <w:rsid w:val="00C33E72"/>
    <w:rsid w:val="00C354B2"/>
    <w:rsid w:val="00C35554"/>
    <w:rsid w:val="00C42709"/>
    <w:rsid w:val="00C512E5"/>
    <w:rsid w:val="00C533CC"/>
    <w:rsid w:val="00C5751C"/>
    <w:rsid w:val="00C61BFC"/>
    <w:rsid w:val="00C62B85"/>
    <w:rsid w:val="00C65438"/>
    <w:rsid w:val="00C87FD8"/>
    <w:rsid w:val="00C91381"/>
    <w:rsid w:val="00C91CBB"/>
    <w:rsid w:val="00CA41C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802"/>
    <w:rsid w:val="00D7035F"/>
    <w:rsid w:val="00DA634F"/>
    <w:rsid w:val="00DA65AC"/>
    <w:rsid w:val="00DB1913"/>
    <w:rsid w:val="00DC410D"/>
    <w:rsid w:val="00DC5A81"/>
    <w:rsid w:val="00DC68CA"/>
    <w:rsid w:val="00DC7CBA"/>
    <w:rsid w:val="00DD73B7"/>
    <w:rsid w:val="00DF28BC"/>
    <w:rsid w:val="00DF34B9"/>
    <w:rsid w:val="00E01053"/>
    <w:rsid w:val="00E07ACF"/>
    <w:rsid w:val="00E22639"/>
    <w:rsid w:val="00E30692"/>
    <w:rsid w:val="00E331A1"/>
    <w:rsid w:val="00E33202"/>
    <w:rsid w:val="00E336A9"/>
    <w:rsid w:val="00E472B1"/>
    <w:rsid w:val="00E50624"/>
    <w:rsid w:val="00E568DF"/>
    <w:rsid w:val="00E64269"/>
    <w:rsid w:val="00E82267"/>
    <w:rsid w:val="00E84739"/>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59D6"/>
    <w:rsid w:val="00F160C7"/>
    <w:rsid w:val="00F2408F"/>
    <w:rsid w:val="00F240E9"/>
    <w:rsid w:val="00F36D8F"/>
    <w:rsid w:val="00F417B1"/>
    <w:rsid w:val="00F440FB"/>
    <w:rsid w:val="00F45853"/>
    <w:rsid w:val="00F515FB"/>
    <w:rsid w:val="00F602DF"/>
    <w:rsid w:val="00F752A4"/>
    <w:rsid w:val="00F754A1"/>
    <w:rsid w:val="00F81FD9"/>
    <w:rsid w:val="00F841AA"/>
    <w:rsid w:val="00F84A94"/>
    <w:rsid w:val="00F87E96"/>
    <w:rsid w:val="00FA23E8"/>
    <w:rsid w:val="00FD3CC1"/>
    <w:rsid w:val="00FF1E02"/>
    <w:rsid w:val="00FF30B4"/>
    <w:rsid w:val="00FF4840"/>
    <w:rsid w:val="012D3CC0"/>
    <w:rsid w:val="02EA5B79"/>
    <w:rsid w:val="03EB3F72"/>
    <w:rsid w:val="05F11215"/>
    <w:rsid w:val="076F6B81"/>
    <w:rsid w:val="082E226A"/>
    <w:rsid w:val="089C58A4"/>
    <w:rsid w:val="0908278B"/>
    <w:rsid w:val="09344C74"/>
    <w:rsid w:val="098C7F03"/>
    <w:rsid w:val="0A2032A3"/>
    <w:rsid w:val="0B8A37D8"/>
    <w:rsid w:val="0C493C91"/>
    <w:rsid w:val="0D5F1992"/>
    <w:rsid w:val="0E5C043C"/>
    <w:rsid w:val="0F420E43"/>
    <w:rsid w:val="0F7C6E40"/>
    <w:rsid w:val="10897BD2"/>
    <w:rsid w:val="10C055FF"/>
    <w:rsid w:val="118107EC"/>
    <w:rsid w:val="11DD6519"/>
    <w:rsid w:val="121E4D85"/>
    <w:rsid w:val="12827732"/>
    <w:rsid w:val="12A26356"/>
    <w:rsid w:val="133805E2"/>
    <w:rsid w:val="134E75BE"/>
    <w:rsid w:val="137D3C5F"/>
    <w:rsid w:val="139F00B7"/>
    <w:rsid w:val="13AF06CE"/>
    <w:rsid w:val="144B75F6"/>
    <w:rsid w:val="157A63F7"/>
    <w:rsid w:val="165B6304"/>
    <w:rsid w:val="16BB723D"/>
    <w:rsid w:val="16FF78A9"/>
    <w:rsid w:val="17220DA9"/>
    <w:rsid w:val="17F17C74"/>
    <w:rsid w:val="18015F3F"/>
    <w:rsid w:val="19567749"/>
    <w:rsid w:val="1B843C52"/>
    <w:rsid w:val="1BE8440E"/>
    <w:rsid w:val="1BE86DE1"/>
    <w:rsid w:val="1CC94C46"/>
    <w:rsid w:val="1D155CEE"/>
    <w:rsid w:val="1D4E5EAE"/>
    <w:rsid w:val="1EE20FB3"/>
    <w:rsid w:val="1F0F233C"/>
    <w:rsid w:val="205E3F2E"/>
    <w:rsid w:val="20F57F95"/>
    <w:rsid w:val="21A1146F"/>
    <w:rsid w:val="21E040FD"/>
    <w:rsid w:val="21E706B1"/>
    <w:rsid w:val="21FF258A"/>
    <w:rsid w:val="22BC4399"/>
    <w:rsid w:val="236C7DE4"/>
    <w:rsid w:val="23977CA7"/>
    <w:rsid w:val="23FD770B"/>
    <w:rsid w:val="240371BF"/>
    <w:rsid w:val="253C63A1"/>
    <w:rsid w:val="25967E24"/>
    <w:rsid w:val="25C741E6"/>
    <w:rsid w:val="267713A8"/>
    <w:rsid w:val="270A7336"/>
    <w:rsid w:val="271C2BC2"/>
    <w:rsid w:val="27842671"/>
    <w:rsid w:val="281C4AD4"/>
    <w:rsid w:val="28E31396"/>
    <w:rsid w:val="291A0ACF"/>
    <w:rsid w:val="29495170"/>
    <w:rsid w:val="29FD04D3"/>
    <w:rsid w:val="2ABE7A3E"/>
    <w:rsid w:val="2B4B5557"/>
    <w:rsid w:val="2BAF7DEB"/>
    <w:rsid w:val="2CFD7CA2"/>
    <w:rsid w:val="2EFA178C"/>
    <w:rsid w:val="2F0039DC"/>
    <w:rsid w:val="30B46D73"/>
    <w:rsid w:val="311E7811"/>
    <w:rsid w:val="314A59DA"/>
    <w:rsid w:val="319F7F4E"/>
    <w:rsid w:val="320420A1"/>
    <w:rsid w:val="325A3A43"/>
    <w:rsid w:val="327A72C4"/>
    <w:rsid w:val="33934EC5"/>
    <w:rsid w:val="340A0FBF"/>
    <w:rsid w:val="36441AF8"/>
    <w:rsid w:val="36E30E57"/>
    <w:rsid w:val="377462CA"/>
    <w:rsid w:val="37C0380E"/>
    <w:rsid w:val="388E401F"/>
    <w:rsid w:val="38F57B77"/>
    <w:rsid w:val="39AE70AB"/>
    <w:rsid w:val="3B037579"/>
    <w:rsid w:val="3B0960D3"/>
    <w:rsid w:val="3C0C0783"/>
    <w:rsid w:val="3E973828"/>
    <w:rsid w:val="3F1C6E1E"/>
    <w:rsid w:val="3F9E25C5"/>
    <w:rsid w:val="3F9F3A96"/>
    <w:rsid w:val="418F7E2E"/>
    <w:rsid w:val="41B22FAC"/>
    <w:rsid w:val="42E05556"/>
    <w:rsid w:val="438D4434"/>
    <w:rsid w:val="441920BD"/>
    <w:rsid w:val="45512924"/>
    <w:rsid w:val="45BF73E7"/>
    <w:rsid w:val="460B61A5"/>
    <w:rsid w:val="462C2D18"/>
    <w:rsid w:val="46D215AE"/>
    <w:rsid w:val="483713B1"/>
    <w:rsid w:val="48422A14"/>
    <w:rsid w:val="48DE1CE8"/>
    <w:rsid w:val="493C27E9"/>
    <w:rsid w:val="496F39ED"/>
    <w:rsid w:val="49FF41D3"/>
    <w:rsid w:val="4AB643D1"/>
    <w:rsid w:val="4BB83A3A"/>
    <w:rsid w:val="4BDF2EEC"/>
    <w:rsid w:val="4BE068DB"/>
    <w:rsid w:val="4BF6002B"/>
    <w:rsid w:val="4C331AB6"/>
    <w:rsid w:val="4D8049A9"/>
    <w:rsid w:val="4E022375"/>
    <w:rsid w:val="4ECE2238"/>
    <w:rsid w:val="500150C3"/>
    <w:rsid w:val="50154591"/>
    <w:rsid w:val="50221477"/>
    <w:rsid w:val="50496A25"/>
    <w:rsid w:val="5123673B"/>
    <w:rsid w:val="515D3A2F"/>
    <w:rsid w:val="51814128"/>
    <w:rsid w:val="519A7C52"/>
    <w:rsid w:val="51DB4B86"/>
    <w:rsid w:val="52B72CCB"/>
    <w:rsid w:val="52D43906"/>
    <w:rsid w:val="55333C3E"/>
    <w:rsid w:val="55A30344"/>
    <w:rsid w:val="57A875DD"/>
    <w:rsid w:val="59532D86"/>
    <w:rsid w:val="5B4D7441"/>
    <w:rsid w:val="5B821194"/>
    <w:rsid w:val="5B955B74"/>
    <w:rsid w:val="5BB35D91"/>
    <w:rsid w:val="5C61081D"/>
    <w:rsid w:val="5D264FD3"/>
    <w:rsid w:val="5D6A56D6"/>
    <w:rsid w:val="5E2E13DD"/>
    <w:rsid w:val="5E6A7000"/>
    <w:rsid w:val="5EB05265"/>
    <w:rsid w:val="5F3C2391"/>
    <w:rsid w:val="5F9E17A0"/>
    <w:rsid w:val="62FB09B2"/>
    <w:rsid w:val="63650326"/>
    <w:rsid w:val="63C91125"/>
    <w:rsid w:val="64482C8C"/>
    <w:rsid w:val="64CA39A1"/>
    <w:rsid w:val="653B274B"/>
    <w:rsid w:val="653D3F70"/>
    <w:rsid w:val="667E3DD4"/>
    <w:rsid w:val="66BC6BA8"/>
    <w:rsid w:val="68DE2041"/>
    <w:rsid w:val="6B8A712A"/>
    <w:rsid w:val="6C4A05C8"/>
    <w:rsid w:val="6CD65A5D"/>
    <w:rsid w:val="6E032001"/>
    <w:rsid w:val="6ECB454F"/>
    <w:rsid w:val="72734D90"/>
    <w:rsid w:val="73514DB0"/>
    <w:rsid w:val="75726CD3"/>
    <w:rsid w:val="75805990"/>
    <w:rsid w:val="765A2D56"/>
    <w:rsid w:val="766F6927"/>
    <w:rsid w:val="77EA5744"/>
    <w:rsid w:val="78301EAE"/>
    <w:rsid w:val="79C35A65"/>
    <w:rsid w:val="79E7B28D"/>
    <w:rsid w:val="7A4940E3"/>
    <w:rsid w:val="7B0D60D5"/>
    <w:rsid w:val="7D2B742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2"/>
    <w:qFormat/>
    <w:uiPriority w:val="9"/>
    <w:rPr>
      <w:rFonts w:ascii="Times New Roman" w:hAnsi="Times New Roman"/>
      <w:b/>
      <w:bCs/>
      <w:kern w:val="44"/>
      <w:sz w:val="44"/>
      <w:szCs w:val="44"/>
    </w:rPr>
  </w:style>
  <w:style w:type="character" w:customStyle="1" w:styleId="28">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3&#24180;&#20915;&#31639;&#20844;&#24320;&#36164;&#26009;\2023&#24180;&#37096;&#38376;&#20915;&#31639;&#20844;&#24320;&#36164;&#26009;\137019-yfjxx\&#20915;&#31639;&#22270;1&#34920;2023-2024.09.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3&#24180;&#20915;&#31639;&#20844;&#24320;&#36164;&#26009;\2023&#24180;&#37096;&#38376;&#20915;&#31639;&#20844;&#24320;&#36164;&#26009;\137019-yfjxx\&#20915;&#31639;&#22270;1&#34920;2023-2024.09.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3&#24180;&#20915;&#31639;&#20844;&#24320;&#36164;&#26009;\2023&#24180;&#37096;&#38376;&#20915;&#31639;&#20844;&#24320;&#36164;&#26009;\137019-yfjxx\&#20915;&#31639;&#22270;1&#34920;2023-2024.09.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3&#24180;&#20915;&#31639;&#20844;&#24320;&#36164;&#26009;\2023&#24180;&#37096;&#38376;&#20915;&#31639;&#20844;&#24320;&#36164;&#26009;\137019-yfjxx\&#20915;&#31639;&#22270;1&#34920;2023-2024.09.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3&#24180;&#20915;&#31639;&#20844;&#24320;&#36164;&#26009;\2023&#24180;&#37096;&#38376;&#20915;&#31639;&#20844;&#24320;&#36164;&#26009;\137019-yfjxx\&#20915;&#31639;&#22270;1&#34920;2023-2024.09.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3&#24180;&#20915;&#31639;&#20844;&#24320;&#36164;&#26009;\2023&#24180;&#37096;&#38376;&#20915;&#31639;&#20844;&#24320;&#36164;&#26009;\137019-yfjxx\&#20915;&#31639;&#22270;1&#34920;2023-2024.09.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收入支出总体情况表  （单位：万元）</a:t>
            </a:r>
            <a:endParaRPr lang="zh-CN" altLang="en-US"/>
          </a:p>
        </c:rich>
      </c:tx>
      <c:layout/>
      <c:overlay val="0"/>
    </c:title>
    <c:autoTitleDeleted val="0"/>
    <c:plotArea>
      <c:layout/>
      <c:barChart>
        <c:barDir val="col"/>
        <c:grouping val="clustered"/>
        <c:varyColors val="0"/>
        <c:ser>
          <c:idx val="0"/>
          <c:order val="0"/>
          <c:invertIfNegative val="0"/>
          <c:dLbls>
            <c:delete val="1"/>
          </c:dLbls>
          <c:cat>
            <c:strRef>
              <c:f>'[决算图1表2023-2024.09.07.xlsx]Sheet1'!$A$3:$A$4</c:f>
              <c:strCache>
                <c:ptCount val="2"/>
                <c:pt idx="0">
                  <c:v>2022年</c:v>
                </c:pt>
                <c:pt idx="1">
                  <c:v>2023年</c:v>
                </c:pt>
              </c:strCache>
            </c:strRef>
          </c:cat>
          <c:val>
            <c:numRef>
              <c:f>'[决算图1表2023-2024.09.07.xlsx]Sheet1'!$B$3:$B$4</c:f>
              <c:numCache>
                <c:formatCode>General</c:formatCode>
                <c:ptCount val="2"/>
                <c:pt idx="0">
                  <c:v>807.9</c:v>
                </c:pt>
                <c:pt idx="1">
                  <c:v>1352.72</c:v>
                </c:pt>
              </c:numCache>
            </c:numRef>
          </c:val>
        </c:ser>
        <c:dLbls>
          <c:showLegendKey val="0"/>
          <c:showVal val="0"/>
          <c:showCatName val="0"/>
          <c:showSerName val="0"/>
          <c:showPercent val="0"/>
          <c:showBubbleSize val="0"/>
        </c:dLbls>
        <c:gapWidth val="150"/>
        <c:axId val="114277376"/>
        <c:axId val="126785024"/>
      </c:barChart>
      <c:catAx>
        <c:axId val="114277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785024"/>
        <c:crosses val="autoZero"/>
        <c:auto val="1"/>
        <c:lblAlgn val="ctr"/>
        <c:lblOffset val="100"/>
        <c:noMultiLvlLbl val="0"/>
      </c:catAx>
      <c:valAx>
        <c:axId val="12678502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27737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二、 收入决算情况</a:t>
            </a:r>
            <a:r>
              <a:rPr lang="en-US" altLang="zh-CN" sz="1800" b="1" i="0" baseline="0"/>
              <a:t>(</a:t>
            </a:r>
            <a:r>
              <a:rPr lang="zh-CN" altLang="zh-CN" sz="1800" b="1" i="0" baseline="0"/>
              <a:t>万元</a:t>
            </a:r>
            <a:r>
              <a:rPr lang="en-US" altLang="zh-CN" sz="1800" b="1" i="0" baseline="0"/>
              <a:t>)</a:t>
            </a:r>
            <a:endParaRPr lang="zh-CN" altLang="zh-CN" sz="1800" b="1" i="0" baseline="0"/>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0127891295530246"/>
                  <c:y val="-0.1901667297377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layout>
                <c:manualLayout>
                  <c:x val="-0.0674103714398019"/>
                  <c:y val="-0.055897634998926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'[决算图1表2023-2024.09.07.xlsx]Sheet1'!$A$20:$A$27</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'[决算图1表2023-2024.09.07.xlsx]Sheet1'!$B$20:$B$27</c:f>
              <c:numCache>
                <c:formatCode>#,##0.00</c:formatCode>
                <c:ptCount val="8"/>
                <c:pt idx="0">
                  <c:v>1085.88</c:v>
                </c:pt>
                <c:pt idx="1" c:formatCode="General">
                  <c:v>0</c:v>
                </c:pt>
                <c:pt idx="2" c:formatCode="General">
                  <c:v>0</c:v>
                </c:pt>
                <c:pt idx="3" c:formatCode="General">
                  <c:v>0</c:v>
                </c:pt>
                <c:pt idx="4" c:formatCode="General">
                  <c:v>0</c:v>
                </c:pt>
                <c:pt idx="5" c:formatCode="General">
                  <c:v>0</c:v>
                </c:pt>
                <c:pt idx="6" c:formatCode="General">
                  <c:v>0</c:v>
                </c:pt>
                <c:pt idx="7" c:formatCode="General">
                  <c:v>35.8</c:v>
                </c:pt>
              </c:numCache>
            </c:numRef>
          </c:val>
        </c:ser>
        <c:dLbls>
          <c:showLegendKey val="0"/>
          <c:showVal val="0"/>
          <c:showCatName val="0"/>
          <c:showSerName val="0"/>
          <c:showPercent val="1"/>
          <c:showBubbleSize val="0"/>
          <c:showLeaderLines val="1"/>
        </c:dLbls>
        <c:firstSliceAng val="0"/>
      </c:pieChart>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三、 支出决算情况(万元)</a:t>
            </a:r>
            <a:endParaRPr lang="zh-CN" altLang="zh-CN"/>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manualLayout>
          <c:xMode val="edge"/>
          <c:yMode val="edge"/>
          <c:x val="0.241694444444445"/>
          <c:y val="0"/>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'[决算图1表2023-2024.09.07.xlsx]Sheet1'!$A$35:$A$39</c:f>
              <c:strCache>
                <c:ptCount val="5"/>
                <c:pt idx="0">
                  <c:v>基本支出</c:v>
                </c:pt>
                <c:pt idx="1">
                  <c:v>项目支出</c:v>
                </c:pt>
                <c:pt idx="2">
                  <c:v>上缴上级支出</c:v>
                </c:pt>
                <c:pt idx="3">
                  <c:v>经营支出</c:v>
                </c:pt>
                <c:pt idx="4">
                  <c:v>对附属单位补助支出</c:v>
                </c:pt>
              </c:strCache>
            </c:strRef>
          </c:cat>
          <c:val>
            <c:numRef>
              <c:f>'[决算图1表2023-2024.09.07.xlsx]Sheet1'!$B$35:$B$39</c:f>
              <c:numCache>
                <c:formatCode>General</c:formatCode>
                <c:ptCount val="5"/>
                <c:pt idx="0">
                  <c:v>401.3</c:v>
                </c:pt>
                <c:pt idx="1">
                  <c:v>738.74</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legendEntry>
        <c:idx val="4"/>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四、财政拨款收、支决算总计变动情况 （单位：万元）</a:t>
            </a:r>
            <a:endParaRPr lang="zh-CN" altLang="zh-CN" sz="1800" b="1" i="0" baseline="0"/>
          </a:p>
        </c:rich>
      </c:tx>
      <c:layout/>
      <c:overlay val="0"/>
    </c:title>
    <c:autoTitleDeleted val="0"/>
    <c:plotArea>
      <c:layout/>
      <c:barChart>
        <c:barDir val="col"/>
        <c:grouping val="stacked"/>
        <c:varyColors val="0"/>
        <c:ser>
          <c:idx val="0"/>
          <c:order val="0"/>
          <c:invertIfNegative val="0"/>
          <c:dLbls>
            <c:delete val="1"/>
          </c:dLbls>
          <c:cat>
            <c:strRef>
              <c:f>'[决算图1表2023-2024.09.07.xlsx]Sheet1'!$A$49:$A$50</c:f>
              <c:strCache>
                <c:ptCount val="2"/>
                <c:pt idx="0">
                  <c:v>2022年财政拨款收、支总计</c:v>
                </c:pt>
                <c:pt idx="1">
                  <c:v>2023年财政拨款收、支总计</c:v>
                </c:pt>
              </c:strCache>
            </c:strRef>
          </c:cat>
          <c:val>
            <c:numRef>
              <c:f>'[决算图1表2023-2024.09.07.xlsx]Sheet1'!$B$49:$B$50</c:f>
              <c:numCache>
                <c:formatCode>General</c:formatCode>
                <c:ptCount val="2"/>
                <c:pt idx="0">
                  <c:v>487.86</c:v>
                </c:pt>
                <c:pt idx="1">
                  <c:v>1085.88</c:v>
                </c:pt>
              </c:numCache>
            </c:numRef>
          </c:val>
        </c:ser>
        <c:dLbls>
          <c:showLegendKey val="0"/>
          <c:showVal val="0"/>
          <c:showCatName val="0"/>
          <c:showSerName val="0"/>
          <c:showPercent val="0"/>
          <c:showBubbleSize val="0"/>
        </c:dLbls>
        <c:gapWidth val="95"/>
        <c:overlap val="100"/>
        <c:axId val="111259008"/>
        <c:axId val="111273856"/>
      </c:barChart>
      <c:catAx>
        <c:axId val="1112590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273856"/>
        <c:crosses val="autoZero"/>
        <c:auto val="1"/>
        <c:lblAlgn val="ctr"/>
        <c:lblOffset val="100"/>
        <c:noMultiLvlLbl val="0"/>
      </c:catAx>
      <c:valAx>
        <c:axId val="11127385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2590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五、一般公共预算财政拨款支出（万元）</a:t>
            </a:r>
            <a:endParaRPr lang="zh-CN" altLang="zh-CN"/>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manualLayout>
          <c:xMode val="edge"/>
          <c:yMode val="edge"/>
          <c:x val="0.184768856447689"/>
          <c:y val="0.0413793103448276"/>
        </c:manualLayout>
      </c:layout>
      <c:overlay val="0"/>
    </c:title>
    <c:autoTitleDeleted val="0"/>
    <c:plotArea>
      <c:layout/>
      <c:barChart>
        <c:barDir val="col"/>
        <c:grouping val="stacked"/>
        <c:varyColors val="0"/>
        <c:ser>
          <c:idx val="0"/>
          <c:order val="0"/>
          <c:invertIfNegative val="0"/>
          <c:dLbls>
            <c:delete val="1"/>
          </c:dLbls>
          <c:cat>
            <c:strRef>
              <c:f>'[决算图1表2023-2024.09.07.xlsx]Sheet1'!$A$67:$A$68</c:f>
              <c:strCache>
                <c:ptCount val="2"/>
                <c:pt idx="0">
                  <c:v>2022年一般公共预算财政拨款</c:v>
                </c:pt>
                <c:pt idx="1">
                  <c:v>2023年一般公共预算财政拨款</c:v>
                </c:pt>
              </c:strCache>
            </c:strRef>
          </c:cat>
          <c:val>
            <c:numRef>
              <c:f>'[决算图1表2023-2024.09.07.xlsx]Sheet1'!$B$67:$B$68</c:f>
              <c:numCache>
                <c:formatCode>General</c:formatCode>
                <c:ptCount val="2"/>
                <c:pt idx="0">
                  <c:v>487.86</c:v>
                </c:pt>
                <c:pt idx="1">
                  <c:v>1085.88</c:v>
                </c:pt>
              </c:numCache>
            </c:numRef>
          </c:val>
        </c:ser>
        <c:dLbls>
          <c:showLegendKey val="0"/>
          <c:showVal val="0"/>
          <c:showCatName val="0"/>
          <c:showSerName val="0"/>
          <c:showPercent val="0"/>
          <c:showBubbleSize val="0"/>
        </c:dLbls>
        <c:gapWidth val="95"/>
        <c:overlap val="100"/>
        <c:axId val="111551616"/>
        <c:axId val="111553152"/>
      </c:barChart>
      <c:catAx>
        <c:axId val="11155161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53152"/>
        <c:crosses val="autoZero"/>
        <c:auto val="1"/>
        <c:lblAlgn val="ctr"/>
        <c:lblOffset val="100"/>
        <c:noMultiLvlLbl val="0"/>
      </c:catAx>
      <c:valAx>
        <c:axId val="1115531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5161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600" b="1" i="0" baseline="0"/>
              <a:t>六、一般公共预算财政拨款支出决算(万元)</a:t>
            </a:r>
            <a:endParaRPr lang="zh-CN" altLang="zh-CN" sz="1600" b="1" i="0" baseline="0"/>
          </a:p>
        </c:rich>
      </c:tx>
      <c:layout>
        <c:manualLayout>
          <c:xMode val="edge"/>
          <c:yMode val="edge"/>
          <c:x val="0.088476357267951"/>
          <c:y val="0"/>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114615284122505"/>
                  <c:y val="0.044586549164139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521845659212842"/>
                  <c:y val="-0.034014257417781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06310301844139"/>
                  <c:y val="-0.0096070118427334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'[决算图1表2023-2024.09.07.xlsx]Sheet1'!$A$86:$A$89</c:f>
              <c:strCache>
                <c:ptCount val="4"/>
                <c:pt idx="0">
                  <c:v>教育支出</c:v>
                </c:pt>
                <c:pt idx="1">
                  <c:v>社会保障和就业</c:v>
                </c:pt>
                <c:pt idx="2">
                  <c:v>卫生健康支出</c:v>
                </c:pt>
                <c:pt idx="3">
                  <c:v>住房保障支出</c:v>
                </c:pt>
              </c:strCache>
            </c:strRef>
          </c:cat>
          <c:val>
            <c:numRef>
              <c:f>'[决算图1表2023-2024.09.07.xlsx]Sheet1'!$B$86:$B$89</c:f>
              <c:numCache>
                <c:formatCode>General</c:formatCode>
                <c:ptCount val="4"/>
                <c:pt idx="0">
                  <c:v>986.49</c:v>
                </c:pt>
                <c:pt idx="1">
                  <c:v>49.88</c:v>
                </c:pt>
                <c:pt idx="2">
                  <c:v>19.37</c:v>
                </c:pt>
                <c:pt idx="3">
                  <c:v>30.14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82485875706215"/>
          <c:y val="0.4132981166743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794A4-E436-419D-81D2-C5F6BAB556A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5520</Words>
  <Characters>6033</Characters>
  <Lines>65</Lines>
  <Paragraphs>18</Paragraphs>
  <TotalTime>7</TotalTime>
  <ScaleCrop>false</ScaleCrop>
  <LinksUpToDate>false</LinksUpToDate>
  <CharactersWithSpaces>6180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2022-09-09T06:35:00Z</dcterms:created>
  <dc:creator>曹颖</dc:creator>
  <cp:lastModifiedBy>lenovo</cp:lastModifiedBy>
  <cp:lastPrinted>2022-08-06T02:23:00Z</cp:lastPrinted>
  <dcterms:modified xsi:type="dcterms:W3CDTF">2024-09-20T03:15:26Z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9BF26495B43B47FA8D765DC3179E8651</vt:lpwstr>
  </property>
</Properties>
</file>