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hAnsi="宋体" w:eastAsia="方正小标宋简体"/>
          <w:sz w:val="44"/>
          <w:szCs w:val="44"/>
        </w:rPr>
      </w:pPr>
      <w:bookmarkStart w:id="0" w:name="_Toc15306267"/>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96475"/>
      <w:bookmarkStart w:id="2" w:name="_Toc15378441"/>
      <w:bookmarkStart w:id="3" w:name="_Toc15377425"/>
      <w:bookmarkStart w:id="4" w:name="_Toc15396597"/>
      <w:bookmarkStart w:id="5" w:name="_Toc15377193"/>
      <w:r>
        <w:rPr>
          <w:rFonts w:hint="eastAsia" w:ascii="方正小标宋简体" w:hAnsi="方正小标宋简体" w:eastAsia="方正小标宋简体" w:cs="方正小标宋简体"/>
          <w:sz w:val="44"/>
          <w:szCs w:val="44"/>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96598"/>
      <w:bookmarkStart w:id="9" w:name="_Toc15377194"/>
      <w:bookmarkStart w:id="10" w:name="_Toc15377426"/>
      <w:r>
        <w:rPr>
          <w:rFonts w:hint="eastAsia" w:ascii="方正小标宋简体" w:hAnsi="方正小标宋简体" w:eastAsia="方正小标宋简体" w:cs="方正小标宋简体"/>
          <w:sz w:val="44"/>
          <w:szCs w:val="44"/>
        </w:rPr>
        <w:t>四川省</w:t>
      </w:r>
      <w:bookmarkEnd w:id="0"/>
      <w:bookmarkStart w:id="11" w:name="_Toc15306268"/>
      <w:r>
        <w:rPr>
          <w:rFonts w:hint="eastAsia" w:ascii="方正小标宋简体" w:hAnsi="方正小标宋简体" w:eastAsia="方正小标宋简体" w:cs="方正小标宋简体"/>
          <w:sz w:val="44"/>
          <w:szCs w:val="44"/>
        </w:rPr>
        <w:t>遂宁市船山区天宫庙小学校单位决算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rFonts w:hint="eastAsia"/>
          <w:sz w:val="24"/>
        </w:rPr>
        <w:tab/>
      </w:r>
      <w:r>
        <w:rPr>
          <w:rFonts w:hint="eastAsia"/>
          <w:sz w:val="24"/>
        </w:rPr>
        <w:t>3</w:t>
      </w:r>
    </w:p>
    <w:p>
      <w:pPr>
        <w:pStyle w:val="11"/>
        <w:adjustRightInd w:val="0"/>
        <w:snapToGrid w:val="0"/>
        <w:spacing w:line="440" w:lineRule="exact"/>
        <w:jc w:val="left"/>
        <w:rPr>
          <w:sz w:val="24"/>
        </w:rPr>
      </w:pPr>
      <w:r>
        <w:rPr>
          <w:rFonts w:hint="eastAsia"/>
          <w:sz w:val="24"/>
        </w:rPr>
        <w:t>一、主要职责</w:t>
      </w:r>
      <w:r>
        <w:rPr>
          <w:rFonts w:hint="eastAsia"/>
          <w:sz w:val="24"/>
        </w:rPr>
        <w:tab/>
      </w:r>
      <w:r>
        <w:rPr>
          <w:rFonts w:hint="eastAsia"/>
          <w:sz w:val="24"/>
        </w:rPr>
        <w:t>3</w:t>
      </w:r>
    </w:p>
    <w:p>
      <w:pPr>
        <w:pStyle w:val="11"/>
        <w:adjustRightInd w:val="0"/>
        <w:snapToGrid w:val="0"/>
        <w:spacing w:line="440" w:lineRule="exact"/>
        <w:jc w:val="left"/>
      </w:pPr>
      <w:r>
        <w:rPr>
          <w:rFonts w:hint="eastAsia"/>
          <w:sz w:val="24"/>
        </w:rPr>
        <w:t>二、机构设置</w:t>
      </w:r>
      <w:r>
        <w:rPr>
          <w:rFonts w:hint="eastAsia"/>
          <w:sz w:val="24"/>
        </w:rPr>
        <w:tab/>
      </w:r>
      <w:r>
        <w:rPr>
          <w:rFonts w:hint="eastAsia"/>
          <w:sz w:val="24"/>
        </w:rPr>
        <w:t>4</w:t>
      </w:r>
    </w:p>
    <w:p>
      <w:pPr>
        <w:pStyle w:val="10"/>
        <w:adjustRightInd w:val="0"/>
        <w:snapToGrid w:val="0"/>
        <w:spacing w:before="0" w:line="440" w:lineRule="exact"/>
        <w:jc w:val="left"/>
        <w:rPr>
          <w:sz w:val="24"/>
          <w:szCs w:val="24"/>
        </w:rPr>
      </w:pPr>
      <w:r>
        <w:rPr>
          <w:rFonts w:hint="eastAsia"/>
          <w:sz w:val="24"/>
        </w:rPr>
        <w:t>第二部分 2023年度单位决算情况说明</w:t>
      </w:r>
      <w:r>
        <w:rPr>
          <w:rFonts w:hint="eastAsia"/>
          <w:sz w:val="24"/>
        </w:rPr>
        <w:tab/>
      </w:r>
      <w:r>
        <w:rPr>
          <w:rFonts w:hint="eastAsia"/>
          <w:sz w:val="24"/>
        </w:rPr>
        <w:t>4</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rPr>
        <w:tab/>
      </w:r>
      <w:r>
        <w:rPr>
          <w:rFonts w:hint="eastAsia"/>
          <w:sz w:val="24"/>
        </w:rPr>
        <w:t>4</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rPr>
        <w:tab/>
      </w:r>
      <w:r>
        <w:rPr>
          <w:rFonts w:hint="eastAsia"/>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24"/>
        </w:rPr>
        <w:tab/>
      </w:r>
      <w:r>
        <w:rPr>
          <w:rFonts w:hint="eastAsia"/>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sz w:val="24"/>
        </w:rPr>
        <w:tab/>
      </w:r>
      <w:r>
        <w:rPr>
          <w:rFonts w:hint="eastAsia"/>
          <w:sz w:val="24"/>
        </w:rPr>
        <w:t>6</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sz w:val="24"/>
        </w:rPr>
        <w:tab/>
      </w:r>
      <w:r>
        <w:rPr>
          <w:rFonts w:hint="eastAsia"/>
          <w:sz w:val="24"/>
        </w:rPr>
        <w:t>6</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sz w:val="24"/>
        </w:rPr>
        <w:tab/>
      </w:r>
      <w:r>
        <w:rPr>
          <w:rFonts w:hint="eastAsia"/>
          <w:sz w:val="24"/>
        </w:rPr>
        <w:t>9</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sz w:val="24"/>
        </w:rPr>
        <w:tab/>
      </w:r>
      <w:r>
        <w:rPr>
          <w:rFonts w:hint="eastAsia"/>
          <w:sz w:val="24"/>
        </w:rPr>
        <w:t>9</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24"/>
        </w:rPr>
        <w:tab/>
      </w:r>
      <w:r>
        <w:rPr>
          <w:rFonts w:hint="eastAsia"/>
          <w:sz w:val="24"/>
        </w:rPr>
        <w:t>11</w:t>
      </w:r>
    </w:p>
    <w:p>
      <w:pPr>
        <w:pStyle w:val="11"/>
        <w:adjustRightInd w:val="0"/>
        <w:snapToGrid w:val="0"/>
        <w:spacing w:line="440" w:lineRule="exact"/>
        <w:jc w:val="left"/>
        <w:rPr>
          <w:sz w:val="24"/>
        </w:rPr>
      </w:pPr>
      <w:r>
        <w:rPr>
          <w:rFonts w:hint="eastAsia"/>
          <w:sz w:val="24"/>
        </w:rPr>
        <w:t>九、国有资本经营预算支出决算情况说明</w:t>
      </w:r>
      <w:r>
        <w:rPr>
          <w:rFonts w:hint="eastAsia"/>
          <w:sz w:val="24"/>
        </w:rPr>
        <w:tab/>
      </w:r>
      <w:r>
        <w:rPr>
          <w:rFonts w:hint="eastAsia"/>
          <w:sz w:val="24"/>
        </w:rPr>
        <w:t>11</w:t>
      </w:r>
    </w:p>
    <w:p>
      <w:pPr>
        <w:pStyle w:val="11"/>
        <w:adjustRightInd w:val="0"/>
        <w:snapToGrid w:val="0"/>
        <w:spacing w:line="440" w:lineRule="exact"/>
        <w:jc w:val="left"/>
        <w:rPr>
          <w:sz w:val="24"/>
        </w:rPr>
      </w:pPr>
      <w:r>
        <w:rPr>
          <w:rFonts w:hint="eastAsia"/>
          <w:sz w:val="24"/>
        </w:rPr>
        <w:t>十、其他重要事项的情况说明</w:t>
      </w:r>
      <w:r>
        <w:rPr>
          <w:rFonts w:hint="eastAsia"/>
          <w:sz w:val="24"/>
        </w:rPr>
        <w:tab/>
      </w:r>
      <w:r>
        <w:rPr>
          <w:rFonts w:hint="eastAsia"/>
          <w:sz w:val="24"/>
        </w:rPr>
        <w:t>11</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rPr>
        <w:tab/>
      </w:r>
      <w:r>
        <w:rPr>
          <w:rFonts w:hint="eastAsia"/>
          <w:sz w:val="24"/>
        </w:rPr>
        <w:t>13</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sz w:val="24"/>
        </w:rPr>
        <w:tab/>
      </w:r>
      <w:r>
        <w:rPr>
          <w:rFonts w:hint="eastAsia"/>
          <w:sz w:val="24"/>
        </w:rPr>
        <w:t>16</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一、收入支出决算总表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二、收入决算表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三、支出决算表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四、财政拨款收入支出决算总表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五、财政拨款支出决算明细表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六、一般公共预算财政拨款支出决算表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七、一般公共预算财政拨款支出决算明细表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八、一般公共预算财政拨款基本支出决算明细表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九、一般公共预算财政拨款项目支出决算表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十、政府性基金预算财政拨款收入支出决算表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十一、国有资本经营预算财政拨款收入支出决算表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十二、国有资本经营预算财政拨款支出决算表</w:t>
      </w:r>
      <w:r>
        <w:rPr>
          <w:rFonts w:hint="eastAsia"/>
          <w:sz w:val="24"/>
        </w:rPr>
        <w:tab/>
      </w:r>
      <w:r>
        <w:rPr>
          <w:rFonts w:hint="eastAsia"/>
          <w:sz w:val="24"/>
        </w:rPr>
        <w:t>18</w:t>
      </w:r>
    </w:p>
    <w:p>
      <w:pPr>
        <w:pStyle w:val="11"/>
        <w:adjustRightInd w:val="0"/>
        <w:snapToGrid w:val="0"/>
        <w:spacing w:line="440" w:lineRule="exact"/>
        <w:jc w:val="left"/>
        <w:rPr>
          <w:sz w:val="24"/>
        </w:rPr>
      </w:pPr>
      <w:r>
        <w:rPr>
          <w:rFonts w:hint="eastAsia"/>
          <w:sz w:val="24"/>
        </w:rPr>
        <w:t>十三、财政拨款“三公”经费支出决算表</w:t>
      </w:r>
      <w:r>
        <w:rPr>
          <w:rFonts w:hint="eastAsia"/>
          <w:sz w:val="24"/>
        </w:rPr>
        <w:tab/>
      </w:r>
      <w:bookmarkStart w:id="12" w:name="_Toc15396599"/>
      <w:bookmarkStart w:id="13" w:name="_Toc15377196"/>
      <w:r>
        <w:rPr>
          <w:rFonts w:hint="eastAsia"/>
          <w:sz w:val="24"/>
        </w:rPr>
        <w:t>18</w:t>
      </w:r>
    </w:p>
    <w:p>
      <w:pPr>
        <w:pStyle w:val="2"/>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3"/>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pPr>
        <w:pStyle w:val="23"/>
        <w:widowControl/>
        <w:shd w:val="clear" w:color="auto" w:fill="FFFFFF"/>
        <w:ind w:left="420" w:firstLine="0" w:firstLineChars="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1.负责贯彻党的教育方针，正确执行上级主管部门的决议和指示，全面实施素质教育，培养德、智、体、美等方面全面发展的社会主义事业的建设者和接班人。</w:t>
      </w:r>
    </w:p>
    <w:p>
      <w:pPr>
        <w:widowControl/>
        <w:shd w:val="clear" w:color="auto" w:fill="FFFFFF"/>
        <w:ind w:firstLine="480" w:firstLineChars="15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2.根据教育规律、社会要求和学校实际，组织制定学校发展的远景规划、近期目标、学年和学期各项工作计划以及各项工作指标并组织实施。</w:t>
      </w:r>
    </w:p>
    <w:p>
      <w:pPr>
        <w:widowControl/>
        <w:shd w:val="clear" w:color="auto" w:fill="FFFFFF"/>
        <w:ind w:firstLine="480" w:firstLineChars="15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3.负责领导和组织学校的教学工作，坚持以教学为中心，保证教学计划的贯彻执行。大力推进学校改革，加强科研工作的组织领导。</w:t>
      </w:r>
    </w:p>
    <w:p>
      <w:pPr>
        <w:widowControl/>
        <w:shd w:val="clear" w:color="auto" w:fill="FFFFFF"/>
        <w:ind w:firstLine="480" w:firstLineChars="15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4.加强学校的科学化管理，制定和健全各项规章制度，规范办学行为，培养良好校风，逐步实现管理决策的科学化，管理方法的定量化和管理手段的现代化。</w:t>
      </w:r>
    </w:p>
    <w:p>
      <w:pPr>
        <w:widowControl/>
        <w:shd w:val="clear" w:color="auto" w:fill="FFFFFF"/>
        <w:ind w:firstLine="480" w:firstLineChars="15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5.负责教师队伍建设工作，制定教师队伍建设计划，不断提高他们的政治素质、文化业务水平和科研水平。</w:t>
      </w:r>
    </w:p>
    <w:p>
      <w:pPr>
        <w:widowControl/>
        <w:shd w:val="clear" w:color="auto" w:fill="FFFFFF"/>
        <w:ind w:firstLine="480" w:firstLineChars="15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6.领导和组织学校的思想政治工作，把德育放在首位。教育全体教职工做到教书育人、管理育人、服务育人、搞好学校、社会、家庭三结合教育。</w:t>
      </w:r>
    </w:p>
    <w:p>
      <w:pPr>
        <w:ind w:firstLine="480" w:firstLineChars="150"/>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7.组织制定和实施校舍建设和校园建设规划，加强对财务工作的领导，正确使用各项经费，不断改善办学条件，强化安全管理工作及安全保卫工作，创造良好的育人环境。</w:t>
      </w:r>
    </w:p>
    <w:p>
      <w:pPr>
        <w:pStyle w:val="3"/>
        <w:rPr>
          <w:rFonts w:ascii="黑体" w:hAnsi="黑体" w:eastAsia="黑体"/>
          <w:b w:val="0"/>
        </w:rPr>
      </w:pPr>
      <w:r>
        <w:rPr>
          <w:rFonts w:hint="eastAsia" w:ascii="黑体" w:hAnsi="黑体" w:eastAsia="黑体"/>
          <w:b w:val="0"/>
        </w:rPr>
        <w:t>二、机构设置</w:t>
      </w:r>
    </w:p>
    <w:bookmarkEnd w:id="14"/>
    <w:bookmarkEnd w:id="15"/>
    <w:p>
      <w:pPr>
        <w:widowControl/>
        <w:shd w:val="clear" w:color="auto" w:fill="FFFFFF"/>
        <w:ind w:firstLine="640" w:firstLineChars="200"/>
        <w:jc w:val="left"/>
        <w:rPr>
          <w:rFonts w:ascii="仿宋" w:hAnsi="仿宋" w:eastAsia="仿宋" w:cs="华文楷体"/>
          <w:kern w:val="0"/>
          <w:sz w:val="32"/>
          <w:szCs w:val="32"/>
          <w:shd w:val="clear" w:color="auto" w:fill="FFFFFF"/>
        </w:rPr>
      </w:pPr>
      <w:r>
        <w:rPr>
          <w:rFonts w:ascii="仿宋" w:hAnsi="仿宋" w:eastAsia="仿宋" w:cs="华文楷体"/>
          <w:kern w:val="0"/>
          <w:sz w:val="32"/>
          <w:szCs w:val="32"/>
          <w:shd w:val="clear" w:color="auto" w:fill="FFFFFF"/>
        </w:rPr>
        <w:t>我</w:t>
      </w:r>
      <w:r>
        <w:rPr>
          <w:rFonts w:hint="eastAsia" w:ascii="仿宋" w:hAnsi="仿宋" w:eastAsia="仿宋" w:cs="华文楷体"/>
          <w:kern w:val="0"/>
          <w:sz w:val="32"/>
          <w:szCs w:val="32"/>
          <w:shd w:val="clear" w:color="auto" w:fill="FFFFFF"/>
        </w:rPr>
        <w:t>单位为船山区教育体育局二级预算单位，无下属预算单位。</w:t>
      </w:r>
    </w:p>
    <w:p>
      <w:pPr>
        <w:pStyle w:val="2"/>
        <w:ind w:right="440"/>
        <w:jc w:val="center"/>
        <w:rPr>
          <w:rStyle w:val="24"/>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4"/>
          <w:rFonts w:hint="eastAsia" w:ascii="黑体" w:hAnsi="黑体" w:eastAsia="黑体"/>
          <w:b w:val="0"/>
          <w:bCs/>
        </w:rPr>
        <w:t>单位决算情况说明</w:t>
      </w:r>
      <w:bookmarkEnd w:id="16"/>
      <w:bookmarkEnd w:id="17"/>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left="640"/>
        <w:rPr>
          <w:rFonts w:ascii="仿宋" w:hAnsi="仿宋" w:eastAsia="仿宋"/>
          <w:sz w:val="32"/>
          <w:szCs w:val="32"/>
        </w:rPr>
      </w:pPr>
      <w:r>
        <w:rPr>
          <w:rFonts w:hint="eastAsia" w:ascii="仿宋" w:hAnsi="仿宋" w:eastAsia="仿宋"/>
          <w:sz w:val="32"/>
          <w:szCs w:val="32"/>
        </w:rPr>
        <w:t>2023年度收、支总计1676.85万元。与2022年相比，收、支总计增加176.93万元，增长 11.80</w:t>
      </w:r>
      <w:r>
        <w:rPr>
          <w:rFonts w:ascii="仿宋" w:hAnsi="仿宋" w:eastAsia="仿宋"/>
          <w:sz w:val="32"/>
          <w:szCs w:val="32"/>
        </w:rPr>
        <w:t>%</w:t>
      </w:r>
      <w:r>
        <w:rPr>
          <w:rFonts w:hint="eastAsia" w:ascii="仿宋" w:hAnsi="仿宋" w:eastAsia="仿宋"/>
          <w:sz w:val="32"/>
          <w:szCs w:val="32"/>
        </w:rPr>
        <w:t>。主要变动原因是其他收入增加。</w:t>
      </w:r>
    </w:p>
    <w:p>
      <w:pPr>
        <w:pStyle w:val="5"/>
        <w:spacing w:before="93"/>
        <w:ind w:left="640"/>
      </w:pPr>
      <w:r>
        <w:rPr>
          <w:rFonts w:hint="eastAsia"/>
        </w:rPr>
        <w:drawing>
          <wp:inline distT="0" distB="0" distL="114300" distR="114300">
            <wp:extent cx="5175250" cy="2755265"/>
            <wp:effectExtent l="0" t="0" r="6350" b="698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6"/>
                    <a:stretch>
                      <a:fillRect/>
                    </a:stretch>
                  </pic:blipFill>
                  <pic:spPr>
                    <a:xfrm>
                      <a:off x="0" y="0"/>
                      <a:ext cx="5175250" cy="2755265"/>
                    </a:xfrm>
                    <a:prstGeom prst="rect">
                      <a:avLst/>
                    </a:prstGeom>
                  </pic:spPr>
                </pic:pic>
              </a:graphicData>
            </a:graphic>
          </wp:inline>
        </w:drawing>
      </w:r>
    </w:p>
    <w:p>
      <w:pPr>
        <w:spacing w:line="600" w:lineRule="exact"/>
        <w:ind w:left="64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5"/>
        <w:spacing w:before="93"/>
      </w:pPr>
    </w:p>
    <w:p/>
    <w:p>
      <w:pPr>
        <w:pStyle w:val="5"/>
        <w:spacing w:before="93"/>
      </w:pP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left="640"/>
        <w:outlineLvl w:val="1"/>
        <w:rPr>
          <w:rFonts w:ascii="仿宋" w:hAnsi="仿宋" w:eastAsia="仿宋"/>
          <w:sz w:val="32"/>
          <w:szCs w:val="32"/>
        </w:rPr>
      </w:pPr>
      <w:bookmarkStart w:id="22" w:name="_Toc10980"/>
      <w:bookmarkStart w:id="23" w:name="_Toc19538"/>
      <w:r>
        <w:rPr>
          <w:rFonts w:ascii="仿宋" w:hAnsi="仿宋" w:eastAsia="仿宋"/>
          <w:sz w:val="32"/>
          <w:szCs w:val="32"/>
        </w:rPr>
        <w:t>202</w:t>
      </w:r>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本年收入合计1594.43万元，其中：一般公共预算财政拨款收入1294.94万元，</w:t>
      </w:r>
      <w:r>
        <w:rPr>
          <w:rFonts w:hint="eastAsia" w:ascii="仿宋" w:hAnsi="仿宋" w:eastAsia="仿宋"/>
          <w:color w:val="000000" w:themeColor="text1"/>
          <w:sz w:val="32"/>
          <w:szCs w:val="32"/>
        </w:rPr>
        <w:t>占81.22</w:t>
      </w:r>
      <w:r>
        <w:rPr>
          <w:rFonts w:ascii="仿宋" w:hAnsi="仿宋" w:eastAsia="仿宋"/>
          <w:color w:val="000000" w:themeColor="text1"/>
          <w:sz w:val="32"/>
          <w:szCs w:val="32"/>
        </w:rPr>
        <w:t>%</w:t>
      </w:r>
      <w:r>
        <w:rPr>
          <w:rFonts w:hint="eastAsia" w:ascii="仿宋" w:hAnsi="仿宋" w:eastAsia="仿宋"/>
          <w:sz w:val="32"/>
          <w:szCs w:val="32"/>
        </w:rPr>
        <w:t>；其他收入299.49万元，占</w:t>
      </w:r>
      <w:r>
        <w:rPr>
          <w:rFonts w:hint="eastAsia" w:ascii="仿宋" w:hAnsi="仿宋" w:eastAsia="仿宋"/>
          <w:color w:val="000000" w:themeColor="text1"/>
          <w:sz w:val="32"/>
          <w:szCs w:val="32"/>
        </w:rPr>
        <w:t>18.78</w:t>
      </w:r>
      <w:r>
        <w:rPr>
          <w:rFonts w:ascii="仿宋" w:hAnsi="仿宋" w:eastAsia="仿宋"/>
          <w:color w:val="000000" w:themeColor="text1"/>
          <w:sz w:val="32"/>
          <w:szCs w:val="32"/>
        </w:rPr>
        <w:t>%</w:t>
      </w:r>
      <w:r>
        <w:rPr>
          <w:rFonts w:hint="eastAsia" w:ascii="仿宋" w:hAnsi="仿宋" w:eastAsia="仿宋"/>
          <w:sz w:val="32"/>
          <w:szCs w:val="32"/>
        </w:rPr>
        <w:t>。</w:t>
      </w:r>
      <w:bookmarkEnd w:id="22"/>
      <w:bookmarkEnd w:id="23"/>
    </w:p>
    <w:p>
      <w:pPr>
        <w:pStyle w:val="5"/>
        <w:spacing w:before="93"/>
        <w:ind w:firstLine="566" w:firstLineChars="177"/>
        <w:rPr>
          <w:rFonts w:ascii="仿宋" w:hAnsi="仿宋" w:eastAsia="仿宋"/>
          <w:sz w:val="32"/>
          <w:szCs w:val="32"/>
        </w:rPr>
      </w:pPr>
      <w:r>
        <w:rPr>
          <w:rFonts w:hint="eastAsia" w:ascii="仿宋" w:hAnsi="仿宋" w:eastAsia="仿宋"/>
          <w:sz w:val="32"/>
          <w:szCs w:val="32"/>
        </w:rPr>
        <w:drawing>
          <wp:inline distT="0" distB="0" distL="114300" distR="114300">
            <wp:extent cx="4584065" cy="2755265"/>
            <wp:effectExtent l="0" t="0" r="6985" b="698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pPr>
        <w:spacing w:line="600" w:lineRule="exact"/>
        <w:ind w:left="640"/>
        <w:jc w:val="center"/>
        <w:rPr>
          <w:rFonts w:ascii="仿宋_GB2312" w:eastAsia="仿宋_GB2312"/>
          <w:sz w:val="32"/>
          <w:szCs w:val="32"/>
        </w:rPr>
      </w:pPr>
      <w:r>
        <w:rPr>
          <w:rFonts w:hint="eastAsia" w:ascii="仿宋" w:hAnsi="仿宋" w:eastAsia="仿宋"/>
          <w:sz w:val="32"/>
          <w:szCs w:val="32"/>
        </w:rPr>
        <w:t>（图2：收入决算结构图）</w:t>
      </w:r>
    </w:p>
    <w:p>
      <w:pPr>
        <w:pStyle w:val="23"/>
        <w:numPr>
          <w:ilvl w:val="0"/>
          <w:numId w:val="2"/>
        </w:numPr>
        <w:spacing w:line="600" w:lineRule="exact"/>
        <w:ind w:firstLineChars="0"/>
        <w:outlineLvl w:val="1"/>
        <w:rPr>
          <w:rStyle w:val="25"/>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5"/>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w:t>
      </w:r>
      <w:bookmarkStart w:id="26" w:name="_Toc23773"/>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本年支出合计1585.53万元，其中：基本支出1096.13万元，占</w:t>
      </w:r>
      <w:r>
        <w:rPr>
          <w:rFonts w:hint="eastAsia" w:ascii="仿宋" w:hAnsi="仿宋" w:eastAsia="仿宋"/>
          <w:color w:val="000000" w:themeColor="text1"/>
          <w:sz w:val="32"/>
          <w:szCs w:val="32"/>
        </w:rPr>
        <w:t>69.13</w:t>
      </w:r>
      <w:r>
        <w:rPr>
          <w:rFonts w:ascii="仿宋" w:hAnsi="仿宋" w:eastAsia="仿宋"/>
          <w:color w:val="000000" w:themeColor="text1"/>
          <w:sz w:val="32"/>
          <w:szCs w:val="32"/>
        </w:rPr>
        <w:t>%</w:t>
      </w:r>
      <w:r>
        <w:rPr>
          <w:rFonts w:hint="eastAsia" w:ascii="仿宋" w:hAnsi="仿宋" w:eastAsia="仿宋"/>
          <w:sz w:val="32"/>
          <w:szCs w:val="32"/>
        </w:rPr>
        <w:t>；项目支出489.40万元，</w:t>
      </w:r>
      <w:r>
        <w:rPr>
          <w:rFonts w:hint="eastAsia" w:ascii="仿宋" w:hAnsi="仿宋" w:eastAsia="仿宋"/>
          <w:color w:val="000000" w:themeColor="text1"/>
          <w:sz w:val="32"/>
          <w:szCs w:val="32"/>
        </w:rPr>
        <w:t>占30.87</w:t>
      </w:r>
      <w:r>
        <w:rPr>
          <w:rFonts w:ascii="仿宋" w:hAnsi="仿宋" w:eastAsia="仿宋"/>
          <w:color w:val="000000" w:themeColor="text1"/>
          <w:sz w:val="32"/>
          <w:szCs w:val="32"/>
        </w:rPr>
        <w:t>%</w:t>
      </w:r>
      <w:bookmarkEnd w:id="26"/>
      <w:r>
        <w:rPr>
          <w:rFonts w:hint="eastAsia" w:ascii="仿宋" w:hAnsi="仿宋" w:eastAsia="仿宋"/>
          <w:sz w:val="32"/>
          <w:szCs w:val="32"/>
        </w:rPr>
        <w:t>。</w:t>
      </w:r>
      <w:r>
        <w:rPr>
          <w:rFonts w:ascii="仿宋" w:hAnsi="仿宋" w:eastAsia="仿宋"/>
          <w:sz w:val="32"/>
          <w:szCs w:val="32"/>
          <w:shd w:val="pct10" w:color="auto" w:fill="FFFFFF"/>
        </w:rPr>
        <w:t xml:space="preserve"> </w:t>
      </w:r>
    </w:p>
    <w:p>
      <w:pPr>
        <w:pStyle w:val="5"/>
        <w:spacing w:before="93"/>
        <w:rPr>
          <w:rFonts w:ascii="仿宋" w:hAnsi="仿宋" w:eastAsia="仿宋"/>
          <w:sz w:val="32"/>
          <w:szCs w:val="32"/>
        </w:rPr>
      </w:pPr>
      <w:r>
        <w:rPr>
          <w:rFonts w:hint="eastAsia" w:ascii="仿宋" w:hAnsi="仿宋" w:eastAsia="仿宋"/>
          <w:sz w:val="32"/>
          <w:szCs w:val="32"/>
        </w:rPr>
        <w:drawing>
          <wp:inline distT="0" distB="0" distL="114300" distR="114300">
            <wp:extent cx="4579620" cy="2447925"/>
            <wp:effectExtent l="19050" t="0" r="0" b="0"/>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8"/>
                    <a:stretch>
                      <a:fillRect/>
                    </a:stretch>
                  </pic:blipFill>
                  <pic:spPr>
                    <a:xfrm>
                      <a:off x="0" y="0"/>
                      <a:ext cx="4584065" cy="2450184"/>
                    </a:xfrm>
                    <a:prstGeom prst="rect">
                      <a:avLst/>
                    </a:prstGeom>
                  </pic:spPr>
                </pic:pic>
              </a:graphicData>
            </a:graphic>
          </wp:inline>
        </w:drawing>
      </w:r>
    </w:p>
    <w:p>
      <w:pPr>
        <w:pStyle w:val="5"/>
        <w:spacing w:before="93"/>
        <w:jc w:val="center"/>
        <w:rPr>
          <w:sz w:val="32"/>
          <w:szCs w:val="32"/>
        </w:rPr>
      </w:pPr>
      <w:r>
        <w:rPr>
          <w:rFonts w:hint="eastAsia" w:ascii="仿宋" w:hAnsi="仿宋" w:eastAsia="仿宋"/>
          <w:sz w:val="32"/>
          <w:szCs w:val="32"/>
        </w:rPr>
        <w:t>（图3：支出决算结构图）</w:t>
      </w:r>
    </w:p>
    <w:p>
      <w:pPr>
        <w:spacing w:line="600" w:lineRule="exact"/>
        <w:ind w:firstLine="640" w:firstLineChars="200"/>
        <w:outlineLvl w:val="1"/>
        <w:rPr>
          <w:rFonts w:ascii="黑体" w:hAnsi="黑体" w:eastAsia="黑体"/>
          <w:sz w:val="32"/>
          <w:szCs w:val="32"/>
        </w:rPr>
      </w:pPr>
      <w:bookmarkStart w:id="27" w:name="_Toc15396606"/>
      <w:bookmarkStart w:id="28" w:name="_Toc15377208"/>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7"/>
      <w:bookmarkEnd w:id="28"/>
    </w:p>
    <w:p>
      <w:pPr>
        <w:spacing w:line="600" w:lineRule="exact"/>
        <w:ind w:firstLine="640"/>
        <w:rPr>
          <w:color w:val="FF0000"/>
        </w:rPr>
      </w:pP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w:t>
      </w:r>
      <w:r>
        <w:rPr>
          <w:rFonts w:hint="eastAsia" w:ascii="仿宋" w:hAnsi="仿宋" w:eastAsia="仿宋"/>
          <w:sz w:val="32"/>
          <w:szCs w:val="32"/>
        </w:rPr>
        <w:t>财政拨款收、支总计1294.94万元。与</w:t>
      </w: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w:t>
      </w:r>
      <w:r>
        <w:rPr>
          <w:rFonts w:hint="eastAsia" w:ascii="仿宋" w:hAnsi="仿宋" w:eastAsia="仿宋"/>
          <w:sz w:val="32"/>
          <w:szCs w:val="32"/>
        </w:rPr>
        <w:t>相比，财政拨款收、支总计减少63.57万元，</w:t>
      </w:r>
      <w:r>
        <w:rPr>
          <w:rFonts w:hint="eastAsia" w:ascii="仿宋" w:hAnsi="仿宋" w:eastAsia="仿宋"/>
          <w:color w:val="000000" w:themeColor="text1"/>
          <w:sz w:val="32"/>
          <w:szCs w:val="32"/>
        </w:rPr>
        <w:t>下降4.68</w:t>
      </w:r>
      <w:r>
        <w:rPr>
          <w:rFonts w:ascii="仿宋" w:hAnsi="仿宋" w:eastAsia="仿宋"/>
          <w:color w:val="000000" w:themeColor="text1"/>
          <w:sz w:val="32"/>
          <w:szCs w:val="32"/>
        </w:rPr>
        <w:t>%</w:t>
      </w:r>
      <w:r>
        <w:rPr>
          <w:rFonts w:hint="eastAsia" w:ascii="仿宋" w:hAnsi="仿宋" w:eastAsia="仿宋"/>
          <w:sz w:val="32"/>
          <w:szCs w:val="32"/>
        </w:rPr>
        <w:t>。主要变动原因是人员减少。</w:t>
      </w:r>
    </w:p>
    <w:p>
      <w:pPr>
        <w:pStyle w:val="5"/>
        <w:spacing w:before="93"/>
      </w:pPr>
      <w:r>
        <w:rPr>
          <w:rFonts w:hint="eastAsia"/>
        </w:rPr>
        <w:drawing>
          <wp:inline distT="0" distB="0" distL="114300" distR="114300">
            <wp:extent cx="4584065" cy="2755265"/>
            <wp:effectExtent l="0" t="0" r="6985" b="6985"/>
            <wp:docPr id="9" name="图片 9"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4"/>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5"/>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spacing w:line="600" w:lineRule="exact"/>
        <w:ind w:firstLine="640" w:firstLineChars="200"/>
        <w:rPr>
          <w:color w:val="FF0000"/>
        </w:rPr>
      </w:pPr>
      <w:r>
        <w:rPr>
          <w:rFonts w:ascii="仿宋" w:hAnsi="仿宋" w:eastAsia="仿宋"/>
          <w:sz w:val="32"/>
          <w:szCs w:val="32"/>
        </w:rPr>
        <w:t>20</w:t>
      </w:r>
      <w:r>
        <w:rPr>
          <w:rFonts w:hint="eastAsia" w:ascii="仿宋" w:hAnsi="仿宋" w:eastAsia="仿宋"/>
          <w:sz w:val="32"/>
          <w:szCs w:val="32"/>
        </w:rPr>
        <w:t>23年一般公共预算财政拨款支出1294.94万元，占本年支出合计的100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w:t>
      </w:r>
      <w:r>
        <w:rPr>
          <w:rFonts w:hint="eastAsia" w:ascii="仿宋" w:hAnsi="仿宋" w:eastAsia="仿宋"/>
          <w:sz w:val="32"/>
          <w:szCs w:val="32"/>
        </w:rPr>
        <w:t>相比，一般公共预算财政拨款支出减少63.57万元，</w:t>
      </w:r>
      <w:r>
        <w:rPr>
          <w:rFonts w:hint="eastAsia" w:ascii="仿宋" w:hAnsi="仿宋" w:eastAsia="仿宋"/>
          <w:color w:val="000000" w:themeColor="text1"/>
          <w:sz w:val="32"/>
          <w:szCs w:val="32"/>
        </w:rPr>
        <w:t>下降4.68</w:t>
      </w:r>
      <w:r>
        <w:rPr>
          <w:rFonts w:ascii="仿宋" w:hAnsi="仿宋" w:eastAsia="仿宋"/>
          <w:color w:val="000000" w:themeColor="text1"/>
          <w:sz w:val="32"/>
          <w:szCs w:val="32"/>
        </w:rPr>
        <w:t>%</w:t>
      </w:r>
      <w:r>
        <w:rPr>
          <w:rFonts w:hint="eastAsia" w:ascii="仿宋" w:hAnsi="仿宋" w:eastAsia="仿宋"/>
          <w:sz w:val="32"/>
          <w:szCs w:val="32"/>
        </w:rPr>
        <w:t>。主要变动原因是人员减少。</w:t>
      </w:r>
    </w:p>
    <w:p>
      <w:pPr>
        <w:pStyle w:val="5"/>
        <w:spacing w:before="93"/>
      </w:pPr>
      <w:r>
        <w:rPr>
          <w:rFonts w:hint="eastAsia"/>
        </w:rPr>
        <w:drawing>
          <wp:inline distT="0" distB="0" distL="114300" distR="114300">
            <wp:extent cx="5399405" cy="2504440"/>
            <wp:effectExtent l="0" t="0" r="10795" b="10160"/>
            <wp:docPr id="10" name="图片 10"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5"/>
                    <pic:cNvPicPr>
                      <a:picLocks noChangeAspect="1"/>
                    </pic:cNvPicPr>
                  </pic:nvPicPr>
                  <pic:blipFill>
                    <a:blip r:embed="rId10"/>
                    <a:stretch>
                      <a:fillRect/>
                    </a:stretch>
                  </pic:blipFill>
                  <pic:spPr>
                    <a:xfrm>
                      <a:off x="0" y="0"/>
                      <a:ext cx="5399405" cy="2504440"/>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w:t>
      </w:r>
      <w:r>
        <w:rPr>
          <w:rFonts w:hint="eastAsia" w:ascii="仿宋" w:hAnsi="仿宋" w:eastAsia="仿宋"/>
          <w:sz w:val="32"/>
          <w:szCs w:val="32"/>
        </w:rPr>
        <w:t>一般公共预算财政拨款支出1294.94万元，主要用于以下方面</w:t>
      </w:r>
      <w:r>
        <w:rPr>
          <w:rFonts w:ascii="仿宋" w:hAnsi="仿宋" w:eastAsia="仿宋"/>
          <w:sz w:val="32"/>
          <w:szCs w:val="32"/>
        </w:rPr>
        <w:t>:</w:t>
      </w:r>
      <w:r>
        <w:rPr>
          <w:rFonts w:hint="eastAsia" w:ascii="仿宋" w:hAnsi="仿宋" w:eastAsia="仿宋"/>
          <w:b/>
          <w:sz w:val="32"/>
          <w:szCs w:val="32"/>
        </w:rPr>
        <w:t>教育支出（类）1023.79</w:t>
      </w:r>
      <w:r>
        <w:rPr>
          <w:rFonts w:hint="eastAsia" w:ascii="仿宋" w:hAnsi="仿宋" w:eastAsia="仿宋"/>
          <w:sz w:val="32"/>
          <w:szCs w:val="32"/>
        </w:rPr>
        <w:t>万元，占79.00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支出125.07万元，</w:t>
      </w:r>
      <w:r>
        <w:rPr>
          <w:rFonts w:hint="eastAsia" w:ascii="仿宋" w:hAnsi="仿宋" w:eastAsia="仿宋"/>
          <w:color w:val="000000" w:themeColor="text1"/>
          <w:sz w:val="32"/>
          <w:szCs w:val="32"/>
        </w:rPr>
        <w:t>占10.00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sz w:val="32"/>
          <w:szCs w:val="32"/>
        </w:rPr>
        <w:t>卫生健康支出（类）</w:t>
      </w:r>
      <w:r>
        <w:rPr>
          <w:rFonts w:hint="eastAsia" w:ascii="仿宋" w:hAnsi="仿宋" w:eastAsia="仿宋"/>
          <w:sz w:val="32"/>
          <w:szCs w:val="32"/>
        </w:rPr>
        <w:t>57.21万元，占4.00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住房保障支出（类</w:t>
      </w:r>
      <w:r>
        <w:rPr>
          <w:rFonts w:hint="eastAsia" w:ascii="仿宋" w:hAnsi="仿宋" w:eastAsia="仿宋"/>
          <w:sz w:val="32"/>
          <w:szCs w:val="32"/>
        </w:rPr>
        <w:t>）</w:t>
      </w:r>
      <w:r>
        <w:rPr>
          <w:rFonts w:ascii="仿宋" w:hAnsi="仿宋" w:eastAsia="仿宋"/>
          <w:sz w:val="32"/>
          <w:szCs w:val="32"/>
        </w:rPr>
        <w:t>88.</w:t>
      </w:r>
      <w:r>
        <w:rPr>
          <w:rFonts w:hint="eastAsia" w:ascii="仿宋" w:hAnsi="仿宋" w:eastAsia="仿宋"/>
          <w:sz w:val="32"/>
          <w:szCs w:val="32"/>
        </w:rPr>
        <w:t>8</w:t>
      </w:r>
      <w:r>
        <w:rPr>
          <w:rFonts w:ascii="仿宋" w:hAnsi="仿宋" w:eastAsia="仿宋"/>
          <w:sz w:val="32"/>
          <w:szCs w:val="32"/>
        </w:rPr>
        <w:t>7</w:t>
      </w:r>
      <w:r>
        <w:rPr>
          <w:rFonts w:hint="eastAsia" w:ascii="仿宋" w:hAnsi="仿宋" w:eastAsia="仿宋"/>
          <w:sz w:val="32"/>
          <w:szCs w:val="32"/>
        </w:rPr>
        <w:t>万元，占7.00</w:t>
      </w:r>
      <w:r>
        <w:rPr>
          <w:rFonts w:ascii="仿宋" w:hAnsi="仿宋" w:eastAsia="仿宋"/>
          <w:sz w:val="32"/>
          <w:szCs w:val="32"/>
        </w:rPr>
        <w:t>%</w:t>
      </w:r>
      <w:r>
        <w:rPr>
          <w:rFonts w:hint="eastAsia" w:ascii="仿宋" w:hAnsi="仿宋" w:eastAsia="仿宋"/>
          <w:sz w:val="32"/>
          <w:szCs w:val="32"/>
        </w:rPr>
        <w:t>。</w:t>
      </w:r>
    </w:p>
    <w:p>
      <w:pPr>
        <w:pStyle w:val="5"/>
        <w:spacing w:before="93"/>
        <w:jc w:val="center"/>
        <w:rPr>
          <w:rFonts w:ascii="仿宋" w:hAnsi="仿宋" w:eastAsia="仿宋"/>
          <w:sz w:val="32"/>
          <w:szCs w:val="32"/>
        </w:rPr>
      </w:pPr>
      <w:r>
        <w:rPr>
          <w:rFonts w:hint="eastAsia" w:ascii="仿宋" w:hAnsi="仿宋" w:eastAsia="仿宋"/>
          <w:sz w:val="32"/>
          <w:szCs w:val="32"/>
        </w:rPr>
        <w:drawing>
          <wp:inline distT="0" distB="0" distL="114300" distR="114300">
            <wp:extent cx="4584065" cy="2755265"/>
            <wp:effectExtent l="0" t="0" r="6985" b="6985"/>
            <wp:docPr id="11" name="图片 1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6"/>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pPr>
        <w:pStyle w:val="5"/>
        <w:spacing w:before="93"/>
        <w:jc w:val="cente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3"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3"/>
    </w:p>
    <w:p>
      <w:pPr>
        <w:spacing w:line="600" w:lineRule="exact"/>
        <w:ind w:firstLine="643" w:firstLineChars="200"/>
        <w:outlineLvl w:val="1"/>
        <w:rPr>
          <w:rFonts w:ascii="仿宋" w:hAnsi="仿宋" w:eastAsia="仿宋"/>
          <w:sz w:val="32"/>
          <w:szCs w:val="32"/>
        </w:rPr>
      </w:pPr>
      <w:bookmarkStart w:id="34" w:name="_Toc20276"/>
      <w:r>
        <w:rPr>
          <w:rFonts w:hint="eastAsia" w:ascii="仿宋" w:hAnsi="仿宋" w:eastAsia="仿宋"/>
          <w:b/>
          <w:sz w:val="32"/>
          <w:szCs w:val="32"/>
        </w:rPr>
        <w:t>2023年一般公共预算支出决算数为</w:t>
      </w:r>
      <w:r>
        <w:rPr>
          <w:rFonts w:hint="eastAsia" w:ascii="仿宋" w:hAnsi="仿宋" w:eastAsia="仿宋"/>
          <w:sz w:val="32"/>
          <w:szCs w:val="32"/>
        </w:rPr>
        <w:t>1294.94</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4"/>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w:t>
      </w:r>
      <w:r>
        <w:rPr>
          <w:rStyle w:val="14"/>
          <w:rFonts w:ascii="仿宋" w:hAnsi="仿宋" w:eastAsia="仿宋"/>
          <w:bCs/>
          <w:sz w:val="32"/>
          <w:szCs w:val="32"/>
        </w:rPr>
        <w:t>.</w:t>
      </w:r>
      <w:r>
        <w:rPr>
          <w:rStyle w:val="14"/>
          <w:rFonts w:hint="eastAsia" w:ascii="仿宋" w:hAnsi="仿宋" w:eastAsia="仿宋"/>
          <w:bCs/>
          <w:sz w:val="32"/>
          <w:szCs w:val="32"/>
        </w:rPr>
        <w:t>教育支出（类）普通教育（款）小学教育（项）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Fonts w:hint="eastAsia" w:ascii="仿宋" w:hAnsi="仿宋" w:eastAsia="仿宋"/>
          <w:b/>
          <w:sz w:val="32"/>
          <w:szCs w:val="32"/>
        </w:rPr>
        <w:t>1023.79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bookmarkStart w:id="35" w:name="OLE_LINK1"/>
      <w:bookmarkStart w:id="36" w:name="OLE_LINK2"/>
      <w:r>
        <w:rPr>
          <w:rStyle w:val="14"/>
          <w:rFonts w:hint="eastAsia" w:ascii="仿宋" w:hAnsi="仿宋" w:eastAsia="仿宋"/>
          <w:b w:val="0"/>
          <w:bCs/>
          <w:sz w:val="32"/>
          <w:szCs w:val="32"/>
          <w:lang w:eastAsia="zh-CN"/>
        </w:rPr>
        <w:t>，决算数与预算数持</w:t>
      </w:r>
      <w:bookmarkEnd w:id="35"/>
      <w:r>
        <w:rPr>
          <w:rStyle w:val="14"/>
          <w:rFonts w:hint="eastAsia" w:ascii="仿宋" w:hAnsi="仿宋" w:eastAsia="仿宋"/>
          <w:b w:val="0"/>
          <w:bCs/>
          <w:sz w:val="32"/>
          <w:szCs w:val="32"/>
          <w:lang w:eastAsia="zh-CN"/>
        </w:rPr>
        <w:t>平</w:t>
      </w:r>
      <w:bookmarkEnd w:id="36"/>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支出决算为109.09万元，完成预算100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社会保障和就业（类）行政事业单位养老支出（款）事业单位离退休（项）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3.2</w:t>
      </w:r>
      <w:r>
        <w:rPr>
          <w:rStyle w:val="14"/>
          <w:rFonts w:hint="eastAsia" w:ascii="仿宋" w:hAnsi="仿宋" w:eastAsia="仿宋"/>
          <w:b w:val="0"/>
          <w:bCs/>
          <w:sz w:val="32"/>
          <w:szCs w:val="32"/>
        </w:rPr>
        <w:t>0万元，完成预算100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Style w:val="14"/>
          <w:rFonts w:hint="eastAsia" w:ascii="仿宋" w:hAnsi="仿宋" w:eastAsia="仿宋"/>
          <w:bCs/>
          <w:sz w:val="32"/>
          <w:szCs w:val="32"/>
        </w:rPr>
        <w:t>社会保障和就业（类）残疾人事业（款）残疾人就业（项）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8.29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社会保障和就业（类）其他社会保障和就业支出（款）其他社会保障和就业支出（项）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4.</w:t>
      </w:r>
      <w:r>
        <w:rPr>
          <w:rStyle w:val="14"/>
          <w:rFonts w:hint="eastAsia" w:ascii="仿宋" w:hAnsi="仿宋" w:eastAsia="仿宋"/>
          <w:b w:val="0"/>
          <w:bCs/>
          <w:sz w:val="32"/>
          <w:szCs w:val="32"/>
        </w:rPr>
        <w:t>48万元，完成预算100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6.</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支出决算为42.29万元，完成预算100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（类）行政事业单位医疗（款）公务员医疗补助（项）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14.</w:t>
      </w:r>
      <w:r>
        <w:rPr>
          <w:rStyle w:val="14"/>
          <w:rFonts w:hint="eastAsia" w:ascii="仿宋" w:hAnsi="仿宋" w:eastAsia="仿宋"/>
          <w:b w:val="0"/>
          <w:bCs/>
          <w:sz w:val="32"/>
          <w:szCs w:val="32"/>
        </w:rPr>
        <w:t>92万元，完成预算100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8</w:t>
      </w:r>
      <w:r>
        <w:rPr>
          <w:rStyle w:val="14"/>
          <w:rFonts w:ascii="仿宋" w:hAnsi="仿宋" w:eastAsia="仿宋"/>
          <w:bCs/>
          <w:sz w:val="32"/>
          <w:szCs w:val="32"/>
        </w:rPr>
        <w:t>.</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88.</w:t>
      </w:r>
      <w:r>
        <w:rPr>
          <w:rStyle w:val="14"/>
          <w:rFonts w:hint="eastAsia" w:ascii="仿宋" w:hAnsi="仿宋" w:eastAsia="仿宋"/>
          <w:b w:val="0"/>
          <w:bCs/>
          <w:sz w:val="32"/>
          <w:szCs w:val="32"/>
        </w:rPr>
        <w:t>87万元，完成预算100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，决算数与预算数持平</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7" w:name="_Toc15396608"/>
      <w:bookmarkStart w:id="38"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7"/>
      <w:bookmarkEnd w:id="38"/>
      <w:r>
        <w:rPr>
          <w:rStyle w:val="25"/>
          <w:rFonts w:ascii="黑体" w:hAnsi="黑体" w:eastAsia="黑体"/>
          <w:b w:val="0"/>
        </w:rPr>
        <w:tab/>
      </w:r>
    </w:p>
    <w:p>
      <w:pPr>
        <w:spacing w:line="600" w:lineRule="exact"/>
        <w:ind w:firstLine="645"/>
        <w:rPr>
          <w:rFonts w:ascii="仿宋" w:hAnsi="仿宋" w:eastAsia="仿宋"/>
          <w:sz w:val="32"/>
          <w:szCs w:val="32"/>
        </w:rPr>
      </w:pPr>
      <w:bookmarkStart w:id="39" w:name="_Toc15377215"/>
      <w:bookmarkStart w:id="40" w:name="_Toc15396609"/>
      <w:r>
        <w:rPr>
          <w:rFonts w:ascii="仿宋" w:hAnsi="仿宋" w:eastAsia="仿宋"/>
          <w:sz w:val="32"/>
          <w:szCs w:val="32"/>
        </w:rPr>
        <w:t>202</w:t>
      </w:r>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一般公共预算财政拨款基本支出1096.10万元，其中：</w:t>
      </w:r>
    </w:p>
    <w:p>
      <w:pPr>
        <w:spacing w:line="600" w:lineRule="exact"/>
        <w:ind w:firstLine="645"/>
        <w:rPr>
          <w:rFonts w:ascii="仿宋" w:hAnsi="仿宋" w:eastAsia="仿宋"/>
          <w:color w:val="000000"/>
          <w:sz w:val="32"/>
          <w:szCs w:val="32"/>
        </w:rPr>
      </w:pPr>
      <w:r>
        <w:rPr>
          <w:rFonts w:hint="eastAsia" w:ascii="仿宋" w:hAnsi="仿宋" w:eastAsia="仿宋"/>
          <w:sz w:val="32"/>
          <w:szCs w:val="32"/>
        </w:rPr>
        <w:t>人员经费1050.26万元主要包括：</w:t>
      </w:r>
      <w:r>
        <w:rPr>
          <w:rFonts w:hint="eastAsia" w:ascii="仿宋" w:hAnsi="仿宋" w:eastAsia="仿宋"/>
          <w:color w:val="000000"/>
          <w:sz w:val="32"/>
          <w:szCs w:val="32"/>
        </w:rPr>
        <w:t>基本工资、津贴补贴、绩效工资、机关事业单位基本养老保险缴费、职业年金缴费、职工基本医疗保险缴费、公务员医疗补助缴费、其他社会保障缴费、住房公积金、其他工资福利支出、助学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公用经费45.83万元，主要包括：办公费、水费、电费、邮电费、物业管理费、差旅费、维修（护）费、培训费、专用材料费、劳务费、福利费、其他交通费、其他商品和服务支出等。</w:t>
      </w:r>
    </w:p>
    <w:p>
      <w:pPr>
        <w:pStyle w:val="5"/>
        <w:spacing w:before="93"/>
        <w:rPr>
          <w:rStyle w:val="25"/>
          <w:rFonts w:ascii="黑体" w:hAnsi="黑体" w:eastAsia="黑体"/>
          <w:b w:val="0"/>
        </w:rPr>
      </w:pPr>
      <w:r>
        <w:rPr>
          <w:rFonts w:hint="eastAsia"/>
        </w:rPr>
        <w:t xml:space="preserve">    </w:t>
      </w:r>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9"/>
      <w:bookmarkEnd w:id="40"/>
    </w:p>
    <w:p>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“三公”经费财政拨款支出决算为0万元，完成预算0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pPr>
        <w:spacing w:line="600" w:lineRule="exact"/>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color w:val="FF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color w:val="000000" w:themeColor="text1"/>
          <w:sz w:val="32"/>
          <w:szCs w:val="32"/>
        </w:rPr>
        <w:t>20</w:t>
      </w:r>
      <w:r>
        <w:rPr>
          <w:rFonts w:hint="eastAsia" w:ascii="仿宋_GB2312" w:eastAsia="仿宋_GB2312"/>
          <w:color w:val="000000" w:themeColor="text1"/>
          <w:sz w:val="32"/>
          <w:szCs w:val="32"/>
        </w:rPr>
        <w:t>22年</w:t>
      </w:r>
      <w:r>
        <w:rPr>
          <w:rFonts w:hint="eastAsia" w:ascii="仿宋_GB2312" w:eastAsia="仿宋_GB2312"/>
          <w:color w:val="000000" w:themeColor="text1"/>
          <w:sz w:val="32"/>
          <w:szCs w:val="32"/>
        </w:rPr>
        <w:t>持平。</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年</w:t>
      </w:r>
      <w:r>
        <w:rPr>
          <w:rFonts w:hint="eastAsia" w:ascii="仿宋_GB2312" w:eastAsia="仿宋_GB2312"/>
          <w:sz w:val="32"/>
          <w:szCs w:val="32"/>
        </w:rPr>
        <w:t>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年12</w:t>
      </w:r>
      <w:r>
        <w:rPr>
          <w:rFonts w:hint="eastAsia" w:ascii="仿宋_GB2312" w:eastAsia="仿宋_GB2312"/>
          <w:sz w:val="32"/>
          <w:szCs w:val="32"/>
        </w:rPr>
        <w:t>月底，单位共有公务用车-辆，其中：轿车0辆、越野车0辆、载客汽车0辆。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年</w:t>
      </w:r>
      <w:r>
        <w:rPr>
          <w:rFonts w:hint="eastAsia" w:ascii="仿宋_GB2312" w:eastAsia="仿宋_GB2312"/>
          <w:sz w:val="32"/>
          <w:szCs w:val="32"/>
        </w:rPr>
        <w:t>基本持平。其中：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5"/>
          <w:rFonts w:ascii="黑体" w:hAnsi="黑体" w:eastAsia="黑体"/>
        </w:rPr>
      </w:pPr>
      <w:bookmarkStart w:id="43" w:name="_Toc15377218"/>
      <w:bookmarkStart w:id="44" w:name="_Toc15396610"/>
      <w:r>
        <w:rPr>
          <w:rFonts w:hint="eastAsia" w:ascii="黑体" w:eastAsia="黑体"/>
          <w:sz w:val="32"/>
          <w:szCs w:val="32"/>
        </w:rPr>
        <w:t>八、</w:t>
      </w:r>
      <w:r>
        <w:rPr>
          <w:rStyle w:val="25"/>
          <w:rFonts w:hint="eastAsia" w:ascii="黑体" w:hAnsi="黑体" w:eastAsia="黑体"/>
          <w:b w:val="0"/>
        </w:rPr>
        <w:t>政府性基金预算支出决算情况说明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w:t>
      </w:r>
      <w:r>
        <w:rPr>
          <w:rFonts w:hint="eastAsia" w:ascii="仿宋_GB2312" w:eastAsia="仿宋_GB2312"/>
          <w:sz w:val="32"/>
          <w:szCs w:val="32"/>
        </w:rPr>
        <w:t>政府性基金预算财政拨款支出0万元。</w:t>
      </w:r>
    </w:p>
    <w:p>
      <w:pPr>
        <w:numPr>
          <w:ilvl w:val="0"/>
          <w:numId w:val="3"/>
        </w:numPr>
        <w:spacing w:line="600" w:lineRule="exact"/>
        <w:ind w:firstLine="640"/>
        <w:outlineLvl w:val="1"/>
        <w:rPr>
          <w:rStyle w:val="25"/>
          <w:rFonts w:ascii="黑体" w:hAnsi="黑体" w:eastAsia="黑体"/>
          <w:b w:val="0"/>
        </w:rPr>
      </w:pPr>
      <w:bookmarkStart w:id="45" w:name="_Toc15377219"/>
      <w:bookmarkStart w:id="46" w:name="_Toc15396611"/>
      <w:r>
        <w:rPr>
          <w:rStyle w:val="25"/>
          <w:rFonts w:hint="eastAsia" w:ascii="黑体" w:hAnsi="黑体" w:eastAsia="黑体"/>
          <w:b w:val="0"/>
        </w:rPr>
        <w:t>国有资本经营预算支出决算情况说明</w:t>
      </w:r>
      <w:bookmarkEnd w:id="45"/>
      <w:bookmarkEnd w:id="4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pPr>
        <w:numPr>
          <w:ilvl w:val="0"/>
          <w:numId w:val="3"/>
        </w:numPr>
        <w:spacing w:line="600" w:lineRule="exact"/>
        <w:ind w:firstLine="640"/>
        <w:outlineLvl w:val="1"/>
        <w:rPr>
          <w:rStyle w:val="25"/>
          <w:rFonts w:ascii="黑体" w:hAnsi="黑体" w:eastAsia="黑体"/>
          <w:b w:val="0"/>
        </w:rPr>
      </w:pPr>
      <w:bookmarkStart w:id="47" w:name="_Toc15377221"/>
      <w:bookmarkStart w:id="48" w:name="_Toc15396612"/>
      <w:r>
        <w:rPr>
          <w:rStyle w:val="25"/>
          <w:rFonts w:hint="eastAsia" w:ascii="黑体" w:hAnsi="黑体" w:eastAsia="黑体"/>
          <w:b w:val="0"/>
        </w:rPr>
        <w:t>其他重要事项的情况说明</w:t>
      </w:r>
      <w:bookmarkEnd w:id="47"/>
      <w:bookmarkEnd w:id="48"/>
    </w:p>
    <w:p>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pPr>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w:t>
      </w:r>
      <w:r>
        <w:rPr>
          <w:rFonts w:hint="eastAsia" w:ascii="仿宋_GB2312" w:eastAsia="仿宋_GB2312"/>
          <w:sz w:val="32"/>
          <w:szCs w:val="32"/>
        </w:rPr>
        <w:t>，</w:t>
      </w:r>
      <w:r>
        <w:rPr>
          <w:rFonts w:ascii="仿宋_GB2312" w:eastAsia="仿宋_GB2312"/>
          <w:sz w:val="32"/>
          <w:szCs w:val="32"/>
        </w:rPr>
        <w:t>学校</w:t>
      </w:r>
      <w:r>
        <w:rPr>
          <w:rFonts w:hint="eastAsia" w:ascii="仿宋_GB2312" w:eastAsia="仿宋_GB2312"/>
          <w:sz w:val="32"/>
          <w:szCs w:val="32"/>
        </w:rPr>
        <w:t>机关运行经费支出0万元</w:t>
      </w:r>
      <w:bookmarkStart w:id="50" w:name="OLE_LINK11"/>
      <w:bookmarkStart w:id="51" w:name="OLE_LINK12"/>
      <w:bookmarkStart w:id="52" w:name="OLE_LINK10"/>
      <w:bookmarkStart w:id="53" w:name="OLE_LINK13"/>
      <w:bookmarkStart w:id="54" w:name="OLE_LINK14"/>
      <w:bookmarkStart w:id="55" w:name="OLE_LINK4"/>
      <w:bookmarkStart w:id="56" w:name="OLE_LINK9"/>
      <w:bookmarkStart w:id="57" w:name="OLE_LINK3"/>
      <w:bookmarkStart w:id="58" w:name="OLE_LINK7"/>
      <w:bookmarkStart w:id="59" w:name="OLE_LINK6"/>
      <w:bookmarkStart w:id="60" w:name="OLE_LINK5"/>
      <w:bookmarkStart w:id="61" w:name="OLE_LINK16"/>
      <w:bookmarkStart w:id="62" w:name="OLE_LINK8"/>
      <w:bookmarkStart w:id="63" w:name="OLE_LINK15"/>
      <w:r>
        <w:rPr>
          <w:rFonts w:hint="eastAsia" w:ascii="仿宋_GB2312" w:eastAsia="仿宋_GB2312"/>
          <w:sz w:val="32"/>
          <w:szCs w:val="32"/>
          <w:lang w:eastAsia="zh-CN"/>
        </w:rPr>
        <w:t>，</w:t>
      </w:r>
      <w:r>
        <w:rPr>
          <w:rFonts w:hint="eastAsia" w:ascii="仿宋_GB2312" w:eastAsia="仿宋_GB2312" w:cs="Times New Roman"/>
          <w:color w:val="auto"/>
          <w:sz w:val="32"/>
          <w:szCs w:val="32"/>
          <w:highlight w:val="none"/>
          <w:lang w:val="en-US" w:eastAsia="zh-CN"/>
        </w:rPr>
        <w:t>本单位是全额拨款事业单位，没有预算机关运行经费</w:t>
      </w:r>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4" w:name="_Toc15377223"/>
      <w:r>
        <w:rPr>
          <w:rFonts w:hint="eastAsia" w:ascii="仿宋" w:hAnsi="仿宋" w:eastAsia="仿宋"/>
          <w:b/>
          <w:sz w:val="32"/>
          <w:szCs w:val="32"/>
        </w:rPr>
        <w:t>（二）政府采购支出情况</w:t>
      </w:r>
      <w:bookmarkEnd w:id="64"/>
    </w:p>
    <w:p>
      <w:pPr>
        <w:spacing w:line="600" w:lineRule="exact"/>
        <w:ind w:firstLine="640" w:firstLineChars="200"/>
        <w:rPr>
          <w:rFonts w:ascii="仿宋" w:hAnsi="仿宋" w:eastAsia="仿宋"/>
          <w:sz w:val="32"/>
          <w:szCs w:val="32"/>
        </w:rPr>
      </w:pPr>
      <w:r>
        <w:rPr>
          <w:rFonts w:ascii="仿宋_GB2312" w:eastAsia="仿宋_GB2312"/>
          <w:sz w:val="32"/>
          <w:szCs w:val="32"/>
        </w:rPr>
        <w:t>20</w:t>
      </w:r>
      <w:r>
        <w:rPr>
          <w:rFonts w:hint="eastAsia" w:ascii="仿宋_GB2312" w:eastAsia="仿宋_GB2312"/>
          <w:sz w:val="32"/>
          <w:szCs w:val="32"/>
        </w:rPr>
        <w:t>23年，</w:t>
      </w:r>
      <w:bookmarkStart w:id="65" w:name="_Toc15377224"/>
      <w:r>
        <w:rPr>
          <w:rFonts w:hint="eastAsia" w:ascii="仿宋" w:hAnsi="仿宋" w:eastAsia="仿宋"/>
          <w:sz w:val="32"/>
          <w:szCs w:val="32"/>
        </w:rPr>
        <w:t>学校政府采购支出总额0万元，其中：政府采购货物支出0万元、政府采购工程支出0万元、政府采购服务支出0万元。授予中小企业合同金额0万元，占政府采购支出总额的100</w:t>
      </w:r>
      <w:r>
        <w:rPr>
          <w:rFonts w:ascii="仿宋" w:hAnsi="仿宋" w:eastAsia="仿宋"/>
          <w:sz w:val="32"/>
          <w:szCs w:val="32"/>
        </w:rPr>
        <w:t>%</w:t>
      </w:r>
      <w:r>
        <w:rPr>
          <w:rFonts w:hint="eastAsia" w:ascii="仿宋" w:hAnsi="仿宋" w:eastAsia="仿宋"/>
          <w:sz w:val="32"/>
          <w:szCs w:val="32"/>
        </w:rPr>
        <w:t>，其中：授予小微企业合同金额0万元，占政府采购支出总额的100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（三）国有资产占有使用情况</w:t>
      </w:r>
      <w:bookmarkEnd w:id="6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w:t>
      </w:r>
      <w:r>
        <w:rPr>
          <w:rFonts w:hint="eastAsia" w:ascii="仿宋" w:hAnsi="仿宋" w:eastAsia="仿宋"/>
          <w:sz w:val="32"/>
          <w:szCs w:val="32"/>
        </w:rPr>
        <w:t>至</w:t>
      </w:r>
      <w:r>
        <w:rPr>
          <w:rFonts w:ascii="仿宋" w:hAnsi="仿宋" w:eastAsia="仿宋"/>
          <w:sz w:val="32"/>
          <w:szCs w:val="32"/>
        </w:rPr>
        <w:t>202</w:t>
      </w:r>
      <w:r>
        <w:rPr>
          <w:rFonts w:hint="eastAsia" w:ascii="仿宋" w:hAnsi="仿宋" w:eastAsia="仿宋"/>
          <w:sz w:val="32"/>
          <w:szCs w:val="32"/>
        </w:rPr>
        <w:t>3</w:t>
      </w:r>
      <w:r>
        <w:rPr>
          <w:rFonts w:ascii="仿宋" w:hAnsi="仿宋" w:eastAsia="仿宋"/>
          <w:sz w:val="32"/>
          <w:szCs w:val="32"/>
        </w:rPr>
        <w:t>年12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日，共有车辆0辆，其中：主要领导干部用车0辆、机要通信用车0辆、应急保障用车0辆、其他用车0辆。单价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根据预算绩效管理要求，本单位在2023年度预算编制阶段，没有需要开展事前评估的项目，故未开展预算绩效评估，</w:t>
      </w:r>
      <w:r>
        <w:rPr>
          <w:rFonts w:hAnsi="仿宋_GB2312" w:cs="仿宋_GB2312"/>
          <w:sz w:val="32"/>
          <w:szCs w:val="32"/>
        </w:rPr>
        <w:t>组织对人员类、运转类、特定目标类等3</w:t>
      </w:r>
      <w:r>
        <w:rPr>
          <w:rFonts w:hint="eastAsia" w:hAnsi="仿宋_GB2312" w:cs="仿宋_GB2312"/>
          <w:sz w:val="32"/>
          <w:szCs w:val="32"/>
        </w:rPr>
        <w:t>3</w:t>
      </w:r>
      <w:r>
        <w:rPr>
          <w:rFonts w:hAnsi="仿宋_GB2312" w:cs="仿宋_GB2312"/>
          <w:sz w:val="32"/>
          <w:szCs w:val="32"/>
        </w:rPr>
        <w:t>个项目编制了绩效目标，预算执行过程中，选取1个项目开展绩效监控，组织对1个项目开展绩效自评，绩效自评表详见第四部分附件。</w:t>
      </w: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Pr>
        <w:pStyle w:val="5"/>
        <w:spacing w:before="93"/>
        <w:ind w:firstLine="640" w:firstLineChars="200"/>
        <w:rPr>
          <w:rFonts w:hAnsi="仿宋_GB2312" w:cs="仿宋_GB2312"/>
          <w:sz w:val="32"/>
          <w:szCs w:val="32"/>
        </w:rPr>
      </w:pPr>
    </w:p>
    <w:p/>
    <w:p>
      <w:pPr>
        <w:pStyle w:val="5"/>
        <w:spacing w:before="93"/>
      </w:pPr>
    </w:p>
    <w:p/>
    <w:p>
      <w:pPr>
        <w:pStyle w:val="5"/>
        <w:spacing w:before="93"/>
      </w:pPr>
    </w:p>
    <w:p/>
    <w:p>
      <w:pPr>
        <w:pStyle w:val="5"/>
        <w:spacing w:before="93"/>
      </w:pPr>
    </w:p>
    <w:p/>
    <w:p/>
    <w:p/>
    <w:p/>
    <w:p/>
    <w:p/>
    <w:p>
      <w:pPr>
        <w:numPr>
          <w:ilvl w:val="0"/>
          <w:numId w:val="4"/>
        </w:numPr>
        <w:spacing w:line="600" w:lineRule="exact"/>
        <w:ind w:firstLine="660" w:firstLineChars="150"/>
        <w:jc w:val="center"/>
        <w:outlineLvl w:val="0"/>
        <w:rPr>
          <w:rStyle w:val="24"/>
          <w:rFonts w:ascii="黑体" w:hAnsi="黑体" w:eastAsia="黑体"/>
          <w:b w:val="0"/>
        </w:rPr>
      </w:pPr>
      <w:bookmarkStart w:id="66" w:name="_Toc15396613"/>
      <w:bookmarkStart w:id="67" w:name="_Toc15377225"/>
      <w:r>
        <w:rPr>
          <w:rFonts w:hint="eastAsia" w:ascii="黑体" w:hAnsi="黑体" w:eastAsia="黑体"/>
          <w:sz w:val="44"/>
          <w:szCs w:val="44"/>
        </w:rPr>
        <w:t>名</w:t>
      </w:r>
      <w:r>
        <w:rPr>
          <w:rStyle w:val="24"/>
          <w:rFonts w:hint="eastAsia" w:ascii="黑体" w:hAnsi="黑体" w:eastAsia="黑体"/>
          <w:b w:val="0"/>
        </w:rPr>
        <w:t>词解释</w:t>
      </w:r>
      <w:bookmarkEnd w:id="66"/>
      <w:bookmarkEnd w:id="67"/>
    </w:p>
    <w:p>
      <w:pPr>
        <w:spacing w:line="600" w:lineRule="exact"/>
        <w:jc w:val="left"/>
        <w:rPr>
          <w:rFonts w:ascii="宋体"/>
          <w:b/>
          <w:sz w:val="44"/>
          <w:szCs w:val="44"/>
        </w:rPr>
      </w:pPr>
    </w:p>
    <w:p>
      <w:pPr>
        <w:pStyle w:val="22"/>
        <w:spacing w:line="560" w:lineRule="exact"/>
        <w:ind w:firstLine="640" w:firstLineChars="200"/>
        <w:rPr>
          <w:rFonts w:hAnsi="仿宋"/>
          <w:color w:val="auto"/>
          <w:sz w:val="32"/>
          <w:szCs w:val="32"/>
        </w:rPr>
      </w:pPr>
      <w:bookmarkStart w:id="68" w:name="_Toc15396614"/>
      <w:bookmarkStart w:id="69" w:name="_Toc15377226"/>
      <w:r>
        <w:rPr>
          <w:rFonts w:hAnsi="仿宋"/>
          <w:color w:val="auto"/>
          <w:sz w:val="32"/>
          <w:szCs w:val="32"/>
        </w:rPr>
        <w:t>1.</w:t>
      </w:r>
      <w:r>
        <w:rPr>
          <w:rFonts w:hint="eastAsia" w:hAnsi="仿宋"/>
          <w:color w:val="auto"/>
          <w:sz w:val="32"/>
          <w:szCs w:val="32"/>
        </w:rPr>
        <w:t>财政拨款收入：指单位从同级财政部门取得的财政预算资金。</w:t>
      </w:r>
    </w:p>
    <w:p>
      <w:pPr>
        <w:pStyle w:val="22"/>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2"/>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2"/>
        <w:spacing w:line="560" w:lineRule="exact"/>
        <w:ind w:left="638" w:leftChars="304"/>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p>
    <w:p>
      <w:pPr>
        <w:pStyle w:val="22"/>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pPr>
        <w:pStyle w:val="22"/>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pStyle w:val="22"/>
        <w:spacing w:line="560" w:lineRule="exact"/>
        <w:ind w:firstLine="640" w:firstLineChars="200"/>
        <w:rPr>
          <w:rFonts w:hAnsi="仿宋"/>
          <w:sz w:val="32"/>
          <w:szCs w:val="32"/>
        </w:rPr>
      </w:pPr>
      <w:r>
        <w:rPr>
          <w:rFonts w:hint="eastAsia" w:hAnsi="仿宋"/>
          <w:sz w:val="32"/>
          <w:szCs w:val="32"/>
        </w:rPr>
        <w:t>9</w:t>
      </w:r>
      <w:r>
        <w:rPr>
          <w:rFonts w:hAnsi="仿宋"/>
          <w:sz w:val="32"/>
          <w:szCs w:val="32"/>
        </w:rPr>
        <w:t>.</w:t>
      </w:r>
      <w:r>
        <w:rPr>
          <w:rFonts w:hint="eastAsia" w:hAnsi="仿宋"/>
          <w:sz w:val="32"/>
          <w:szCs w:val="32"/>
        </w:rPr>
        <w:t>教育（类）普通教育（款）小学教育（项）</w:t>
      </w:r>
      <w:r>
        <w:rPr>
          <w:rFonts w:hAnsi="仿宋"/>
          <w:sz w:val="32"/>
          <w:szCs w:val="32"/>
        </w:rPr>
        <w:t xml:space="preserve">: </w:t>
      </w:r>
      <w:r>
        <w:rPr>
          <w:rFonts w:hint="eastAsia" w:hAnsi="仿宋"/>
          <w:sz w:val="32"/>
          <w:szCs w:val="32"/>
        </w:rPr>
        <w:t>反映各部门举办的小学教育支出。政府各部门对社会中介组织等举办的小学的资助，如各类捐赠、补贴等，也在本科目中反映。</w:t>
      </w:r>
    </w:p>
    <w:p>
      <w:pPr>
        <w:pStyle w:val="22"/>
        <w:spacing w:line="560" w:lineRule="exact"/>
        <w:ind w:firstLine="640" w:firstLineChars="200"/>
        <w:rPr>
          <w:rFonts w:hAnsi="仿宋"/>
          <w:sz w:val="32"/>
          <w:szCs w:val="32"/>
        </w:rPr>
      </w:pPr>
      <w:r>
        <w:rPr>
          <w:rFonts w:hint="eastAsia" w:hAnsi="仿宋"/>
          <w:sz w:val="32"/>
          <w:szCs w:val="32"/>
        </w:rPr>
        <w:t>10</w:t>
      </w:r>
      <w:r>
        <w:rPr>
          <w:rFonts w:hAnsi="仿宋"/>
          <w:sz w:val="32"/>
          <w:szCs w:val="32"/>
        </w:rPr>
        <w:t>.</w:t>
      </w:r>
      <w:r>
        <w:rPr>
          <w:rFonts w:hint="eastAsia" w:hAnsi="仿宋"/>
          <w:sz w:val="32"/>
          <w:szCs w:val="32"/>
        </w:rPr>
        <w:t>教育（类）普通教育（款）其他普通教育支出（项）</w:t>
      </w:r>
      <w:r>
        <w:rPr>
          <w:rFonts w:hAnsi="仿宋"/>
          <w:sz w:val="32"/>
          <w:szCs w:val="32"/>
        </w:rPr>
        <w:t xml:space="preserve">: </w:t>
      </w:r>
      <w:r>
        <w:rPr>
          <w:rFonts w:hint="eastAsia" w:hAnsi="仿宋"/>
          <w:sz w:val="32"/>
          <w:szCs w:val="32"/>
        </w:rPr>
        <w:t>反映除上述项目以外其它用于普通教育方面的支出。</w:t>
      </w:r>
    </w:p>
    <w:p>
      <w:pPr>
        <w:pStyle w:val="22"/>
        <w:spacing w:line="560" w:lineRule="exact"/>
        <w:ind w:firstLine="640" w:firstLineChars="200"/>
        <w:rPr>
          <w:rFonts w:hAnsi="仿宋"/>
          <w:sz w:val="32"/>
          <w:szCs w:val="32"/>
        </w:rPr>
      </w:pPr>
      <w:r>
        <w:rPr>
          <w:rFonts w:hint="eastAsia" w:hAnsi="仿宋"/>
          <w:sz w:val="32"/>
          <w:szCs w:val="32"/>
        </w:rPr>
        <w:t>11</w:t>
      </w:r>
      <w:r>
        <w:rPr>
          <w:rFonts w:hAnsi="仿宋"/>
          <w:sz w:val="32"/>
          <w:szCs w:val="32"/>
        </w:rPr>
        <w:t>.</w:t>
      </w:r>
      <w:r>
        <w:rPr>
          <w:rFonts w:hint="eastAsia" w:hAnsi="仿宋"/>
          <w:sz w:val="32"/>
          <w:szCs w:val="32"/>
        </w:rPr>
        <w:t>社会保障和就业（类）行政事业单位养老支出（款）机关事业单位基本养老保险缴费支出（项）</w:t>
      </w:r>
      <w:r>
        <w:rPr>
          <w:rFonts w:hAnsi="仿宋"/>
          <w:sz w:val="32"/>
          <w:szCs w:val="32"/>
        </w:rPr>
        <w:t xml:space="preserve">: </w:t>
      </w:r>
      <w:r>
        <w:rPr>
          <w:rFonts w:hint="eastAsia" w:hAnsi="仿宋"/>
          <w:sz w:val="32"/>
          <w:szCs w:val="32"/>
        </w:rPr>
        <w:t>反映机关事业单位实施养老保险制度由单位缴纳的基本养老保险费支出。</w:t>
      </w:r>
    </w:p>
    <w:p>
      <w:pPr>
        <w:pStyle w:val="22"/>
        <w:spacing w:line="560" w:lineRule="exact"/>
        <w:ind w:firstLine="640" w:firstLineChars="200"/>
        <w:rPr>
          <w:rFonts w:hAnsi="仿宋"/>
          <w:sz w:val="32"/>
          <w:szCs w:val="32"/>
        </w:rPr>
      </w:pPr>
      <w:r>
        <w:rPr>
          <w:rFonts w:hint="eastAsia" w:hAnsi="仿宋"/>
          <w:sz w:val="32"/>
          <w:szCs w:val="32"/>
        </w:rPr>
        <w:t>12</w:t>
      </w:r>
      <w:r>
        <w:rPr>
          <w:rFonts w:hAnsi="仿宋"/>
          <w:sz w:val="32"/>
          <w:szCs w:val="32"/>
        </w:rPr>
        <w:t>..</w:t>
      </w:r>
      <w:r>
        <w:rPr>
          <w:rFonts w:hint="eastAsia" w:hAnsi="仿宋"/>
          <w:sz w:val="32"/>
          <w:szCs w:val="32"/>
        </w:rPr>
        <w:t>社会保障和就业（类）其他社会保障和就业支出（款）其他社会保障和就业支出（项）</w:t>
      </w:r>
      <w:r>
        <w:rPr>
          <w:rFonts w:hAnsi="仿宋"/>
          <w:sz w:val="32"/>
          <w:szCs w:val="32"/>
        </w:rPr>
        <w:t xml:space="preserve">: </w:t>
      </w:r>
      <w:r>
        <w:rPr>
          <w:rFonts w:hint="eastAsia" w:hAnsi="仿宋"/>
          <w:sz w:val="32"/>
          <w:szCs w:val="32"/>
        </w:rPr>
        <w:t>反映上述项目以外其他用于社会保障和就业方面的支出。</w:t>
      </w:r>
    </w:p>
    <w:p>
      <w:pPr>
        <w:pStyle w:val="22"/>
        <w:spacing w:line="560" w:lineRule="exact"/>
        <w:ind w:firstLine="640" w:firstLineChars="200"/>
        <w:rPr>
          <w:rFonts w:hAnsi="仿宋"/>
          <w:sz w:val="32"/>
          <w:szCs w:val="32"/>
        </w:rPr>
      </w:pPr>
      <w:r>
        <w:rPr>
          <w:rFonts w:hint="eastAsia" w:hAnsi="仿宋"/>
          <w:sz w:val="32"/>
          <w:szCs w:val="32"/>
        </w:rPr>
        <w:t>13</w:t>
      </w:r>
      <w:r>
        <w:rPr>
          <w:rFonts w:hAnsi="仿宋"/>
          <w:sz w:val="32"/>
          <w:szCs w:val="32"/>
        </w:rPr>
        <w:t>.</w:t>
      </w:r>
      <w:r>
        <w:rPr>
          <w:rFonts w:hint="eastAsia" w:hAnsi="仿宋"/>
          <w:sz w:val="32"/>
          <w:szCs w:val="32"/>
        </w:rPr>
        <w:t>医疗卫生与计划生育（类）行政事业单位医疗（款）事业单位医疗（项）</w:t>
      </w:r>
      <w:r>
        <w:rPr>
          <w:rFonts w:hAnsi="仿宋"/>
          <w:sz w:val="32"/>
          <w:szCs w:val="32"/>
        </w:rPr>
        <w:t>:</w:t>
      </w:r>
      <w:r>
        <w:rPr>
          <w:rFonts w:hint="eastAsia" w:hAnsi="仿宋"/>
          <w:sz w:val="32"/>
          <w:szCs w:val="32"/>
        </w:rPr>
        <w:t>反映财政部门集中安排的事业单位基本医疗保险缴费经费，未参加医疗保险的事业单位的公费医疗经费，按国家规定享受离休人员待遇的医疗经费。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Ansi="仿宋"/>
          <w:sz w:val="32"/>
          <w:szCs w:val="32"/>
        </w:rPr>
      </w:pPr>
      <w:r>
        <w:rPr>
          <w:rFonts w:hint="eastAsia" w:hAnsi="仿宋"/>
          <w:sz w:val="32"/>
          <w:szCs w:val="32"/>
        </w:rPr>
        <w:t>14</w:t>
      </w:r>
      <w:r>
        <w:rPr>
          <w:rFonts w:hAnsi="仿宋"/>
          <w:sz w:val="32"/>
          <w:szCs w:val="32"/>
        </w:rPr>
        <w:t>.</w:t>
      </w:r>
      <w:r>
        <w:rPr>
          <w:rFonts w:hint="eastAsia" w:hAnsi="仿宋"/>
          <w:sz w:val="32"/>
          <w:szCs w:val="32"/>
        </w:rPr>
        <w:t>医疗卫生与计划生育（类）行政事业单位医疗（款）公务员医疗补助（项）</w:t>
      </w:r>
      <w:r>
        <w:rPr>
          <w:rFonts w:hAnsi="仿宋"/>
          <w:sz w:val="32"/>
          <w:szCs w:val="32"/>
        </w:rPr>
        <w:t>:</w:t>
      </w:r>
      <w:r>
        <w:rPr>
          <w:rFonts w:hint="eastAsia" w:hAnsi="仿宋"/>
          <w:sz w:val="32"/>
          <w:szCs w:val="32"/>
        </w:rPr>
        <w:t>反映财政部门集中安排的公务员医疗补助经费。</w:t>
      </w:r>
    </w:p>
    <w:p>
      <w:pPr>
        <w:pStyle w:val="22"/>
        <w:spacing w:line="560" w:lineRule="exact"/>
        <w:ind w:firstLine="640" w:firstLineChars="200"/>
        <w:rPr>
          <w:rFonts w:hAnsi="仿宋"/>
          <w:sz w:val="32"/>
          <w:szCs w:val="32"/>
        </w:rPr>
      </w:pPr>
      <w:r>
        <w:rPr>
          <w:rFonts w:hint="eastAsia" w:hAnsi="仿宋"/>
          <w:sz w:val="32"/>
          <w:szCs w:val="32"/>
        </w:rPr>
        <w:t>15</w:t>
      </w:r>
      <w:r>
        <w:rPr>
          <w:rFonts w:hAnsi="仿宋"/>
          <w:sz w:val="32"/>
          <w:szCs w:val="32"/>
        </w:rPr>
        <w:t>.</w:t>
      </w:r>
      <w:r>
        <w:rPr>
          <w:rFonts w:hint="eastAsia" w:hAnsi="仿宋"/>
          <w:sz w:val="32"/>
          <w:szCs w:val="32"/>
        </w:rPr>
        <w:t>住房保障支出（类）住房改革支出（款）住房公积金（项）</w:t>
      </w:r>
      <w:r>
        <w:rPr>
          <w:rFonts w:hAnsi="仿宋"/>
          <w:sz w:val="32"/>
          <w:szCs w:val="32"/>
        </w:rPr>
        <w:t>:</w:t>
      </w:r>
      <w:r>
        <w:rPr>
          <w:rFonts w:hint="eastAsia" w:hAnsi="仿宋"/>
          <w:sz w:val="32"/>
          <w:szCs w:val="32"/>
        </w:rPr>
        <w:t>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ind w:firstLine="640" w:firstLineChars="200"/>
        <w:rPr>
          <w:rFonts w:ascii="仿宋" w:hAnsi="仿宋" w:eastAsia="仿宋"/>
          <w:sz w:val="32"/>
          <w:szCs w:val="32"/>
        </w:rPr>
      </w:pPr>
      <w:r>
        <w:rPr>
          <w:rFonts w:hint="eastAsia" w:ascii="仿宋" w:hAnsi="仿宋" w:eastAsia="仿宋"/>
          <w:sz w:val="32"/>
          <w:szCs w:val="32"/>
        </w:rPr>
        <w:t>18</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pPr>
        <w:pStyle w:val="22"/>
        <w:spacing w:line="560" w:lineRule="exact"/>
        <w:ind w:firstLine="640" w:firstLineChars="200"/>
        <w:rPr>
          <w:rFonts w:hAnsi="仿宋"/>
          <w:color w:val="auto"/>
          <w:sz w:val="32"/>
          <w:szCs w:val="32"/>
        </w:rPr>
      </w:pPr>
      <w:r>
        <w:rPr>
          <w:rFonts w:hint="eastAsia" w:hAnsi="仿宋"/>
          <w:color w:val="auto"/>
          <w:sz w:val="32"/>
          <w:szCs w:val="32"/>
        </w:rPr>
        <w:t>19</w:t>
      </w:r>
      <w:r>
        <w:rPr>
          <w:rFonts w:hAnsi="仿宋"/>
          <w:color w:val="auto"/>
          <w:sz w:val="32"/>
          <w:szCs w:val="32"/>
        </w:rPr>
        <w:t>.</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Ansi="仿宋"/>
          <w:color w:val="auto"/>
          <w:sz w:val="32"/>
          <w:szCs w:val="32"/>
        </w:rPr>
      </w:pPr>
      <w:r>
        <w:rPr>
          <w:rFonts w:hint="eastAsia" w:hAnsi="仿宋"/>
          <w:color w:val="auto"/>
          <w:sz w:val="32"/>
          <w:szCs w:val="32"/>
        </w:rPr>
        <w:t>20</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widowControl/>
        <w:jc w:val="left"/>
        <w:rPr>
          <w:rFonts w:ascii="黑体" w:hAnsi="黑体" w:eastAsia="黑体"/>
          <w:sz w:val="44"/>
          <w:szCs w:val="44"/>
        </w:rPr>
        <w:sectPr>
          <w:headerReference r:id="rId3" w:type="default"/>
          <w:footerReference r:id="rId4" w:type="default"/>
          <w:pgSz w:w="11906" w:h="16838"/>
          <w:pgMar w:top="1134" w:right="1701" w:bottom="1134" w:left="1701" w:header="851" w:footer="992" w:gutter="0"/>
          <w:pgNumType w:start="1"/>
          <w:cols w:space="425" w:num="1"/>
          <w:titlePg/>
          <w:docGrid w:type="lines" w:linePitch="312" w:charSpace="0"/>
        </w:sectPr>
      </w:pPr>
      <w:r>
        <w:rPr>
          <w:rFonts w:ascii="黑体" w:hAnsi="黑体" w:eastAsia="黑体"/>
          <w:sz w:val="44"/>
          <w:szCs w:val="44"/>
        </w:rPr>
        <w:br w:type="page"/>
      </w:r>
    </w:p>
    <w:p>
      <w:pPr>
        <w:spacing w:line="600" w:lineRule="exact"/>
        <w:jc w:val="center"/>
        <w:outlineLvl w:val="0"/>
        <w:rPr>
          <w:rFonts w:ascii="仿宋_GB2312" w:hAnsi="仿宋_GB2312" w:eastAsia="仿宋_GB2312" w:cs="仿宋_GB2312"/>
          <w:sz w:val="32"/>
          <w:szCs w:val="32"/>
        </w:rPr>
      </w:pPr>
      <w:r>
        <w:rPr>
          <w:rFonts w:hint="eastAsia" w:ascii="黑体" w:hAnsi="黑体" w:eastAsia="黑体"/>
          <w:sz w:val="44"/>
          <w:szCs w:val="44"/>
        </w:rPr>
        <w:t>第</w:t>
      </w:r>
      <w:r>
        <w:rPr>
          <w:rStyle w:val="24"/>
          <w:rFonts w:hint="eastAsia" w:ascii="黑体" w:hAnsi="黑体" w:eastAsia="黑体"/>
          <w:b w:val="0"/>
        </w:rPr>
        <w:t>四部分 附件</w:t>
      </w:r>
      <w:bookmarkEnd w:id="68"/>
    </w:p>
    <w:tbl>
      <w:tblPr>
        <w:tblStyle w:val="12"/>
        <w:tblW w:w="13769" w:type="dxa"/>
        <w:tblInd w:w="96" w:type="dxa"/>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4169"/>
      </w:tblGrid>
      <w:tr>
        <w:tblPrEx>
          <w:tblCellMar>
            <w:top w:w="0" w:type="dxa"/>
            <w:left w:w="108" w:type="dxa"/>
            <w:bottom w:w="0" w:type="dxa"/>
            <w:right w:w="108" w:type="dxa"/>
          </w:tblCellMar>
        </w:tblPrEx>
        <w:trPr>
          <w:trHeight w:val="384" w:hRule="atLeast"/>
        </w:trPr>
        <w:tc>
          <w:tcPr>
            <w:tcW w:w="137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bookmarkStart w:id="70" w:name="_Toc15396618"/>
            <w:r>
              <w:rPr>
                <w:rFonts w:hint="eastAsia" w:ascii="黑体" w:hAnsi="宋体" w:eastAsia="黑体" w:cs="黑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118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51090323T000008239682-四类学生课后服务保障经费（城市）</w:t>
            </w:r>
          </w:p>
        </w:tc>
      </w:tr>
      <w:tr>
        <w:tblPrEx>
          <w:tblCellMar>
            <w:top w:w="0" w:type="dxa"/>
            <w:left w:w="108" w:type="dxa"/>
            <w:bottom w:w="0" w:type="dxa"/>
            <w:right w:w="108" w:type="dxa"/>
          </w:tblCellMar>
        </w:tblPrEx>
        <w:trPr>
          <w:trHeight w:val="432"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主管部门</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四川省遂宁市船山区教育体育局部门</w:t>
            </w:r>
          </w:p>
        </w:tc>
        <w:tc>
          <w:tcPr>
            <w:tcW w:w="960"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6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遂宁市船山区天宫庙小学校</w:t>
            </w:r>
          </w:p>
        </w:tc>
      </w:tr>
      <w:tr>
        <w:tblPrEx>
          <w:tblCellMar>
            <w:top w:w="0" w:type="dxa"/>
            <w:left w:w="108" w:type="dxa"/>
            <w:bottom w:w="0" w:type="dxa"/>
            <w:right w:w="108" w:type="dxa"/>
          </w:tblCellMar>
        </w:tblPrEx>
        <w:trPr>
          <w:trHeight w:val="288"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1.项目年目标完成情况</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项目年目标</w:t>
            </w:r>
          </w:p>
        </w:tc>
        <w:tc>
          <w:tcPr>
            <w:tcW w:w="7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4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2023年城市课后服务补助，我校有45人，为家庭经济困难学生属于原建档立卡家庭、农村低保、残疾儿童、特困供养等四类学生，每天将开展2节课后服务的文化和兴趣特长课，通过该项目的实施，解决经济困难家庭学生实际困难。所有孩子共同参加课后服务，共同提升共同进步。最终将得到学生、家长和社会的好评。</w:t>
            </w:r>
          </w:p>
        </w:tc>
        <w:tc>
          <w:tcPr>
            <w:tcW w:w="7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解决经济困难家庭学生实际困难，维护四类学生家庭的经济稳步增长，让学生能更好地</w:t>
            </w:r>
            <w:r>
              <w:rPr>
                <w:rFonts w:hint="eastAsia" w:ascii="宋体" w:hAnsi="宋体" w:cs="宋体"/>
                <w:color w:val="000000"/>
                <w:kern w:val="0"/>
                <w:sz w:val="18"/>
                <w:szCs w:val="18"/>
              </w:rPr>
              <w:t>接受课后服务，对学生的成长具有持续性的帮助。</w:t>
            </w:r>
          </w:p>
        </w:tc>
      </w:tr>
      <w:tr>
        <w:tblPrEx>
          <w:tblCellMar>
            <w:top w:w="0" w:type="dxa"/>
            <w:left w:w="108" w:type="dxa"/>
            <w:bottom w:w="0" w:type="dxa"/>
            <w:right w:w="108" w:type="dxa"/>
          </w:tblCellMar>
        </w:tblPrEx>
        <w:trPr>
          <w:trHeight w:val="64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2.项目实施内容及过程概述</w:t>
            </w:r>
          </w:p>
        </w:tc>
        <w:tc>
          <w:tcPr>
            <w:tcW w:w="118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我校每天将开展2节课后服务的文化和兴趣特长课，对这四类学生进行免费课后服务，让学生能更好地</w:t>
            </w:r>
            <w:r>
              <w:rPr>
                <w:rFonts w:hint="eastAsia" w:ascii="宋体" w:hAnsi="宋体" w:cs="宋体"/>
                <w:color w:val="000000"/>
                <w:kern w:val="0"/>
                <w:sz w:val="18"/>
                <w:szCs w:val="18"/>
              </w:rPr>
              <w:t>接受课后服务。</w:t>
            </w:r>
          </w:p>
        </w:tc>
      </w:tr>
      <w:tr>
        <w:tblPrEx>
          <w:tblCellMar>
            <w:top w:w="0" w:type="dxa"/>
            <w:left w:w="108" w:type="dxa"/>
            <w:bottom w:w="0" w:type="dxa"/>
            <w:right w:w="108" w:type="dxa"/>
          </w:tblCellMar>
        </w:tblPrEx>
        <w:trPr>
          <w:trHeight w:val="43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得分</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2023年预算时对四类学生人数预算较多，经学校统计核实，实际四类学生人数比预算数少，对预算进行了调整。</w:t>
            </w:r>
          </w:p>
        </w:tc>
      </w:tr>
      <w:tr>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03"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得分</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学生参与数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资金支付准确率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Style w:val="30"/>
                <w:rFonts w:hint="default"/>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资金到位率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Style w:val="30"/>
                <w:rFonts w:hint="default"/>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时间安排合理性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社会效益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提升学生综合素质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Style w:val="30"/>
                <w:rFonts w:hint="default"/>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bookmarkStart w:id="84" w:name="_GoBack"/>
            <w:r>
              <w:rPr>
                <w:rFonts w:hint="eastAsia" w:ascii="宋体" w:hAnsi="宋体" w:cs="宋体"/>
                <w:color w:val="000000"/>
                <w:kern w:val="0"/>
                <w:sz w:val="18"/>
                <w:szCs w:val="18"/>
              </w:rPr>
              <w:t>满意度</w:t>
            </w:r>
            <w:bookmarkEnd w:id="84"/>
            <w:r>
              <w:rPr>
                <w:rFonts w:hint="eastAsia" w:ascii="宋体" w:hAnsi="宋体" w:cs="宋体"/>
                <w:color w:val="000000"/>
                <w:kern w:val="0"/>
                <w:sz w:val="18"/>
                <w:szCs w:val="18"/>
              </w:rPr>
              <w:t>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学生家长满意度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Style w:val="30"/>
                <w:rFonts w:hint="default"/>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未进行满意度调查</w:t>
            </w:r>
          </w:p>
        </w:tc>
      </w:tr>
      <w:tr>
        <w:tblPrEx>
          <w:tblCellMar>
            <w:top w:w="0" w:type="dxa"/>
            <w:left w:w="108" w:type="dxa"/>
            <w:bottom w:w="0" w:type="dxa"/>
            <w:right w:w="108" w:type="dxa"/>
          </w:tblCellMar>
        </w:tblPrEx>
        <w:trPr>
          <w:trHeight w:val="288"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评价结论</w:t>
            </w:r>
          </w:p>
        </w:tc>
        <w:tc>
          <w:tcPr>
            <w:tcW w:w="12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四类学生的课后学习科目均未额外收取费用，减轻了学生家长经济压力，同时促进了学生各项全面发展，但指标设置不够合理，我校2023年四类学生课后服务补助项目支出绩效自评得分99分。</w:t>
            </w:r>
          </w:p>
        </w:tc>
      </w:tr>
      <w:tr>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kern w:val="0"/>
                <w:sz w:val="16"/>
                <w:szCs w:val="16"/>
              </w:rPr>
            </w:pPr>
            <w:r>
              <w:rPr>
                <w:rFonts w:hint="eastAsia" w:ascii="宋体" w:hAnsi="宋体" w:cs="宋体"/>
                <w:color w:val="000000"/>
                <w:kern w:val="0"/>
                <w:sz w:val="18"/>
                <w:szCs w:val="18"/>
              </w:rPr>
              <w:t>存在问题</w:t>
            </w:r>
          </w:p>
        </w:tc>
        <w:tc>
          <w:tcPr>
            <w:tcW w:w="12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项目事前绩效评估、绩效目标指标设置还不够完整、合理。</w:t>
            </w:r>
          </w:p>
          <w:p>
            <w:pPr>
              <w:widowControl/>
              <w:jc w:val="left"/>
              <w:textAlignment w:val="center"/>
              <w:rPr>
                <w:rFonts w:ascii="微软雅黑" w:hAnsi="微软雅黑" w:eastAsia="微软雅黑" w:cs="微软雅黑"/>
                <w:i/>
                <w:iCs/>
                <w:color w:val="000000"/>
                <w:kern w:val="0"/>
                <w:sz w:val="16"/>
                <w:szCs w:val="16"/>
              </w:rPr>
            </w:pPr>
          </w:p>
        </w:tc>
      </w:tr>
      <w:tr>
        <w:tblPrEx>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改进措施</w:t>
            </w:r>
          </w:p>
        </w:tc>
        <w:tc>
          <w:tcPr>
            <w:tcW w:w="12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牢固树立绩效观念，加强预算项目事前评估，进一步加强资金使用用途，合理编制绩效目标，动态监控项目实施情况，及时调整绩效目标，确保绩效目标合理、可行、能实现</w:t>
            </w:r>
          </w:p>
          <w:p>
            <w:pPr>
              <w:widowControl/>
              <w:jc w:val="left"/>
              <w:textAlignment w:val="center"/>
              <w:rPr>
                <w:rFonts w:ascii="微软雅黑" w:hAnsi="微软雅黑" w:eastAsia="微软雅黑" w:cs="微软雅黑"/>
                <w:i/>
                <w:iCs/>
                <w:color w:val="000000"/>
                <w:kern w:val="0"/>
                <w:sz w:val="16"/>
                <w:szCs w:val="16"/>
              </w:rPr>
            </w:pPr>
          </w:p>
        </w:tc>
      </w:tr>
      <w:tr>
        <w:tblPrEx>
          <w:tblCellMar>
            <w:top w:w="0" w:type="dxa"/>
            <w:left w:w="108" w:type="dxa"/>
            <w:bottom w:w="0" w:type="dxa"/>
            <w:right w:w="108" w:type="dxa"/>
          </w:tblCellMar>
        </w:tblPrEx>
        <w:trPr>
          <w:trHeight w:val="288"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项目负责人：任星</w:t>
            </w:r>
          </w:p>
        </w:tc>
        <w:tc>
          <w:tcPr>
            <w:tcW w:w="89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971"/>
              </w:tabs>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r>
              <w:rPr>
                <w:rFonts w:hint="eastAsia" w:ascii="黑体" w:hAnsi="黑体" w:eastAsia="黑体" w:cs="黑体"/>
                <w:color w:val="000000"/>
                <w:kern w:val="0"/>
                <w:sz w:val="18"/>
                <w:szCs w:val="18"/>
              </w:rPr>
              <w:tab/>
            </w:r>
            <w:r>
              <w:rPr>
                <w:rFonts w:hint="eastAsia" w:ascii="黑体" w:hAnsi="黑体" w:eastAsia="黑体" w:cs="黑体"/>
                <w:color w:val="000000"/>
                <w:kern w:val="0"/>
                <w:sz w:val="18"/>
                <w:szCs w:val="18"/>
              </w:rPr>
              <w:t>杨高</w:t>
            </w:r>
          </w:p>
        </w:tc>
      </w:tr>
    </w:tbl>
    <w:p>
      <w:pPr>
        <w:pStyle w:val="5"/>
        <w:spacing w:before="93"/>
        <w:rPr>
          <w:rFonts w:hAnsi="Calibri" w:cs="仿宋"/>
          <w:sz w:val="32"/>
          <w:szCs w:val="32"/>
        </w:rPr>
        <w:sectPr>
          <w:pgSz w:w="16838" w:h="11906" w:orient="landscape"/>
          <w:pgMar w:top="1701" w:right="1134" w:bottom="1701" w:left="1134" w:header="851" w:footer="992" w:gutter="0"/>
          <w:pgNumType w:start="1"/>
          <w:cols w:space="425" w:num="1"/>
          <w:titlePg/>
          <w:docGrid w:type="lines" w:linePitch="312" w:charSpace="0"/>
        </w:sectPr>
      </w:pPr>
    </w:p>
    <w:p>
      <w:pPr>
        <w:pStyle w:val="5"/>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69"/>
      <w:bookmarkEnd w:id="70"/>
      <w:bookmarkStart w:id="71" w:name="_Toc15396619"/>
    </w:p>
    <w:p>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71"/>
    </w:p>
    <w:p>
      <w:pPr>
        <w:pStyle w:val="3"/>
        <w:rPr>
          <w:rFonts w:ascii="仿宋" w:hAnsi="仿宋" w:eastAsia="仿宋"/>
        </w:rPr>
      </w:pPr>
      <w:bookmarkStart w:id="72" w:name="_Toc15396620"/>
      <w:r>
        <w:rPr>
          <w:rFonts w:hint="eastAsia" w:ascii="仿宋" w:hAnsi="仿宋" w:eastAsia="仿宋"/>
          <w:b w:val="0"/>
        </w:rPr>
        <w:t>二、收</w:t>
      </w:r>
      <w:r>
        <w:rPr>
          <w:rStyle w:val="25"/>
          <w:rFonts w:hint="eastAsia" w:ascii="仿宋" w:hAnsi="仿宋" w:eastAsia="仿宋"/>
          <w:b w:val="0"/>
          <w:bCs w:val="0"/>
        </w:rPr>
        <w:t>入决算表</w:t>
      </w:r>
      <w:bookmarkEnd w:id="72"/>
    </w:p>
    <w:p>
      <w:pPr>
        <w:pStyle w:val="3"/>
        <w:rPr>
          <w:rFonts w:ascii="仿宋" w:hAnsi="仿宋" w:eastAsia="仿宋"/>
        </w:rPr>
      </w:pPr>
      <w:bookmarkStart w:id="73"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73"/>
    </w:p>
    <w:p>
      <w:pPr>
        <w:pStyle w:val="3"/>
        <w:rPr>
          <w:rFonts w:ascii="仿宋" w:hAnsi="仿宋" w:eastAsia="仿宋"/>
          <w:b w:val="0"/>
        </w:rPr>
      </w:pPr>
      <w:bookmarkStart w:id="74"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74"/>
    </w:p>
    <w:p>
      <w:pPr>
        <w:pStyle w:val="3"/>
        <w:rPr>
          <w:rStyle w:val="25"/>
          <w:rFonts w:ascii="仿宋" w:hAnsi="仿宋" w:eastAsia="仿宋"/>
          <w:b w:val="0"/>
          <w:bCs w:val="0"/>
        </w:rPr>
      </w:pPr>
      <w:bookmarkStart w:id="75"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75"/>
      <w:bookmarkStart w:id="76" w:name="_Toc15396624"/>
    </w:p>
    <w:p>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76"/>
    </w:p>
    <w:p>
      <w:pPr>
        <w:pStyle w:val="3"/>
        <w:rPr>
          <w:rFonts w:ascii="仿宋" w:hAnsi="仿宋" w:eastAsia="仿宋"/>
        </w:rPr>
      </w:pPr>
      <w:bookmarkStart w:id="77"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77"/>
    </w:p>
    <w:p>
      <w:pPr>
        <w:pStyle w:val="3"/>
        <w:rPr>
          <w:rFonts w:ascii="仿宋" w:hAnsi="仿宋" w:eastAsia="仿宋"/>
        </w:rPr>
      </w:pPr>
      <w:bookmarkStart w:id="78"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78"/>
    </w:p>
    <w:p>
      <w:pPr>
        <w:pStyle w:val="3"/>
        <w:rPr>
          <w:rFonts w:ascii="仿宋" w:hAnsi="仿宋" w:eastAsia="仿宋"/>
        </w:rPr>
      </w:pPr>
      <w:bookmarkStart w:id="79"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79"/>
    </w:p>
    <w:p>
      <w:pPr>
        <w:pStyle w:val="3"/>
        <w:rPr>
          <w:rFonts w:ascii="仿宋" w:hAnsi="仿宋" w:eastAsia="仿宋"/>
        </w:rPr>
      </w:pPr>
      <w:bookmarkStart w:id="80" w:name="_Toc15396628"/>
      <w:r>
        <w:rPr>
          <w:rStyle w:val="25"/>
          <w:rFonts w:hint="eastAsia" w:ascii="仿宋" w:hAnsi="仿宋" w:eastAsia="仿宋"/>
          <w:b w:val="0"/>
          <w:bCs w:val="0"/>
        </w:rPr>
        <w:t>十、</w:t>
      </w:r>
      <w:bookmarkEnd w:id="80"/>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3"/>
        <w:rPr>
          <w:rFonts w:ascii="仿宋" w:hAnsi="仿宋" w:eastAsia="仿宋"/>
        </w:rPr>
      </w:pPr>
      <w:bookmarkStart w:id="81" w:name="_Toc15396629"/>
      <w:r>
        <w:rPr>
          <w:rStyle w:val="25"/>
          <w:rFonts w:hint="eastAsia" w:ascii="仿宋" w:hAnsi="仿宋" w:eastAsia="仿宋"/>
          <w:b w:val="0"/>
          <w:bCs w:val="0"/>
        </w:rPr>
        <w:t>十一、</w:t>
      </w:r>
      <w:bookmarkEnd w:id="81"/>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3"/>
        <w:rPr>
          <w:rFonts w:ascii="仿宋" w:hAnsi="仿宋" w:eastAsia="仿宋"/>
        </w:rPr>
      </w:pPr>
      <w:bookmarkStart w:id="82" w:name="_Toc15396630"/>
      <w:r>
        <w:rPr>
          <w:rStyle w:val="25"/>
          <w:rFonts w:hint="eastAsia" w:ascii="仿宋" w:hAnsi="仿宋" w:eastAsia="仿宋"/>
          <w:b w:val="0"/>
          <w:bCs w:val="0"/>
        </w:rPr>
        <w:t>十二、</w:t>
      </w:r>
      <w:bookmarkEnd w:id="82"/>
      <w:r>
        <w:rPr>
          <w:rStyle w:val="25"/>
          <w:rFonts w:hint="eastAsia" w:ascii="仿宋" w:hAnsi="仿宋" w:eastAsia="仿宋"/>
          <w:b w:val="0"/>
          <w:bCs w:val="0"/>
        </w:rPr>
        <w:t>国有资本经营预算财政拨款支出决算表</w:t>
      </w:r>
    </w:p>
    <w:p>
      <w:pPr>
        <w:pStyle w:val="3"/>
        <w:rPr>
          <w:rFonts w:eastAsia="仿宋"/>
        </w:rPr>
      </w:pPr>
      <w:bookmarkStart w:id="83" w:name="_Toc15396631"/>
      <w:r>
        <w:rPr>
          <w:rStyle w:val="25"/>
          <w:rFonts w:hint="eastAsia" w:ascii="仿宋" w:hAnsi="仿宋" w:eastAsia="仿宋"/>
          <w:b w:val="0"/>
          <w:bCs w:val="0"/>
        </w:rPr>
        <w:t>十三、</w:t>
      </w:r>
      <w:bookmarkEnd w:id="83"/>
      <w:r>
        <w:rPr>
          <w:rStyle w:val="25"/>
          <w:rFonts w:hint="eastAsia" w:ascii="仿宋" w:hAnsi="仿宋" w:eastAsia="仿宋"/>
          <w:b w:val="0"/>
          <w:bCs w:val="0"/>
        </w:rPr>
        <w:t>财政拨款“三公”经费支出决算表</w:t>
      </w:r>
    </w:p>
    <w:sectPr>
      <w:pgSz w:w="11906" w:h="16838"/>
      <w:pgMar w:top="1134" w:right="1701" w:bottom="1134"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3747"/>
    </w:sdtPr>
    <w:sdtContent>
      <w:p>
        <w:pPr>
          <w:pStyle w:val="8"/>
          <w:jc w:val="center"/>
        </w:pPr>
        <w:r>
          <w:fldChar w:fldCharType="begin"/>
        </w:r>
        <w:r>
          <w:instrText xml:space="preserve">PAGE   \* MERGEFORMAT</w:instrText>
        </w:r>
        <w:r>
          <w:fldChar w:fldCharType="separate"/>
        </w:r>
        <w:r>
          <w:rPr>
            <w:lang w:val="zh-CN"/>
          </w:rPr>
          <w:t>12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k3NTM3NGMzYzk5OWQ0YzYwMmE4NTI3ODY2ODYxZmEifQ=="/>
  </w:docVars>
  <w:rsids>
    <w:rsidRoot w:val="00F1361C"/>
    <w:rsid w:val="00000ED2"/>
    <w:rsid w:val="00001171"/>
    <w:rsid w:val="000222C6"/>
    <w:rsid w:val="0002549F"/>
    <w:rsid w:val="000319CA"/>
    <w:rsid w:val="000468DB"/>
    <w:rsid w:val="0006487A"/>
    <w:rsid w:val="00065F8F"/>
    <w:rsid w:val="00070A43"/>
    <w:rsid w:val="000768F2"/>
    <w:rsid w:val="00077390"/>
    <w:rsid w:val="0009184B"/>
    <w:rsid w:val="00094236"/>
    <w:rsid w:val="0009593C"/>
    <w:rsid w:val="00097322"/>
    <w:rsid w:val="000A6068"/>
    <w:rsid w:val="000A6A92"/>
    <w:rsid w:val="000B047F"/>
    <w:rsid w:val="000B5923"/>
    <w:rsid w:val="000B5A48"/>
    <w:rsid w:val="000B6FF3"/>
    <w:rsid w:val="000C3467"/>
    <w:rsid w:val="000C3CA6"/>
    <w:rsid w:val="000D0FF9"/>
    <w:rsid w:val="000D1267"/>
    <w:rsid w:val="000D1D50"/>
    <w:rsid w:val="000D5782"/>
    <w:rsid w:val="000D60F4"/>
    <w:rsid w:val="000E6613"/>
    <w:rsid w:val="000E7119"/>
    <w:rsid w:val="00114E9B"/>
    <w:rsid w:val="00115248"/>
    <w:rsid w:val="00120666"/>
    <w:rsid w:val="001333FB"/>
    <w:rsid w:val="00142216"/>
    <w:rsid w:val="00144D6A"/>
    <w:rsid w:val="0014729F"/>
    <w:rsid w:val="00157BAB"/>
    <w:rsid w:val="001654D1"/>
    <w:rsid w:val="00165A88"/>
    <w:rsid w:val="00171B8A"/>
    <w:rsid w:val="00174518"/>
    <w:rsid w:val="0018106D"/>
    <w:rsid w:val="001877A7"/>
    <w:rsid w:val="00190C4C"/>
    <w:rsid w:val="00191536"/>
    <w:rsid w:val="00196687"/>
    <w:rsid w:val="001A1F14"/>
    <w:rsid w:val="001A6719"/>
    <w:rsid w:val="001C0962"/>
    <w:rsid w:val="001C5B38"/>
    <w:rsid w:val="001D7531"/>
    <w:rsid w:val="001E737D"/>
    <w:rsid w:val="001F0592"/>
    <w:rsid w:val="001F50D9"/>
    <w:rsid w:val="001F7506"/>
    <w:rsid w:val="002006CD"/>
    <w:rsid w:val="00202B36"/>
    <w:rsid w:val="00204B7A"/>
    <w:rsid w:val="00204CDE"/>
    <w:rsid w:val="0021101A"/>
    <w:rsid w:val="00217C8C"/>
    <w:rsid w:val="00220536"/>
    <w:rsid w:val="002208B4"/>
    <w:rsid w:val="002236B4"/>
    <w:rsid w:val="002240C9"/>
    <w:rsid w:val="00235629"/>
    <w:rsid w:val="00241F23"/>
    <w:rsid w:val="00246CA4"/>
    <w:rsid w:val="00260C38"/>
    <w:rsid w:val="002616C0"/>
    <w:rsid w:val="0026374D"/>
    <w:rsid w:val="00265372"/>
    <w:rsid w:val="002662AA"/>
    <w:rsid w:val="00280058"/>
    <w:rsid w:val="00280496"/>
    <w:rsid w:val="002833D3"/>
    <w:rsid w:val="00294DC9"/>
    <w:rsid w:val="00295495"/>
    <w:rsid w:val="002A31DE"/>
    <w:rsid w:val="002B2613"/>
    <w:rsid w:val="002C1CD3"/>
    <w:rsid w:val="002C290C"/>
    <w:rsid w:val="002D5FE2"/>
    <w:rsid w:val="002D6D05"/>
    <w:rsid w:val="002F1818"/>
    <w:rsid w:val="002F567B"/>
    <w:rsid w:val="003216A9"/>
    <w:rsid w:val="00331D14"/>
    <w:rsid w:val="00335A74"/>
    <w:rsid w:val="0036561B"/>
    <w:rsid w:val="0037013F"/>
    <w:rsid w:val="00380C92"/>
    <w:rsid w:val="003A484F"/>
    <w:rsid w:val="003A4883"/>
    <w:rsid w:val="003A5E4B"/>
    <w:rsid w:val="003B0BE0"/>
    <w:rsid w:val="003B0C1B"/>
    <w:rsid w:val="003B688C"/>
    <w:rsid w:val="003C0291"/>
    <w:rsid w:val="003C39AE"/>
    <w:rsid w:val="003C4FB7"/>
    <w:rsid w:val="003C7B60"/>
    <w:rsid w:val="003D0C0F"/>
    <w:rsid w:val="003D1FB2"/>
    <w:rsid w:val="003D66DA"/>
    <w:rsid w:val="003E1310"/>
    <w:rsid w:val="003E6F55"/>
    <w:rsid w:val="003F1FE9"/>
    <w:rsid w:val="00406254"/>
    <w:rsid w:val="004223DE"/>
    <w:rsid w:val="0042718E"/>
    <w:rsid w:val="00434489"/>
    <w:rsid w:val="00437085"/>
    <w:rsid w:val="00443880"/>
    <w:rsid w:val="004464F4"/>
    <w:rsid w:val="00451F97"/>
    <w:rsid w:val="0046299C"/>
    <w:rsid w:val="00470868"/>
    <w:rsid w:val="00471401"/>
    <w:rsid w:val="00473F31"/>
    <w:rsid w:val="0048263A"/>
    <w:rsid w:val="00487E5D"/>
    <w:rsid w:val="00495AF5"/>
    <w:rsid w:val="004A711F"/>
    <w:rsid w:val="004B199D"/>
    <w:rsid w:val="004B4690"/>
    <w:rsid w:val="004E0A2D"/>
    <w:rsid w:val="004E206B"/>
    <w:rsid w:val="004E4093"/>
    <w:rsid w:val="004E6DF7"/>
    <w:rsid w:val="004F0FBD"/>
    <w:rsid w:val="00505A47"/>
    <w:rsid w:val="00512FDA"/>
    <w:rsid w:val="00520DA0"/>
    <w:rsid w:val="00523486"/>
    <w:rsid w:val="005664BB"/>
    <w:rsid w:val="00566FFA"/>
    <w:rsid w:val="0057481D"/>
    <w:rsid w:val="00575A39"/>
    <w:rsid w:val="0058486E"/>
    <w:rsid w:val="00585B33"/>
    <w:rsid w:val="0059014D"/>
    <w:rsid w:val="005A5033"/>
    <w:rsid w:val="005B5C64"/>
    <w:rsid w:val="005C5337"/>
    <w:rsid w:val="005C6BD0"/>
    <w:rsid w:val="005D1C8B"/>
    <w:rsid w:val="005D468D"/>
    <w:rsid w:val="005D5CED"/>
    <w:rsid w:val="005F1A4C"/>
    <w:rsid w:val="00605688"/>
    <w:rsid w:val="006070AF"/>
    <w:rsid w:val="00607E6C"/>
    <w:rsid w:val="006101B1"/>
    <w:rsid w:val="00612208"/>
    <w:rsid w:val="00614E44"/>
    <w:rsid w:val="006162FF"/>
    <w:rsid w:val="0062270A"/>
    <w:rsid w:val="00622830"/>
    <w:rsid w:val="00623DA0"/>
    <w:rsid w:val="00630AEF"/>
    <w:rsid w:val="006325F8"/>
    <w:rsid w:val="00633463"/>
    <w:rsid w:val="00634C9A"/>
    <w:rsid w:val="00641BF4"/>
    <w:rsid w:val="006440E4"/>
    <w:rsid w:val="0066343B"/>
    <w:rsid w:val="00664777"/>
    <w:rsid w:val="006748A4"/>
    <w:rsid w:val="00675AB7"/>
    <w:rsid w:val="00681A31"/>
    <w:rsid w:val="00683E73"/>
    <w:rsid w:val="00684C6F"/>
    <w:rsid w:val="006A19DF"/>
    <w:rsid w:val="006A3141"/>
    <w:rsid w:val="006A58AC"/>
    <w:rsid w:val="006A5E34"/>
    <w:rsid w:val="006B0BF1"/>
    <w:rsid w:val="006B2422"/>
    <w:rsid w:val="006B2B9A"/>
    <w:rsid w:val="006B3A7A"/>
    <w:rsid w:val="006C1937"/>
    <w:rsid w:val="006C1EED"/>
    <w:rsid w:val="006F020C"/>
    <w:rsid w:val="006F069E"/>
    <w:rsid w:val="007127B7"/>
    <w:rsid w:val="0071798E"/>
    <w:rsid w:val="007208C0"/>
    <w:rsid w:val="00726777"/>
    <w:rsid w:val="007416B6"/>
    <w:rsid w:val="00746F48"/>
    <w:rsid w:val="0075404D"/>
    <w:rsid w:val="00760380"/>
    <w:rsid w:val="0076182A"/>
    <w:rsid w:val="00767B7E"/>
    <w:rsid w:val="00773624"/>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0336"/>
    <w:rsid w:val="00805868"/>
    <w:rsid w:val="00813348"/>
    <w:rsid w:val="008253BB"/>
    <w:rsid w:val="0083706E"/>
    <w:rsid w:val="008408F6"/>
    <w:rsid w:val="008423A5"/>
    <w:rsid w:val="00850625"/>
    <w:rsid w:val="00853718"/>
    <w:rsid w:val="00855221"/>
    <w:rsid w:val="00860645"/>
    <w:rsid w:val="00864310"/>
    <w:rsid w:val="00871F71"/>
    <w:rsid w:val="00872FB1"/>
    <w:rsid w:val="00872FD8"/>
    <w:rsid w:val="00885AF4"/>
    <w:rsid w:val="008939CD"/>
    <w:rsid w:val="008A5361"/>
    <w:rsid w:val="008B768C"/>
    <w:rsid w:val="008C4DB1"/>
    <w:rsid w:val="008C4EAF"/>
    <w:rsid w:val="008C5176"/>
    <w:rsid w:val="008C7FD0"/>
    <w:rsid w:val="008E1DE7"/>
    <w:rsid w:val="008E707C"/>
    <w:rsid w:val="00900B08"/>
    <w:rsid w:val="00902155"/>
    <w:rsid w:val="00902FA3"/>
    <w:rsid w:val="009136DA"/>
    <w:rsid w:val="00923564"/>
    <w:rsid w:val="0092392E"/>
    <w:rsid w:val="009315F9"/>
    <w:rsid w:val="00933499"/>
    <w:rsid w:val="00935C98"/>
    <w:rsid w:val="00935FFF"/>
    <w:rsid w:val="00946433"/>
    <w:rsid w:val="00946945"/>
    <w:rsid w:val="00951248"/>
    <w:rsid w:val="0095152F"/>
    <w:rsid w:val="00954C49"/>
    <w:rsid w:val="00955E37"/>
    <w:rsid w:val="0097099F"/>
    <w:rsid w:val="00971997"/>
    <w:rsid w:val="00971FFC"/>
    <w:rsid w:val="0098660A"/>
    <w:rsid w:val="009931C3"/>
    <w:rsid w:val="00993575"/>
    <w:rsid w:val="009B2C43"/>
    <w:rsid w:val="009B4EAE"/>
    <w:rsid w:val="009B7573"/>
    <w:rsid w:val="009C22F4"/>
    <w:rsid w:val="009C2A4B"/>
    <w:rsid w:val="009C2E98"/>
    <w:rsid w:val="009D3447"/>
    <w:rsid w:val="009D4711"/>
    <w:rsid w:val="009F1185"/>
    <w:rsid w:val="009F18CD"/>
    <w:rsid w:val="009F2A13"/>
    <w:rsid w:val="009F67C4"/>
    <w:rsid w:val="009F7527"/>
    <w:rsid w:val="00A04EB0"/>
    <w:rsid w:val="00A06914"/>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60E7"/>
    <w:rsid w:val="00A91760"/>
    <w:rsid w:val="00A93B00"/>
    <w:rsid w:val="00A93C21"/>
    <w:rsid w:val="00A941C0"/>
    <w:rsid w:val="00AA3D50"/>
    <w:rsid w:val="00AB41D4"/>
    <w:rsid w:val="00AB64C9"/>
    <w:rsid w:val="00AC3C6A"/>
    <w:rsid w:val="00AD5620"/>
    <w:rsid w:val="00AD656B"/>
    <w:rsid w:val="00AD7C1B"/>
    <w:rsid w:val="00AE16BA"/>
    <w:rsid w:val="00AE1EBE"/>
    <w:rsid w:val="00AE5F04"/>
    <w:rsid w:val="00B03C9D"/>
    <w:rsid w:val="00B060AE"/>
    <w:rsid w:val="00B10517"/>
    <w:rsid w:val="00B14E76"/>
    <w:rsid w:val="00B161B8"/>
    <w:rsid w:val="00B2048C"/>
    <w:rsid w:val="00B310B9"/>
    <w:rsid w:val="00B35F3F"/>
    <w:rsid w:val="00B36CBB"/>
    <w:rsid w:val="00B40FD6"/>
    <w:rsid w:val="00B425E0"/>
    <w:rsid w:val="00B440AA"/>
    <w:rsid w:val="00B44B70"/>
    <w:rsid w:val="00B53C56"/>
    <w:rsid w:val="00B57DAF"/>
    <w:rsid w:val="00B62115"/>
    <w:rsid w:val="00B77EA6"/>
    <w:rsid w:val="00B81598"/>
    <w:rsid w:val="00B841F1"/>
    <w:rsid w:val="00B867DA"/>
    <w:rsid w:val="00B900C2"/>
    <w:rsid w:val="00B944D6"/>
    <w:rsid w:val="00BA065F"/>
    <w:rsid w:val="00BB4DF0"/>
    <w:rsid w:val="00BC289F"/>
    <w:rsid w:val="00BC2D50"/>
    <w:rsid w:val="00BC5361"/>
    <w:rsid w:val="00BC5460"/>
    <w:rsid w:val="00BC6307"/>
    <w:rsid w:val="00BC6B50"/>
    <w:rsid w:val="00BD0E25"/>
    <w:rsid w:val="00BE0FA7"/>
    <w:rsid w:val="00BF1A39"/>
    <w:rsid w:val="00BF5BD6"/>
    <w:rsid w:val="00BF7FA1"/>
    <w:rsid w:val="00C03E31"/>
    <w:rsid w:val="00C04876"/>
    <w:rsid w:val="00C33E72"/>
    <w:rsid w:val="00C354B2"/>
    <w:rsid w:val="00C35554"/>
    <w:rsid w:val="00C35693"/>
    <w:rsid w:val="00C42709"/>
    <w:rsid w:val="00C533CC"/>
    <w:rsid w:val="00C5751C"/>
    <w:rsid w:val="00C61BFC"/>
    <w:rsid w:val="00C62B85"/>
    <w:rsid w:val="00C65438"/>
    <w:rsid w:val="00C6567A"/>
    <w:rsid w:val="00C72A40"/>
    <w:rsid w:val="00C853DA"/>
    <w:rsid w:val="00C87FD8"/>
    <w:rsid w:val="00C91381"/>
    <w:rsid w:val="00C91CBB"/>
    <w:rsid w:val="00CB2BEB"/>
    <w:rsid w:val="00CB4E70"/>
    <w:rsid w:val="00CC09B6"/>
    <w:rsid w:val="00CC666F"/>
    <w:rsid w:val="00CD1E3F"/>
    <w:rsid w:val="00CE44F6"/>
    <w:rsid w:val="00CE49DA"/>
    <w:rsid w:val="00CE6D41"/>
    <w:rsid w:val="00CE7B61"/>
    <w:rsid w:val="00D00095"/>
    <w:rsid w:val="00D114F0"/>
    <w:rsid w:val="00D12DB8"/>
    <w:rsid w:val="00D20620"/>
    <w:rsid w:val="00D23079"/>
    <w:rsid w:val="00D254F7"/>
    <w:rsid w:val="00D26091"/>
    <w:rsid w:val="00D2685C"/>
    <w:rsid w:val="00D32FB4"/>
    <w:rsid w:val="00D34E7C"/>
    <w:rsid w:val="00D35489"/>
    <w:rsid w:val="00D36AFE"/>
    <w:rsid w:val="00D51276"/>
    <w:rsid w:val="00D55C6A"/>
    <w:rsid w:val="00D65D17"/>
    <w:rsid w:val="00D7035F"/>
    <w:rsid w:val="00D81532"/>
    <w:rsid w:val="00DA634F"/>
    <w:rsid w:val="00DA65AC"/>
    <w:rsid w:val="00DA76DD"/>
    <w:rsid w:val="00DB1913"/>
    <w:rsid w:val="00DC410D"/>
    <w:rsid w:val="00DC5A81"/>
    <w:rsid w:val="00DC68CA"/>
    <w:rsid w:val="00DC7CBA"/>
    <w:rsid w:val="00DD73B7"/>
    <w:rsid w:val="00DD7AEB"/>
    <w:rsid w:val="00DF28BC"/>
    <w:rsid w:val="00DF34B9"/>
    <w:rsid w:val="00E01053"/>
    <w:rsid w:val="00E0193F"/>
    <w:rsid w:val="00E07ACF"/>
    <w:rsid w:val="00E331A1"/>
    <w:rsid w:val="00E33202"/>
    <w:rsid w:val="00E336A9"/>
    <w:rsid w:val="00E45626"/>
    <w:rsid w:val="00E472B1"/>
    <w:rsid w:val="00E50624"/>
    <w:rsid w:val="00E55116"/>
    <w:rsid w:val="00E568DF"/>
    <w:rsid w:val="00E64269"/>
    <w:rsid w:val="00E70CE8"/>
    <w:rsid w:val="00E82267"/>
    <w:rsid w:val="00E853CE"/>
    <w:rsid w:val="00E85C61"/>
    <w:rsid w:val="00E867B6"/>
    <w:rsid w:val="00E965FB"/>
    <w:rsid w:val="00EA010F"/>
    <w:rsid w:val="00ED1B63"/>
    <w:rsid w:val="00ED3C1F"/>
    <w:rsid w:val="00ED4085"/>
    <w:rsid w:val="00ED420E"/>
    <w:rsid w:val="00ED6FBE"/>
    <w:rsid w:val="00EE2F57"/>
    <w:rsid w:val="00EE798B"/>
    <w:rsid w:val="00EF4C34"/>
    <w:rsid w:val="00EF77C6"/>
    <w:rsid w:val="00F05438"/>
    <w:rsid w:val="00F1361C"/>
    <w:rsid w:val="00F156F0"/>
    <w:rsid w:val="00F160C7"/>
    <w:rsid w:val="00F2408F"/>
    <w:rsid w:val="00F240E9"/>
    <w:rsid w:val="00F251CA"/>
    <w:rsid w:val="00F266B7"/>
    <w:rsid w:val="00F36D8F"/>
    <w:rsid w:val="00F417B1"/>
    <w:rsid w:val="00F45853"/>
    <w:rsid w:val="00F602DF"/>
    <w:rsid w:val="00F6306A"/>
    <w:rsid w:val="00F6312F"/>
    <w:rsid w:val="00F65349"/>
    <w:rsid w:val="00F754A1"/>
    <w:rsid w:val="00F81FD9"/>
    <w:rsid w:val="00F841AA"/>
    <w:rsid w:val="00F84A94"/>
    <w:rsid w:val="00F87E96"/>
    <w:rsid w:val="00FA23E8"/>
    <w:rsid w:val="00FD3CC1"/>
    <w:rsid w:val="00FD6A05"/>
    <w:rsid w:val="00FE0387"/>
    <w:rsid w:val="00FF04DB"/>
    <w:rsid w:val="00FF1E02"/>
    <w:rsid w:val="00FF30B4"/>
    <w:rsid w:val="012D5C29"/>
    <w:rsid w:val="01BD6AF1"/>
    <w:rsid w:val="0210580B"/>
    <w:rsid w:val="02C0622E"/>
    <w:rsid w:val="053A62B5"/>
    <w:rsid w:val="053F6CFF"/>
    <w:rsid w:val="067046D1"/>
    <w:rsid w:val="06DD3475"/>
    <w:rsid w:val="0A2032A3"/>
    <w:rsid w:val="0B8A37D8"/>
    <w:rsid w:val="0C0D15D3"/>
    <w:rsid w:val="0DCD1F19"/>
    <w:rsid w:val="0E715A1C"/>
    <w:rsid w:val="0EA410A0"/>
    <w:rsid w:val="104A15A7"/>
    <w:rsid w:val="108247E3"/>
    <w:rsid w:val="10C055FF"/>
    <w:rsid w:val="118107EC"/>
    <w:rsid w:val="118A4439"/>
    <w:rsid w:val="11DD6519"/>
    <w:rsid w:val="12A50573"/>
    <w:rsid w:val="16A30ACD"/>
    <w:rsid w:val="16BB723D"/>
    <w:rsid w:val="18015F3F"/>
    <w:rsid w:val="198E6520"/>
    <w:rsid w:val="19EA19E4"/>
    <w:rsid w:val="1A7B3BAB"/>
    <w:rsid w:val="1A7F369B"/>
    <w:rsid w:val="1AA87BD2"/>
    <w:rsid w:val="1AF26A01"/>
    <w:rsid w:val="1BE8440E"/>
    <w:rsid w:val="1C8726E0"/>
    <w:rsid w:val="1D155CEE"/>
    <w:rsid w:val="20F57F95"/>
    <w:rsid w:val="222723E7"/>
    <w:rsid w:val="240371BF"/>
    <w:rsid w:val="24F8133D"/>
    <w:rsid w:val="25711CC6"/>
    <w:rsid w:val="25C741E6"/>
    <w:rsid w:val="27012636"/>
    <w:rsid w:val="270549BD"/>
    <w:rsid w:val="272F6449"/>
    <w:rsid w:val="27603CC8"/>
    <w:rsid w:val="27842671"/>
    <w:rsid w:val="27EC31AA"/>
    <w:rsid w:val="28926E7D"/>
    <w:rsid w:val="29FD04D3"/>
    <w:rsid w:val="2A1E2D2D"/>
    <w:rsid w:val="2A824349"/>
    <w:rsid w:val="2A82546D"/>
    <w:rsid w:val="2ABE7A3E"/>
    <w:rsid w:val="2B75129E"/>
    <w:rsid w:val="2CA234A8"/>
    <w:rsid w:val="2E543963"/>
    <w:rsid w:val="2EFA178C"/>
    <w:rsid w:val="2F130AC4"/>
    <w:rsid w:val="2F562335"/>
    <w:rsid w:val="30B46D73"/>
    <w:rsid w:val="319F7F4E"/>
    <w:rsid w:val="31E304BF"/>
    <w:rsid w:val="32C455D6"/>
    <w:rsid w:val="337274A9"/>
    <w:rsid w:val="35CA73B6"/>
    <w:rsid w:val="383D272C"/>
    <w:rsid w:val="38965858"/>
    <w:rsid w:val="395F671A"/>
    <w:rsid w:val="3988287A"/>
    <w:rsid w:val="39AE70AB"/>
    <w:rsid w:val="3A742699"/>
    <w:rsid w:val="3C0C0783"/>
    <w:rsid w:val="3DD4628E"/>
    <w:rsid w:val="3F9F3A96"/>
    <w:rsid w:val="40BC58DE"/>
    <w:rsid w:val="40CE4A65"/>
    <w:rsid w:val="41304F6A"/>
    <w:rsid w:val="41E05756"/>
    <w:rsid w:val="425429CC"/>
    <w:rsid w:val="42733236"/>
    <w:rsid w:val="428A56B4"/>
    <w:rsid w:val="45124778"/>
    <w:rsid w:val="456357E4"/>
    <w:rsid w:val="45E71F71"/>
    <w:rsid w:val="46045C96"/>
    <w:rsid w:val="464C5849"/>
    <w:rsid w:val="46787EE8"/>
    <w:rsid w:val="478D08F6"/>
    <w:rsid w:val="48BF60AB"/>
    <w:rsid w:val="493C27E9"/>
    <w:rsid w:val="496F39ED"/>
    <w:rsid w:val="49ED08FF"/>
    <w:rsid w:val="49FF41D3"/>
    <w:rsid w:val="4B857F7F"/>
    <w:rsid w:val="4BB93196"/>
    <w:rsid w:val="4BE068DB"/>
    <w:rsid w:val="4BF6002B"/>
    <w:rsid w:val="4C576928"/>
    <w:rsid w:val="4D2766A9"/>
    <w:rsid w:val="4ECE2238"/>
    <w:rsid w:val="4F215ECC"/>
    <w:rsid w:val="4F635BE7"/>
    <w:rsid w:val="4FCD404F"/>
    <w:rsid w:val="50442BA7"/>
    <w:rsid w:val="51DB4B86"/>
    <w:rsid w:val="525D2AFD"/>
    <w:rsid w:val="53D94F3D"/>
    <w:rsid w:val="55255BB5"/>
    <w:rsid w:val="55333C3E"/>
    <w:rsid w:val="56B94F32"/>
    <w:rsid w:val="5789411E"/>
    <w:rsid w:val="585F2C97"/>
    <w:rsid w:val="59437CC2"/>
    <w:rsid w:val="5AB73E7E"/>
    <w:rsid w:val="5C537F09"/>
    <w:rsid w:val="5E8A3FBC"/>
    <w:rsid w:val="60712286"/>
    <w:rsid w:val="61786A1F"/>
    <w:rsid w:val="62D653F0"/>
    <w:rsid w:val="63881E45"/>
    <w:rsid w:val="64CA39A1"/>
    <w:rsid w:val="68EC59EF"/>
    <w:rsid w:val="68EC771B"/>
    <w:rsid w:val="69630ADE"/>
    <w:rsid w:val="6C046B2A"/>
    <w:rsid w:val="6C4A05C8"/>
    <w:rsid w:val="6D3B1A89"/>
    <w:rsid w:val="6FB54531"/>
    <w:rsid w:val="71366B67"/>
    <w:rsid w:val="71BF4EC2"/>
    <w:rsid w:val="72194E08"/>
    <w:rsid w:val="72734D90"/>
    <w:rsid w:val="73CB3660"/>
    <w:rsid w:val="7412278C"/>
    <w:rsid w:val="747B5554"/>
    <w:rsid w:val="769000ED"/>
    <w:rsid w:val="79E7B28D"/>
    <w:rsid w:val="7B976DB7"/>
    <w:rsid w:val="7C4906ED"/>
    <w:rsid w:val="7CD0646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font6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5698</Words>
  <Characters>6209</Characters>
  <Lines>7</Lines>
  <Paragraphs>13</Paragraphs>
  <TotalTime>3</TotalTime>
  <ScaleCrop>false</ScaleCrop>
  <LinksUpToDate>false</LinksUpToDate>
  <CharactersWithSpaces>6261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2023-09-11T08:34:00Z</dcterms:created>
  <dc:creator>曹颖</dc:creator>
  <cp:lastModifiedBy>lenovo</cp:lastModifiedBy>
  <cp:lastPrinted>2024-09-09T02:32:00Z</cp:lastPrinted>
  <dcterms:modified xsi:type="dcterms:W3CDTF">2024-09-19T06:40:30Z</dcterms:modified>
  <dc:title>四川省***</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7DAE3CFF75124DDDA135E41A0522DFB9_12</vt:lpwstr>
  </property>
</Properties>
</file>