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黑体"/>
          <w:color w:val="000000"/>
          <w:sz w:val="36"/>
          <w:szCs w:val="32"/>
        </w:rPr>
      </w:pPr>
      <w:r>
        <w:rPr>
          <w:rFonts w:hint="eastAsia" w:ascii="华文中宋" w:hAnsi="华文中宋" w:eastAsia="华文中宋" w:cs="黑体"/>
          <w:color w:val="000000"/>
          <w:sz w:val="36"/>
          <w:szCs w:val="32"/>
        </w:rPr>
        <w:t>遂宁市</w:t>
      </w:r>
      <w:r>
        <w:rPr>
          <w:rFonts w:hint="eastAsia" w:ascii="华文中宋" w:hAnsi="华文中宋" w:eastAsia="华文中宋" w:cs="黑体"/>
          <w:color w:val="000000"/>
          <w:sz w:val="36"/>
          <w:szCs w:val="32"/>
          <w:lang w:val="en-US" w:eastAsia="zh-CN"/>
        </w:rPr>
        <w:t>船山区市政公用事务</w:t>
      </w:r>
      <w:r>
        <w:rPr>
          <w:rFonts w:hint="eastAsia" w:ascii="华文中宋" w:hAnsi="华文中宋" w:eastAsia="华文中宋" w:cs="黑体"/>
          <w:color w:val="000000"/>
          <w:sz w:val="36"/>
          <w:szCs w:val="32"/>
        </w:rPr>
        <w:t>中心</w:t>
      </w:r>
    </w:p>
    <w:p>
      <w:pPr>
        <w:jc w:val="center"/>
        <w:rPr>
          <w:rFonts w:ascii="华文中宋" w:hAnsi="华文中宋" w:eastAsia="华文中宋" w:cs="黑体"/>
          <w:color w:val="000000"/>
          <w:sz w:val="36"/>
          <w:szCs w:val="32"/>
        </w:rPr>
      </w:pPr>
      <w:r>
        <w:rPr>
          <w:rFonts w:hint="eastAsia" w:ascii="华文中宋" w:hAnsi="华文中宋" w:eastAsia="华文中宋" w:cs="黑体"/>
          <w:color w:val="000000"/>
          <w:sz w:val="36"/>
          <w:szCs w:val="32"/>
        </w:rPr>
        <w:t>202</w:t>
      </w:r>
      <w:r>
        <w:rPr>
          <w:rFonts w:hint="eastAsia" w:ascii="华文中宋" w:hAnsi="华文中宋" w:eastAsia="华文中宋" w:cs="黑体"/>
          <w:color w:val="000000"/>
          <w:sz w:val="36"/>
          <w:szCs w:val="32"/>
          <w:lang w:val="en-US" w:eastAsia="zh-CN"/>
        </w:rPr>
        <w:t>3</w:t>
      </w:r>
      <w:r>
        <w:rPr>
          <w:rFonts w:hint="eastAsia" w:ascii="华文中宋" w:hAnsi="华文中宋" w:eastAsia="华文中宋" w:cs="黑体"/>
          <w:color w:val="000000"/>
          <w:sz w:val="36"/>
          <w:szCs w:val="32"/>
        </w:rPr>
        <w:t>年度部门决算报表说明</w:t>
      </w:r>
    </w:p>
    <w:p>
      <w:pPr>
        <w:jc w:val="center"/>
        <w:rPr>
          <w:rFonts w:ascii="仿宋_GB2312" w:hAnsi="华文中宋" w:eastAsia="仿宋_GB2312" w:cs="黑体"/>
          <w:color w:val="000000"/>
          <w:sz w:val="32"/>
          <w:szCs w:val="32"/>
        </w:rPr>
      </w:pPr>
    </w:p>
    <w:p>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一、决算信息来源说明</w:t>
      </w:r>
    </w:p>
    <w:p>
      <w:pPr>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本套决算依据本单位登记完整、核对无误的账簿记录和其他有关会计核算资料编制，账证相符、账实相符、账表相符、表表相符，真实、准确、完整地反映了本单位预算执行结果和财务状况。</w:t>
      </w:r>
    </w:p>
    <w:p>
      <w:pPr>
        <w:ind w:firstLine="640" w:firstLineChars="200"/>
        <w:rPr>
          <w:rFonts w:ascii="仿宋_GB2312" w:hAnsi="仿宋" w:eastAsia="仿宋_GB2312" w:cs="黑体"/>
          <w:color w:val="000000"/>
          <w:sz w:val="32"/>
          <w:szCs w:val="32"/>
        </w:rPr>
      </w:pPr>
      <w:r>
        <w:rPr>
          <w:rFonts w:hint="eastAsia" w:ascii="仿宋_GB2312" w:hAnsi="仿宋" w:eastAsia="仿宋_GB2312"/>
          <w:sz w:val="32"/>
          <w:szCs w:val="32"/>
        </w:rPr>
        <w:t>（一）本套决算主表数据主要依据本单位会计账簿总账及明细账数据填列，预算数据依据本单位预、决算批复文件及预算调整文件填列。</w:t>
      </w:r>
    </w:p>
    <w:p>
      <w:pPr>
        <w:ind w:firstLine="640" w:firstLineChars="200"/>
        <w:rPr>
          <w:rFonts w:ascii="仿宋_GB2312" w:hAnsi="仿宋" w:eastAsia="仿宋_GB2312"/>
          <w:sz w:val="32"/>
          <w:szCs w:val="32"/>
        </w:rPr>
      </w:pPr>
      <w:r>
        <w:rPr>
          <w:rFonts w:hint="eastAsia" w:ascii="仿宋_GB2312" w:hAnsi="仿宋" w:eastAsia="仿宋_GB2312"/>
          <w:sz w:val="32"/>
          <w:szCs w:val="32"/>
        </w:rPr>
        <w:t>（二）本套决算附表数据主要依据本单位会计账簿、资产、人事台账及相关资料填列。</w:t>
      </w:r>
    </w:p>
    <w:p>
      <w:pPr>
        <w:ind w:firstLine="640" w:firstLineChars="200"/>
        <w:rPr>
          <w:rFonts w:ascii="黑体" w:hAnsi="黑体" w:eastAsia="黑体" w:cs="黑体"/>
          <w:sz w:val="32"/>
          <w:szCs w:val="32"/>
        </w:rPr>
      </w:pPr>
      <w:r>
        <w:rPr>
          <w:rFonts w:hint="eastAsia" w:ascii="黑体" w:hAnsi="黑体" w:eastAsia="黑体" w:cs="黑体"/>
          <w:sz w:val="32"/>
          <w:szCs w:val="32"/>
        </w:rPr>
        <w:t>二、决算编制基本情况</w:t>
      </w:r>
    </w:p>
    <w:p>
      <w:pPr>
        <w:ind w:firstLine="567"/>
        <w:rPr>
          <w:rFonts w:ascii="仿宋_GB2312" w:hAnsi="仿宋" w:eastAsia="仿宋_GB2312" w:cs="仿宋"/>
          <w:bCs/>
          <w:sz w:val="32"/>
          <w:szCs w:val="32"/>
        </w:rPr>
      </w:pPr>
      <w:r>
        <w:rPr>
          <w:rFonts w:hint="eastAsia" w:ascii="仿宋_GB2312" w:hAnsi="仿宋" w:eastAsia="仿宋_GB2312" w:cs="仿宋"/>
          <w:bCs/>
          <w:sz w:val="32"/>
          <w:szCs w:val="32"/>
        </w:rPr>
        <w:t>本单位为</w:t>
      </w:r>
      <w:r>
        <w:rPr>
          <w:rFonts w:hint="eastAsia" w:ascii="仿宋_GB2312" w:hAnsi="仿宋" w:eastAsia="仿宋_GB2312" w:cs="仿宋"/>
          <w:bCs/>
          <w:sz w:val="32"/>
          <w:szCs w:val="32"/>
          <w:u w:val="single"/>
        </w:rPr>
        <w:t xml:space="preserve">   遂宁市</w:t>
      </w:r>
      <w:r>
        <w:rPr>
          <w:rFonts w:hint="eastAsia" w:ascii="仿宋_GB2312" w:hAnsi="仿宋" w:eastAsia="仿宋_GB2312" w:cs="仿宋"/>
          <w:bCs/>
          <w:sz w:val="32"/>
          <w:szCs w:val="32"/>
          <w:u w:val="single"/>
          <w:lang w:val="en-US" w:eastAsia="zh-CN"/>
        </w:rPr>
        <w:t>船山区</w:t>
      </w:r>
      <w:r>
        <w:rPr>
          <w:rFonts w:ascii="仿宋_GB2312" w:hAnsi="仿宋" w:eastAsia="仿宋_GB2312" w:cs="仿宋"/>
          <w:bCs/>
          <w:sz w:val="32"/>
          <w:szCs w:val="32"/>
          <w:u w:val="single"/>
        </w:rPr>
        <w:t>住房和</w:t>
      </w:r>
      <w:r>
        <w:rPr>
          <w:rFonts w:hint="eastAsia" w:ascii="仿宋_GB2312" w:hAnsi="仿宋" w:eastAsia="仿宋_GB2312" w:cs="仿宋"/>
          <w:bCs/>
          <w:sz w:val="32"/>
          <w:szCs w:val="32"/>
          <w:u w:val="single"/>
        </w:rPr>
        <w:t>城乡</w:t>
      </w:r>
      <w:r>
        <w:rPr>
          <w:rFonts w:ascii="仿宋_GB2312" w:hAnsi="仿宋" w:eastAsia="仿宋_GB2312" w:cs="仿宋"/>
          <w:bCs/>
          <w:sz w:val="32"/>
          <w:szCs w:val="32"/>
          <w:u w:val="single"/>
        </w:rPr>
        <w:t>建设局</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lang w:val="en-US" w:eastAsia="zh-CN"/>
        </w:rPr>
        <w:t>代管</w:t>
      </w:r>
      <w:r>
        <w:rPr>
          <w:rFonts w:hint="eastAsia" w:ascii="仿宋_GB2312" w:hAnsi="仿宋" w:eastAsia="仿宋_GB2312" w:cs="仿宋"/>
          <w:bCs/>
          <w:sz w:val="32"/>
          <w:szCs w:val="32"/>
          <w:u w:val="single"/>
        </w:rPr>
        <w:t xml:space="preserve">   二级   </w:t>
      </w:r>
      <w:r>
        <w:rPr>
          <w:rFonts w:hint="eastAsia" w:ascii="仿宋_GB2312" w:hAnsi="仿宋" w:eastAsia="仿宋_GB2312" w:cs="仿宋"/>
          <w:bCs/>
          <w:spacing w:val="14"/>
          <w:sz w:val="32"/>
          <w:szCs w:val="32"/>
        </w:rPr>
        <w:t>预算单位，单位性质</w:t>
      </w:r>
      <w:r>
        <w:rPr>
          <w:rFonts w:hint="eastAsia" w:ascii="仿宋_GB2312" w:hAnsi="仿宋" w:eastAsia="仿宋_GB2312" w:cs="仿宋"/>
          <w:bCs/>
          <w:sz w:val="32"/>
          <w:szCs w:val="32"/>
        </w:rPr>
        <w:t>为</w:t>
      </w:r>
      <w:r>
        <w:rPr>
          <w:rFonts w:hint="eastAsia" w:ascii="仿宋_GB2312" w:hAnsi="仿宋" w:eastAsia="仿宋_GB2312" w:cs="仿宋"/>
          <w:bCs/>
          <w:sz w:val="32"/>
          <w:szCs w:val="32"/>
          <w:u w:val="single"/>
        </w:rPr>
        <w:t xml:space="preserve">  全额</w:t>
      </w:r>
      <w:r>
        <w:rPr>
          <w:rFonts w:ascii="仿宋_GB2312" w:hAnsi="仿宋" w:eastAsia="仿宋_GB2312" w:cs="仿宋"/>
          <w:bCs/>
          <w:sz w:val="32"/>
          <w:szCs w:val="32"/>
          <w:u w:val="single"/>
        </w:rPr>
        <w:t>拨款</w:t>
      </w:r>
      <w:r>
        <w:rPr>
          <w:rFonts w:hint="eastAsia" w:ascii="仿宋_GB2312" w:hAnsi="仿宋" w:eastAsia="仿宋_GB2312" w:cs="仿宋"/>
          <w:bCs/>
          <w:sz w:val="32"/>
          <w:szCs w:val="32"/>
          <w:u w:val="single"/>
        </w:rPr>
        <w:t>公益</w:t>
      </w:r>
      <w:r>
        <w:rPr>
          <w:rFonts w:ascii="仿宋_GB2312" w:hAnsi="仿宋" w:eastAsia="仿宋_GB2312" w:cs="仿宋"/>
          <w:bCs/>
          <w:sz w:val="32"/>
          <w:szCs w:val="32"/>
          <w:u w:val="single"/>
        </w:rPr>
        <w:t>一类事业单位</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rPr>
        <w:t>，决算编报类型为</w:t>
      </w:r>
      <w:r>
        <w:rPr>
          <w:rFonts w:hint="eastAsia" w:ascii="仿宋_GB2312" w:hAnsi="仿宋" w:eastAsia="仿宋_GB2312" w:cs="仿宋"/>
          <w:bCs/>
          <w:sz w:val="32"/>
          <w:szCs w:val="32"/>
          <w:u w:val="single"/>
        </w:rPr>
        <w:t xml:space="preserve">  单户表    </w:t>
      </w:r>
      <w:r>
        <w:rPr>
          <w:rFonts w:hint="eastAsia" w:ascii="仿宋_GB2312" w:hAnsi="仿宋" w:eastAsia="仿宋_GB2312" w:cs="仿宋"/>
          <w:bCs/>
          <w:sz w:val="32"/>
          <w:szCs w:val="32"/>
        </w:rPr>
        <w:t>，按照</w:t>
      </w:r>
      <w:r>
        <w:rPr>
          <w:rFonts w:hint="eastAsia" w:ascii="仿宋_GB2312" w:hAnsi="仿宋" w:eastAsia="仿宋_GB2312" w:cs="仿宋"/>
          <w:bCs/>
          <w:sz w:val="32"/>
          <w:szCs w:val="32"/>
          <w:u w:val="single"/>
        </w:rPr>
        <w:t xml:space="preserve">    政府</w:t>
      </w:r>
      <w:r>
        <w:rPr>
          <w:rFonts w:ascii="仿宋_GB2312" w:hAnsi="仿宋" w:eastAsia="仿宋_GB2312" w:cs="仿宋"/>
          <w:bCs/>
          <w:sz w:val="32"/>
          <w:szCs w:val="32"/>
          <w:u w:val="single"/>
        </w:rPr>
        <w:t>会计准则</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rPr>
        <w:t>会计制度填报决算数据。</w:t>
      </w:r>
    </w:p>
    <w:p>
      <w:pPr>
        <w:ind w:firstLine="567"/>
        <w:rPr>
          <w:rFonts w:ascii="仿宋_GB2312" w:hAnsi="仿宋" w:eastAsia="仿宋_GB2312" w:cs="仿宋"/>
          <w:bCs/>
          <w:sz w:val="32"/>
          <w:szCs w:val="32"/>
        </w:rPr>
      </w:pPr>
      <w:r>
        <w:rPr>
          <w:rFonts w:hint="eastAsia" w:ascii="仿宋_GB2312" w:hAnsi="仿宋" w:eastAsia="仿宋_GB2312" w:cs="仿宋"/>
          <w:bCs/>
          <w:sz w:val="32"/>
          <w:szCs w:val="32"/>
        </w:rPr>
        <w:t>纳入本套决算编制范围的独立核算单位共</w:t>
      </w:r>
      <w:r>
        <w:rPr>
          <w:rFonts w:hint="eastAsia" w:ascii="仿宋_GB2312" w:hAnsi="仿宋" w:eastAsia="仿宋_GB2312" w:cs="仿宋"/>
          <w:bCs/>
          <w:sz w:val="32"/>
          <w:szCs w:val="32"/>
          <w:u w:val="single"/>
        </w:rPr>
        <w:t xml:space="preserve">  </w:t>
      </w:r>
      <w:r>
        <w:rPr>
          <w:rFonts w:ascii="仿宋_GB2312" w:hAnsi="仿宋" w:eastAsia="仿宋_GB2312" w:cs="仿宋"/>
          <w:bCs/>
          <w:sz w:val="32"/>
          <w:szCs w:val="32"/>
          <w:u w:val="single"/>
        </w:rPr>
        <w:t>1</w:t>
      </w:r>
      <w:r>
        <w:rPr>
          <w:rFonts w:hint="eastAsia" w:ascii="仿宋_GB2312" w:hAnsi="仿宋" w:eastAsia="仿宋_GB2312" w:cs="仿宋"/>
          <w:bCs/>
          <w:sz w:val="32"/>
          <w:szCs w:val="32"/>
          <w:u w:val="single"/>
        </w:rPr>
        <w:t>　</w:t>
      </w:r>
      <w:r>
        <w:rPr>
          <w:rFonts w:hint="eastAsia" w:ascii="仿宋_GB2312" w:hAnsi="仿宋" w:eastAsia="仿宋_GB2312" w:cs="仿宋"/>
          <w:bCs/>
          <w:sz w:val="32"/>
          <w:szCs w:val="32"/>
        </w:rPr>
        <w:t>个，比上年增减</w:t>
      </w:r>
      <w:r>
        <w:rPr>
          <w:rFonts w:hint="eastAsia" w:ascii="仿宋_GB2312" w:hAnsi="仿宋" w:eastAsia="仿宋_GB2312" w:cs="仿宋"/>
          <w:bCs/>
          <w:sz w:val="32"/>
          <w:szCs w:val="32"/>
          <w:u w:val="single"/>
        </w:rPr>
        <w:t xml:space="preserve"> </w:t>
      </w:r>
      <w:r>
        <w:rPr>
          <w:rFonts w:ascii="仿宋_GB2312" w:hAnsi="仿宋" w:eastAsia="仿宋_GB2312" w:cs="仿宋"/>
          <w:bCs/>
          <w:sz w:val="32"/>
          <w:szCs w:val="32"/>
          <w:u w:val="single"/>
        </w:rPr>
        <w:t>0</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rPr>
        <w:t>个，分别是</w:t>
      </w:r>
      <w:r>
        <w:rPr>
          <w:rFonts w:hint="eastAsia" w:ascii="仿宋_GB2312" w:hAnsi="仿宋" w:eastAsia="仿宋_GB2312" w:cs="仿宋"/>
          <w:bCs/>
          <w:sz w:val="32"/>
          <w:szCs w:val="32"/>
          <w:u w:val="single"/>
        </w:rPr>
        <w:t xml:space="preserve">   </w:t>
      </w:r>
      <w:r>
        <w:rPr>
          <w:rFonts w:ascii="仿宋_GB2312" w:hAnsi="仿宋" w:eastAsia="仿宋_GB2312" w:cs="仿宋"/>
          <w:bCs/>
          <w:sz w:val="32"/>
          <w:szCs w:val="32"/>
          <w:u w:val="single"/>
        </w:rPr>
        <w:t>0</w:t>
      </w:r>
      <w:r>
        <w:rPr>
          <w:rFonts w:hint="eastAsia" w:ascii="仿宋_GB2312" w:hAnsi="仿宋" w:eastAsia="仿宋_GB2312" w:cs="仿宋"/>
          <w:bCs/>
          <w:sz w:val="32"/>
          <w:szCs w:val="32"/>
          <w:u w:val="single"/>
        </w:rPr>
        <w:t xml:space="preserve">   </w:t>
      </w:r>
      <w:r>
        <w:rPr>
          <w:rFonts w:hint="eastAsia" w:ascii="仿宋_GB2312" w:hAnsi="仿宋" w:eastAsia="仿宋_GB2312" w:cs="仿宋"/>
          <w:bCs/>
          <w:sz w:val="32"/>
          <w:szCs w:val="32"/>
        </w:rPr>
        <w:t>。</w:t>
      </w:r>
    </w:p>
    <w:p>
      <w:pPr>
        <w:ind w:firstLine="707" w:firstLineChars="221"/>
        <w:rPr>
          <w:rFonts w:ascii="黑体" w:hAnsi="黑体" w:eastAsia="黑体" w:cs="Times New Roman"/>
          <w:color w:val="000000"/>
          <w:sz w:val="32"/>
          <w:szCs w:val="32"/>
        </w:rPr>
      </w:pPr>
      <w:r>
        <w:rPr>
          <w:rFonts w:hint="eastAsia" w:ascii="黑体" w:hAnsi="黑体" w:eastAsia="黑体" w:cs="黑体"/>
          <w:color w:val="000000"/>
          <w:sz w:val="32"/>
          <w:szCs w:val="32"/>
        </w:rPr>
        <w:t>三、基础数据核对情况</w:t>
      </w:r>
    </w:p>
    <w:p>
      <w:pPr>
        <w:ind w:firstLine="709"/>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（一）财政资金对账情况。</w:t>
      </w:r>
    </w:p>
    <w:p>
      <w:pPr>
        <w:ind w:firstLine="709"/>
        <w:rPr>
          <w:rFonts w:ascii="仿宋_GB2312" w:hAnsi="仿宋" w:eastAsia="仿宋_GB2312" w:cs="Times New Roman"/>
          <w:b/>
          <w:color w:val="000000"/>
          <w:sz w:val="32"/>
          <w:szCs w:val="32"/>
        </w:rPr>
      </w:pPr>
      <w:r>
        <w:rPr>
          <w:rFonts w:hint="eastAsia" w:ascii="仿宋_GB2312" w:hAnsi="仿宋" w:eastAsia="仿宋_GB2312" w:cs="仿宋"/>
          <w:b/>
          <w:color w:val="000000"/>
          <w:sz w:val="32"/>
          <w:szCs w:val="32"/>
        </w:rPr>
        <w:t>1．财政拨款核对情况。</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（1）单位本年度实际收到的</w:t>
      </w:r>
      <w:r>
        <w:rPr>
          <w:rFonts w:hint="eastAsia" w:ascii="仿宋_GB2312" w:hAnsi="仿宋" w:eastAsia="仿宋_GB2312" w:cs="仿宋"/>
          <w:bCs/>
          <w:color w:val="000000"/>
          <w:sz w:val="32"/>
          <w:szCs w:val="32"/>
        </w:rPr>
        <w:t>一般</w:t>
      </w:r>
      <w:r>
        <w:rPr>
          <w:rFonts w:hint="eastAsia" w:ascii="仿宋_GB2312" w:hAnsi="仿宋" w:eastAsia="仿宋_GB2312" w:cs="仿宋"/>
          <w:color w:val="000000"/>
          <w:sz w:val="32"/>
          <w:szCs w:val="32"/>
        </w:rPr>
        <w:t>公共预算财政拨款收入</w:t>
      </w:r>
      <w:r>
        <w:rPr>
          <w:rFonts w:hint="eastAsia" w:ascii="仿宋_GB2312" w:eastAsia="仿宋_GB2312" w:cs="Times New Roman"/>
          <w:color w:val="000000"/>
          <w:sz w:val="32"/>
          <w:szCs w:val="32"/>
          <w:u w:val="single"/>
          <w:lang w:val="en-US" w:eastAsia="zh-CN"/>
        </w:rPr>
        <w:t>5383.16</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万元，财政部门拨款对账单</w:t>
      </w:r>
      <w:r>
        <w:rPr>
          <w:rFonts w:hint="eastAsia" w:ascii="仿宋_GB2312" w:eastAsia="仿宋_GB2312" w:cs="Times New Roman"/>
          <w:color w:val="000000"/>
          <w:sz w:val="32"/>
          <w:szCs w:val="32"/>
          <w:u w:val="single"/>
          <w:lang w:val="en-US" w:eastAsia="zh-CN"/>
        </w:rPr>
        <w:t>5383.16</w:t>
      </w:r>
      <w:r>
        <w:rPr>
          <w:rFonts w:hint="eastAsia" w:ascii="仿宋_GB2312" w:hAnsi="仿宋" w:eastAsia="仿宋_GB2312" w:cs="仿宋"/>
          <w:color w:val="000000"/>
          <w:sz w:val="32"/>
          <w:szCs w:val="32"/>
        </w:rPr>
        <w:t>万元，差额</w:t>
      </w:r>
      <w:r>
        <w:rPr>
          <w:rFonts w:hint="eastAsia" w:ascii="仿宋_GB2312" w:eastAsia="仿宋_GB2312" w:cs="Times New Roman"/>
          <w:color w:val="000000"/>
          <w:sz w:val="32"/>
          <w:szCs w:val="32"/>
          <w:u w:val="single"/>
        </w:rPr>
        <w:t> </w:t>
      </w:r>
      <w:r>
        <w:rPr>
          <w:rFonts w:hint="eastAsia" w:ascii="宋体" w:hAnsi="宋体" w:cs="宋体"/>
          <w:color w:val="000000"/>
          <w:sz w:val="32"/>
          <w:szCs w:val="32"/>
          <w:u w:val="single"/>
        </w:rPr>
        <w:t> 0</w:t>
      </w:r>
      <w:r>
        <w:rPr>
          <w:rFonts w:hint="eastAsia" w:ascii="仿宋_GB2312" w:hAnsi="仿宋" w:eastAsia="仿宋_GB2312" w:cs="仿宋"/>
          <w:color w:val="000000"/>
          <w:sz w:val="32"/>
          <w:szCs w:val="32"/>
        </w:rPr>
        <w:t>万元。</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（2）单位本年度政府性基金预算财政拨款收入</w:t>
      </w:r>
      <w:r>
        <w:rPr>
          <w:rFonts w:hint="eastAsia" w:ascii="仿宋_GB2312" w:hAnsi="仿宋" w:eastAsia="仿宋_GB2312" w:cs="仿宋"/>
          <w:color w:val="000000"/>
          <w:sz w:val="32"/>
          <w:szCs w:val="32"/>
          <w:u w:val="single"/>
          <w:lang w:val="en-US" w:eastAsia="zh-CN"/>
        </w:rPr>
        <w:t>1833.89</w:t>
      </w:r>
      <w:r>
        <w:rPr>
          <w:rFonts w:hint="eastAsia" w:ascii="仿宋_GB2312" w:hAnsi="仿宋" w:eastAsia="仿宋_GB2312" w:cs="仿宋"/>
          <w:color w:val="000000"/>
          <w:sz w:val="32"/>
          <w:szCs w:val="32"/>
        </w:rPr>
        <w:t>万元，财政部门拨款对账单</w:t>
      </w:r>
      <w:r>
        <w:rPr>
          <w:rFonts w:hint="eastAsia" w:ascii="仿宋_GB2312" w:eastAsia="仿宋_GB2312" w:cs="Times New Roman"/>
          <w:color w:val="000000"/>
          <w:sz w:val="32"/>
          <w:szCs w:val="32"/>
          <w:u w:val="single"/>
        </w:rPr>
        <w:t> </w:t>
      </w:r>
      <w:r>
        <w:rPr>
          <w:rFonts w:hint="eastAsia" w:ascii="仿宋_GB2312" w:hAnsi="仿宋" w:eastAsia="仿宋_GB2312" w:cs="仿宋"/>
          <w:color w:val="000000"/>
          <w:sz w:val="32"/>
          <w:szCs w:val="32"/>
          <w:u w:val="single"/>
          <w:lang w:val="en-US" w:eastAsia="zh-CN"/>
        </w:rPr>
        <w:t>1833.89</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万元，差额</w:t>
      </w:r>
      <w:r>
        <w:rPr>
          <w:rFonts w:hint="eastAsia" w:ascii="仿宋_GB2312" w:eastAsia="仿宋_GB2312" w:cs="Times New Roman"/>
          <w:color w:val="000000"/>
          <w:sz w:val="32"/>
          <w:szCs w:val="32"/>
          <w:u w:val="single"/>
        </w:rPr>
        <w:t> 0</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w:t>
      </w:r>
    </w:p>
    <w:p>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（3）单位本年度国有资本经营预算财政拨款收入万元，财政部门拨款对账单</w:t>
      </w:r>
      <w:r>
        <w:rPr>
          <w:rFonts w:hint="eastAsia" w:ascii="仿宋_GB2312" w:eastAsia="仿宋_GB2312" w:cs="Times New Roman"/>
          <w:color w:val="000000"/>
          <w:sz w:val="32"/>
          <w:szCs w:val="32"/>
          <w:u w:val="single"/>
        </w:rPr>
        <w:t> </w:t>
      </w:r>
      <w:r>
        <w:rPr>
          <w:rFonts w:hint="eastAsia" w:ascii="宋体" w:hAnsi="宋体" w:cs="宋体"/>
          <w:color w:val="000000"/>
          <w:sz w:val="32"/>
          <w:szCs w:val="32"/>
          <w:u w:val="single"/>
        </w:rPr>
        <w:t> 0</w:t>
      </w:r>
      <w:r>
        <w:rPr>
          <w:rFonts w:hint="eastAsia" w:ascii="仿宋_GB2312" w:hAnsi="仿宋" w:eastAsia="仿宋_GB2312" w:cs="仿宋"/>
          <w:color w:val="000000"/>
          <w:sz w:val="32"/>
          <w:szCs w:val="32"/>
        </w:rPr>
        <w:t>万元，差额</w:t>
      </w:r>
      <w:r>
        <w:rPr>
          <w:rFonts w:hint="eastAsia" w:ascii="仿宋_GB2312" w:eastAsia="仿宋_GB2312" w:cs="Times New Roman"/>
          <w:color w:val="000000"/>
          <w:sz w:val="32"/>
          <w:szCs w:val="32"/>
          <w:u w:val="single"/>
        </w:rPr>
        <w:t> </w:t>
      </w:r>
      <w:r>
        <w:rPr>
          <w:rFonts w:hint="eastAsia" w:ascii="宋体" w:hAnsi="宋体" w:cs="宋体"/>
          <w:color w:val="000000"/>
          <w:sz w:val="32"/>
          <w:szCs w:val="32"/>
          <w:u w:val="single"/>
        </w:rPr>
        <w:t> 0</w:t>
      </w:r>
      <w:r>
        <w:rPr>
          <w:rFonts w:hint="eastAsia" w:ascii="仿宋_GB2312" w:hAnsi="仿宋" w:eastAsia="仿宋_GB2312" w:cs="仿宋"/>
          <w:color w:val="000000"/>
          <w:sz w:val="32"/>
          <w:szCs w:val="32"/>
        </w:rPr>
        <w:t>万元。对差额原因进行说明。</w:t>
      </w:r>
    </w:p>
    <w:p>
      <w:pPr>
        <w:ind w:firstLine="709"/>
        <w:rPr>
          <w:rFonts w:ascii="仿宋_GB2312" w:hAnsi="仿宋" w:eastAsia="仿宋_GB2312" w:cs="Times New Roman"/>
          <w:b/>
          <w:color w:val="000000"/>
          <w:sz w:val="32"/>
          <w:szCs w:val="32"/>
        </w:rPr>
      </w:pPr>
      <w:r>
        <w:rPr>
          <w:rFonts w:hint="eastAsia" w:ascii="仿宋_GB2312" w:hAnsi="仿宋" w:eastAsia="仿宋_GB2312" w:cs="仿宋"/>
          <w:b/>
          <w:color w:val="000000"/>
          <w:sz w:val="32"/>
          <w:szCs w:val="32"/>
        </w:rPr>
        <w:t>2．其他需要说明的情况。</w:t>
      </w:r>
    </w:p>
    <w:p>
      <w:pPr>
        <w:ind w:firstLine="709"/>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（二）与上年指标核对情况。</w:t>
      </w:r>
    </w:p>
    <w:p>
      <w:pPr>
        <w:ind w:firstLine="640" w:firstLineChars="200"/>
        <w:rPr>
          <w:rFonts w:eastAsia="仿宋_GB2312"/>
          <w:color w:val="C00000"/>
        </w:rPr>
      </w:pPr>
      <w:r>
        <w:rPr>
          <w:rFonts w:hint="eastAsia" w:ascii="仿宋_GB2312" w:hAnsi="仿宋" w:eastAsia="仿宋_GB2312" w:cs="仿宋"/>
          <w:color w:val="000000"/>
          <w:sz w:val="32"/>
          <w:szCs w:val="32"/>
        </w:rPr>
        <w:t>1．全口径、</w:t>
      </w:r>
      <w:r>
        <w:rPr>
          <w:rFonts w:hint="eastAsia" w:ascii="仿宋_GB2312" w:hAnsi="仿宋" w:eastAsia="仿宋_GB2312" w:cs="仿宋"/>
          <w:bCs/>
          <w:color w:val="000000"/>
          <w:sz w:val="32"/>
          <w:szCs w:val="32"/>
        </w:rPr>
        <w:t>一般</w:t>
      </w:r>
      <w:r>
        <w:rPr>
          <w:rFonts w:hint="eastAsia" w:ascii="仿宋_GB2312" w:hAnsi="仿宋" w:eastAsia="仿宋_GB2312" w:cs="仿宋"/>
          <w:color w:val="000000"/>
          <w:sz w:val="32"/>
          <w:szCs w:val="32"/>
        </w:rPr>
        <w:t>公共预算财政拨款和政府性基金预算财政拨款的结转和结余资金本年年初数与上年年末数不一致的</w:t>
      </w:r>
      <w:r>
        <w:rPr>
          <w:rFonts w:hint="eastAsia" w:ascii="仿宋_GB2312" w:hAnsi="仿宋" w:eastAsia="仿宋_GB2312" w:cs="仿宋"/>
          <w:sz w:val="32"/>
          <w:szCs w:val="32"/>
        </w:rPr>
        <w:t>情况说明，包括会计</w:t>
      </w:r>
      <w:r>
        <w:rPr>
          <w:rFonts w:hint="eastAsia" w:ascii="仿宋_GB2312" w:hAnsi="仿宋" w:eastAsia="仿宋_GB2312" w:cs="仿宋"/>
          <w:bCs/>
          <w:sz w:val="32"/>
          <w:szCs w:val="32"/>
        </w:rPr>
        <w:t>差错更正、收回以前年度支出</w:t>
      </w:r>
      <w:r>
        <w:rPr>
          <w:rFonts w:hint="eastAsia" w:ascii="仿宋_GB2312" w:hAnsi="仿宋" w:eastAsia="仿宋_GB2312" w:cs="仿宋"/>
          <w:sz w:val="32"/>
          <w:szCs w:val="32"/>
        </w:rPr>
        <w:t>、归集调入、归集调出、归集上缴和缴回资金及单位内部调剂等情况（附表</w:t>
      </w:r>
      <w:r>
        <w:rPr>
          <w:rFonts w:hint="eastAsia" w:ascii="仿宋_GB2312" w:hAnsi="仿宋" w:eastAsia="仿宋_GB2312" w:cs="仿宋"/>
          <w:bCs/>
          <w:sz w:val="32"/>
          <w:szCs w:val="32"/>
        </w:rPr>
        <w:t>1</w:t>
      </w:r>
      <w:r>
        <w:rPr>
          <w:rFonts w:hint="eastAsia" w:ascii="仿宋_GB2312" w:hAnsi="仿宋" w:eastAsia="仿宋_GB2312" w:cs="仿宋"/>
          <w:sz w:val="32"/>
          <w:szCs w:val="32"/>
        </w:rPr>
        <w:t>）。因新旧会计制度转换，按照法定会计政策变更追溯调整形成的差异，在“其他”栏目填列并在备注予以说明。无</w:t>
      </w:r>
    </w:p>
    <w:p>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rPr>
        <w:t>2．主要指标上下年变动幅度超过20%，</w:t>
      </w:r>
      <w:r>
        <w:rPr>
          <w:rFonts w:hint="eastAsia" w:ascii="仿宋_GB2312" w:hAnsi="仿宋" w:eastAsia="仿宋_GB2312" w:cs="仿宋"/>
          <w:color w:val="000000"/>
          <w:sz w:val="32"/>
          <w:szCs w:val="32"/>
          <w:lang w:eastAsia="zh-CN"/>
        </w:rPr>
        <w:t>一般公共预算财政拨款增长</w:t>
      </w:r>
      <w:r>
        <w:rPr>
          <w:rFonts w:hint="eastAsia" w:ascii="仿宋_GB2312" w:hAnsi="仿宋" w:eastAsia="仿宋_GB2312" w:cs="仿宋"/>
          <w:color w:val="000000"/>
          <w:sz w:val="32"/>
          <w:szCs w:val="32"/>
          <w:lang w:val="en-US" w:eastAsia="zh-CN"/>
        </w:rPr>
        <w:t>99.3%，政府基金预算减少3174%，原因为增加遂宁市船山区城市燃气管道等老化更新改造项目资金4520.8万元，上年为一般公共预算的日常维修维护项目（市政设施日常维修维护项目、市城区排水防涝项目、鲜花布置项目、城市照明运行等项目）1833.89万元本年调整为政府基金预算；人员经费减少11.7%，原因为人员减少，预算收支减少；公务用车运行维护费减少50.79%，原因为厉行节约，严格控制公务车辆维修维护费用。</w:t>
      </w:r>
    </w:p>
    <w:p>
      <w:pPr>
        <w:ind w:firstLine="709"/>
        <w:rPr>
          <w:rFonts w:ascii="仿宋_GB2312" w:hAnsi="仿宋" w:eastAsia="仿宋_GB2312" w:cs="Times New Roman"/>
          <w:color w:val="000000"/>
          <w:sz w:val="32"/>
          <w:szCs w:val="32"/>
        </w:rPr>
      </w:pPr>
      <w:r>
        <w:rPr>
          <w:rFonts w:hint="eastAsia" w:ascii="仿宋_GB2312" w:hAnsi="仿宋" w:eastAsia="仿宋_GB2312" w:cs="仿宋"/>
          <w:color w:val="000000"/>
          <w:sz w:val="32"/>
          <w:szCs w:val="32"/>
        </w:rPr>
        <w:t>3.资产</w:t>
      </w:r>
      <w:r>
        <w:rPr>
          <w:rFonts w:ascii="仿宋_GB2312" w:hAnsi="仿宋" w:eastAsia="仿宋_GB2312" w:cs="仿宋"/>
          <w:color w:val="000000"/>
          <w:sz w:val="32"/>
          <w:szCs w:val="32"/>
        </w:rPr>
        <w:t>信息中房屋、</w:t>
      </w:r>
      <w:r>
        <w:rPr>
          <w:rFonts w:hint="eastAsia" w:ascii="仿宋_GB2312" w:hAnsi="仿宋" w:eastAsia="仿宋_GB2312" w:cs="仿宋"/>
          <w:color w:val="000000"/>
          <w:sz w:val="32"/>
          <w:szCs w:val="32"/>
        </w:rPr>
        <w:t>车辆</w:t>
      </w:r>
      <w:r>
        <w:rPr>
          <w:rFonts w:ascii="仿宋_GB2312" w:hAnsi="仿宋" w:eastAsia="仿宋_GB2312" w:cs="仿宋"/>
          <w:color w:val="000000"/>
          <w:sz w:val="32"/>
          <w:szCs w:val="32"/>
        </w:rPr>
        <w:t>本年年初数与上年年</w:t>
      </w:r>
      <w:r>
        <w:rPr>
          <w:rFonts w:hint="eastAsia" w:ascii="仿宋_GB2312" w:hAnsi="仿宋" w:eastAsia="仿宋_GB2312" w:cs="仿宋"/>
          <w:color w:val="000000"/>
          <w:sz w:val="32"/>
          <w:szCs w:val="32"/>
        </w:rPr>
        <w:t>末</w:t>
      </w:r>
      <w:r>
        <w:rPr>
          <w:rFonts w:ascii="仿宋_GB2312" w:hAnsi="仿宋" w:eastAsia="仿宋_GB2312" w:cs="仿宋"/>
          <w:color w:val="000000"/>
          <w:sz w:val="32"/>
          <w:szCs w:val="32"/>
        </w:rPr>
        <w:t>数不一致的情况说明（基础数据核对任务</w:t>
      </w:r>
      <w:r>
        <w:rPr>
          <w:rFonts w:hint="eastAsia" w:ascii="仿宋_GB2312" w:hAnsi="仿宋" w:eastAsia="仿宋_GB2312" w:cs="仿宋"/>
          <w:color w:val="000000"/>
          <w:sz w:val="32"/>
          <w:szCs w:val="32"/>
        </w:rPr>
        <w:t>-结余</w:t>
      </w:r>
      <w:r>
        <w:rPr>
          <w:rFonts w:ascii="仿宋_GB2312" w:hAnsi="仿宋" w:eastAsia="仿宋_GB2312" w:cs="仿宋"/>
          <w:color w:val="000000"/>
          <w:sz w:val="32"/>
          <w:szCs w:val="32"/>
        </w:rPr>
        <w:t>核对</w:t>
      </w:r>
      <w:r>
        <w:rPr>
          <w:rFonts w:hint="eastAsia" w:ascii="仿宋_GB2312" w:hAnsi="仿宋" w:eastAsia="仿宋_GB2312" w:cs="仿宋"/>
          <w:color w:val="000000"/>
          <w:sz w:val="32"/>
          <w:szCs w:val="32"/>
        </w:rPr>
        <w:t>05表</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。无</w:t>
      </w:r>
    </w:p>
    <w:p>
      <w:pPr>
        <w:ind w:firstLine="709"/>
        <w:rPr>
          <w:rFonts w:ascii="黑体" w:hAnsi="黑体" w:eastAsia="黑体" w:cs="黑体"/>
          <w:color w:val="000000"/>
          <w:sz w:val="32"/>
          <w:szCs w:val="32"/>
        </w:rPr>
      </w:pPr>
      <w:r>
        <w:rPr>
          <w:rFonts w:hint="eastAsia" w:ascii="仿宋_GB2312" w:eastAsia="仿宋_GB2312" w:cs="Times New Roman"/>
          <w:color w:val="000000"/>
          <w:sz w:val="32"/>
          <w:szCs w:val="32"/>
        </w:rPr>
        <w:t> </w:t>
      </w:r>
      <w:r>
        <w:rPr>
          <w:rFonts w:hint="eastAsia" w:ascii="黑体" w:hAnsi="黑体" w:eastAsia="黑体" w:cs="黑体"/>
          <w:color w:val="000000"/>
          <w:sz w:val="32"/>
          <w:szCs w:val="32"/>
        </w:rPr>
        <w:t>四、报表审核情况</w:t>
      </w:r>
    </w:p>
    <w:p>
      <w:pPr>
        <w:ind w:firstLine="709"/>
        <w:rPr>
          <w:rFonts w:ascii="黑体" w:hAnsi="黑体" w:eastAsia="黑体" w:cs="Times New Roman"/>
          <w:sz w:val="32"/>
          <w:szCs w:val="32"/>
        </w:rPr>
      </w:pPr>
      <w:r>
        <w:rPr>
          <w:rFonts w:hint="eastAsia" w:ascii="黑体" w:hAnsi="黑体" w:eastAsia="黑体" w:cs="黑体"/>
          <w:sz w:val="32"/>
          <w:szCs w:val="32"/>
        </w:rPr>
        <w:t>五、决算数据其他</w:t>
      </w:r>
      <w:bookmarkStart w:id="0" w:name="_GoBack"/>
      <w:bookmarkEnd w:id="0"/>
      <w:r>
        <w:rPr>
          <w:rFonts w:hint="eastAsia" w:ascii="黑体" w:hAnsi="黑体" w:eastAsia="黑体" w:cs="黑体"/>
          <w:sz w:val="32"/>
          <w:szCs w:val="32"/>
        </w:rPr>
        <w:t>需要说明的情况</w:t>
      </w:r>
    </w:p>
    <w:p>
      <w:pPr>
        <w:ind w:firstLine="709"/>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1．“收入决算表”中</w:t>
      </w:r>
      <w:r>
        <w:rPr>
          <w:rFonts w:hint="eastAsia" w:ascii="仿宋_GB2312" w:hAnsi="仿宋" w:eastAsia="仿宋_GB2312" w:cs="仿宋"/>
          <w:spacing w:val="6"/>
          <w:sz w:val="32"/>
          <w:szCs w:val="32"/>
        </w:rPr>
        <w:t>其他收入的具体构成情况</w:t>
      </w:r>
      <w:r>
        <w:rPr>
          <w:rFonts w:hint="eastAsia" w:ascii="仿宋_GB2312" w:hAnsi="仿宋" w:eastAsia="仿宋_GB2312" w:cs="仿宋"/>
          <w:spacing w:val="6"/>
          <w:sz w:val="32"/>
          <w:szCs w:val="32"/>
          <w:lang w:eastAsia="zh-CN"/>
        </w:rPr>
        <w:t>。我中心</w:t>
      </w:r>
      <w:r>
        <w:rPr>
          <w:rFonts w:hint="eastAsia" w:ascii="仿宋_GB2312" w:hAnsi="仿宋" w:eastAsia="仿宋_GB2312" w:cs="仿宋"/>
          <w:spacing w:val="6"/>
          <w:sz w:val="32"/>
          <w:szCs w:val="32"/>
          <w:lang w:val="en-US" w:eastAsia="zh-CN"/>
        </w:rPr>
        <w:t>2023年一般公共预算财政拨款5383.16万元，政府性基金预算财政拨款收入1833.89万元，其他收入323.4万元。</w:t>
      </w:r>
    </w:p>
    <w:p>
      <w:pPr>
        <w:ind w:firstLine="709"/>
        <w:rPr>
          <w:rFonts w:ascii="仿宋_GB2312" w:hAnsi="仿宋" w:eastAsia="仿宋_GB2312" w:cs="仿宋"/>
          <w:sz w:val="32"/>
          <w:szCs w:val="32"/>
        </w:rPr>
      </w:pPr>
      <w:r>
        <w:rPr>
          <w:rFonts w:hint="eastAsia" w:ascii="仿宋_GB2312" w:hAnsi="仿宋" w:eastAsia="仿宋_GB2312" w:cs="仿宋"/>
          <w:sz w:val="32"/>
          <w:szCs w:val="32"/>
        </w:rPr>
        <w:t>2.年末结转结余扣除经营亏损后如为负数，按资金性质分别</w:t>
      </w:r>
      <w:r>
        <w:rPr>
          <w:rFonts w:hint="eastAsia" w:ascii="仿宋_GB2312" w:hAnsi="仿宋" w:eastAsia="仿宋_GB2312" w:cs="仿宋"/>
          <w:color w:val="000000"/>
          <w:sz w:val="32"/>
          <w:szCs w:val="32"/>
        </w:rPr>
        <w:t>情况</w:t>
      </w:r>
      <w:r>
        <w:rPr>
          <w:rFonts w:hint="eastAsia" w:ascii="仿宋_GB2312" w:hAnsi="仿宋" w:eastAsia="仿宋_GB2312" w:cs="仿宋"/>
          <w:color w:val="000000"/>
          <w:sz w:val="32"/>
          <w:szCs w:val="32"/>
          <w:lang w:eastAsia="zh-CN"/>
        </w:rPr>
        <w:t>说明</w:t>
      </w:r>
      <w:r>
        <w:rPr>
          <w:rFonts w:hint="eastAsia" w:ascii="仿宋_GB2312" w:hAnsi="仿宋" w:eastAsia="仿宋_GB2312" w:cs="仿宋"/>
          <w:color w:val="000000"/>
          <w:sz w:val="32"/>
          <w:szCs w:val="32"/>
        </w:rPr>
        <w:t>。无</w:t>
      </w:r>
    </w:p>
    <w:p>
      <w:pPr>
        <w:ind w:firstLine="709"/>
        <w:rPr>
          <w:rFonts w:ascii="仿宋_GB2312" w:hAnsi="仿宋" w:eastAsia="仿宋_GB2312" w:cs="Times New Roman"/>
          <w:color w:val="000000"/>
          <w:sz w:val="32"/>
          <w:szCs w:val="32"/>
        </w:rPr>
      </w:pPr>
      <w:r>
        <w:rPr>
          <w:rFonts w:hint="eastAsia" w:ascii="仿宋_GB2312" w:hAnsi="仿宋" w:eastAsia="仿宋_GB2312" w:cs="仿宋"/>
          <w:color w:val="000000"/>
          <w:sz w:val="32"/>
          <w:szCs w:val="32"/>
        </w:rPr>
        <w:t>3．“项目支出决算明细表”中列支“工资福利支出”和“对个人和家庭的补助”的依据及说明。无</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4.“三公”经费统计</w:t>
      </w:r>
      <w:r>
        <w:rPr>
          <w:rFonts w:hint="eastAsia" w:ascii="仿宋_GB2312" w:hAnsi="仿宋" w:eastAsia="仿宋_GB2312" w:cs="仿宋"/>
          <w:color w:val="000000"/>
          <w:sz w:val="32"/>
          <w:szCs w:val="32"/>
          <w:lang w:eastAsia="zh-CN"/>
        </w:rPr>
        <w:t>数据</w:t>
      </w:r>
      <w:r>
        <w:rPr>
          <w:rFonts w:ascii="仿宋_GB2312" w:hAnsi="仿宋" w:eastAsia="仿宋_GB2312" w:cs="仿宋"/>
          <w:color w:val="000000"/>
          <w:sz w:val="32"/>
          <w:szCs w:val="32"/>
        </w:rPr>
        <w:t>的特殊情况</w:t>
      </w:r>
      <w:r>
        <w:rPr>
          <w:rFonts w:hint="eastAsia" w:ascii="仿宋_GB2312" w:hAnsi="仿宋" w:eastAsia="仿宋_GB2312" w:cs="仿宋"/>
          <w:color w:val="000000"/>
          <w:sz w:val="32"/>
          <w:szCs w:val="32"/>
        </w:rPr>
        <w:t>说明</w:t>
      </w:r>
      <w:r>
        <w:rPr>
          <w:rFonts w:ascii="仿宋_GB2312" w:hAnsi="仿宋" w:eastAsia="仿宋_GB2312" w:cs="仿宋"/>
          <w:color w:val="000000"/>
          <w:sz w:val="32"/>
          <w:szCs w:val="32"/>
        </w:rPr>
        <w:t>。</w:t>
      </w:r>
    </w:p>
    <w:p>
      <w:pPr>
        <w:ind w:firstLine="709"/>
        <w:rPr>
          <w:rFonts w:ascii="仿宋_GB2312" w:hAnsi="仿宋" w:eastAsia="仿宋_GB2312" w:cs="仿宋"/>
          <w:bCs/>
          <w:sz w:val="32"/>
          <w:szCs w:val="32"/>
        </w:rPr>
      </w:pP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w:t>
      </w:r>
      <w:r>
        <w:rPr>
          <w:rFonts w:hint="eastAsia" w:ascii="仿宋_GB2312" w:hAnsi="仿宋" w:eastAsia="仿宋_GB2312" w:cs="仿宋"/>
          <w:bCs/>
          <w:sz w:val="32"/>
          <w:szCs w:val="32"/>
          <w:lang w:val="en-US" w:eastAsia="zh-CN"/>
        </w:rPr>
        <w:t>我</w:t>
      </w:r>
      <w:r>
        <w:rPr>
          <w:rFonts w:hint="eastAsia" w:ascii="仿宋_GB2312" w:hAnsi="仿宋" w:eastAsia="仿宋_GB2312" w:cs="仿宋"/>
          <w:bCs/>
          <w:sz w:val="32"/>
          <w:szCs w:val="32"/>
        </w:rPr>
        <w:t>中心公务用车运行维护费</w:t>
      </w:r>
      <w:r>
        <w:rPr>
          <w:rFonts w:hint="eastAsia" w:ascii="仿宋_GB2312" w:hAnsi="仿宋" w:eastAsia="仿宋_GB2312" w:cs="仿宋"/>
          <w:bCs/>
          <w:sz w:val="32"/>
          <w:szCs w:val="32"/>
          <w:lang w:val="en-US" w:eastAsia="zh-CN"/>
        </w:rPr>
        <w:t>21688.57</w:t>
      </w:r>
      <w:r>
        <w:rPr>
          <w:rFonts w:hint="eastAsia" w:ascii="仿宋_GB2312" w:hAnsi="仿宋" w:eastAsia="仿宋_GB2312" w:cs="仿宋"/>
          <w:bCs/>
          <w:sz w:val="32"/>
          <w:szCs w:val="32"/>
        </w:rPr>
        <w:t>元，公务接待费</w:t>
      </w:r>
      <w:r>
        <w:rPr>
          <w:rFonts w:hint="eastAsia" w:ascii="仿宋_GB2312" w:hAnsi="仿宋" w:eastAsia="仿宋_GB2312" w:cs="仿宋"/>
          <w:bCs/>
          <w:sz w:val="32"/>
          <w:szCs w:val="32"/>
          <w:lang w:val="en-US" w:eastAsia="zh-CN"/>
        </w:rPr>
        <w:t>0</w:t>
      </w:r>
      <w:r>
        <w:rPr>
          <w:rFonts w:hint="eastAsia" w:ascii="仿宋_GB2312" w:hAnsi="仿宋" w:eastAsia="仿宋_GB2312" w:cs="仿宋"/>
          <w:bCs/>
          <w:sz w:val="32"/>
          <w:szCs w:val="32"/>
        </w:rPr>
        <w:t>元。</w:t>
      </w:r>
    </w:p>
    <w:p>
      <w:pPr>
        <w:ind w:firstLine="709"/>
        <w:rPr>
          <w:rFonts w:ascii="仿宋_GB2312" w:hAnsi="仿宋" w:eastAsia="仿宋_GB2312" w:cs="仿宋"/>
          <w:bCs/>
          <w:sz w:val="32"/>
          <w:szCs w:val="32"/>
        </w:rPr>
      </w:pPr>
      <w:r>
        <w:rPr>
          <w:rFonts w:hint="eastAsia" w:ascii="仿宋_GB2312" w:hAnsi="仿宋" w:eastAsia="仿宋_GB2312" w:cs="仿宋"/>
          <w:bCs/>
          <w:color w:val="000000"/>
          <w:sz w:val="32"/>
          <w:szCs w:val="32"/>
        </w:rPr>
        <w:t>5.行</w:t>
      </w:r>
      <w:r>
        <w:rPr>
          <w:rFonts w:hint="eastAsia" w:ascii="仿宋_GB2312" w:hAnsi="仿宋" w:eastAsia="仿宋_GB2312" w:cs="仿宋"/>
          <w:bCs/>
          <w:sz w:val="32"/>
          <w:szCs w:val="32"/>
        </w:rPr>
        <w:t>政单位、参照公务员法管理的事业单位机关运行经费支出情况，以及与上年数对比变动原因说明。无</w:t>
      </w:r>
    </w:p>
    <w:p>
      <w:pPr>
        <w:ind w:firstLine="709"/>
        <w:rPr>
          <w:rFonts w:hint="eastAsia" w:ascii="仿宋_GB2312" w:hAnsi="仿宋" w:eastAsia="仿宋_GB2312" w:cs="仿宋"/>
          <w:bCs/>
          <w:sz w:val="32"/>
          <w:szCs w:val="32"/>
          <w:lang w:eastAsia="zh-CN"/>
        </w:rPr>
      </w:pPr>
      <w:r>
        <w:rPr>
          <w:rFonts w:hint="eastAsia" w:ascii="仿宋_GB2312" w:hAnsi="仿宋" w:eastAsia="仿宋_GB2312" w:cs="仿宋"/>
          <w:bCs/>
          <w:sz w:val="32"/>
          <w:szCs w:val="32"/>
        </w:rPr>
        <w:t>6.政府采购支出情况</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lang w:val="en-US" w:eastAsia="zh-CN"/>
        </w:rPr>
        <w:t>2023年政府采购货物支付170万元，工程支出133.41万元，服务支出1056.71万元</w:t>
      </w:r>
      <w:r>
        <w:rPr>
          <w:rFonts w:hint="eastAsia" w:ascii="仿宋_GB2312" w:hAnsi="仿宋" w:eastAsia="仿宋_GB2312" w:cs="仿宋"/>
          <w:bCs/>
          <w:sz w:val="32"/>
          <w:szCs w:val="32"/>
          <w:lang w:eastAsia="zh-CN"/>
        </w:rPr>
        <w:t>。</w:t>
      </w:r>
    </w:p>
    <w:p>
      <w:pPr>
        <w:ind w:firstLine="709"/>
        <w:rPr>
          <w:rFonts w:ascii="仿宋_GB2312" w:hAnsi="仿宋" w:eastAsia="仿宋_GB2312" w:cs="仿宋"/>
          <w:color w:val="000000"/>
          <w:sz w:val="32"/>
          <w:szCs w:val="32"/>
        </w:rPr>
      </w:pPr>
      <w:r>
        <w:rPr>
          <w:rFonts w:hint="eastAsia" w:ascii="仿宋_GB2312" w:hAnsi="仿宋" w:eastAsia="仿宋_GB2312" w:cs="仿宋"/>
          <w:bCs/>
          <w:sz w:val="32"/>
          <w:szCs w:val="32"/>
        </w:rPr>
        <w:t>7.“收入支出决算总表”中如调</w:t>
      </w:r>
      <w:r>
        <w:rPr>
          <w:rFonts w:hint="eastAsia" w:ascii="仿宋_GB2312" w:hAnsi="仿宋" w:eastAsia="仿宋_GB2312" w:cs="仿宋"/>
          <w:bCs/>
          <w:color w:val="000000"/>
          <w:sz w:val="32"/>
          <w:szCs w:val="32"/>
        </w:rPr>
        <w:t>整预算数大于年初预算数，</w:t>
      </w:r>
      <w:r>
        <w:rPr>
          <w:rFonts w:hint="eastAsia" w:ascii="仿宋_GB2312" w:hAnsi="仿宋" w:eastAsia="仿宋_GB2312" w:cs="仿宋"/>
          <w:color w:val="000000"/>
          <w:sz w:val="32"/>
          <w:szCs w:val="32"/>
        </w:rPr>
        <w:t>说明单位财政拨款预算和非财政拨款预算调整情况以及经审批或备案的文件依据。无</w:t>
      </w:r>
    </w:p>
    <w:p>
      <w:pPr>
        <w:ind w:firstLine="709"/>
        <w:rPr>
          <w:rFonts w:ascii="仿宋_GB2312" w:hAnsi="仿宋" w:eastAsia="仿宋_GB2312" w:cs="仿宋"/>
          <w:sz w:val="32"/>
          <w:szCs w:val="32"/>
        </w:rPr>
      </w:pPr>
      <w:r>
        <w:rPr>
          <w:rFonts w:ascii="仿宋_GB2312" w:hAnsi="仿宋" w:eastAsia="仿宋_GB2312" w:cs="仿宋"/>
          <w:sz w:val="32"/>
          <w:szCs w:val="32"/>
        </w:rPr>
        <w:t>8.其他需要说明的问题。</w:t>
      </w:r>
      <w:r>
        <w:rPr>
          <w:rFonts w:hint="eastAsia" w:ascii="仿宋_GB2312" w:hAnsi="仿宋" w:eastAsia="仿宋_GB2312" w:cs="仿宋"/>
          <w:sz w:val="32"/>
          <w:szCs w:val="32"/>
        </w:rPr>
        <w:t>如中央单位驻外机构有关情况（附表</w:t>
      </w:r>
      <w:r>
        <w:rPr>
          <w:rFonts w:ascii="仿宋_GB2312" w:hAnsi="仿宋" w:eastAsia="仿宋_GB2312" w:cs="仿宋"/>
          <w:sz w:val="32"/>
          <w:szCs w:val="32"/>
        </w:rPr>
        <w:t>5、6）。</w:t>
      </w:r>
      <w:r>
        <w:rPr>
          <w:rFonts w:hint="eastAsia" w:ascii="仿宋_GB2312" w:hAnsi="仿宋" w:eastAsia="仿宋_GB2312" w:cs="仿宋"/>
          <w:sz w:val="32"/>
          <w:szCs w:val="32"/>
        </w:rPr>
        <w:t>无</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3</w:t>
    </w:r>
    <w:r>
      <w:rPr>
        <w:rFonts w:ascii="Arial" w:hAnsi="Arial" w:cs="Arial"/>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jOTk5Zjc3YzQzYTE2MjA5YjZiNzQyZDY2Y2UxZmUifQ=="/>
  </w:docVars>
  <w:rsids>
    <w:rsidRoot w:val="003A6458"/>
    <w:rsid w:val="00017859"/>
    <w:rsid w:val="00060D9C"/>
    <w:rsid w:val="00065645"/>
    <w:rsid w:val="000657D4"/>
    <w:rsid w:val="00091C52"/>
    <w:rsid w:val="00092274"/>
    <w:rsid w:val="000C7493"/>
    <w:rsid w:val="00140423"/>
    <w:rsid w:val="00142AC6"/>
    <w:rsid w:val="00163613"/>
    <w:rsid w:val="00172BB9"/>
    <w:rsid w:val="0018175E"/>
    <w:rsid w:val="00184C0B"/>
    <w:rsid w:val="001B2808"/>
    <w:rsid w:val="001F0B16"/>
    <w:rsid w:val="002179C1"/>
    <w:rsid w:val="00293D16"/>
    <w:rsid w:val="00310E4B"/>
    <w:rsid w:val="003466B9"/>
    <w:rsid w:val="00381894"/>
    <w:rsid w:val="003A08D7"/>
    <w:rsid w:val="003A6458"/>
    <w:rsid w:val="003F36E4"/>
    <w:rsid w:val="003F6958"/>
    <w:rsid w:val="00452122"/>
    <w:rsid w:val="00493FAC"/>
    <w:rsid w:val="00497B33"/>
    <w:rsid w:val="00564977"/>
    <w:rsid w:val="00596FB5"/>
    <w:rsid w:val="005B3CAA"/>
    <w:rsid w:val="00600A68"/>
    <w:rsid w:val="0064123C"/>
    <w:rsid w:val="00664F6B"/>
    <w:rsid w:val="00687B8C"/>
    <w:rsid w:val="006C54EE"/>
    <w:rsid w:val="006D7EEA"/>
    <w:rsid w:val="006E1273"/>
    <w:rsid w:val="0070436C"/>
    <w:rsid w:val="007347FB"/>
    <w:rsid w:val="0074107E"/>
    <w:rsid w:val="00781E0A"/>
    <w:rsid w:val="007E1907"/>
    <w:rsid w:val="00817AE9"/>
    <w:rsid w:val="008816A4"/>
    <w:rsid w:val="008818C4"/>
    <w:rsid w:val="00884DD5"/>
    <w:rsid w:val="00892E18"/>
    <w:rsid w:val="008B3E63"/>
    <w:rsid w:val="008C4AD4"/>
    <w:rsid w:val="008D6CE4"/>
    <w:rsid w:val="008D74E1"/>
    <w:rsid w:val="008E5144"/>
    <w:rsid w:val="008F73DD"/>
    <w:rsid w:val="0094155C"/>
    <w:rsid w:val="009D04CF"/>
    <w:rsid w:val="009D71E7"/>
    <w:rsid w:val="00A22074"/>
    <w:rsid w:val="00A76ED7"/>
    <w:rsid w:val="00AD7DFA"/>
    <w:rsid w:val="00AE00EC"/>
    <w:rsid w:val="00B61F22"/>
    <w:rsid w:val="00B82AA6"/>
    <w:rsid w:val="00BF3C95"/>
    <w:rsid w:val="00BF7F3C"/>
    <w:rsid w:val="00C202F9"/>
    <w:rsid w:val="00C25A80"/>
    <w:rsid w:val="00CB52F3"/>
    <w:rsid w:val="00CD1564"/>
    <w:rsid w:val="00CE61A3"/>
    <w:rsid w:val="00D36F62"/>
    <w:rsid w:val="00D5086D"/>
    <w:rsid w:val="00D735C5"/>
    <w:rsid w:val="00D741B0"/>
    <w:rsid w:val="00DD107B"/>
    <w:rsid w:val="00DD307C"/>
    <w:rsid w:val="00E2372C"/>
    <w:rsid w:val="00E566E2"/>
    <w:rsid w:val="00E93109"/>
    <w:rsid w:val="00EB522A"/>
    <w:rsid w:val="00F2173C"/>
    <w:rsid w:val="00F50A64"/>
    <w:rsid w:val="00F6210A"/>
    <w:rsid w:val="00FA2E58"/>
    <w:rsid w:val="00FF0652"/>
    <w:rsid w:val="00FF1741"/>
    <w:rsid w:val="087A2609"/>
    <w:rsid w:val="2CEC49B6"/>
    <w:rsid w:val="34483409"/>
    <w:rsid w:val="44970D82"/>
    <w:rsid w:val="44F32243"/>
    <w:rsid w:val="75055A8C"/>
    <w:rsid w:val="FDFD8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ascii="Times New Roman" w:hAnsi="Times New Roman" w:cs="Times New Roman"/>
      <w:kern w:val="0"/>
      <w:sz w:val="18"/>
      <w:szCs w:val="18"/>
    </w:rPr>
  </w:style>
  <w:style w:type="character" w:customStyle="1" w:styleId="5">
    <w:name w:val="页脚 Char"/>
    <w:basedOn w:val="4"/>
    <w:semiHidden/>
    <w:qFormat/>
    <w:uiPriority w:val="99"/>
    <w:rPr>
      <w:rFonts w:ascii="Calibri" w:hAnsi="Calibri" w:eastAsia="宋体" w:cs="Calibri"/>
      <w:sz w:val="18"/>
      <w:szCs w:val="18"/>
    </w:rPr>
  </w:style>
  <w:style w:type="character" w:customStyle="1" w:styleId="6">
    <w:name w:val="页脚 字符"/>
    <w:link w:val="2"/>
    <w:qFormat/>
    <w:locked/>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1353</Words>
  <Characters>1420</Characters>
  <Lines>11</Lines>
  <Paragraphs>3</Paragraphs>
  <TotalTime>32</TotalTime>
  <ScaleCrop>false</ScaleCrop>
  <LinksUpToDate>false</LinksUpToDate>
  <CharactersWithSpaces>1475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2022-02-15T14:24:00Z</dcterms:created>
  <dc:creator>四川省遂宁市建设工程造价管理站</dc:creator>
  <cp:lastModifiedBy>user</cp:lastModifiedBy>
  <dcterms:modified xsi:type="dcterms:W3CDTF">2024-09-14T16:35:11Z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2A700BE169BA4154ABF40291E29FDE14_13</vt:lpwstr>
  </property>
</Properties>
</file>