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黑体" w:hAnsi="黑体" w:eastAsia="黑体" w:cs="黑体"/>
          <w:sz w:val="72"/>
          <w:szCs w:val="72"/>
        </w:rPr>
      </w:pPr>
      <w:bookmarkStart w:id="1" w:name="_Toc15377425"/>
      <w:bookmarkStart w:id="2" w:name="_Toc15396597"/>
      <w:bookmarkStart w:id="3" w:name="_Toc15396475"/>
      <w:bookmarkStart w:id="4" w:name="_Toc15377193"/>
      <w:bookmarkStart w:id="5" w:name="_Toc15378441"/>
      <w:r>
        <w:rPr>
          <w:rFonts w:hint="eastAsia" w:ascii="黑体" w:hAnsi="黑体" w:eastAsia="黑体" w:cs="黑体"/>
          <w:sz w:val="72"/>
          <w:szCs w:val="72"/>
          <w:lang w:eastAsia="zh-CN"/>
        </w:rPr>
        <w:t>2023</w:t>
      </w:r>
      <w:r>
        <w:rPr>
          <w:rFonts w:hint="eastAsia" w:ascii="黑体" w:hAnsi="黑体" w:eastAsia="黑体" w:cs="黑体"/>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黑体" w:hAnsi="黑体" w:eastAsia="黑体" w:cs="黑体"/>
          <w:sz w:val="72"/>
          <w:szCs w:val="72"/>
        </w:rPr>
      </w:pPr>
      <w:bookmarkStart w:id="6" w:name="_Toc15377194"/>
      <w:bookmarkStart w:id="7" w:name="_Toc15396476"/>
      <w:bookmarkStart w:id="8" w:name="_Toc15396598"/>
      <w:bookmarkStart w:id="9" w:name="_Toc15306268"/>
      <w:bookmarkStart w:id="10" w:name="_Toc15377426"/>
      <w:bookmarkStart w:id="11" w:name="_Toc15378442"/>
      <w:r>
        <w:rPr>
          <w:rFonts w:hint="eastAsia" w:ascii="黑体" w:hAnsi="黑体" w:eastAsia="黑体" w:cs="黑体"/>
          <w:sz w:val="72"/>
          <w:szCs w:val="72"/>
        </w:rPr>
        <w:t>遂宁市船山区</w:t>
      </w:r>
      <w:r>
        <w:rPr>
          <w:rFonts w:hint="eastAsia" w:ascii="黑体" w:hAnsi="黑体" w:eastAsia="黑体" w:cs="黑体"/>
          <w:sz w:val="72"/>
          <w:szCs w:val="72"/>
          <w:lang w:val="en-US" w:eastAsia="zh-CN"/>
        </w:rPr>
        <w:t>裕丰街</w:t>
      </w:r>
      <w:r>
        <w:rPr>
          <w:rFonts w:hint="eastAsia" w:ascii="黑体" w:hAnsi="黑体" w:eastAsia="黑体" w:cs="黑体"/>
          <w:sz w:val="72"/>
          <w:szCs w:val="72"/>
        </w:rPr>
        <w:t>小学</w:t>
      </w:r>
    </w:p>
    <w:p>
      <w:pPr>
        <w:adjustRightInd w:val="0"/>
        <w:snapToGrid w:val="0"/>
        <w:spacing w:line="360" w:lineRule="auto"/>
        <w:jc w:val="center"/>
        <w:outlineLvl w:val="0"/>
        <w:rPr>
          <w:rFonts w:hint="eastAsia" w:ascii="黑体" w:hAnsi="黑体" w:eastAsia="黑体" w:cs="黑体"/>
          <w:sz w:val="72"/>
          <w:szCs w:val="72"/>
        </w:rPr>
      </w:pPr>
    </w:p>
    <w:p>
      <w:pPr>
        <w:adjustRightInd w:val="0"/>
        <w:snapToGrid w:val="0"/>
        <w:spacing w:line="360" w:lineRule="auto"/>
        <w:jc w:val="center"/>
        <w:outlineLvl w:val="0"/>
        <w:rPr>
          <w:rFonts w:hint="eastAsia" w:ascii="黑体" w:hAnsi="黑体" w:eastAsia="黑体" w:cs="黑体"/>
          <w:sz w:val="72"/>
          <w:szCs w:val="72"/>
          <w:lang w:val="en-US" w:eastAsia="zh-CN"/>
        </w:rPr>
      </w:pPr>
      <w:r>
        <w:rPr>
          <w:rFonts w:hint="eastAsia" w:ascii="黑体" w:hAnsi="黑体" w:eastAsia="黑体" w:cs="黑体"/>
          <w:sz w:val="72"/>
          <w:szCs w:val="7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jc w:val="center"/>
        <w:rPr>
          <w:rFonts w:hint="default" w:eastAsia="宋体"/>
          <w:lang w:val="en-US" w:eastAsia="zh-CN"/>
        </w:rPr>
      </w:pPr>
      <w:r>
        <w:rPr>
          <w:rFonts w:hint="eastAsia" w:ascii="仿宋_GB2312" w:eastAsia="仿宋_GB2312" w:cs="Times New Roman"/>
          <w:color w:val="auto"/>
          <w:sz w:val="32"/>
          <w:szCs w:val="32"/>
          <w:highlight w:val="none"/>
          <w:lang w:val="en-US" w:eastAsia="zh-CN"/>
        </w:rPr>
        <w:t>公开时间：2024年9月11日</w:t>
      </w:r>
    </w:p>
    <w:p>
      <w:pPr>
        <w:widowControl/>
        <w:jc w:val="center"/>
        <w:rPr>
          <w:rFonts w:hint="eastAsia" w:ascii="黑体" w:hAnsi="黑体" w:eastAsia="黑体"/>
          <w:sz w:val="48"/>
          <w:szCs w:val="48"/>
        </w:rPr>
      </w:pPr>
    </w:p>
    <w:p>
      <w:pPr>
        <w:pStyle w:val="11"/>
        <w:adjustRightInd w:val="0"/>
        <w:snapToGrid w:val="0"/>
        <w:spacing w:before="0" w:line="440" w:lineRule="exact"/>
        <w:jc w:val="left"/>
        <w:rPr>
          <w:rFonts w:hint="eastAsia" w:eastAsia="仿宋" w:cstheme="minorBidi"/>
          <w:sz w:val="24"/>
          <w:szCs w:val="24"/>
          <w:lang w:eastAsia="zh-CN"/>
        </w:rPr>
      </w:pPr>
      <w:r>
        <w:rPr>
          <w:rFonts w:hint="eastAsia"/>
          <w:sz w:val="24"/>
        </w:rPr>
        <w:t>第一部分</w:t>
      </w:r>
      <w:r>
        <w:rPr>
          <w:sz w:val="24"/>
        </w:rPr>
        <w:t xml:space="preserve"> </w:t>
      </w:r>
      <w:r>
        <w:rPr>
          <w:rFonts w:hint="eastAsia"/>
          <w:sz w:val="24"/>
        </w:rPr>
        <w:t>单位概况</w:t>
      </w:r>
      <w:r>
        <w:rPr>
          <w:rFonts w:hint="eastAsia"/>
          <w:sz w:val="24"/>
        </w:rPr>
        <w:tab/>
      </w:r>
      <w:r>
        <w:rPr>
          <w:rFonts w:hint="eastAsia"/>
          <w:sz w:val="24"/>
          <w:lang w:val="en-US" w:eastAsia="zh-CN"/>
        </w:rPr>
        <w:t>3</w:t>
      </w:r>
    </w:p>
    <w:p>
      <w:pPr>
        <w:pStyle w:val="12"/>
        <w:adjustRightInd w:val="0"/>
        <w:snapToGrid w:val="0"/>
        <w:spacing w:line="440" w:lineRule="exact"/>
        <w:jc w:val="left"/>
        <w:rPr>
          <w:rFonts w:hint="eastAsia" w:eastAsia="宋体"/>
          <w:sz w:val="24"/>
          <w:lang w:eastAsia="zh-CN"/>
        </w:rPr>
      </w:pPr>
      <w:r>
        <w:rPr>
          <w:rFonts w:hint="eastAsia"/>
          <w:sz w:val="24"/>
        </w:rPr>
        <w:t>一、主要职</w:t>
      </w:r>
      <w:r>
        <w:rPr>
          <w:rFonts w:hint="eastAsia"/>
          <w:sz w:val="24"/>
          <w:lang w:val="en-US" w:eastAsia="zh-CN"/>
        </w:rPr>
        <w:t>责</w:t>
      </w:r>
      <w:r>
        <w:rPr>
          <w:rFonts w:hint="eastAsia"/>
          <w:sz w:val="24"/>
        </w:rPr>
        <w:tab/>
      </w:r>
      <w:r>
        <w:rPr>
          <w:rFonts w:hint="eastAsia"/>
          <w:sz w:val="24"/>
          <w:lang w:val="en-US" w:eastAsia="zh-CN"/>
        </w:rPr>
        <w:t>3</w:t>
      </w:r>
    </w:p>
    <w:p>
      <w:pPr>
        <w:pStyle w:val="12"/>
        <w:adjustRightInd w:val="0"/>
        <w:snapToGrid w:val="0"/>
        <w:spacing w:line="440" w:lineRule="exact"/>
        <w:jc w:val="left"/>
        <w:rPr>
          <w:rFonts w:hint="eastAsia" w:eastAsia="宋体"/>
          <w:lang w:eastAsia="zh-CN"/>
        </w:rPr>
      </w:pPr>
      <w:r>
        <w:rPr>
          <w:rFonts w:hint="eastAsia"/>
          <w:sz w:val="24"/>
        </w:rPr>
        <w:t>二、机构设置</w:t>
      </w:r>
      <w:r>
        <w:rPr>
          <w:rFonts w:hint="eastAsia"/>
          <w:sz w:val="24"/>
        </w:rPr>
        <w:tab/>
      </w:r>
      <w:r>
        <w:rPr>
          <w:rFonts w:hint="eastAsia"/>
          <w:sz w:val="24"/>
          <w:lang w:val="en-US" w:eastAsia="zh-CN"/>
        </w:rPr>
        <w:t>3</w:t>
      </w:r>
    </w:p>
    <w:p>
      <w:pPr>
        <w:pStyle w:val="11"/>
        <w:adjustRightInd w:val="0"/>
        <w:snapToGrid w:val="0"/>
        <w:spacing w:before="0" w:line="440" w:lineRule="exact"/>
        <w:jc w:val="left"/>
        <w:rPr>
          <w:rFonts w:hint="eastAsia" w:eastAsia="仿宋"/>
          <w:sz w:val="24"/>
          <w:szCs w:val="24"/>
          <w:lang w:eastAsia="zh-CN"/>
        </w:rPr>
      </w:pPr>
      <w:r>
        <w:rPr>
          <w:rFonts w:hint="eastAsia"/>
          <w:sz w:val="24"/>
        </w:rPr>
        <w:t xml:space="preserve">第二部分 </w:t>
      </w:r>
      <w:r>
        <w:rPr>
          <w:rFonts w:hint="eastAsia"/>
          <w:sz w:val="24"/>
          <w:lang w:eastAsia="zh-CN"/>
        </w:rPr>
        <w:t>2023</w:t>
      </w:r>
      <w:r>
        <w:rPr>
          <w:rFonts w:hint="eastAsia"/>
          <w:sz w:val="24"/>
        </w:rPr>
        <w:t>年度单位决算情况说明</w:t>
      </w:r>
      <w:r>
        <w:rPr>
          <w:rFonts w:hint="eastAsia"/>
          <w:sz w:val="24"/>
        </w:rPr>
        <w:tab/>
      </w:r>
      <w:r>
        <w:rPr>
          <w:rFonts w:hint="eastAsia"/>
          <w:sz w:val="24"/>
          <w:lang w:val="en-US" w:eastAsia="zh-CN"/>
        </w:rPr>
        <w:t>4</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一、收入支出决算总体情况说明</w:t>
      </w:r>
      <w:r>
        <w:rPr>
          <w:rFonts w:hint="eastAsia"/>
          <w:sz w:val="24"/>
        </w:rPr>
        <w:tab/>
      </w:r>
      <w:r>
        <w:rPr>
          <w:rFonts w:hint="eastAsia"/>
          <w:sz w:val="24"/>
          <w:lang w:val="en-US" w:eastAsia="zh-CN"/>
        </w:rPr>
        <w:t>4</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二、收入决算情况说明</w:t>
      </w:r>
      <w:r>
        <w:rPr>
          <w:rFonts w:hint="eastAsia"/>
          <w:sz w:val="24"/>
        </w:rPr>
        <w:tab/>
      </w:r>
      <w:r>
        <w:rPr>
          <w:rFonts w:hint="eastAsia"/>
          <w:sz w:val="24"/>
          <w:lang w:val="en-US" w:eastAsia="zh-CN"/>
        </w:rPr>
        <w:t>5</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三、支出决算情况说明</w:t>
      </w:r>
      <w:r>
        <w:rPr>
          <w:rFonts w:hint="eastAsia"/>
          <w:sz w:val="24"/>
        </w:rPr>
        <w:tab/>
      </w:r>
      <w:r>
        <w:rPr>
          <w:rFonts w:hint="eastAsia"/>
          <w:sz w:val="24"/>
          <w:lang w:val="en-US" w:eastAsia="zh-CN"/>
        </w:rPr>
        <w:t>6</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四、财政拨款收入支出决算总体情况说明</w:t>
      </w:r>
      <w:r>
        <w:rPr>
          <w:rFonts w:hint="eastAsia"/>
          <w:sz w:val="24"/>
        </w:rPr>
        <w:tab/>
      </w:r>
      <w:r>
        <w:rPr>
          <w:rFonts w:hint="eastAsia"/>
          <w:sz w:val="24"/>
          <w:lang w:val="en-US" w:eastAsia="zh-CN"/>
        </w:rPr>
        <w:t>6</w:t>
      </w:r>
    </w:p>
    <w:p>
      <w:pPr>
        <w:pStyle w:val="12"/>
        <w:adjustRightInd w:val="0"/>
        <w:snapToGrid w:val="0"/>
        <w:spacing w:line="440" w:lineRule="exact"/>
        <w:jc w:val="left"/>
        <w:rPr>
          <w:rFonts w:hint="eastAsia"/>
          <w:sz w:val="24"/>
          <w:lang w:val="en-US" w:eastAsia="zh-CN"/>
        </w:rPr>
      </w:pPr>
      <w:r>
        <w:rPr>
          <w:rFonts w:hint="eastAsia"/>
          <w:sz w:val="24"/>
        </w:rPr>
        <w:t>五、一般公共预算财政拨款支出决算情况说明</w:t>
      </w:r>
      <w:r>
        <w:rPr>
          <w:rFonts w:hint="eastAsia"/>
          <w:sz w:val="24"/>
        </w:rPr>
        <w:tab/>
      </w:r>
      <w:r>
        <w:rPr>
          <w:rFonts w:hint="eastAsia"/>
          <w:sz w:val="24"/>
          <w:lang w:val="en-US" w:eastAsia="zh-CN"/>
        </w:rPr>
        <w:t>7</w:t>
      </w:r>
    </w:p>
    <w:p>
      <w:pPr>
        <w:pStyle w:val="12"/>
        <w:adjustRightInd w:val="0"/>
        <w:snapToGrid w:val="0"/>
        <w:spacing w:line="440" w:lineRule="exact"/>
        <w:jc w:val="left"/>
        <w:rPr>
          <w:rFonts w:hint="eastAsia"/>
          <w:sz w:val="24"/>
          <w:lang w:val="en-US" w:eastAsia="zh-CN"/>
        </w:rPr>
      </w:pPr>
      <w:r>
        <w:rPr>
          <w:rFonts w:hint="eastAsia"/>
          <w:sz w:val="24"/>
        </w:rPr>
        <w:t>六、一般公共预算财政拨款基本支出决算情况说明</w:t>
      </w:r>
      <w:r>
        <w:rPr>
          <w:rFonts w:hint="eastAsia"/>
          <w:sz w:val="24"/>
        </w:rPr>
        <w:tab/>
      </w:r>
      <w:r>
        <w:rPr>
          <w:rFonts w:hint="eastAsia"/>
          <w:sz w:val="24"/>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rPr>
        <w:tab/>
      </w:r>
      <w:r>
        <w:rPr>
          <w:rFonts w:hint="eastAsia"/>
          <w:sz w:val="24"/>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12</w:t>
      </w:r>
    </w:p>
    <w:p>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rPr>
        <w:tab/>
      </w:r>
      <w:r>
        <w:rPr>
          <w:rFonts w:hint="eastAsia"/>
          <w:sz w:val="24"/>
          <w:lang w:val="en-US" w:eastAsia="zh-CN"/>
        </w:rPr>
        <w:t>12</w:t>
      </w:r>
    </w:p>
    <w:p>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rPr>
        <w:tab/>
      </w:r>
      <w:r>
        <w:rPr>
          <w:rFonts w:hint="eastAsia"/>
          <w:sz w:val="24"/>
          <w:lang w:val="en-US" w:eastAsia="zh-CN"/>
        </w:rPr>
        <w:t>12</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rPr>
        <w:tab/>
      </w:r>
      <w:r>
        <w:rPr>
          <w:rFonts w:hint="eastAsia"/>
          <w:sz w:val="24"/>
          <w:lang w:val="en-US" w:eastAsia="zh-CN"/>
        </w:rPr>
        <w:t>15</w:t>
      </w:r>
    </w:p>
    <w:p>
      <w:pPr>
        <w:pStyle w:val="11"/>
        <w:adjustRightInd w:val="0"/>
        <w:snapToGrid w:val="0"/>
        <w:spacing w:before="0" w:line="440" w:lineRule="exact"/>
        <w:jc w:val="left"/>
        <w:rPr>
          <w:rFonts w:hint="default"/>
          <w:sz w:val="24"/>
          <w:lang w:val="en-US" w:eastAsia="zh-CN"/>
        </w:rPr>
      </w:pPr>
      <w:r>
        <w:rPr>
          <w:rFonts w:hint="eastAsia"/>
          <w:sz w:val="24"/>
        </w:rPr>
        <w:t>第四部分</w:t>
      </w:r>
      <w:r>
        <w:rPr>
          <w:sz w:val="24"/>
        </w:rPr>
        <w:t xml:space="preserve"> </w:t>
      </w:r>
      <w:r>
        <w:rPr>
          <w:rFonts w:hint="eastAsia"/>
          <w:sz w:val="24"/>
        </w:rPr>
        <w:t>附件</w:t>
      </w:r>
      <w:r>
        <w:rPr>
          <w:rFonts w:hint="eastAsia"/>
          <w:sz w:val="24"/>
        </w:rPr>
        <w:tab/>
      </w:r>
      <w:r>
        <w:rPr>
          <w:rFonts w:hint="eastAsia"/>
          <w:sz w:val="24"/>
          <w:lang w:val="en-US" w:eastAsia="zh-CN"/>
        </w:rPr>
        <w:t>16</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sz w:val="24"/>
          <w:lang w:val="en-US" w:eastAsia="zh-CN"/>
        </w:rPr>
      </w:pPr>
      <w:r>
        <w:rPr>
          <w:rFonts w:hint="eastAsia"/>
          <w:sz w:val="24"/>
        </w:rPr>
        <w:t>五、财政拨款支出决算明细表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sz w:val="24"/>
          <w:lang w:val="en-US" w:eastAsia="zh-CN"/>
        </w:rPr>
      </w:pPr>
      <w:r>
        <w:rPr>
          <w:rFonts w:hint="eastAsia"/>
          <w:sz w:val="24"/>
        </w:rPr>
        <w:t>七、一般公共预算财政拨款支出决算明细表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sz w:val="24"/>
          <w:lang w:val="en-US" w:eastAsia="zh-CN"/>
        </w:rPr>
      </w:pPr>
      <w:r>
        <w:rPr>
          <w:rFonts w:hint="eastAsia"/>
          <w:sz w:val="24"/>
        </w:rPr>
        <w:t>九、一般公共预算财政拨款项目支出决算表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sz w:val="24"/>
          <w:lang w:val="en-US" w:eastAsia="zh-CN"/>
        </w:rPr>
      </w:pPr>
      <w:r>
        <w:rPr>
          <w:rFonts w:hint="eastAsia"/>
          <w:sz w:val="24"/>
        </w:rPr>
        <w:t>十、政府性基金预算财政拨款收入支出决算表</w:t>
      </w:r>
      <w:r>
        <w:rPr>
          <w:rFonts w:hint="eastAsia"/>
          <w:sz w:val="24"/>
        </w:rPr>
        <w:tab/>
      </w:r>
      <w:r>
        <w:rPr>
          <w:rFonts w:hint="eastAsia"/>
          <w:sz w:val="24"/>
          <w:lang w:val="en-US" w:eastAsia="zh-CN"/>
        </w:rPr>
        <w:t>18</w:t>
      </w:r>
    </w:p>
    <w:p>
      <w:pPr>
        <w:pStyle w:val="12"/>
        <w:adjustRightInd w:val="0"/>
        <w:snapToGrid w:val="0"/>
        <w:spacing w:line="440" w:lineRule="exact"/>
        <w:jc w:val="left"/>
        <w:rPr>
          <w:rFonts w:hint="eastAsia"/>
          <w:sz w:val="24"/>
          <w:lang w:val="en-US" w:eastAsia="zh-CN"/>
        </w:rPr>
      </w:pPr>
      <w:r>
        <w:rPr>
          <w:rFonts w:hint="eastAsia"/>
          <w:sz w:val="24"/>
        </w:rPr>
        <w:t>十一、国有资本经营预算财政拨款收入支出决算表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rPr>
        <w:tab/>
      </w:r>
      <w:r>
        <w:rPr>
          <w:rFonts w:hint="eastAsia"/>
          <w:sz w:val="24"/>
          <w:lang w:val="en-US" w:eastAsia="zh-CN"/>
        </w:rPr>
        <w:t>18</w:t>
      </w:r>
    </w:p>
    <w:p>
      <w:pPr>
        <w:pStyle w:val="12"/>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rPr>
        <w:tab/>
      </w:r>
      <w:r>
        <w:rPr>
          <w:rFonts w:hint="eastAsia"/>
          <w:sz w:val="24"/>
          <w:lang w:val="en-US" w:eastAsia="zh-CN"/>
        </w:rPr>
        <w:t>18</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pStyle w:val="3"/>
        <w:numPr>
          <w:ilvl w:val="0"/>
          <w:numId w:val="1"/>
        </w:numPr>
        <w:rPr>
          <w:rStyle w:val="26"/>
          <w:rFonts w:ascii="黑体" w:hAnsi="黑体" w:eastAsia="黑体"/>
          <w:b w:val="0"/>
          <w:bCs w:val="0"/>
        </w:rPr>
      </w:pPr>
      <w:bookmarkStart w:id="14" w:name="_Toc15396600"/>
      <w:bookmarkStart w:id="15" w:name="_Toc15377197"/>
      <w:r>
        <w:rPr>
          <w:rStyle w:val="26"/>
          <w:rFonts w:hint="eastAsia" w:ascii="黑体" w:hAnsi="黑体" w:eastAsia="黑体"/>
          <w:b w:val="0"/>
          <w:bCs w:val="0"/>
        </w:rPr>
        <w:t>主要职责</w:t>
      </w:r>
    </w:p>
    <w:p>
      <w:pPr>
        <w:snapToGrid w:val="0"/>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（1）正确贯彻执行党和国家的教育方针、政策、法规。</w:t>
      </w:r>
    </w:p>
    <w:p>
      <w:pPr>
        <w:snapToGrid w:val="0"/>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（2）维护学校的教学秩序，为学生创造良好的学习环境;</w:t>
      </w:r>
    </w:p>
    <w:p>
      <w:pPr>
        <w:snapToGrid w:val="0"/>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（3）积极稳妥地推进教育改革，按教育规律办事，不断提高教育质量;</w:t>
      </w:r>
    </w:p>
    <w:p>
      <w:pPr>
        <w:snapToGrid w:val="0"/>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（4）根据学校规模，设置学校管理机构，建立健全各项规章制度和岗位责任制。</w:t>
      </w:r>
    </w:p>
    <w:p>
      <w:pPr>
        <w:snapToGrid w:val="0"/>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（5）坚持教书育人，服务育人，环境育人方针，加强对学生的思想品德教育，使学生的德智体全面发展。</w:t>
      </w:r>
    </w:p>
    <w:p>
      <w:pPr>
        <w:snapToGrid w:val="0"/>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（6）抓好教师队伍建设，使每个教师都热心于教育事业;</w:t>
      </w:r>
    </w:p>
    <w:p>
      <w:pPr>
        <w:snapToGrid w:val="0"/>
        <w:spacing w:line="52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（7）做好安全防范，保证学生的</w:t>
      </w:r>
      <w:r>
        <w:rPr>
          <w:rFonts w:hint="eastAsia" w:ascii="仿宋" w:hAnsi="仿宋" w:eastAsia="仿宋"/>
          <w:bCs/>
          <w:color w:val="000000"/>
          <w:sz w:val="32"/>
          <w:szCs w:val="32"/>
          <w:lang w:eastAsia="zh-CN"/>
        </w:rPr>
        <w:t>人身安全</w:t>
      </w:r>
      <w:r>
        <w:rPr>
          <w:rFonts w:hint="eastAsia" w:ascii="仿宋" w:hAnsi="仿宋" w:eastAsia="仿宋"/>
          <w:bCs/>
          <w:color w:val="000000"/>
          <w:sz w:val="32"/>
          <w:szCs w:val="32"/>
        </w:rPr>
        <w:t>。</w:t>
      </w:r>
    </w:p>
    <w:p>
      <w:pPr>
        <w:pStyle w:val="3"/>
        <w:rPr>
          <w:rFonts w:ascii="黑体" w:hAnsi="黑体" w:eastAsia="黑体"/>
          <w:b w:val="0"/>
        </w:rPr>
      </w:pPr>
      <w:r>
        <w:rPr>
          <w:rFonts w:hint="eastAsia" w:ascii="黑体" w:hAnsi="黑体" w:eastAsia="黑体"/>
          <w:b w:val="0"/>
        </w:rPr>
        <w:t>二、机构设置</w:t>
      </w:r>
    </w:p>
    <w:bookmarkEnd w:id="14"/>
    <w:bookmarkEnd w:id="15"/>
    <w:p>
      <w:pPr>
        <w:widowControl/>
        <w:shd w:val="clear" w:color="auto" w:fill="FFFFFF"/>
        <w:ind w:firstLine="640" w:firstLineChars="200"/>
        <w:jc w:val="left"/>
        <w:rPr>
          <w:rFonts w:ascii="仿宋" w:hAnsi="仿宋" w:eastAsia="仿宋" w:cs="华文楷体"/>
          <w:kern w:val="0"/>
          <w:sz w:val="32"/>
          <w:szCs w:val="32"/>
          <w:shd w:val="clear" w:color="auto" w:fill="FFFFFF"/>
        </w:rPr>
      </w:pPr>
      <w:r>
        <w:rPr>
          <w:rFonts w:hint="eastAsia" w:ascii="仿宋" w:hAnsi="仿宋" w:eastAsia="仿宋" w:cs="华文楷体"/>
          <w:kern w:val="0"/>
          <w:sz w:val="32"/>
          <w:szCs w:val="32"/>
          <w:shd w:val="clear" w:color="auto" w:fill="FFFFFF"/>
          <w:lang w:val="en-US" w:eastAsia="zh-CN"/>
        </w:rPr>
        <w:t>我</w:t>
      </w:r>
      <w:r>
        <w:rPr>
          <w:rFonts w:hint="eastAsia" w:ascii="仿宋" w:hAnsi="仿宋" w:eastAsia="仿宋" w:cs="华文楷体"/>
          <w:kern w:val="0"/>
          <w:sz w:val="32"/>
          <w:szCs w:val="32"/>
          <w:shd w:val="clear" w:color="auto" w:fill="FFFFFF"/>
        </w:rPr>
        <w:t>单位为船山区教育</w:t>
      </w:r>
      <w:r>
        <w:rPr>
          <w:rFonts w:hint="eastAsia" w:ascii="仿宋" w:hAnsi="仿宋" w:eastAsia="仿宋" w:cs="华文楷体"/>
          <w:kern w:val="0"/>
          <w:sz w:val="32"/>
          <w:szCs w:val="32"/>
          <w:shd w:val="clear" w:color="auto" w:fill="FFFFFF"/>
          <w:lang w:val="en-US" w:eastAsia="zh-CN"/>
        </w:rPr>
        <w:t>和</w:t>
      </w:r>
      <w:r>
        <w:rPr>
          <w:rFonts w:hint="eastAsia" w:ascii="仿宋" w:hAnsi="仿宋" w:eastAsia="仿宋" w:cs="华文楷体"/>
          <w:kern w:val="0"/>
          <w:sz w:val="32"/>
          <w:szCs w:val="32"/>
          <w:shd w:val="clear" w:color="auto" w:fill="FFFFFF"/>
        </w:rPr>
        <w:t>体育局二级预算单位，</w:t>
      </w:r>
      <w:r>
        <w:rPr>
          <w:rFonts w:hint="eastAsia" w:ascii="仿宋" w:hAnsi="仿宋" w:eastAsia="仿宋" w:cs="华文楷体"/>
          <w:kern w:val="0"/>
          <w:sz w:val="32"/>
          <w:szCs w:val="32"/>
          <w:shd w:val="clear" w:color="auto" w:fill="FFFFFF"/>
          <w:lang w:val="en-US" w:eastAsia="zh-CN"/>
        </w:rPr>
        <w:t>本单位</w:t>
      </w:r>
      <w:r>
        <w:rPr>
          <w:rFonts w:hint="eastAsia" w:ascii="仿宋" w:hAnsi="仿宋" w:eastAsia="仿宋" w:cs="华文楷体"/>
          <w:kern w:val="0"/>
          <w:sz w:val="32"/>
          <w:szCs w:val="32"/>
          <w:shd w:val="clear" w:color="auto" w:fill="FFFFFF"/>
        </w:rPr>
        <w:t>无下属</w:t>
      </w:r>
      <w:r>
        <w:rPr>
          <w:rFonts w:hint="eastAsia" w:ascii="仿宋" w:hAnsi="仿宋" w:eastAsia="仿宋" w:cs="华文楷体"/>
          <w:kern w:val="0"/>
          <w:sz w:val="32"/>
          <w:szCs w:val="32"/>
          <w:shd w:val="clear" w:color="auto" w:fill="FFFFFF"/>
          <w:lang w:val="en-US" w:eastAsia="zh-CN"/>
        </w:rPr>
        <w:t>预算</w:t>
      </w:r>
      <w:r>
        <w:rPr>
          <w:rFonts w:hint="eastAsia" w:ascii="仿宋" w:hAnsi="仿宋" w:eastAsia="仿宋" w:cs="华文楷体"/>
          <w:kern w:val="0"/>
          <w:sz w:val="32"/>
          <w:szCs w:val="32"/>
          <w:shd w:val="clear" w:color="auto" w:fill="FFFFFF"/>
        </w:rPr>
        <w:t>单位。</w:t>
      </w:r>
    </w:p>
    <w:p>
      <w:pPr>
        <w:pStyle w:val="2"/>
        <w:ind w:right="440"/>
        <w:jc w:val="center"/>
        <w:rPr>
          <w:rFonts w:hint="eastAsia" w:ascii="黑体" w:hAnsi="黑体" w:eastAsia="黑体"/>
          <w:b w:val="0"/>
        </w:rPr>
      </w:pPr>
      <w:bookmarkStart w:id="16" w:name="_Toc15396602"/>
      <w:bookmarkStart w:id="17" w:name="_Toc15377204"/>
    </w:p>
    <w:p>
      <w:pPr>
        <w:rPr>
          <w:rFonts w:hint="eastAsia" w:ascii="黑体" w:hAnsi="黑体" w:eastAsia="黑体"/>
          <w:b w:val="0"/>
        </w:rPr>
      </w:pPr>
    </w:p>
    <w:p>
      <w:pPr>
        <w:pStyle w:val="6"/>
        <w:rPr>
          <w:rFonts w:hint="eastAsia" w:ascii="黑体" w:hAnsi="黑体" w:eastAsia="黑体"/>
          <w:b w:val="0"/>
        </w:rPr>
      </w:pPr>
    </w:p>
    <w:p>
      <w:pPr>
        <w:pStyle w:val="6"/>
        <w:rPr>
          <w:rFonts w:hint="eastAsia" w:ascii="黑体" w:hAnsi="黑体" w:eastAsia="黑体"/>
          <w:b w:val="0"/>
        </w:rPr>
      </w:pPr>
    </w:p>
    <w:p>
      <w:pPr>
        <w:pStyle w:val="6"/>
        <w:rPr>
          <w:rFonts w:hint="eastAsia" w:ascii="黑体" w:hAnsi="黑体" w:eastAsia="黑体"/>
          <w:b w:val="0"/>
        </w:rPr>
      </w:pPr>
    </w:p>
    <w:p>
      <w:pPr>
        <w:pStyle w:val="2"/>
        <w:ind w:right="440"/>
        <w:jc w:val="center"/>
        <w:rPr>
          <w:rStyle w:val="25"/>
          <w:rFonts w:ascii="黑体" w:hAnsi="黑体" w:eastAsia="黑体"/>
          <w:b w:val="0"/>
          <w:bCs/>
        </w:rPr>
      </w:pPr>
      <w:r>
        <w:rPr>
          <w:rFonts w:hint="eastAsia" w:ascii="黑体" w:hAnsi="黑体" w:eastAsia="黑体"/>
          <w:b w:val="0"/>
        </w:rPr>
        <w:t xml:space="preserve">第二部分 </w:t>
      </w:r>
      <w:r>
        <w:rPr>
          <w:rFonts w:hint="eastAsia" w:ascii="黑体" w:hAnsi="黑体" w:eastAsia="黑体"/>
          <w:b w:val="0"/>
          <w:lang w:eastAsia="zh-CN"/>
        </w:rPr>
        <w:t>2023</w:t>
      </w:r>
      <w:r>
        <w:rPr>
          <w:rFonts w:hint="eastAsia" w:ascii="黑体" w:hAnsi="黑体" w:eastAsia="黑体"/>
          <w:b w:val="0"/>
        </w:rPr>
        <w:t>年度</w:t>
      </w:r>
      <w:r>
        <w:rPr>
          <w:rStyle w:val="25"/>
          <w:rFonts w:hint="eastAsia" w:ascii="黑体" w:hAnsi="黑体" w:eastAsia="黑体"/>
          <w:b w:val="0"/>
          <w:bCs/>
        </w:rPr>
        <w:t>单位决算情况说明</w:t>
      </w:r>
      <w:bookmarkEnd w:id="16"/>
      <w:bookmarkEnd w:id="17"/>
    </w:p>
    <w:p>
      <w:pPr>
        <w:pStyle w:val="24"/>
        <w:numPr>
          <w:ilvl w:val="0"/>
          <w:numId w:val="2"/>
        </w:numPr>
        <w:spacing w:line="600" w:lineRule="exact"/>
        <w:ind w:firstLineChars="0"/>
        <w:outlineLvl w:val="1"/>
        <w:rPr>
          <w:rStyle w:val="26"/>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18"/>
      <w:bookmarkEnd w:id="19"/>
    </w:p>
    <w:p>
      <w:pPr>
        <w:spacing w:line="600" w:lineRule="exact"/>
        <w:ind w:left="0" w:leftChars="0"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年度收、支总计2138.45万元。与</w:t>
      </w:r>
      <w:r>
        <w:rPr>
          <w:rFonts w:hint="eastAsia" w:ascii="仿宋" w:hAnsi="仿宋" w:eastAsia="仿宋"/>
          <w:sz w:val="32"/>
          <w:szCs w:val="32"/>
          <w:lang w:eastAsia="zh-CN"/>
        </w:rPr>
        <w:t>2022</w:t>
      </w:r>
      <w:r>
        <w:rPr>
          <w:rFonts w:hint="eastAsia" w:ascii="仿宋" w:hAnsi="仿宋" w:eastAsia="仿宋"/>
          <w:sz w:val="32"/>
          <w:szCs w:val="32"/>
        </w:rPr>
        <w:t>年</w:t>
      </w:r>
      <w:r>
        <w:rPr>
          <w:rFonts w:hint="eastAsia" w:ascii="仿宋" w:hAnsi="仿宋" w:eastAsia="仿宋"/>
          <w:color w:val="auto"/>
          <w:sz w:val="32"/>
          <w:szCs w:val="32"/>
          <w:highlight w:val="none"/>
          <w:lang w:val="en-US" w:eastAsia="zh-CN"/>
        </w:rPr>
        <w:t>1564.74</w:t>
      </w:r>
      <w:r>
        <w:rPr>
          <w:rFonts w:hint="eastAsia" w:ascii="仿宋" w:hAnsi="仿宋" w:eastAsia="仿宋"/>
          <w:sz w:val="32"/>
          <w:szCs w:val="32"/>
        </w:rPr>
        <w:t>相比，收、支总计增加</w:t>
      </w:r>
      <w:r>
        <w:rPr>
          <w:rFonts w:hint="eastAsia" w:ascii="仿宋" w:hAnsi="仿宋" w:eastAsia="仿宋"/>
          <w:sz w:val="32"/>
          <w:szCs w:val="32"/>
          <w:lang w:val="en-US" w:eastAsia="zh-CN"/>
        </w:rPr>
        <w:t>264.75</w:t>
      </w:r>
      <w:r>
        <w:rPr>
          <w:rFonts w:hint="eastAsia" w:ascii="仿宋" w:hAnsi="仿宋" w:eastAsia="仿宋"/>
          <w:sz w:val="32"/>
          <w:szCs w:val="32"/>
        </w:rPr>
        <w:t>万元，上升</w:t>
      </w:r>
      <w:r>
        <w:rPr>
          <w:rFonts w:hint="eastAsia" w:ascii="仿宋" w:hAnsi="仿宋" w:eastAsia="仿宋"/>
          <w:sz w:val="32"/>
          <w:szCs w:val="32"/>
          <w:lang w:val="en-US" w:eastAsia="zh-CN"/>
        </w:rPr>
        <w:t>14.00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主</w:t>
      </w:r>
      <w:r>
        <w:rPr>
          <w:rFonts w:hint="eastAsia" w:ascii="仿宋" w:hAnsi="仿宋" w:eastAsia="仿宋"/>
          <w:sz w:val="32"/>
          <w:szCs w:val="32"/>
        </w:rPr>
        <w:t>要变动原因是本年度教学楼改造工程等项目资金增加</w:t>
      </w:r>
      <w:r>
        <w:rPr>
          <w:rFonts w:hint="eastAsia" w:ascii="仿宋" w:hAnsi="仿宋" w:eastAsia="仿宋"/>
          <w:sz w:val="32"/>
          <w:szCs w:val="32"/>
          <w:lang w:val="en-US" w:eastAsia="zh-CN"/>
        </w:rPr>
        <w:t>及人员增加</w:t>
      </w:r>
      <w:r>
        <w:rPr>
          <w:rFonts w:hint="eastAsia" w:ascii="仿宋" w:hAnsi="仿宋" w:eastAsia="仿宋"/>
          <w:sz w:val="32"/>
          <w:szCs w:val="32"/>
        </w:rPr>
        <w:t>。</w:t>
      </w:r>
    </w:p>
    <w:p>
      <w:pPr>
        <w:pStyle w:val="6"/>
        <w:spacing w:before="93"/>
        <w:ind w:left="640"/>
      </w:pPr>
      <w:r>
        <w:drawing>
          <wp:inline distT="0" distB="0" distL="114300" distR="114300">
            <wp:extent cx="4820285" cy="2438400"/>
            <wp:effectExtent l="4445" t="5080" r="13970" b="13970"/>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left="640"/>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6"/>
          <w:rFonts w:hint="eastAsia" w:ascii="黑体" w:hAnsi="黑体" w:eastAsia="黑体"/>
          <w:b w:val="0"/>
        </w:rPr>
        <w:t>入决算情况说明</w:t>
      </w:r>
      <w:bookmarkEnd w:id="20"/>
      <w:bookmarkEnd w:id="21"/>
    </w:p>
    <w:p>
      <w:pPr>
        <w:spacing w:line="600" w:lineRule="exact"/>
        <w:ind w:left="2" w:leftChars="1" w:firstLine="640" w:firstLineChars="200"/>
        <w:outlineLvl w:val="1"/>
        <w:rPr>
          <w:rFonts w:ascii="仿宋" w:hAnsi="仿宋" w:eastAsia="仿宋"/>
          <w:sz w:val="32"/>
          <w:szCs w:val="32"/>
        </w:rPr>
      </w:pPr>
      <w:bookmarkStart w:id="22" w:name="_Toc19538"/>
      <w:bookmarkStart w:id="23" w:name="_Toc10980"/>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本年收入合计2040.53万元，其中：一般公共预算财政拨款收入1693.12万元，占</w:t>
      </w:r>
      <w:r>
        <w:rPr>
          <w:rFonts w:hint="eastAsia" w:ascii="仿宋" w:hAnsi="仿宋" w:eastAsia="仿宋"/>
          <w:sz w:val="32"/>
          <w:szCs w:val="32"/>
          <w:lang w:val="en-US" w:eastAsia="zh-CN"/>
        </w:rPr>
        <w:t>82.97</w:t>
      </w:r>
      <w:r>
        <w:rPr>
          <w:rFonts w:ascii="仿宋" w:hAnsi="仿宋" w:eastAsia="仿宋"/>
          <w:sz w:val="32"/>
          <w:szCs w:val="32"/>
        </w:rPr>
        <w:t>%</w:t>
      </w:r>
      <w:r>
        <w:rPr>
          <w:rFonts w:hint="eastAsia" w:ascii="仿宋" w:hAnsi="仿宋" w:eastAsia="仿宋"/>
          <w:sz w:val="32"/>
          <w:szCs w:val="32"/>
        </w:rPr>
        <w:t>；其他收入347.41万元，占</w:t>
      </w:r>
      <w:r>
        <w:rPr>
          <w:rFonts w:hint="eastAsia" w:ascii="仿宋" w:hAnsi="仿宋" w:eastAsia="仿宋"/>
          <w:sz w:val="32"/>
          <w:szCs w:val="32"/>
          <w:lang w:val="en-US" w:eastAsia="zh-CN"/>
        </w:rPr>
        <w:t>17.03</w:t>
      </w:r>
      <w:r>
        <w:rPr>
          <w:rFonts w:ascii="仿宋" w:hAnsi="仿宋" w:eastAsia="仿宋"/>
          <w:sz w:val="32"/>
          <w:szCs w:val="32"/>
        </w:rPr>
        <w:t>%</w:t>
      </w:r>
      <w:r>
        <w:rPr>
          <w:rFonts w:hint="eastAsia" w:ascii="仿宋" w:hAnsi="仿宋" w:eastAsia="仿宋"/>
          <w:sz w:val="32"/>
          <w:szCs w:val="32"/>
        </w:rPr>
        <w:t>。</w:t>
      </w:r>
      <w:bookmarkEnd w:id="22"/>
      <w:bookmarkEnd w:id="23"/>
    </w:p>
    <w:p>
      <w:pPr>
        <w:pStyle w:val="6"/>
        <w:spacing w:before="93"/>
        <w:ind w:firstLine="531" w:firstLineChars="177"/>
        <w:rPr>
          <w:rFonts w:ascii="仿宋" w:hAnsi="仿宋" w:eastAsia="仿宋"/>
          <w:sz w:val="32"/>
          <w:szCs w:val="32"/>
        </w:rPr>
      </w:pPr>
      <w:r>
        <w:drawing>
          <wp:inline distT="0" distB="0" distL="114300" distR="114300">
            <wp:extent cx="4723765" cy="2562225"/>
            <wp:effectExtent l="4445" t="5080" r="15240" b="4445"/>
            <wp:docPr id="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left="640"/>
        <w:jc w:val="center"/>
        <w:rPr>
          <w:rFonts w:ascii="仿宋_GB2312" w:eastAsia="仿宋_GB2312"/>
          <w:sz w:val="32"/>
          <w:szCs w:val="32"/>
        </w:rPr>
      </w:pPr>
      <w:r>
        <w:rPr>
          <w:rFonts w:hint="eastAsia" w:ascii="仿宋" w:hAnsi="仿宋" w:eastAsia="仿宋"/>
          <w:sz w:val="32"/>
          <w:szCs w:val="32"/>
        </w:rPr>
        <w:t>（图2：收入决算结构图）</w:t>
      </w:r>
    </w:p>
    <w:p>
      <w:pPr>
        <w:pStyle w:val="24"/>
        <w:numPr>
          <w:ilvl w:val="0"/>
          <w:numId w:val="2"/>
        </w:numPr>
        <w:spacing w:line="600" w:lineRule="exact"/>
        <w:ind w:firstLineChars="0"/>
        <w:outlineLvl w:val="1"/>
        <w:rPr>
          <w:rStyle w:val="26"/>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6"/>
          <w:rFonts w:hint="eastAsia" w:ascii="黑体" w:hAnsi="黑体" w:eastAsia="黑体"/>
          <w:b w:val="0"/>
        </w:rPr>
        <w:t>出决算情况说明</w:t>
      </w:r>
      <w:bookmarkEnd w:id="24"/>
      <w:bookmarkEnd w:id="25"/>
    </w:p>
    <w:p>
      <w:pPr>
        <w:spacing w:line="600" w:lineRule="exact"/>
        <w:ind w:firstLine="640" w:firstLineChars="200"/>
        <w:outlineLvl w:val="1"/>
        <w:rPr>
          <w:rFonts w:hint="eastAsia" w:ascii="仿宋" w:hAnsi="仿宋" w:eastAsia="仿宋"/>
          <w:sz w:val="32"/>
          <w:szCs w:val="32"/>
          <w:shd w:val="pct10" w:color="auto" w:fill="FFFFFF"/>
          <w:lang w:eastAsia="zh-CN"/>
        </w:rPr>
      </w:pPr>
      <w:bookmarkStart w:id="26" w:name="_Toc23773"/>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本年支出合计2048.53万元，其中：基本支出1453.09万元，占</w:t>
      </w:r>
      <w:r>
        <w:rPr>
          <w:rFonts w:hint="eastAsia" w:ascii="仿宋" w:hAnsi="仿宋" w:eastAsia="仿宋"/>
          <w:sz w:val="32"/>
          <w:szCs w:val="32"/>
          <w:lang w:val="en-US" w:eastAsia="zh-CN"/>
        </w:rPr>
        <w:t>70.93</w:t>
      </w:r>
      <w:r>
        <w:rPr>
          <w:rFonts w:ascii="仿宋" w:hAnsi="仿宋" w:eastAsia="仿宋"/>
          <w:sz w:val="32"/>
          <w:szCs w:val="32"/>
        </w:rPr>
        <w:t>%</w:t>
      </w:r>
      <w:r>
        <w:rPr>
          <w:rFonts w:hint="eastAsia" w:ascii="仿宋" w:hAnsi="仿宋" w:eastAsia="仿宋"/>
          <w:sz w:val="32"/>
          <w:szCs w:val="32"/>
        </w:rPr>
        <w:t>；项目支出595.44万元，占</w:t>
      </w:r>
      <w:r>
        <w:rPr>
          <w:rFonts w:hint="eastAsia" w:ascii="仿宋" w:hAnsi="仿宋" w:eastAsia="仿宋"/>
          <w:sz w:val="32"/>
          <w:szCs w:val="32"/>
          <w:lang w:val="en-US" w:eastAsia="zh-CN"/>
        </w:rPr>
        <w:t>29.07</w:t>
      </w:r>
      <w:r>
        <w:rPr>
          <w:rFonts w:ascii="仿宋" w:hAnsi="仿宋" w:eastAsia="仿宋"/>
          <w:sz w:val="32"/>
          <w:szCs w:val="32"/>
        </w:rPr>
        <w:t>%</w:t>
      </w:r>
      <w:bookmarkEnd w:id="26"/>
      <w:r>
        <w:rPr>
          <w:rFonts w:hint="eastAsia" w:ascii="仿宋" w:hAnsi="仿宋" w:eastAsia="仿宋"/>
          <w:sz w:val="32"/>
          <w:szCs w:val="32"/>
          <w:lang w:eastAsia="zh-CN"/>
        </w:rPr>
        <w:t>。</w:t>
      </w:r>
    </w:p>
    <w:p>
      <w:pPr>
        <w:pStyle w:val="6"/>
        <w:spacing w:before="93"/>
        <w:rPr>
          <w:rFonts w:hint="eastAsia" w:ascii="仿宋" w:hAnsi="仿宋" w:eastAsia="仿宋"/>
          <w:sz w:val="32"/>
          <w:szCs w:val="32"/>
        </w:rPr>
      </w:pPr>
      <w:r>
        <w:drawing>
          <wp:inline distT="0" distB="0" distL="114300" distR="114300">
            <wp:extent cx="5086350" cy="2562860"/>
            <wp:effectExtent l="4445" t="4445" r="14605" b="23495"/>
            <wp:docPr id="54"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spacing w:before="93"/>
        <w:jc w:val="center"/>
        <w:rPr>
          <w:rFonts w:hint="eastAsia" w:ascii="仿宋" w:hAnsi="仿宋" w:eastAsia="仿宋"/>
          <w:sz w:val="32"/>
          <w:szCs w:val="32"/>
        </w:rPr>
      </w:pPr>
      <w:r>
        <w:rPr>
          <w:rFonts w:hint="eastAsia" w:ascii="仿宋" w:hAnsi="仿宋" w:eastAsia="仿宋"/>
          <w:sz w:val="32"/>
          <w:szCs w:val="32"/>
        </w:rPr>
        <w:t>（图3：支出决算结构图）</w:t>
      </w:r>
    </w:p>
    <w:p>
      <w:pPr>
        <w:pStyle w:val="6"/>
        <w:spacing w:before="93"/>
        <w:jc w:val="center"/>
        <w:rPr>
          <w:rFonts w:hint="eastAsia" w:ascii="仿宋" w:hAnsi="仿宋" w:eastAsia="仿宋"/>
          <w:sz w:val="32"/>
          <w:szCs w:val="32"/>
        </w:rPr>
      </w:pPr>
    </w:p>
    <w:p>
      <w:pPr>
        <w:spacing w:line="600" w:lineRule="exact"/>
        <w:ind w:firstLine="640" w:firstLineChars="200"/>
        <w:outlineLvl w:val="1"/>
        <w:rPr>
          <w:rStyle w:val="26"/>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7"/>
      <w:bookmarkEnd w:id="28"/>
    </w:p>
    <w:p>
      <w:pPr>
        <w:spacing w:line="600" w:lineRule="exact"/>
        <w:ind w:firstLine="640"/>
      </w:pPr>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财政拨款收、支总计1693.12万元。与</w:t>
      </w:r>
      <w:r>
        <w:rPr>
          <w:rFonts w:hint="eastAsia" w:ascii="仿宋" w:hAnsi="仿宋" w:eastAsia="仿宋"/>
          <w:sz w:val="32"/>
          <w:szCs w:val="32"/>
          <w:lang w:eastAsia="zh-CN"/>
        </w:rPr>
        <w:t>2022</w:t>
      </w:r>
      <w:r>
        <w:rPr>
          <w:rFonts w:ascii="仿宋" w:hAnsi="仿宋" w:eastAsia="仿宋"/>
          <w:sz w:val="32"/>
          <w:szCs w:val="32"/>
        </w:rPr>
        <w:t>年</w:t>
      </w:r>
      <w:r>
        <w:rPr>
          <w:rFonts w:hint="eastAsia" w:ascii="仿宋" w:hAnsi="仿宋" w:eastAsia="仿宋"/>
          <w:sz w:val="32"/>
          <w:szCs w:val="32"/>
        </w:rPr>
        <w:t>1524.77万元</w:t>
      </w:r>
      <w:r>
        <w:rPr>
          <w:rFonts w:hint="eastAsia" w:ascii="仿宋" w:hAnsi="仿宋" w:eastAsia="仿宋"/>
          <w:sz w:val="32"/>
          <w:szCs w:val="32"/>
          <w:lang w:val="en-US" w:eastAsia="zh-CN"/>
        </w:rPr>
        <w:t>相比</w:t>
      </w:r>
      <w:r>
        <w:rPr>
          <w:rFonts w:hint="eastAsia" w:ascii="仿宋" w:hAnsi="仿宋" w:eastAsia="仿宋"/>
          <w:sz w:val="32"/>
          <w:szCs w:val="32"/>
        </w:rPr>
        <w:t>，财政拨款收、支总计增加</w:t>
      </w:r>
      <w:r>
        <w:rPr>
          <w:rFonts w:hint="eastAsia" w:ascii="仿宋" w:hAnsi="仿宋" w:eastAsia="仿宋"/>
          <w:sz w:val="32"/>
          <w:szCs w:val="32"/>
          <w:lang w:val="en-US" w:eastAsia="zh-CN"/>
        </w:rPr>
        <w:t>22.46</w:t>
      </w:r>
      <w:r>
        <w:rPr>
          <w:rFonts w:hint="eastAsia" w:ascii="仿宋" w:hAnsi="仿宋" w:eastAsia="仿宋"/>
          <w:sz w:val="32"/>
          <w:szCs w:val="32"/>
        </w:rPr>
        <w:t>万元，</w:t>
      </w:r>
      <w:r>
        <w:rPr>
          <w:rFonts w:hint="eastAsia" w:ascii="仿宋" w:hAnsi="仿宋" w:eastAsia="仿宋"/>
          <w:sz w:val="32"/>
          <w:szCs w:val="32"/>
          <w:lang w:val="en-US" w:eastAsia="zh-CN"/>
        </w:rPr>
        <w:t>增长1.34</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主要变动原因是本年度教学楼改造工程等项目资金增加</w:t>
      </w:r>
      <w:r>
        <w:rPr>
          <w:rFonts w:hint="eastAsia" w:ascii="仿宋" w:hAnsi="仿宋" w:eastAsia="仿宋"/>
          <w:sz w:val="32"/>
          <w:szCs w:val="32"/>
          <w:lang w:val="en-US" w:eastAsia="zh-CN"/>
        </w:rPr>
        <w:t>及人员增加</w:t>
      </w:r>
      <w:r>
        <w:rPr>
          <w:rFonts w:hint="eastAsia" w:ascii="仿宋" w:hAnsi="仿宋" w:eastAsia="仿宋"/>
          <w:sz w:val="32"/>
          <w:szCs w:val="32"/>
        </w:rPr>
        <w:t>。</w:t>
      </w:r>
    </w:p>
    <w:p>
      <w:pPr>
        <w:pStyle w:val="6"/>
        <w:spacing w:before="93"/>
      </w:pPr>
      <w:r>
        <w:drawing>
          <wp:inline distT="0" distB="0" distL="114300" distR="114300">
            <wp:extent cx="4980940" cy="2447925"/>
            <wp:effectExtent l="4445" t="4445" r="5715" b="5080"/>
            <wp:docPr id="55" name="图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pPr>
        <w:spacing w:line="600" w:lineRule="exact"/>
        <w:ind w:firstLine="640" w:firstLineChars="200"/>
      </w:pPr>
      <w:r>
        <w:rPr>
          <w:rFonts w:hint="eastAsia" w:ascii="仿宋" w:hAnsi="仿宋" w:eastAsia="仿宋"/>
          <w:sz w:val="32"/>
          <w:szCs w:val="32"/>
          <w:lang w:eastAsia="zh-CN"/>
        </w:rPr>
        <w:t>2023</w:t>
      </w:r>
      <w:r>
        <w:rPr>
          <w:rFonts w:hint="eastAsia" w:ascii="仿宋" w:hAnsi="仿宋" w:eastAsia="仿宋"/>
          <w:sz w:val="32"/>
          <w:szCs w:val="32"/>
        </w:rPr>
        <w:t>年一般公共预算财政拨款支出1,693.12万元，占本年支出合计的</w:t>
      </w:r>
      <w:r>
        <w:rPr>
          <w:rFonts w:hint="eastAsia" w:ascii="仿宋" w:hAnsi="仿宋" w:eastAsia="仿宋"/>
          <w:sz w:val="32"/>
          <w:szCs w:val="32"/>
          <w:lang w:val="en-US" w:eastAsia="zh-CN"/>
        </w:rPr>
        <w:t>82.65</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2022</w:t>
      </w:r>
      <w:r>
        <w:rPr>
          <w:rFonts w:ascii="仿宋" w:hAnsi="仿宋" w:eastAsia="仿宋"/>
          <w:sz w:val="32"/>
          <w:szCs w:val="32"/>
        </w:rPr>
        <w:t>年</w:t>
      </w:r>
      <w:r>
        <w:rPr>
          <w:rFonts w:hint="eastAsia" w:ascii="仿宋" w:hAnsi="仿宋" w:eastAsia="仿宋"/>
          <w:sz w:val="32"/>
          <w:szCs w:val="32"/>
        </w:rPr>
        <w:t>相比一般公共预算财政拨款支出增加</w:t>
      </w:r>
      <w:r>
        <w:rPr>
          <w:rFonts w:hint="eastAsia" w:ascii="仿宋" w:hAnsi="仿宋" w:eastAsia="仿宋"/>
          <w:sz w:val="32"/>
          <w:szCs w:val="32"/>
          <w:lang w:val="en-US" w:eastAsia="zh-CN"/>
        </w:rPr>
        <w:t>22.46</w:t>
      </w:r>
      <w:r>
        <w:rPr>
          <w:rFonts w:hint="eastAsia" w:ascii="仿宋" w:hAnsi="仿宋" w:eastAsia="仿宋"/>
          <w:sz w:val="32"/>
          <w:szCs w:val="32"/>
        </w:rPr>
        <w:t>万元，</w:t>
      </w:r>
      <w:r>
        <w:rPr>
          <w:rFonts w:hint="eastAsia" w:ascii="仿宋" w:hAnsi="仿宋" w:eastAsia="仿宋"/>
          <w:sz w:val="32"/>
          <w:szCs w:val="32"/>
          <w:lang w:val="en-US" w:eastAsia="zh-CN"/>
        </w:rPr>
        <w:t>增长1.34</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主要变动原因是本年度教学楼改造工程等项目资金增加</w:t>
      </w:r>
      <w:r>
        <w:rPr>
          <w:rFonts w:hint="eastAsia" w:ascii="仿宋" w:hAnsi="仿宋" w:eastAsia="仿宋"/>
          <w:sz w:val="32"/>
          <w:szCs w:val="32"/>
          <w:lang w:val="en-US" w:eastAsia="zh-CN"/>
        </w:rPr>
        <w:t>及人员增加</w:t>
      </w:r>
      <w:r>
        <w:rPr>
          <w:rFonts w:hint="eastAsia" w:ascii="仿宋" w:hAnsi="仿宋" w:eastAsia="仿宋"/>
          <w:sz w:val="32"/>
          <w:szCs w:val="32"/>
        </w:rPr>
        <w:t>。</w:t>
      </w:r>
    </w:p>
    <w:p>
      <w:pPr>
        <w:pStyle w:val="6"/>
        <w:spacing w:before="93"/>
      </w:pPr>
      <w:r>
        <w:drawing>
          <wp:inline distT="0" distB="0" distL="114300" distR="114300">
            <wp:extent cx="4981575" cy="2686685"/>
            <wp:effectExtent l="4445" t="4445" r="5080" b="13970"/>
            <wp:docPr id="56"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一般公共预算财政拨款支出1693.12万元，主要用于以下方面</w:t>
      </w:r>
      <w:r>
        <w:rPr>
          <w:rFonts w:ascii="仿宋" w:hAnsi="仿宋" w:eastAsia="仿宋"/>
          <w:sz w:val="32"/>
          <w:szCs w:val="32"/>
        </w:rPr>
        <w:t>:</w:t>
      </w:r>
      <w:r>
        <w:rPr>
          <w:rFonts w:hint="eastAsia" w:ascii="仿宋" w:hAnsi="仿宋" w:eastAsia="仿宋"/>
          <w:b/>
          <w:sz w:val="32"/>
          <w:szCs w:val="32"/>
        </w:rPr>
        <w:t>教育支出（类）1322.29</w:t>
      </w:r>
      <w:r>
        <w:rPr>
          <w:rFonts w:hint="eastAsia" w:ascii="仿宋" w:hAnsi="仿宋" w:eastAsia="仿宋"/>
          <w:sz w:val="32"/>
          <w:szCs w:val="32"/>
        </w:rPr>
        <w:t>万元，占</w:t>
      </w:r>
      <w:r>
        <w:rPr>
          <w:rFonts w:hint="eastAsia" w:ascii="仿宋" w:hAnsi="仿宋" w:eastAsia="仿宋"/>
          <w:sz w:val="32"/>
          <w:szCs w:val="32"/>
          <w:lang w:val="en-US" w:eastAsia="zh-CN"/>
        </w:rPr>
        <w:t>78.10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支出186.88万元，占</w:t>
      </w:r>
      <w:r>
        <w:rPr>
          <w:rFonts w:hint="eastAsia" w:ascii="仿宋" w:hAnsi="仿宋" w:eastAsia="仿宋"/>
          <w:sz w:val="32"/>
          <w:szCs w:val="32"/>
          <w:lang w:val="en-US" w:eastAsia="zh-CN"/>
        </w:rPr>
        <w:t>11.04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卫生健康支出（类）</w:t>
      </w:r>
      <w:r>
        <w:rPr>
          <w:rFonts w:hint="eastAsia" w:ascii="仿宋" w:hAnsi="仿宋" w:eastAsia="仿宋"/>
          <w:sz w:val="32"/>
          <w:szCs w:val="32"/>
        </w:rPr>
        <w:t>72.51万元，占</w:t>
      </w:r>
      <w:r>
        <w:rPr>
          <w:rFonts w:hint="eastAsia" w:ascii="仿宋" w:hAnsi="仿宋" w:eastAsia="仿宋"/>
          <w:sz w:val="32"/>
          <w:szCs w:val="32"/>
          <w:lang w:val="en-US" w:eastAsia="zh-CN"/>
        </w:rPr>
        <w:t>4.28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住房保障支出（类</w:t>
      </w:r>
      <w:r>
        <w:rPr>
          <w:rFonts w:hint="eastAsia" w:ascii="仿宋" w:hAnsi="仿宋" w:eastAsia="仿宋"/>
          <w:sz w:val="32"/>
          <w:szCs w:val="32"/>
        </w:rPr>
        <w:t>）111.44万元，占</w:t>
      </w:r>
      <w:r>
        <w:rPr>
          <w:rFonts w:hint="eastAsia" w:ascii="仿宋" w:hAnsi="仿宋" w:eastAsia="仿宋"/>
          <w:sz w:val="32"/>
          <w:szCs w:val="32"/>
          <w:lang w:val="en-US" w:eastAsia="zh-CN"/>
        </w:rPr>
        <w:t>6.58</w:t>
      </w:r>
      <w:r>
        <w:rPr>
          <w:rFonts w:ascii="仿宋" w:hAnsi="仿宋" w:eastAsia="仿宋"/>
          <w:sz w:val="32"/>
          <w:szCs w:val="32"/>
        </w:rPr>
        <w:t>%</w:t>
      </w:r>
      <w:r>
        <w:rPr>
          <w:rFonts w:hint="eastAsia" w:ascii="仿宋" w:hAnsi="仿宋" w:eastAsia="仿宋"/>
          <w:sz w:val="32"/>
          <w:szCs w:val="32"/>
        </w:rPr>
        <w:t>。</w:t>
      </w:r>
    </w:p>
    <w:p>
      <w:pPr>
        <w:pStyle w:val="6"/>
        <w:spacing w:before="93"/>
        <w:jc w:val="center"/>
      </w:pPr>
      <w:r>
        <w:drawing>
          <wp:inline distT="0" distB="0" distL="114300" distR="114300">
            <wp:extent cx="4848860" cy="2857500"/>
            <wp:effectExtent l="5080" t="4445" r="22860"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6"/>
        <w:spacing w:before="93"/>
        <w:jc w:val="cente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pPr>
        <w:spacing w:line="600" w:lineRule="exact"/>
        <w:ind w:firstLine="643" w:firstLineChars="200"/>
        <w:outlineLvl w:val="1"/>
        <w:rPr>
          <w:rFonts w:ascii="仿宋" w:hAnsi="仿宋" w:eastAsia="仿宋"/>
          <w:sz w:val="32"/>
          <w:szCs w:val="32"/>
        </w:rPr>
      </w:pPr>
      <w:bookmarkStart w:id="34" w:name="_Toc20276"/>
      <w:r>
        <w:rPr>
          <w:rFonts w:hint="eastAsia" w:ascii="仿宋" w:hAnsi="仿宋" w:eastAsia="仿宋"/>
          <w:b/>
          <w:sz w:val="32"/>
          <w:szCs w:val="32"/>
          <w:lang w:eastAsia="zh-CN"/>
        </w:rPr>
        <w:t>2023</w:t>
      </w:r>
      <w:r>
        <w:rPr>
          <w:rFonts w:hint="eastAsia" w:ascii="仿宋" w:hAnsi="仿宋" w:eastAsia="仿宋"/>
          <w:b/>
          <w:sz w:val="32"/>
          <w:szCs w:val="32"/>
        </w:rPr>
        <w:t>年一般公共预算支出决算数为</w:t>
      </w:r>
      <w:r>
        <w:rPr>
          <w:rFonts w:hint="eastAsia" w:ascii="仿宋" w:hAnsi="仿宋" w:eastAsia="仿宋"/>
          <w:sz w:val="32"/>
          <w:szCs w:val="32"/>
        </w:rPr>
        <w:t>1693.12</w:t>
      </w:r>
      <w:r>
        <w:rPr>
          <w:rFonts w:hint="eastAsia" w:ascii="仿宋" w:hAnsi="仿宋" w:eastAsia="仿宋"/>
          <w:b/>
          <w:sz w:val="32"/>
          <w:szCs w:val="32"/>
        </w:rPr>
        <w:t>万元</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4"/>
    </w:p>
    <w:p>
      <w:pPr>
        <w:spacing w:line="600" w:lineRule="exact"/>
        <w:ind w:firstLine="643" w:firstLineChars="200"/>
        <w:rPr>
          <w:rStyle w:val="15"/>
          <w:rFonts w:hint="eastAsia" w:ascii="仿宋" w:hAnsi="仿宋" w:eastAsia="仿宋"/>
          <w:b w:val="0"/>
          <w:bCs/>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Style w:val="15"/>
          <w:rFonts w:hint="eastAsia" w:ascii="仿宋" w:hAnsi="仿宋" w:eastAsia="仿宋"/>
          <w:bCs/>
          <w:sz w:val="32"/>
          <w:szCs w:val="32"/>
        </w:rPr>
        <w:t>教育支出（类）普通教育（款）小学教育（项）</w:t>
      </w:r>
      <w:r>
        <w:rPr>
          <w:rStyle w:val="15"/>
          <w:rFonts w:ascii="仿宋" w:hAnsi="仿宋" w:eastAsia="仿宋"/>
          <w:bCs/>
          <w:sz w:val="32"/>
          <w:szCs w:val="32"/>
        </w:rPr>
        <w:t>:</w:t>
      </w:r>
      <w:r>
        <w:rPr>
          <w:rStyle w:val="15"/>
          <w:rFonts w:hint="eastAsia" w:ascii="仿宋" w:hAnsi="仿宋" w:eastAsia="仿宋"/>
          <w:b w:val="0"/>
          <w:bCs/>
          <w:sz w:val="32"/>
          <w:szCs w:val="32"/>
        </w:rPr>
        <w:t>支出决算为1322.29万元，完成预算100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社会保障和就业（类）行政事业单位养老支出（款）机关事业单位基本养老保险缴费支出（项）</w:t>
      </w:r>
      <w:r>
        <w:rPr>
          <w:rStyle w:val="15"/>
          <w:rFonts w:ascii="仿宋" w:hAnsi="仿宋" w:eastAsia="仿宋"/>
          <w:bCs/>
          <w:sz w:val="32"/>
          <w:szCs w:val="32"/>
        </w:rPr>
        <w:t>:</w:t>
      </w:r>
      <w:r>
        <w:rPr>
          <w:rStyle w:val="15"/>
          <w:rFonts w:hint="eastAsia" w:ascii="仿宋" w:hAnsi="仿宋" w:eastAsia="仿宋"/>
          <w:b w:val="0"/>
          <w:bCs/>
          <w:sz w:val="32"/>
          <w:szCs w:val="32"/>
        </w:rPr>
        <w:t>支出决算为135.44万元，完成预算100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社会保障和就业（类）行政事业单位养老支出（款）事业单位离退休（项）</w:t>
      </w:r>
      <w:r>
        <w:rPr>
          <w:rStyle w:val="15"/>
          <w:rFonts w:ascii="仿宋" w:hAnsi="仿宋" w:eastAsia="仿宋"/>
          <w:bCs/>
          <w:sz w:val="32"/>
          <w:szCs w:val="32"/>
        </w:rPr>
        <w:t>:</w:t>
      </w:r>
      <w:r>
        <w:rPr>
          <w:rStyle w:val="15"/>
          <w:rFonts w:hint="eastAsia" w:ascii="仿宋" w:hAnsi="仿宋" w:eastAsia="仿宋"/>
          <w:b w:val="0"/>
          <w:bCs/>
          <w:sz w:val="32"/>
          <w:szCs w:val="32"/>
        </w:rPr>
        <w:t>支出决算为4.87万元，完成预算100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Style w:val="15"/>
          <w:rFonts w:hint="eastAsia" w:ascii="仿宋" w:hAnsi="仿宋" w:eastAsia="仿宋"/>
          <w:bCs/>
          <w:sz w:val="32"/>
          <w:szCs w:val="32"/>
        </w:rPr>
        <w:t>社会保障和就业（类）行政事业单位养老支出（款）机关事业单位职业年金缴费支出（项）</w:t>
      </w:r>
      <w:r>
        <w:rPr>
          <w:rStyle w:val="15"/>
          <w:rFonts w:ascii="仿宋" w:hAnsi="仿宋" w:eastAsia="仿宋"/>
          <w:bCs/>
          <w:sz w:val="32"/>
          <w:szCs w:val="32"/>
        </w:rPr>
        <w:t>:</w:t>
      </w:r>
      <w:r>
        <w:rPr>
          <w:rStyle w:val="15"/>
          <w:rFonts w:hint="eastAsia" w:ascii="仿宋" w:hAnsi="仿宋" w:eastAsia="仿宋"/>
          <w:b w:val="0"/>
          <w:bCs/>
          <w:sz w:val="32"/>
          <w:szCs w:val="32"/>
        </w:rPr>
        <w:t>支出决算为30.76万元，完成预算100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，主要是</w:t>
      </w:r>
      <w:r>
        <w:rPr>
          <w:rStyle w:val="15"/>
          <w:rFonts w:hint="eastAsia" w:ascii="仿宋" w:hAnsi="仿宋" w:eastAsia="仿宋"/>
          <w:b w:val="0"/>
          <w:bCs/>
          <w:color w:val="000000"/>
          <w:sz w:val="32"/>
          <w:szCs w:val="32"/>
        </w:rPr>
        <w:t>用于单位实施的</w:t>
      </w:r>
      <w:r>
        <w:rPr>
          <w:rStyle w:val="15"/>
          <w:rFonts w:hint="eastAsia" w:ascii="仿宋" w:hAnsi="仿宋" w:eastAsia="仿宋"/>
          <w:b w:val="0"/>
          <w:bCs/>
          <w:sz w:val="32"/>
          <w:szCs w:val="32"/>
        </w:rPr>
        <w:t>职业年金缴费支出。</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5</w:t>
      </w:r>
      <w:r>
        <w:rPr>
          <w:rStyle w:val="15"/>
          <w:rFonts w:ascii="仿宋" w:hAnsi="仿宋" w:eastAsia="仿宋"/>
          <w:bCs/>
          <w:sz w:val="32"/>
          <w:szCs w:val="32"/>
        </w:rPr>
        <w:t>.</w:t>
      </w:r>
      <w:r>
        <w:rPr>
          <w:rStyle w:val="15"/>
          <w:rFonts w:hint="eastAsia" w:ascii="仿宋" w:hAnsi="仿宋" w:eastAsia="仿宋"/>
          <w:bCs/>
          <w:sz w:val="32"/>
          <w:szCs w:val="32"/>
        </w:rPr>
        <w:t>社会保障和就业（类）残疾人事业（款）残疾人就业（项）</w:t>
      </w:r>
      <w:r>
        <w:rPr>
          <w:rStyle w:val="15"/>
          <w:rFonts w:ascii="仿宋" w:hAnsi="仿宋" w:eastAsia="仿宋"/>
          <w:bCs/>
          <w:sz w:val="32"/>
          <w:szCs w:val="32"/>
        </w:rPr>
        <w:t>:</w:t>
      </w:r>
      <w:r>
        <w:rPr>
          <w:rStyle w:val="15"/>
          <w:rFonts w:hint="eastAsia" w:ascii="仿宋" w:hAnsi="仿宋" w:eastAsia="仿宋"/>
          <w:b w:val="0"/>
          <w:bCs/>
          <w:sz w:val="32"/>
          <w:szCs w:val="32"/>
        </w:rPr>
        <w:t>支出决算为10.28万元，完成预算100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，主要是</w:t>
      </w:r>
      <w:r>
        <w:rPr>
          <w:rStyle w:val="15"/>
          <w:rFonts w:hint="eastAsia" w:ascii="仿宋" w:hAnsi="仿宋" w:eastAsia="仿宋"/>
          <w:b w:val="0"/>
          <w:bCs/>
          <w:color w:val="000000"/>
          <w:sz w:val="32"/>
          <w:szCs w:val="32"/>
        </w:rPr>
        <w:t>用于保障残疾人就业</w:t>
      </w:r>
      <w:r>
        <w:rPr>
          <w:rStyle w:val="15"/>
          <w:rFonts w:hint="eastAsia" w:ascii="仿宋" w:hAnsi="仿宋" w:eastAsia="仿宋"/>
          <w:b w:val="0"/>
          <w:bCs/>
          <w:sz w:val="32"/>
          <w:szCs w:val="32"/>
        </w:rPr>
        <w:t>支出。</w:t>
      </w:r>
    </w:p>
    <w:p>
      <w:pPr>
        <w:spacing w:line="600" w:lineRule="exact"/>
        <w:ind w:firstLine="643" w:firstLineChars="200"/>
      </w:pPr>
      <w:r>
        <w:rPr>
          <w:rStyle w:val="15"/>
          <w:rFonts w:hint="eastAsia" w:ascii="仿宋" w:hAnsi="仿宋" w:eastAsia="仿宋"/>
          <w:bCs/>
          <w:sz w:val="32"/>
          <w:szCs w:val="32"/>
        </w:rPr>
        <w:t>6</w:t>
      </w:r>
      <w:r>
        <w:rPr>
          <w:rStyle w:val="15"/>
          <w:rFonts w:ascii="仿宋" w:hAnsi="仿宋" w:eastAsia="仿宋"/>
          <w:bCs/>
          <w:sz w:val="32"/>
          <w:szCs w:val="32"/>
        </w:rPr>
        <w:t>.</w:t>
      </w:r>
      <w:r>
        <w:rPr>
          <w:rStyle w:val="15"/>
          <w:rFonts w:hint="eastAsia" w:ascii="仿宋" w:hAnsi="仿宋" w:eastAsia="仿宋"/>
          <w:bCs/>
          <w:sz w:val="32"/>
          <w:szCs w:val="32"/>
        </w:rPr>
        <w:t>社会保障和就业（类）其他社会保障和就业支出（款）其他社会保障和就业支出（项）</w:t>
      </w:r>
      <w:r>
        <w:rPr>
          <w:rStyle w:val="15"/>
          <w:rFonts w:ascii="仿宋" w:hAnsi="仿宋" w:eastAsia="仿宋"/>
          <w:bCs/>
          <w:sz w:val="32"/>
          <w:szCs w:val="32"/>
        </w:rPr>
        <w:t>:</w:t>
      </w:r>
      <w:r>
        <w:rPr>
          <w:rStyle w:val="15"/>
          <w:rFonts w:hint="eastAsia" w:ascii="仿宋" w:hAnsi="仿宋" w:eastAsia="仿宋"/>
          <w:b w:val="0"/>
          <w:bCs/>
          <w:sz w:val="32"/>
          <w:szCs w:val="32"/>
        </w:rPr>
        <w:t>支出决算为5.54万元，完成预算100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，主要是</w:t>
      </w:r>
      <w:r>
        <w:rPr>
          <w:rStyle w:val="15"/>
          <w:rFonts w:hint="eastAsia" w:ascii="仿宋" w:hAnsi="仿宋" w:eastAsia="仿宋"/>
          <w:b w:val="0"/>
          <w:bCs/>
          <w:color w:val="000000"/>
          <w:sz w:val="32"/>
          <w:szCs w:val="32"/>
        </w:rPr>
        <w:t>用于单位实施</w:t>
      </w:r>
      <w:r>
        <w:rPr>
          <w:rStyle w:val="15"/>
          <w:rFonts w:hint="eastAsia" w:ascii="仿宋" w:hAnsi="仿宋" w:eastAsia="仿宋"/>
          <w:b w:val="0"/>
          <w:bCs/>
          <w:sz w:val="32"/>
          <w:szCs w:val="32"/>
        </w:rPr>
        <w:t>的其他社会保障和就业支出。</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7.</w:t>
      </w:r>
      <w:r>
        <w:rPr>
          <w:rFonts w:hint="eastAsia" w:ascii="仿宋" w:hAnsi="仿宋" w:eastAsia="仿宋"/>
          <w:b/>
          <w:bCs/>
          <w:sz w:val="32"/>
          <w:szCs w:val="32"/>
        </w:rPr>
        <w:t>卫生健康支出</w:t>
      </w:r>
      <w:r>
        <w:rPr>
          <w:rStyle w:val="15"/>
          <w:rFonts w:hint="eastAsia" w:ascii="仿宋" w:hAnsi="仿宋" w:eastAsia="仿宋"/>
          <w:bCs/>
          <w:sz w:val="32"/>
          <w:szCs w:val="32"/>
        </w:rPr>
        <w:t>（类）行政事业单位医疗（款）事业单位医疗（项）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支出决算为51.05万元，完成预算100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，主要是</w:t>
      </w:r>
      <w:r>
        <w:rPr>
          <w:rStyle w:val="15"/>
          <w:rFonts w:hint="eastAsia" w:ascii="仿宋" w:hAnsi="仿宋" w:eastAsia="仿宋"/>
          <w:b w:val="0"/>
          <w:bCs/>
          <w:color w:val="000000"/>
          <w:sz w:val="32"/>
          <w:szCs w:val="32"/>
        </w:rPr>
        <w:t>用于单位人员医疗保险缴费</w:t>
      </w:r>
      <w:r>
        <w:rPr>
          <w:rStyle w:val="15"/>
          <w:rFonts w:hint="eastAsia" w:ascii="仿宋" w:hAnsi="仿宋" w:eastAsia="仿宋"/>
          <w:b w:val="0"/>
          <w:bCs/>
          <w:sz w:val="32"/>
          <w:szCs w:val="32"/>
        </w:rPr>
        <w:t>支出。</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8</w:t>
      </w:r>
      <w:r>
        <w:rPr>
          <w:rStyle w:val="15"/>
          <w:rFonts w:ascii="仿宋" w:hAnsi="仿宋" w:eastAsia="仿宋"/>
          <w:bCs/>
          <w:sz w:val="32"/>
          <w:szCs w:val="32"/>
        </w:rPr>
        <w:t>.</w:t>
      </w:r>
      <w:r>
        <w:rPr>
          <w:rFonts w:hint="eastAsia" w:ascii="仿宋" w:hAnsi="仿宋" w:eastAsia="仿宋"/>
          <w:b/>
          <w:bCs/>
          <w:sz w:val="32"/>
          <w:szCs w:val="32"/>
        </w:rPr>
        <w:t>卫生健康支出</w:t>
      </w:r>
      <w:r>
        <w:rPr>
          <w:rStyle w:val="15"/>
          <w:rFonts w:hint="eastAsia" w:ascii="仿宋" w:hAnsi="仿宋" w:eastAsia="仿宋"/>
          <w:bCs/>
          <w:sz w:val="32"/>
          <w:szCs w:val="32"/>
        </w:rPr>
        <w:t>（类）行政事业单位医疗（款）公务员医疗补助（项）</w:t>
      </w:r>
      <w:r>
        <w:rPr>
          <w:rStyle w:val="15"/>
          <w:rFonts w:ascii="仿宋" w:hAnsi="仿宋" w:eastAsia="仿宋"/>
          <w:bCs/>
          <w:sz w:val="32"/>
          <w:szCs w:val="32"/>
        </w:rPr>
        <w:t>:</w:t>
      </w:r>
      <w:r>
        <w:rPr>
          <w:rStyle w:val="15"/>
          <w:rFonts w:hint="eastAsia" w:ascii="仿宋" w:hAnsi="仿宋" w:eastAsia="仿宋"/>
          <w:b w:val="0"/>
          <w:bCs/>
          <w:sz w:val="32"/>
          <w:szCs w:val="32"/>
        </w:rPr>
        <w:t>支出决算为21.47万元，完成预算100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，主要是</w:t>
      </w:r>
      <w:r>
        <w:rPr>
          <w:rStyle w:val="15"/>
          <w:rFonts w:hint="eastAsia" w:ascii="仿宋" w:hAnsi="仿宋" w:eastAsia="仿宋"/>
          <w:b w:val="0"/>
          <w:bCs/>
          <w:color w:val="000000"/>
          <w:sz w:val="32"/>
          <w:szCs w:val="32"/>
        </w:rPr>
        <w:t>用于单位人员医疗补助</w:t>
      </w:r>
      <w:r>
        <w:rPr>
          <w:rStyle w:val="15"/>
          <w:rFonts w:hint="eastAsia" w:ascii="仿宋" w:hAnsi="仿宋" w:eastAsia="仿宋"/>
          <w:b w:val="0"/>
          <w:bCs/>
          <w:sz w:val="32"/>
          <w:szCs w:val="32"/>
        </w:rPr>
        <w:t>支出。</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9</w:t>
      </w:r>
      <w:r>
        <w:rPr>
          <w:rStyle w:val="15"/>
          <w:rFonts w:ascii="仿宋" w:hAnsi="仿宋" w:eastAsia="仿宋"/>
          <w:bCs/>
          <w:sz w:val="32"/>
          <w:szCs w:val="32"/>
        </w:rPr>
        <w:t>.</w:t>
      </w:r>
      <w:r>
        <w:rPr>
          <w:rFonts w:hint="eastAsia" w:ascii="仿宋" w:hAnsi="仿宋" w:eastAsia="仿宋"/>
          <w:b/>
          <w:bCs/>
          <w:sz w:val="32"/>
          <w:szCs w:val="32"/>
        </w:rPr>
        <w:t>住房保障支出</w:t>
      </w:r>
      <w:r>
        <w:rPr>
          <w:rStyle w:val="15"/>
          <w:rFonts w:hint="eastAsia" w:ascii="仿宋" w:hAnsi="仿宋" w:eastAsia="仿宋"/>
          <w:bCs/>
          <w:sz w:val="32"/>
          <w:szCs w:val="32"/>
        </w:rPr>
        <w:t>（类）住房改革支出（款）住房公积金（项）</w:t>
      </w:r>
      <w:r>
        <w:rPr>
          <w:rStyle w:val="15"/>
          <w:rFonts w:ascii="仿宋" w:hAnsi="仿宋" w:eastAsia="仿宋"/>
          <w:bCs/>
          <w:sz w:val="32"/>
          <w:szCs w:val="32"/>
        </w:rPr>
        <w:t>:</w:t>
      </w:r>
      <w:r>
        <w:rPr>
          <w:rStyle w:val="15"/>
          <w:rFonts w:hint="eastAsia" w:ascii="仿宋" w:hAnsi="仿宋" w:eastAsia="仿宋"/>
          <w:b w:val="0"/>
          <w:bCs/>
          <w:sz w:val="32"/>
          <w:szCs w:val="32"/>
        </w:rPr>
        <w:t>支出决算为111.44万元，完成预算100</w:t>
      </w:r>
      <w:r>
        <w:rPr>
          <w:rStyle w:val="15"/>
          <w:rFonts w:ascii="仿宋" w:hAnsi="仿宋" w:eastAsia="仿宋"/>
          <w:b w:val="0"/>
          <w:bCs/>
          <w:sz w:val="32"/>
          <w:szCs w:val="32"/>
        </w:rPr>
        <w:t>%</w:t>
      </w:r>
      <w:r>
        <w:rPr>
          <w:rFonts w:hint="eastAsia"/>
        </w:rPr>
        <w:t>。</w:t>
      </w:r>
      <w:r>
        <w:rPr>
          <w:rStyle w:val="15"/>
          <w:rFonts w:hint="eastAsia" w:ascii="仿宋" w:hAnsi="仿宋" w:eastAsia="仿宋"/>
          <w:b w:val="0"/>
          <w:bCs/>
          <w:sz w:val="32"/>
          <w:szCs w:val="32"/>
        </w:rPr>
        <w:t>主要是</w:t>
      </w:r>
      <w:r>
        <w:rPr>
          <w:rStyle w:val="15"/>
          <w:rFonts w:hint="eastAsia" w:ascii="仿宋" w:hAnsi="仿宋" w:eastAsia="仿宋"/>
          <w:b w:val="0"/>
          <w:bCs/>
          <w:color w:val="000000"/>
          <w:sz w:val="32"/>
          <w:szCs w:val="32"/>
        </w:rPr>
        <w:t>用于单位人员住房公积金</w:t>
      </w:r>
      <w:r>
        <w:rPr>
          <w:rStyle w:val="15"/>
          <w:rFonts w:hint="eastAsia" w:ascii="仿宋" w:hAnsi="仿宋" w:eastAsia="仿宋"/>
          <w:b w:val="0"/>
          <w:bCs/>
          <w:sz w:val="32"/>
          <w:szCs w:val="32"/>
        </w:rPr>
        <w:t>支出。</w:t>
      </w:r>
    </w:p>
    <w:p>
      <w:pPr>
        <w:tabs>
          <w:tab w:val="right" w:pos="8306"/>
        </w:tabs>
        <w:spacing w:line="600" w:lineRule="exact"/>
        <w:ind w:firstLine="640"/>
        <w:outlineLvl w:val="1"/>
        <w:rPr>
          <w:rStyle w:val="26"/>
        </w:rPr>
      </w:pPr>
      <w:bookmarkStart w:id="35" w:name="_Toc15396608"/>
      <w:bookmarkStart w:id="3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5"/>
      <w:bookmarkEnd w:id="36"/>
      <w:r>
        <w:rPr>
          <w:rStyle w:val="26"/>
          <w:rFonts w:ascii="黑体" w:hAnsi="黑体" w:eastAsia="黑体"/>
          <w:b w:val="0"/>
        </w:rPr>
        <w:tab/>
      </w:r>
    </w:p>
    <w:p>
      <w:pPr>
        <w:spacing w:line="600" w:lineRule="exact"/>
        <w:ind w:firstLine="645"/>
        <w:rPr>
          <w:rFonts w:ascii="仿宋" w:hAnsi="仿宋" w:eastAsia="仿宋"/>
          <w:sz w:val="32"/>
          <w:szCs w:val="32"/>
        </w:rPr>
      </w:pPr>
      <w:bookmarkStart w:id="37" w:name="_Toc15377215"/>
      <w:bookmarkStart w:id="38" w:name="_Toc15396609"/>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一般公共预算财政拨款基本支出1452.77万元，其中：</w:t>
      </w:r>
    </w:p>
    <w:p>
      <w:pPr>
        <w:spacing w:line="600" w:lineRule="exact"/>
        <w:ind w:firstLine="645"/>
        <w:rPr>
          <w:rFonts w:ascii="仿宋" w:hAnsi="仿宋" w:eastAsia="仿宋"/>
          <w:color w:val="000000"/>
          <w:sz w:val="32"/>
          <w:szCs w:val="32"/>
        </w:rPr>
      </w:pPr>
      <w:r>
        <w:rPr>
          <w:rFonts w:hint="eastAsia" w:ascii="仿宋" w:hAnsi="仿宋" w:eastAsia="仿宋"/>
          <w:sz w:val="32"/>
          <w:szCs w:val="32"/>
        </w:rPr>
        <w:t>人员经费1,408.11万元主要包括：</w:t>
      </w:r>
      <w:r>
        <w:rPr>
          <w:rFonts w:hint="eastAsia" w:ascii="仿宋" w:hAnsi="仿宋" w:eastAsia="仿宋"/>
          <w:color w:val="000000"/>
          <w:sz w:val="32"/>
          <w:szCs w:val="32"/>
        </w:rPr>
        <w:t>基本工资、津贴补贴、绩效工资、机关事业单位基本养老保险缴费、职业年金缴费、职工基本医疗保险缴费、公务员医疗补助缴费、其他社会保障缴费、住房公积金、其他工资福利支出、生活补助</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其他对个人和家庭的补助支出等。</w:t>
      </w:r>
    </w:p>
    <w:p>
      <w:pPr>
        <w:spacing w:line="600" w:lineRule="exact"/>
        <w:ind w:firstLine="645"/>
      </w:pPr>
      <w:r>
        <w:rPr>
          <w:rFonts w:hint="eastAsia" w:ascii="仿宋" w:hAnsi="仿宋" w:eastAsia="仿宋"/>
          <w:sz w:val="32"/>
          <w:szCs w:val="32"/>
        </w:rPr>
        <w:t>公用经费44.66万元，主要包括：办公费、印刷费、邮电费、培训费、劳务费、福利费、其他交通费、其他商品和服务支出等。</w:t>
      </w:r>
      <w:r>
        <w:rPr>
          <w:rFonts w:hint="eastAsia"/>
        </w:rPr>
        <w:t xml:space="preserve">    </w:t>
      </w:r>
    </w:p>
    <w:p>
      <w:pPr>
        <w:spacing w:line="600" w:lineRule="exact"/>
        <w:ind w:firstLine="640"/>
        <w:outlineLvl w:val="1"/>
        <w:rPr>
          <w:rStyle w:val="26"/>
          <w:rFonts w:ascii="黑体" w:hAnsi="黑体" w:eastAsia="黑体"/>
          <w:b w:val="0"/>
        </w:rPr>
      </w:pPr>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ascii="仿宋" w:hAnsi="仿宋" w:eastAsia="仿宋"/>
          <w:sz w:val="32"/>
          <w:szCs w:val="32"/>
        </w:rPr>
        <w:t>年</w:t>
      </w:r>
      <w:r>
        <w:rPr>
          <w:rFonts w:hint="eastAsia" w:ascii="仿宋" w:hAnsi="仿宋" w:eastAsia="仿宋"/>
          <w:sz w:val="32"/>
          <w:szCs w:val="32"/>
        </w:rPr>
        <w:t>“三公”经费财政拨款支出决算为0万元，完成预算0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hint="eastAsia" w:ascii="仿宋" w:hAnsi="仿宋" w:eastAsia="仿宋"/>
          <w:sz w:val="32"/>
          <w:szCs w:val="32"/>
          <w:lang w:val="en-US" w:eastAsia="zh-CN"/>
        </w:rPr>
        <w:t>2</w:t>
      </w:r>
      <w:r>
        <w:rPr>
          <w:rFonts w:ascii="仿宋" w:hAnsi="仿宋" w:eastAsia="仿宋"/>
          <w:sz w:val="32"/>
          <w:szCs w:val="32"/>
        </w:rPr>
        <w:t>02</w:t>
      </w:r>
      <w:r>
        <w:rPr>
          <w:rFonts w:hint="eastAsia" w:ascii="仿宋" w:hAnsi="仿宋" w:eastAsia="仿宋"/>
          <w:sz w:val="32"/>
          <w:szCs w:val="32"/>
          <w:lang w:val="en-US" w:eastAsia="zh-CN"/>
        </w:rPr>
        <w:t>3</w:t>
      </w:r>
      <w:r>
        <w:rPr>
          <w:rFonts w:ascii="仿宋" w:hAnsi="仿宋" w:eastAsia="仿宋"/>
          <w:sz w:val="32"/>
          <w:szCs w:val="32"/>
        </w:rPr>
        <w:t>年</w:t>
      </w:r>
      <w:r>
        <w:rPr>
          <w:rFonts w:hint="eastAsia" w:ascii="仿宋" w:hAnsi="仿宋" w:eastAsia="仿宋"/>
          <w:sz w:val="32"/>
          <w:szCs w:val="32"/>
        </w:rPr>
        <w:t>“三公”经费财政拨款支出决算中，因公出国（境）费支出决算0万元，占0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2年</w:t>
      </w:r>
      <w:r>
        <w:rPr>
          <w:rFonts w:hint="eastAsia" w:ascii="仿宋_GB2312" w:eastAsia="仿宋_GB2312"/>
          <w:sz w:val="32"/>
          <w:szCs w:val="32"/>
        </w:rPr>
        <w:t>持平。</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与</w:t>
      </w:r>
      <w:r>
        <w:rPr>
          <w:rFonts w:hint="eastAsia" w:ascii="仿宋_GB2312" w:eastAsia="仿宋_GB2312"/>
          <w:sz w:val="32"/>
          <w:szCs w:val="32"/>
          <w:lang w:eastAsia="zh-CN"/>
        </w:rPr>
        <w:t>2022</w:t>
      </w:r>
      <w:r>
        <w:rPr>
          <w:rFonts w:ascii="仿宋_GB2312" w:eastAsia="仿宋_GB2312"/>
          <w:sz w:val="32"/>
          <w:szCs w:val="32"/>
        </w:rPr>
        <w:t>年</w:t>
      </w:r>
      <w:r>
        <w:rPr>
          <w:rFonts w:hint="eastAsia" w:ascii="仿宋_GB2312" w:eastAsia="仿宋_GB2312"/>
          <w:sz w:val="32"/>
          <w:szCs w:val="32"/>
        </w:rPr>
        <w:t>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hint="eastAsia" w:ascii="仿宋_GB2312" w:eastAsia="仿宋_GB2312"/>
          <w:sz w:val="32"/>
          <w:szCs w:val="32"/>
          <w:lang w:eastAsia="zh-CN"/>
        </w:rPr>
        <w:t>2023</w:t>
      </w:r>
      <w:r>
        <w:rPr>
          <w:rFonts w:ascii="仿宋_GB2312" w:eastAsia="仿宋_GB2312"/>
          <w:sz w:val="32"/>
          <w:szCs w:val="32"/>
        </w:rPr>
        <w:t>年12</w:t>
      </w:r>
      <w:r>
        <w:rPr>
          <w:rFonts w:hint="eastAsia" w:ascii="仿宋_GB2312" w:eastAsia="仿宋_GB2312"/>
          <w:sz w:val="32"/>
          <w:szCs w:val="32"/>
        </w:rPr>
        <w:t>月底，单位共有公务用车-辆，其中：轿车0辆、越野车0辆、载客汽车0辆。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val="en-US" w:eastAsia="zh-CN"/>
        </w:rPr>
        <w:t>与</w:t>
      </w:r>
      <w:r>
        <w:rPr>
          <w:rFonts w:hint="eastAsia" w:ascii="仿宋_GB2312" w:eastAsia="仿宋_GB2312"/>
          <w:sz w:val="32"/>
          <w:szCs w:val="32"/>
          <w:lang w:eastAsia="zh-CN"/>
        </w:rPr>
        <w:t>2022</w:t>
      </w:r>
      <w:r>
        <w:rPr>
          <w:rFonts w:ascii="仿宋_GB2312" w:eastAsia="仿宋_GB2312"/>
          <w:sz w:val="32"/>
          <w:szCs w:val="32"/>
        </w:rPr>
        <w:t>年</w:t>
      </w:r>
      <w:r>
        <w:rPr>
          <w:rFonts w:hint="eastAsia" w:ascii="仿宋_GB2312" w:eastAsia="仿宋_GB2312"/>
          <w:sz w:val="32"/>
          <w:szCs w:val="32"/>
        </w:rPr>
        <w:t>基本持平。其中：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outlineLvl w:val="1"/>
        <w:rPr>
          <w:rStyle w:val="26"/>
          <w:rFonts w:ascii="黑体" w:hAnsi="黑体" w:eastAsia="黑体"/>
        </w:rPr>
      </w:pPr>
      <w:bookmarkStart w:id="41" w:name="_Toc15396610"/>
      <w:bookmarkStart w:id="42" w:name="_Toc15377218"/>
      <w:r>
        <w:rPr>
          <w:rFonts w:hint="eastAsia" w:ascii="黑体" w:eastAsia="黑体"/>
          <w:sz w:val="32"/>
          <w:szCs w:val="32"/>
        </w:rPr>
        <w:t>八、</w:t>
      </w:r>
      <w:r>
        <w:rPr>
          <w:rStyle w:val="26"/>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w:t>
      </w:r>
      <w:r>
        <w:rPr>
          <w:rFonts w:hint="eastAsia" w:ascii="仿宋_GB2312" w:eastAsia="仿宋_GB2312"/>
          <w:sz w:val="32"/>
          <w:szCs w:val="32"/>
        </w:rPr>
        <w:t>政府性基金预算财政拨款支出0万元。</w:t>
      </w:r>
    </w:p>
    <w:p>
      <w:pPr>
        <w:numPr>
          <w:ilvl w:val="0"/>
          <w:numId w:val="3"/>
        </w:numPr>
        <w:spacing w:line="600" w:lineRule="exact"/>
        <w:ind w:firstLine="640"/>
        <w:outlineLvl w:val="1"/>
        <w:rPr>
          <w:rStyle w:val="26"/>
          <w:rFonts w:ascii="黑体" w:hAnsi="黑体" w:eastAsia="黑体"/>
          <w:b w:val="0"/>
        </w:rPr>
      </w:pPr>
      <w:bookmarkStart w:id="43" w:name="_Toc15377219"/>
      <w:bookmarkStart w:id="44" w:name="_Toc15396611"/>
      <w:r>
        <w:rPr>
          <w:rStyle w:val="26"/>
          <w:rFonts w:hint="eastAsia" w:ascii="黑体" w:hAnsi="黑体" w:eastAsia="黑体"/>
          <w:b w:val="0"/>
        </w:rPr>
        <w:t>国有资本经营预算支出决算情况说明</w:t>
      </w:r>
      <w:bookmarkEnd w:id="43"/>
      <w:bookmarkEnd w:id="44"/>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2023</w:t>
      </w:r>
      <w:r>
        <w:rPr>
          <w:rFonts w:hint="eastAsia" w:ascii="仿宋_GB2312" w:eastAsia="仿宋_GB2312"/>
          <w:sz w:val="32"/>
          <w:szCs w:val="32"/>
        </w:rPr>
        <w:t>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45" w:name="_Toc15377221"/>
      <w:bookmarkStart w:id="46" w:name="_Toc15396612"/>
      <w:r>
        <w:rPr>
          <w:rStyle w:val="26"/>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rPr>
          <w:rFonts w:ascii="仿宋_GB2312" w:eastAsia="仿宋_GB2312"/>
          <w:sz w:val="32"/>
          <w:szCs w:val="32"/>
        </w:rPr>
      </w:pPr>
      <w:r>
        <w:rPr>
          <w:rFonts w:hint="eastAsia" w:ascii="仿宋_GB2312" w:eastAsia="仿宋_GB2312"/>
          <w:sz w:val="32"/>
          <w:szCs w:val="32"/>
          <w:lang w:eastAsia="zh-CN"/>
        </w:rPr>
        <w:t>2023</w:t>
      </w:r>
      <w:r>
        <w:rPr>
          <w:rFonts w:ascii="仿宋_GB2312" w:eastAsia="仿宋_GB2312"/>
          <w:sz w:val="32"/>
          <w:szCs w:val="32"/>
        </w:rPr>
        <w:t>年</w:t>
      </w:r>
      <w:r>
        <w:rPr>
          <w:rFonts w:hint="eastAsia" w:ascii="仿宋_GB2312" w:eastAsia="仿宋_GB2312"/>
          <w:sz w:val="32"/>
          <w:szCs w:val="32"/>
        </w:rPr>
        <w:t>，机关运行经费支出0万元，</w:t>
      </w:r>
      <w:bookmarkStart w:id="48" w:name="OLE_LINK12"/>
      <w:bookmarkStart w:id="49" w:name="OLE_LINK14"/>
      <w:bookmarkStart w:id="50" w:name="OLE_LINK9"/>
      <w:bookmarkStart w:id="51" w:name="OLE_LINK8"/>
      <w:bookmarkStart w:id="52" w:name="OLE_LINK5"/>
      <w:bookmarkStart w:id="53" w:name="OLE_LINK15"/>
      <w:bookmarkStart w:id="54" w:name="OLE_LINK16"/>
      <w:bookmarkStart w:id="55" w:name="OLE_LINK7"/>
      <w:bookmarkStart w:id="56" w:name="OLE_LINK11"/>
      <w:bookmarkStart w:id="57" w:name="OLE_LINK17"/>
      <w:bookmarkStart w:id="58" w:name="OLE_LINK6"/>
      <w:bookmarkStart w:id="59" w:name="OLE_LINK10"/>
      <w:bookmarkStart w:id="60" w:name="OLE_LINK13"/>
      <w:r>
        <w:rPr>
          <w:rFonts w:hint="eastAsia" w:ascii="仿宋_GB2312" w:eastAsia="仿宋_GB2312" w:cs="Times New Roman"/>
          <w:color w:val="auto"/>
          <w:sz w:val="32"/>
          <w:szCs w:val="32"/>
          <w:highlight w:val="none"/>
          <w:lang w:val="en-US" w:eastAsia="zh-CN"/>
        </w:rPr>
        <w:t>本单位是全额拨款事业单位，没有预算机关运行经费</w:t>
      </w:r>
      <w:bookmarkEnd w:id="48"/>
      <w:bookmarkEnd w:id="49"/>
      <w:bookmarkEnd w:id="50"/>
      <w:bookmarkEnd w:id="51"/>
      <w:bookmarkEnd w:id="52"/>
      <w:bookmarkEnd w:id="53"/>
      <w:bookmarkEnd w:id="54"/>
      <w:bookmarkEnd w:id="55"/>
      <w:bookmarkEnd w:id="56"/>
      <w:bookmarkEnd w:id="57"/>
      <w:bookmarkEnd w:id="58"/>
      <w:bookmarkEnd w:id="59"/>
      <w:bookmarkEnd w:id="60"/>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1" w:name="_Toc15377223"/>
      <w:r>
        <w:rPr>
          <w:rFonts w:hint="eastAsia" w:ascii="仿宋" w:hAnsi="仿宋" w:eastAsia="仿宋"/>
          <w:b/>
          <w:sz w:val="32"/>
          <w:szCs w:val="32"/>
        </w:rPr>
        <w:t>（二）政府采购支出情况</w:t>
      </w:r>
      <w:bookmarkEnd w:id="61"/>
    </w:p>
    <w:p>
      <w:pPr>
        <w:spacing w:line="600" w:lineRule="exact"/>
        <w:ind w:firstLine="640" w:firstLineChars="200"/>
        <w:rPr>
          <w:rFonts w:ascii="仿宋" w:hAnsi="仿宋" w:eastAsia="仿宋"/>
          <w:sz w:val="32"/>
          <w:szCs w:val="32"/>
        </w:rPr>
      </w:pPr>
      <w:r>
        <w:rPr>
          <w:rFonts w:hint="eastAsia" w:ascii="仿宋_GB2312" w:eastAsia="仿宋_GB2312"/>
          <w:sz w:val="32"/>
          <w:szCs w:val="32"/>
          <w:lang w:eastAsia="zh-CN"/>
        </w:rPr>
        <w:t>2023</w:t>
      </w:r>
      <w:r>
        <w:rPr>
          <w:rFonts w:hint="eastAsia" w:ascii="仿宋_GB2312" w:eastAsia="仿宋_GB2312"/>
          <w:sz w:val="32"/>
          <w:szCs w:val="32"/>
        </w:rPr>
        <w:t>年，</w:t>
      </w:r>
      <w:bookmarkStart w:id="62" w:name="_Toc15377224"/>
      <w:r>
        <w:rPr>
          <w:rFonts w:hint="eastAsia" w:ascii="仿宋" w:hAnsi="仿宋" w:eastAsia="仿宋"/>
          <w:sz w:val="32"/>
          <w:szCs w:val="32"/>
        </w:rPr>
        <w:t>学校政府采购支出总额</w:t>
      </w:r>
      <w:r>
        <w:rPr>
          <w:rFonts w:hint="eastAsia" w:ascii="仿宋" w:hAnsi="仿宋" w:eastAsia="仿宋"/>
          <w:sz w:val="32"/>
          <w:szCs w:val="32"/>
          <w:lang w:val="en-US" w:eastAsia="zh-CN"/>
        </w:rPr>
        <w:t>0.72</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0.72</w:t>
      </w:r>
      <w:r>
        <w:rPr>
          <w:rFonts w:hint="eastAsia" w:ascii="仿宋" w:hAnsi="仿宋" w:eastAsia="仿宋"/>
          <w:sz w:val="32"/>
          <w:szCs w:val="32"/>
        </w:rPr>
        <w:t>万元、政府采购工程支出0万元、政府采购服务支出0万元</w:t>
      </w:r>
      <w:r>
        <w:rPr>
          <w:rFonts w:hint="eastAsia" w:ascii="仿宋" w:hAnsi="仿宋" w:eastAsia="仿宋"/>
          <w:sz w:val="32"/>
          <w:szCs w:val="32"/>
          <w:lang w:eastAsia="zh-CN"/>
        </w:rPr>
        <w:t>，</w:t>
      </w:r>
      <w:r>
        <w:rPr>
          <w:rFonts w:hint="eastAsia" w:ascii="仿宋" w:hAnsi="仿宋" w:eastAsia="仿宋"/>
          <w:sz w:val="32"/>
          <w:szCs w:val="32"/>
        </w:rPr>
        <w:t>主要用</w:t>
      </w:r>
      <w:r>
        <w:rPr>
          <w:rFonts w:hint="eastAsia" w:ascii="仿宋" w:hAnsi="仿宋" w:eastAsia="仿宋"/>
          <w:sz w:val="32"/>
          <w:szCs w:val="32"/>
        </w:rPr>
        <w:t>于办公设备购置。授予中小企业合同金额</w:t>
      </w:r>
      <w:r>
        <w:rPr>
          <w:rFonts w:hint="eastAsia" w:ascii="仿宋" w:hAnsi="仿宋" w:eastAsia="仿宋"/>
          <w:sz w:val="32"/>
          <w:szCs w:val="32"/>
          <w:lang w:val="en-US" w:eastAsia="zh-CN"/>
        </w:rPr>
        <w:t>0.72</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91.18</w:t>
      </w:r>
      <w:r>
        <w:rPr>
          <w:rFonts w:ascii="仿宋" w:hAnsi="仿宋" w:eastAsia="仿宋"/>
          <w:sz w:val="32"/>
          <w:szCs w:val="32"/>
        </w:rPr>
        <w:t>%</w:t>
      </w:r>
      <w:r>
        <w:rPr>
          <w:rFonts w:hint="eastAsia" w:ascii="仿宋" w:hAnsi="仿宋" w:eastAsia="仿宋"/>
          <w:sz w:val="32"/>
          <w:szCs w:val="32"/>
        </w:rPr>
        <w:t>，其中：授予小微企业合同金额</w:t>
      </w:r>
      <w:r>
        <w:rPr>
          <w:rFonts w:hint="eastAsia" w:ascii="仿宋" w:hAnsi="仿宋" w:eastAsia="仿宋"/>
          <w:sz w:val="32"/>
          <w:szCs w:val="32"/>
          <w:lang w:val="en-US" w:eastAsia="zh-CN"/>
        </w:rPr>
        <w:t>0</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（三）国有资产占有使用情况</w:t>
      </w:r>
      <w:bookmarkEnd w:id="6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w:t>
      </w:r>
      <w:r>
        <w:rPr>
          <w:rFonts w:hint="eastAsia" w:ascii="仿宋" w:hAnsi="仿宋" w:eastAsia="仿宋"/>
          <w:sz w:val="32"/>
          <w:szCs w:val="32"/>
        </w:rPr>
        <w:t>至</w:t>
      </w:r>
      <w:r>
        <w:rPr>
          <w:rFonts w:hint="eastAsia" w:ascii="仿宋" w:hAnsi="仿宋" w:eastAsia="仿宋"/>
          <w:sz w:val="32"/>
          <w:szCs w:val="32"/>
          <w:lang w:eastAsia="zh-CN"/>
        </w:rPr>
        <w:t>2023</w:t>
      </w:r>
      <w:r>
        <w:rPr>
          <w:rFonts w:ascii="仿宋" w:hAnsi="仿宋" w:eastAsia="仿宋"/>
          <w:sz w:val="32"/>
          <w:szCs w:val="32"/>
        </w:rPr>
        <w:t>年12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日，共有车辆0辆，其中：主要领导干部用车0辆、机要通信用车0辆、应急保障用车0辆、其他用车0辆。单价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6"/>
        <w:spacing w:before="93"/>
        <w:ind w:firstLine="640" w:firstLineChars="200"/>
        <w:rPr>
          <w:rFonts w:hint="eastAsia" w:ascii="仿宋" w:hAnsi="仿宋" w:eastAsia="仿宋" w:cs="Times New Roman"/>
          <w:kern w:val="2"/>
          <w:sz w:val="32"/>
          <w:szCs w:val="32"/>
          <w:lang w:val="en-US" w:eastAsia="zh-CN" w:bidi="ar-SA"/>
        </w:rPr>
      </w:pPr>
      <w:bookmarkStart w:id="63" w:name="OLE_LINK3"/>
      <w:bookmarkStart w:id="64" w:name="OLE_LINK4"/>
      <w:r>
        <w:rPr>
          <w:rFonts w:hint="eastAsia" w:ascii="仿宋" w:hAnsi="仿宋" w:eastAsia="仿宋" w:cs="Times New Roman"/>
          <w:kern w:val="2"/>
          <w:sz w:val="32"/>
          <w:szCs w:val="32"/>
          <w:lang w:val="en-US" w:eastAsia="zh-CN" w:bidi="ar-SA"/>
        </w:rPr>
        <w:t>根据预算绩效管理要求，本单位在2023年度预算编制阶段，没有需要做预算事前绩效评估项目，故未开展预算绩效评估，组织对人员类、运转类、特定目标</w:t>
      </w:r>
      <w:bookmarkEnd w:id="63"/>
      <w:r>
        <w:rPr>
          <w:rFonts w:hint="eastAsia" w:ascii="仿宋" w:hAnsi="仿宋" w:eastAsia="仿宋" w:cs="Times New Roman"/>
          <w:kern w:val="2"/>
          <w:sz w:val="32"/>
          <w:szCs w:val="32"/>
          <w:lang w:val="en-US" w:eastAsia="zh-CN" w:bidi="ar-SA"/>
        </w:rPr>
        <w:t>等42个项目编制了绩效目标，</w:t>
      </w:r>
      <w:bookmarkEnd w:id="64"/>
      <w:r>
        <w:rPr>
          <w:rFonts w:hint="eastAsia" w:ascii="仿宋" w:hAnsi="仿宋" w:eastAsia="仿宋" w:cs="Times New Roman"/>
          <w:kern w:val="2"/>
          <w:sz w:val="32"/>
          <w:szCs w:val="32"/>
          <w:lang w:val="en-US" w:eastAsia="zh-CN" w:bidi="ar-SA"/>
        </w:rPr>
        <w:t>预算执行过程中，选取了1个项目开展绩效监控，组织对‘</w:t>
      </w:r>
      <w:r>
        <w:rPr>
          <w:rFonts w:hint="default" w:ascii="仿宋" w:hAnsi="仿宋" w:eastAsia="仿宋" w:cs="Times New Roman"/>
          <w:kern w:val="2"/>
          <w:sz w:val="32"/>
          <w:szCs w:val="32"/>
          <w:lang w:val="en-US" w:eastAsia="zh-CN" w:bidi="ar-SA"/>
        </w:rPr>
        <w:t>四类学生课后服务保障经费（城市）项目</w:t>
      </w:r>
      <w:r>
        <w:rPr>
          <w:rFonts w:hint="eastAsia" w:ascii="仿宋" w:hAnsi="仿宋" w:eastAsia="仿宋" w:cs="Times New Roman"/>
          <w:kern w:val="2"/>
          <w:sz w:val="32"/>
          <w:szCs w:val="32"/>
          <w:lang w:val="en-US" w:eastAsia="zh-CN" w:bidi="ar-SA"/>
        </w:rPr>
        <w:t>’等1个项目开展绩效自评，绩效自评表详见第四部分附件。</w:t>
      </w: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pStyle w:val="6"/>
        <w:spacing w:before="93"/>
        <w:ind w:firstLine="640" w:firstLineChars="200"/>
        <w:rPr>
          <w:rFonts w:hAnsi="仿宋_GB2312" w:cs="仿宋_GB2312"/>
          <w:sz w:val="32"/>
          <w:szCs w:val="32"/>
        </w:rPr>
      </w:pPr>
    </w:p>
    <w:p>
      <w:pPr>
        <w:numPr>
          <w:ilvl w:val="0"/>
          <w:numId w:val="4"/>
        </w:numPr>
        <w:spacing w:line="600" w:lineRule="exact"/>
        <w:ind w:firstLine="660" w:firstLineChars="150"/>
        <w:jc w:val="center"/>
        <w:outlineLvl w:val="0"/>
        <w:rPr>
          <w:rStyle w:val="25"/>
          <w:rFonts w:ascii="黑体" w:hAnsi="黑体" w:eastAsia="黑体"/>
          <w:b w:val="0"/>
        </w:rPr>
      </w:pPr>
      <w:bookmarkStart w:id="65" w:name="_Toc15396613"/>
      <w:bookmarkStart w:id="66" w:name="_Toc15377225"/>
      <w:r>
        <w:rPr>
          <w:rFonts w:hint="eastAsia" w:ascii="黑体" w:hAnsi="黑体" w:eastAsia="黑体"/>
          <w:sz w:val="44"/>
          <w:szCs w:val="44"/>
        </w:rPr>
        <w:t>名</w:t>
      </w:r>
      <w:r>
        <w:rPr>
          <w:rStyle w:val="25"/>
          <w:rFonts w:hint="eastAsia" w:ascii="黑体" w:hAnsi="黑体" w:eastAsia="黑体"/>
          <w:b w:val="0"/>
        </w:rPr>
        <w:t>词解释</w:t>
      </w:r>
      <w:bookmarkEnd w:id="65"/>
      <w:bookmarkEnd w:id="66"/>
    </w:p>
    <w:p>
      <w:pPr>
        <w:spacing w:line="600" w:lineRule="exact"/>
        <w:jc w:val="left"/>
        <w:rPr>
          <w:rFonts w:ascii="宋体"/>
          <w:b/>
          <w:sz w:val="44"/>
          <w:szCs w:val="44"/>
        </w:rPr>
      </w:pPr>
    </w:p>
    <w:p>
      <w:pPr>
        <w:pStyle w:val="23"/>
        <w:spacing w:line="560" w:lineRule="exact"/>
        <w:ind w:firstLine="640" w:firstLineChars="200"/>
        <w:rPr>
          <w:rFonts w:hAnsi="仿宋"/>
          <w:color w:val="auto"/>
          <w:sz w:val="32"/>
          <w:szCs w:val="32"/>
        </w:rPr>
      </w:pPr>
      <w:bookmarkStart w:id="67" w:name="_Toc15396614"/>
      <w:bookmarkStart w:id="68" w:name="_Toc15377226"/>
      <w:r>
        <w:rPr>
          <w:rFonts w:hAnsi="仿宋"/>
          <w:color w:val="auto"/>
          <w:sz w:val="32"/>
          <w:szCs w:val="32"/>
        </w:rPr>
        <w:t>1.</w:t>
      </w:r>
      <w:r>
        <w:rPr>
          <w:rFonts w:hint="eastAsia" w:hAnsi="仿宋"/>
          <w:color w:val="auto"/>
          <w:sz w:val="32"/>
          <w:szCs w:val="32"/>
        </w:rPr>
        <w:t>财政拨款收入：指单位从同级财政部门取得的财政预算资金。</w:t>
      </w:r>
    </w:p>
    <w:p>
      <w:pPr>
        <w:pStyle w:val="23"/>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pPr>
        <w:pStyle w:val="23"/>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pPr>
        <w:pStyle w:val="23"/>
        <w:spacing w:line="560" w:lineRule="exact"/>
        <w:ind w:left="638" w:leftChars="304"/>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p>
    <w:p>
      <w:pPr>
        <w:pStyle w:val="23"/>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p>
    <w:p>
      <w:pPr>
        <w:pStyle w:val="23"/>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pPr>
        <w:pStyle w:val="23"/>
        <w:spacing w:line="560" w:lineRule="exact"/>
        <w:ind w:firstLine="640" w:firstLineChars="200"/>
        <w:rPr>
          <w:rFonts w:hAnsi="仿宋"/>
          <w:sz w:val="32"/>
          <w:szCs w:val="32"/>
        </w:rPr>
      </w:pPr>
      <w:r>
        <w:rPr>
          <w:rFonts w:hint="eastAsia" w:hAnsi="仿宋"/>
          <w:sz w:val="32"/>
          <w:szCs w:val="32"/>
        </w:rPr>
        <w:t>9</w:t>
      </w:r>
      <w:r>
        <w:rPr>
          <w:rFonts w:hAnsi="仿宋"/>
          <w:sz w:val="32"/>
          <w:szCs w:val="32"/>
        </w:rPr>
        <w:t>.</w:t>
      </w:r>
      <w:r>
        <w:rPr>
          <w:rFonts w:hint="eastAsia" w:hAnsi="仿宋"/>
          <w:sz w:val="32"/>
          <w:szCs w:val="32"/>
        </w:rPr>
        <w:t>教育（类）普通教育（款）小学教育（项）</w:t>
      </w:r>
      <w:r>
        <w:rPr>
          <w:rFonts w:hAnsi="仿宋"/>
          <w:sz w:val="32"/>
          <w:szCs w:val="32"/>
        </w:rPr>
        <w:t xml:space="preserve">: </w:t>
      </w:r>
      <w:r>
        <w:rPr>
          <w:rFonts w:hint="eastAsia" w:hAnsi="仿宋"/>
          <w:sz w:val="32"/>
          <w:szCs w:val="32"/>
        </w:rPr>
        <w:t>反映各部门举办的小学教育支出。政府各部门对社会中介组织等举办的小学的资助，如各类捐赠、补贴等，也在本科目中反映。</w:t>
      </w:r>
    </w:p>
    <w:p>
      <w:pPr>
        <w:pStyle w:val="23"/>
        <w:spacing w:line="560" w:lineRule="exact"/>
        <w:ind w:firstLine="640" w:firstLineChars="200"/>
        <w:rPr>
          <w:rFonts w:hAnsi="仿宋"/>
          <w:sz w:val="32"/>
          <w:szCs w:val="32"/>
        </w:rPr>
      </w:pPr>
      <w:r>
        <w:rPr>
          <w:rFonts w:hint="eastAsia" w:hAnsi="仿宋"/>
          <w:sz w:val="32"/>
          <w:szCs w:val="32"/>
        </w:rPr>
        <w:t>10</w:t>
      </w:r>
      <w:r>
        <w:rPr>
          <w:rFonts w:hAnsi="仿宋"/>
          <w:sz w:val="32"/>
          <w:szCs w:val="32"/>
        </w:rPr>
        <w:t>.</w:t>
      </w:r>
      <w:r>
        <w:rPr>
          <w:rFonts w:hint="eastAsia" w:hAnsi="仿宋"/>
          <w:sz w:val="32"/>
          <w:szCs w:val="32"/>
        </w:rPr>
        <w:t>教育（类）普通教育（款）其他普通教育支出（项）</w:t>
      </w:r>
      <w:r>
        <w:rPr>
          <w:rFonts w:hAnsi="仿宋"/>
          <w:sz w:val="32"/>
          <w:szCs w:val="32"/>
        </w:rPr>
        <w:t xml:space="preserve">: </w:t>
      </w:r>
      <w:r>
        <w:rPr>
          <w:rFonts w:hint="eastAsia" w:hAnsi="仿宋"/>
          <w:sz w:val="32"/>
          <w:szCs w:val="32"/>
        </w:rPr>
        <w:t>反映除上述项目以外其它用于普通教育方面的支出。</w:t>
      </w:r>
    </w:p>
    <w:p>
      <w:pPr>
        <w:pStyle w:val="23"/>
        <w:spacing w:line="560" w:lineRule="exact"/>
        <w:ind w:firstLine="640" w:firstLineChars="200"/>
        <w:rPr>
          <w:rFonts w:hAnsi="仿宋"/>
          <w:sz w:val="32"/>
          <w:szCs w:val="32"/>
        </w:rPr>
      </w:pPr>
      <w:r>
        <w:rPr>
          <w:rFonts w:hint="eastAsia" w:hAnsi="仿宋"/>
          <w:sz w:val="32"/>
          <w:szCs w:val="32"/>
        </w:rPr>
        <w:t>11</w:t>
      </w:r>
      <w:r>
        <w:rPr>
          <w:rFonts w:hAnsi="仿宋"/>
          <w:sz w:val="32"/>
          <w:szCs w:val="32"/>
        </w:rPr>
        <w:t>.</w:t>
      </w:r>
      <w:r>
        <w:rPr>
          <w:rFonts w:hint="eastAsia" w:hAnsi="仿宋"/>
          <w:sz w:val="32"/>
          <w:szCs w:val="32"/>
        </w:rPr>
        <w:t>社会保障和就业（类）行政事业单位养老支出（款）机关事业单位基本养老保险缴费支出（项）</w:t>
      </w:r>
      <w:r>
        <w:rPr>
          <w:rFonts w:hAnsi="仿宋"/>
          <w:sz w:val="32"/>
          <w:szCs w:val="32"/>
        </w:rPr>
        <w:t xml:space="preserve">: </w:t>
      </w:r>
      <w:r>
        <w:rPr>
          <w:rFonts w:hint="eastAsia" w:hAnsi="仿宋"/>
          <w:sz w:val="32"/>
          <w:szCs w:val="32"/>
        </w:rPr>
        <w:t>反映机关事业单位实施养老保险制度由单位缴纳的基本养老保险费支出。</w:t>
      </w:r>
    </w:p>
    <w:p>
      <w:pPr>
        <w:pStyle w:val="23"/>
        <w:spacing w:line="560" w:lineRule="exact"/>
        <w:ind w:firstLine="640" w:firstLineChars="200"/>
        <w:rPr>
          <w:rFonts w:hAnsi="仿宋"/>
          <w:sz w:val="32"/>
          <w:szCs w:val="32"/>
        </w:rPr>
      </w:pPr>
      <w:r>
        <w:rPr>
          <w:rFonts w:hint="eastAsia" w:hAnsi="仿宋"/>
          <w:sz w:val="32"/>
          <w:szCs w:val="32"/>
        </w:rPr>
        <w:t>12</w:t>
      </w:r>
      <w:r>
        <w:rPr>
          <w:rFonts w:hAnsi="仿宋"/>
          <w:sz w:val="32"/>
          <w:szCs w:val="32"/>
        </w:rPr>
        <w:t>.</w:t>
      </w:r>
      <w:r>
        <w:rPr>
          <w:rFonts w:hint="eastAsia" w:hAnsi="仿宋"/>
          <w:sz w:val="32"/>
          <w:szCs w:val="32"/>
        </w:rPr>
        <w:t>社会保障和就业（类）民政管理事务（款）基层政权建设和社区治理（项）</w:t>
      </w:r>
      <w:r>
        <w:rPr>
          <w:rFonts w:hAnsi="仿宋"/>
          <w:sz w:val="32"/>
          <w:szCs w:val="32"/>
        </w:rPr>
        <w:t xml:space="preserve">: </w:t>
      </w:r>
      <w:r>
        <w:rPr>
          <w:rFonts w:hint="eastAsia" w:hAnsi="仿宋"/>
          <w:sz w:val="32"/>
          <w:szCs w:val="32"/>
        </w:rPr>
        <w:t>反映民政管理事务实施基层政权建设和社区治理支出。</w:t>
      </w:r>
    </w:p>
    <w:p>
      <w:pPr>
        <w:pStyle w:val="23"/>
        <w:spacing w:line="560" w:lineRule="exact"/>
        <w:ind w:firstLine="640" w:firstLineChars="200"/>
        <w:rPr>
          <w:rFonts w:hAnsi="仿宋"/>
          <w:sz w:val="32"/>
          <w:szCs w:val="32"/>
        </w:rPr>
      </w:pPr>
      <w:r>
        <w:rPr>
          <w:rFonts w:hint="eastAsia" w:hAnsi="仿宋"/>
          <w:sz w:val="32"/>
          <w:szCs w:val="32"/>
        </w:rPr>
        <w:t>13</w:t>
      </w:r>
      <w:r>
        <w:rPr>
          <w:rFonts w:hAnsi="仿宋"/>
          <w:sz w:val="32"/>
          <w:szCs w:val="32"/>
        </w:rPr>
        <w:t>.</w:t>
      </w:r>
      <w:r>
        <w:rPr>
          <w:rFonts w:hint="eastAsia" w:hAnsi="仿宋"/>
          <w:sz w:val="32"/>
          <w:szCs w:val="32"/>
        </w:rPr>
        <w:t>社会保障和就业（类）行政事业单位养老支出（款）机关事业单位职业年金缴费支出（项）</w:t>
      </w:r>
      <w:r>
        <w:rPr>
          <w:rFonts w:hAnsi="仿宋"/>
          <w:sz w:val="32"/>
          <w:szCs w:val="32"/>
        </w:rPr>
        <w:t xml:space="preserve">: </w:t>
      </w:r>
      <w:r>
        <w:rPr>
          <w:rFonts w:hint="eastAsia" w:hAnsi="仿宋"/>
          <w:sz w:val="32"/>
          <w:szCs w:val="32"/>
        </w:rPr>
        <w:t>反映机关事业单位实施养老保险制度由单位缴纳的职业年金缴费支出。</w:t>
      </w:r>
    </w:p>
    <w:p>
      <w:pPr>
        <w:pStyle w:val="23"/>
        <w:spacing w:line="560" w:lineRule="exact"/>
        <w:ind w:firstLine="640" w:firstLineChars="200"/>
        <w:rPr>
          <w:rFonts w:hAnsi="仿宋"/>
          <w:sz w:val="32"/>
          <w:szCs w:val="32"/>
        </w:rPr>
      </w:pPr>
      <w:r>
        <w:rPr>
          <w:rFonts w:hint="eastAsia" w:hAnsi="仿宋"/>
          <w:sz w:val="32"/>
          <w:szCs w:val="32"/>
        </w:rPr>
        <w:t>14</w:t>
      </w:r>
      <w:r>
        <w:rPr>
          <w:rFonts w:hAnsi="仿宋"/>
          <w:sz w:val="32"/>
          <w:szCs w:val="32"/>
        </w:rPr>
        <w:t>.</w:t>
      </w:r>
      <w:r>
        <w:rPr>
          <w:rFonts w:hint="eastAsia" w:hAnsi="仿宋"/>
          <w:sz w:val="32"/>
          <w:szCs w:val="32"/>
        </w:rPr>
        <w:t>社会保障和就业（类）其他社会保障和就业支出（款）其他社会保障和就业支出（项）</w:t>
      </w:r>
      <w:r>
        <w:rPr>
          <w:rFonts w:hAnsi="仿宋"/>
          <w:sz w:val="32"/>
          <w:szCs w:val="32"/>
        </w:rPr>
        <w:t xml:space="preserve">: </w:t>
      </w:r>
      <w:r>
        <w:rPr>
          <w:rFonts w:hint="eastAsia" w:hAnsi="仿宋"/>
          <w:sz w:val="32"/>
          <w:szCs w:val="32"/>
        </w:rPr>
        <w:t>反映上述项目以外其他</w:t>
      </w:r>
      <w:bookmarkStart w:id="85" w:name="_GoBack"/>
      <w:bookmarkEnd w:id="85"/>
      <w:r>
        <w:rPr>
          <w:rFonts w:hint="eastAsia" w:hAnsi="仿宋"/>
          <w:sz w:val="32"/>
          <w:szCs w:val="32"/>
        </w:rPr>
        <w:t>用于社会保障和就业方面的支出。</w:t>
      </w:r>
    </w:p>
    <w:p>
      <w:pPr>
        <w:pStyle w:val="23"/>
        <w:spacing w:line="560" w:lineRule="exact"/>
        <w:ind w:firstLine="640" w:firstLineChars="200"/>
        <w:rPr>
          <w:rFonts w:hAnsi="仿宋"/>
          <w:sz w:val="32"/>
          <w:szCs w:val="32"/>
        </w:rPr>
      </w:pPr>
      <w:r>
        <w:rPr>
          <w:rFonts w:hint="eastAsia" w:hAnsi="仿宋"/>
          <w:sz w:val="32"/>
          <w:szCs w:val="32"/>
        </w:rPr>
        <w:t>15</w:t>
      </w:r>
      <w:r>
        <w:rPr>
          <w:rFonts w:hAnsi="仿宋"/>
          <w:sz w:val="32"/>
          <w:szCs w:val="32"/>
        </w:rPr>
        <w:t>.</w:t>
      </w:r>
      <w:r>
        <w:rPr>
          <w:rFonts w:hint="eastAsia" w:hAnsi="仿宋"/>
          <w:sz w:val="32"/>
          <w:szCs w:val="32"/>
        </w:rPr>
        <w:t>医疗卫生与计划生育（类）行政事业单位医疗（款）事业单位医疗（项）</w:t>
      </w:r>
      <w:r>
        <w:rPr>
          <w:rFonts w:hAnsi="仿宋"/>
          <w:sz w:val="32"/>
          <w:szCs w:val="32"/>
        </w:rPr>
        <w:t>:</w:t>
      </w:r>
      <w:r>
        <w:rPr>
          <w:rFonts w:hint="eastAsia" w:hAnsi="仿宋"/>
          <w:sz w:val="32"/>
          <w:szCs w:val="32"/>
        </w:rPr>
        <w:t>反映财政部门集中安排的事业单位基本医疗保险缴费经费，未参加医疗保险的事业单位的公费医疗经费，按国家规定享受离休人员待遇的医疗经费。</w:t>
      </w:r>
    </w:p>
    <w:p>
      <w:pPr>
        <w:pStyle w:val="23"/>
        <w:spacing w:line="560" w:lineRule="exact"/>
        <w:ind w:firstLine="640" w:firstLineChars="200"/>
        <w:rPr>
          <w:rFonts w:hAnsi="仿宋"/>
          <w:sz w:val="32"/>
          <w:szCs w:val="32"/>
        </w:rPr>
      </w:pPr>
      <w:r>
        <w:rPr>
          <w:rFonts w:hint="eastAsia" w:hAnsi="仿宋"/>
          <w:sz w:val="32"/>
          <w:szCs w:val="32"/>
        </w:rPr>
        <w:t>16</w:t>
      </w:r>
      <w:r>
        <w:rPr>
          <w:rFonts w:hAnsi="仿宋"/>
          <w:sz w:val="32"/>
          <w:szCs w:val="32"/>
        </w:rPr>
        <w:t>.</w:t>
      </w:r>
      <w:r>
        <w:rPr>
          <w:rFonts w:hint="eastAsia" w:hAnsi="仿宋"/>
          <w:sz w:val="32"/>
          <w:szCs w:val="32"/>
        </w:rPr>
        <w:t>医疗卫生与计划生育（类）行政事业单位医疗（款）公务员医疗补助（项）</w:t>
      </w:r>
      <w:r>
        <w:rPr>
          <w:rFonts w:hAnsi="仿宋"/>
          <w:sz w:val="32"/>
          <w:szCs w:val="32"/>
        </w:rPr>
        <w:t>:</w:t>
      </w:r>
      <w:r>
        <w:rPr>
          <w:rFonts w:hint="eastAsia" w:hAnsi="仿宋"/>
          <w:sz w:val="32"/>
          <w:szCs w:val="32"/>
        </w:rPr>
        <w:t>反映财政部门集中安排的公务员医疗补助经费。</w:t>
      </w:r>
    </w:p>
    <w:p>
      <w:pPr>
        <w:pStyle w:val="23"/>
        <w:spacing w:line="560" w:lineRule="exact"/>
        <w:ind w:firstLine="640" w:firstLineChars="200"/>
        <w:rPr>
          <w:rFonts w:hAnsi="仿宋"/>
          <w:sz w:val="32"/>
          <w:szCs w:val="32"/>
        </w:rPr>
      </w:pPr>
      <w:r>
        <w:rPr>
          <w:rFonts w:hint="eastAsia" w:hAnsi="仿宋"/>
          <w:sz w:val="32"/>
          <w:szCs w:val="32"/>
        </w:rPr>
        <w:t>17</w:t>
      </w:r>
      <w:r>
        <w:rPr>
          <w:rFonts w:hAnsi="仿宋"/>
          <w:sz w:val="32"/>
          <w:szCs w:val="32"/>
        </w:rPr>
        <w:t>.</w:t>
      </w:r>
      <w:r>
        <w:rPr>
          <w:rFonts w:hint="eastAsia" w:hAnsi="仿宋"/>
          <w:sz w:val="32"/>
          <w:szCs w:val="32"/>
        </w:rPr>
        <w:t>住房保障支出（类）住房改革支出（款）住房公积金（项）</w:t>
      </w:r>
      <w:r>
        <w:rPr>
          <w:rFonts w:hAnsi="仿宋"/>
          <w:sz w:val="32"/>
          <w:szCs w:val="32"/>
        </w:rPr>
        <w:t>:</w:t>
      </w:r>
      <w:r>
        <w:rPr>
          <w:rFonts w:hint="eastAsia" w:hAnsi="仿宋"/>
          <w:sz w:val="32"/>
          <w:szCs w:val="32"/>
        </w:rPr>
        <w:t>反映行政事业单位按人力资源和社会保障部、财政部规定的基本工资和津贴补贴以及规定比例为职工缴纳的住房公积金。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18</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rPr>
        <w:t>19</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pPr>
        <w:ind w:firstLine="640" w:firstLineChars="200"/>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pPr>
        <w:pStyle w:val="23"/>
        <w:spacing w:line="560" w:lineRule="exact"/>
        <w:ind w:firstLine="640" w:firstLineChars="200"/>
        <w:rPr>
          <w:rFonts w:hAnsi="仿宋"/>
          <w:color w:val="auto"/>
          <w:sz w:val="32"/>
          <w:szCs w:val="32"/>
        </w:rPr>
      </w:pPr>
      <w:r>
        <w:rPr>
          <w:rFonts w:hint="eastAsia" w:hAnsi="仿宋"/>
          <w:color w:val="auto"/>
          <w:sz w:val="32"/>
          <w:szCs w:val="32"/>
        </w:rPr>
        <w:t>21</w:t>
      </w:r>
      <w:r>
        <w:rPr>
          <w:rFonts w:hAnsi="仿宋"/>
          <w:color w:val="auto"/>
          <w:sz w:val="32"/>
          <w:szCs w:val="32"/>
        </w:rPr>
        <w:t>.</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Ansi="仿宋"/>
          <w:color w:val="auto"/>
          <w:sz w:val="32"/>
          <w:szCs w:val="32"/>
        </w:rPr>
      </w:pPr>
      <w:r>
        <w:rPr>
          <w:rFonts w:hint="eastAsia" w:hAnsi="仿宋"/>
          <w:color w:val="auto"/>
          <w:sz w:val="32"/>
          <w:szCs w:val="32"/>
        </w:rPr>
        <w:t>22</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6"/>
        <w:rPr>
          <w:rFonts w:ascii="黑体" w:hAnsi="黑体" w:eastAsia="黑体"/>
          <w:sz w:val="44"/>
          <w:szCs w:val="44"/>
        </w:rPr>
      </w:pPr>
    </w:p>
    <w:p>
      <w:pPr>
        <w:numPr>
          <w:ilvl w:val="0"/>
          <w:numId w:val="4"/>
        </w:numPr>
        <w:spacing w:line="600" w:lineRule="exact"/>
        <w:ind w:left="0" w:leftChars="0" w:firstLine="660" w:firstLineChars="150"/>
        <w:jc w:val="center"/>
        <w:outlineLvl w:val="0"/>
        <w:rPr>
          <w:rStyle w:val="25"/>
          <w:rFonts w:hint="eastAsia" w:ascii="黑体" w:hAnsi="黑体" w:eastAsia="黑体"/>
          <w:b w:val="0"/>
        </w:rPr>
      </w:pPr>
      <w:r>
        <w:rPr>
          <w:rStyle w:val="25"/>
          <w:rFonts w:hint="eastAsia" w:ascii="黑体" w:hAnsi="黑体" w:eastAsia="黑体"/>
          <w:b w:val="0"/>
        </w:rPr>
        <w:t>附件</w:t>
      </w:r>
      <w:bookmarkEnd w:id="67"/>
    </w:p>
    <w:tbl>
      <w:tblPr>
        <w:tblStyle w:val="13"/>
        <w:tblW w:w="51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12"/>
        <w:gridCol w:w="1177"/>
        <w:gridCol w:w="4"/>
        <w:gridCol w:w="962"/>
        <w:gridCol w:w="22"/>
        <w:gridCol w:w="1308"/>
        <w:gridCol w:w="16"/>
        <w:gridCol w:w="396"/>
        <w:gridCol w:w="18"/>
        <w:gridCol w:w="915"/>
        <w:gridCol w:w="18"/>
        <w:gridCol w:w="422"/>
        <w:gridCol w:w="25"/>
        <w:gridCol w:w="754"/>
        <w:gridCol w:w="7"/>
        <w:gridCol w:w="495"/>
        <w:gridCol w:w="11"/>
        <w:gridCol w:w="511"/>
        <w:gridCol w:w="20"/>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51090323T000008239682-四类学生课后服务保障经费（城市）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430" w:type="pct"/>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4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四川省遂宁市船山区裕丰街小学校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经区财政局批复我校2023年四类学生课后服务补助1.07万元，当年实际到位1.07万元，实际支付1.07万元，资金完全用于四类学生进行免费课后服务补助</w:t>
            </w:r>
          </w:p>
        </w:tc>
        <w:tc>
          <w:tcPr>
            <w:tcW w:w="17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按照要求完成年度目标，保障了学校正常运转。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该项目主要是保障“四类”学生正常参加课后服务活动，</w:t>
            </w:r>
            <w:r>
              <w:rPr>
                <w:rFonts w:ascii="宋体" w:hAnsi="宋体" w:eastAsia="宋体" w:cs="宋体"/>
                <w:i w:val="0"/>
                <w:iCs w:val="0"/>
                <w:color w:val="000000"/>
                <w:kern w:val="0"/>
                <w:sz w:val="18"/>
                <w:szCs w:val="18"/>
                <w:u w:val="none"/>
                <w:lang w:val="zh-CN" w:eastAsia="zh-CN" w:bidi="ar"/>
              </w:rPr>
              <w:t>减轻学生及家长负担，丰富学生校园活动，</w:t>
            </w:r>
            <w:r>
              <w:rPr>
                <w:rFonts w:ascii="宋体" w:hAnsi="宋体" w:eastAsia="宋体" w:cs="宋体"/>
                <w:i w:val="0"/>
                <w:iCs w:val="0"/>
                <w:color w:val="000000"/>
                <w:kern w:val="0"/>
                <w:sz w:val="18"/>
                <w:szCs w:val="18"/>
                <w:u w:val="none"/>
                <w:lang w:val="en-US" w:eastAsia="zh-CN" w:bidi="ar"/>
              </w:rPr>
              <w:t>让</w:t>
            </w:r>
            <w:r>
              <w:rPr>
                <w:rFonts w:ascii="宋体" w:hAnsi="宋体" w:eastAsia="宋体" w:cs="宋体"/>
                <w:i w:val="0"/>
                <w:iCs w:val="0"/>
                <w:color w:val="000000"/>
                <w:kern w:val="0"/>
                <w:sz w:val="18"/>
                <w:szCs w:val="18"/>
                <w:u w:val="none"/>
                <w:lang w:val="zh-CN" w:eastAsia="zh-CN" w:bidi="ar"/>
              </w:rPr>
              <w:t>学生得到全面发展</w:t>
            </w: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9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7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9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66.30%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vMerge w:val="restart"/>
            <w:tcBorders>
              <w:top w:val="single" w:color="000000" w:sz="4" w:space="0"/>
              <w:left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c>
          <w:tcPr>
            <w:tcW w:w="65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补助人数</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5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11</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c>
          <w:tcPr>
            <w:tcW w:w="65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i w:val="0"/>
                <w:iCs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资金覆盖率</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i w:val="0"/>
                <w:iCs w:val="0"/>
                <w:color w:val="000000"/>
                <w:sz w:val="18"/>
                <w:szCs w:val="18"/>
                <w:u w:val="none"/>
              </w:rPr>
            </w:pPr>
          </w:p>
        </w:tc>
        <w:tc>
          <w:tcPr>
            <w:tcW w:w="65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完成年度</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2023年</w:t>
            </w:r>
          </w:p>
        </w:tc>
        <w:tc>
          <w:tcPr>
            <w:tcW w:w="25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2023年</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i w:val="0"/>
                <w:iCs w:val="0"/>
                <w:color w:val="000000"/>
                <w:sz w:val="18"/>
                <w:szCs w:val="18"/>
                <w:u w:val="none"/>
              </w:rPr>
            </w:pPr>
          </w:p>
        </w:tc>
        <w:tc>
          <w:tcPr>
            <w:tcW w:w="65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效益指标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社会效益指标</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四类人员应补尽补</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w:t>
            </w:r>
          </w:p>
        </w:tc>
        <w:tc>
          <w:tcPr>
            <w:tcW w:w="25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i w:val="0"/>
                <w:iCs w:val="0"/>
                <w:color w:val="000000"/>
                <w:sz w:val="18"/>
                <w:szCs w:val="18"/>
                <w:u w:val="none"/>
              </w:rPr>
            </w:pPr>
          </w:p>
        </w:tc>
        <w:tc>
          <w:tcPr>
            <w:tcW w:w="65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i/>
                <w:iCs/>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可持续发展指标</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补助发放管理机制</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定性</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优</w:t>
            </w:r>
          </w:p>
        </w:tc>
        <w:tc>
          <w:tcPr>
            <w:tcW w:w="25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优</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宋体" w:hAnsi="宋体" w:eastAsia="宋体" w:cs="宋体"/>
                <w:i w:val="0"/>
                <w:iCs w:val="0"/>
                <w:color w:val="000000"/>
                <w:sz w:val="18"/>
                <w:szCs w:val="18"/>
                <w:u w:val="none"/>
              </w:rPr>
            </w:pPr>
          </w:p>
        </w:tc>
        <w:tc>
          <w:tcPr>
            <w:tcW w:w="659"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服务对象满意度指标</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四类人员补助对象满意度</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98</w:t>
            </w:r>
          </w:p>
        </w:tc>
        <w:tc>
          <w:tcPr>
            <w:tcW w:w="25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98</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指标设置无法进行有效衡量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黑体" w:hAnsi="黑体" w:eastAsia="黑体" w:cs="黑体"/>
                <w:i w:val="0"/>
                <w:iCs w:val="0"/>
                <w:color w:val="000000"/>
                <w:sz w:val="18"/>
                <w:szCs w:val="18"/>
                <w:u w:val="none"/>
              </w:rPr>
            </w:pPr>
          </w:p>
        </w:tc>
        <w:tc>
          <w:tcPr>
            <w:tcW w:w="659"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成本指标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课后服务费  元/年</w:t>
            </w:r>
          </w:p>
        </w:tc>
        <w:tc>
          <w:tcPr>
            <w:tcW w:w="2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1530</w:t>
            </w:r>
          </w:p>
        </w:tc>
        <w:tc>
          <w:tcPr>
            <w:tcW w:w="256"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元/年</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hint="eastAsia" w:ascii="微软雅黑" w:hAnsi="微软雅黑" w:eastAsia="微软雅黑" w:cs="微软雅黑"/>
                <w:i/>
                <w:iCs/>
                <w:color w:val="000000"/>
                <w:kern w:val="0"/>
                <w:sz w:val="16"/>
                <w:szCs w:val="16"/>
                <w:u w:val="none"/>
                <w:lang w:val="en-US" w:eastAsia="zh-CN" w:bidi="ar"/>
              </w:rPr>
              <w:t>1530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2" w:type="pct"/>
            <w:gridSpan w:val="2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left"/>
              <w:textAlignment w:val="center"/>
              <w:rPr>
                <w:rFonts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四类学生的课后服务学习科目均未额外收取费用，减轻了学生家长的经济负担，同时促进了学生各项全面发展，但指标设置不够合理，我校2023年四类学生课后服务补助项目支出绩效自评得分98分。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2" w:type="pct"/>
            <w:gridSpan w:val="2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项目事前绩效评估、绩效目标指标设置还不够完整、合理。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2" w:type="pct"/>
            <w:gridSpan w:val="2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牢固树立绩效观念，加强预算绩效事前评估，进一步加强资金使用用途，合理编制绩效目标，动态监控项目实施情况，及时调整绩效目标，确保绩效目标合理、可行、能实现。</w:t>
            </w:r>
          </w:p>
        </w:tc>
      </w:tr>
    </w:tbl>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6"/>
        <w:rPr>
          <w:rFonts w:hint="eastAsia" w:ascii="黑体" w:hAnsi="黑体" w:eastAsia="黑体"/>
          <w:sz w:val="44"/>
          <w:szCs w:val="44"/>
        </w:rPr>
      </w:pPr>
      <w:bookmarkStart w:id="69" w:name="_Toc15396618"/>
    </w:p>
    <w:p>
      <w:pPr>
        <w:pStyle w:val="6"/>
        <w:rPr>
          <w:rFonts w:hint="eastAsia" w:ascii="黑体" w:hAnsi="黑体" w:eastAsia="黑体"/>
          <w:sz w:val="44"/>
          <w:szCs w:val="44"/>
        </w:rPr>
      </w:pPr>
    </w:p>
    <w:p>
      <w:pPr>
        <w:pStyle w:val="6"/>
        <w:rPr>
          <w:rFonts w:hint="eastAsia" w:ascii="黑体" w:hAnsi="黑体" w:eastAsia="黑体"/>
          <w:sz w:val="44"/>
          <w:szCs w:val="44"/>
        </w:rPr>
      </w:pPr>
    </w:p>
    <w:p>
      <w:pPr>
        <w:pStyle w:val="6"/>
        <w:rPr>
          <w:rFonts w:hint="eastAsia" w:ascii="黑体" w:hAnsi="黑体" w:eastAsia="黑体"/>
          <w:sz w:val="44"/>
          <w:szCs w:val="44"/>
        </w:rPr>
      </w:pPr>
    </w:p>
    <w:p>
      <w:pPr>
        <w:pStyle w:val="6"/>
        <w:rPr>
          <w:rFonts w:hint="eastAsia" w:ascii="黑体" w:hAnsi="黑体" w:eastAsia="黑体"/>
          <w:sz w:val="44"/>
          <w:szCs w:val="44"/>
        </w:rPr>
      </w:pPr>
    </w:p>
    <w:p>
      <w:pPr>
        <w:pStyle w:val="6"/>
        <w:rPr>
          <w:rFonts w:hint="eastAsia" w:ascii="黑体" w:hAnsi="黑体" w:eastAsia="黑体"/>
          <w:sz w:val="44"/>
          <w:szCs w:val="44"/>
        </w:rPr>
      </w:pPr>
    </w:p>
    <w:p>
      <w:pPr>
        <w:pStyle w:val="6"/>
        <w:rPr>
          <w:rFonts w:hint="eastAsia" w:ascii="黑体" w:hAnsi="黑体" w:eastAsia="黑体"/>
          <w:sz w:val="44"/>
          <w:szCs w:val="44"/>
        </w:rPr>
      </w:pPr>
    </w:p>
    <w:p>
      <w:pPr>
        <w:pStyle w:val="6"/>
        <w:rPr>
          <w:rFonts w:hint="eastAsia" w:ascii="黑体" w:hAnsi="黑体" w:eastAsia="黑体"/>
          <w:sz w:val="44"/>
          <w:szCs w:val="44"/>
        </w:rPr>
      </w:pPr>
    </w:p>
    <w:p>
      <w:pPr>
        <w:spacing w:line="600" w:lineRule="exact"/>
        <w:jc w:val="center"/>
        <w:outlineLvl w:val="0"/>
        <w:rPr>
          <w:rFonts w:ascii="仿宋" w:hAnsi="仿宋" w:eastAsia="仿宋"/>
        </w:rPr>
      </w:pPr>
      <w:bookmarkStart w:id="70" w:name="OLE_LINK2"/>
      <w:bookmarkStart w:id="71" w:name="OLE_LINK1"/>
      <w:r>
        <w:rPr>
          <w:rFonts w:hint="eastAsia" w:ascii="黑体" w:hAnsi="黑体" w:eastAsia="黑体"/>
          <w:sz w:val="44"/>
          <w:szCs w:val="44"/>
        </w:rPr>
        <w:t>第</w:t>
      </w:r>
      <w:r>
        <w:rPr>
          <w:rStyle w:val="25"/>
          <w:rFonts w:hint="eastAsia" w:ascii="黑体" w:hAnsi="黑体" w:eastAsia="黑体"/>
          <w:b w:val="0"/>
        </w:rPr>
        <w:t>五部分 附表</w:t>
      </w:r>
      <w:bookmarkEnd w:id="68"/>
      <w:bookmarkEnd w:id="69"/>
      <w:bookmarkStart w:id="72" w:name="_Toc15396619"/>
    </w:p>
    <w:p>
      <w:pPr>
        <w:pStyle w:val="3"/>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72"/>
    </w:p>
    <w:p>
      <w:pPr>
        <w:pStyle w:val="3"/>
        <w:rPr>
          <w:rFonts w:ascii="仿宋" w:hAnsi="仿宋" w:eastAsia="仿宋"/>
        </w:rPr>
      </w:pPr>
      <w:bookmarkStart w:id="73" w:name="_Toc15396620"/>
      <w:r>
        <w:rPr>
          <w:rFonts w:hint="eastAsia" w:ascii="仿宋" w:hAnsi="仿宋" w:eastAsia="仿宋"/>
          <w:b w:val="0"/>
        </w:rPr>
        <w:t>二、收</w:t>
      </w:r>
      <w:r>
        <w:rPr>
          <w:rStyle w:val="26"/>
          <w:rFonts w:hint="eastAsia" w:ascii="仿宋" w:hAnsi="仿宋" w:eastAsia="仿宋"/>
          <w:b w:val="0"/>
          <w:bCs w:val="0"/>
        </w:rPr>
        <w:t>入决算表</w:t>
      </w:r>
      <w:bookmarkEnd w:id="73"/>
    </w:p>
    <w:p>
      <w:pPr>
        <w:pStyle w:val="3"/>
        <w:rPr>
          <w:rFonts w:ascii="仿宋" w:hAnsi="仿宋" w:eastAsia="仿宋"/>
        </w:rPr>
      </w:pPr>
      <w:bookmarkStart w:id="74"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74"/>
    </w:p>
    <w:p>
      <w:pPr>
        <w:pStyle w:val="3"/>
        <w:rPr>
          <w:rFonts w:ascii="仿宋" w:hAnsi="仿宋" w:eastAsia="仿宋"/>
          <w:b w:val="0"/>
        </w:rPr>
      </w:pPr>
      <w:bookmarkStart w:id="75"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75"/>
    </w:p>
    <w:p>
      <w:pPr>
        <w:pStyle w:val="3"/>
        <w:rPr>
          <w:rStyle w:val="26"/>
          <w:rFonts w:ascii="仿宋" w:hAnsi="仿宋" w:eastAsia="仿宋"/>
          <w:b w:val="0"/>
          <w:bCs w:val="0"/>
        </w:rPr>
      </w:pPr>
      <w:bookmarkStart w:id="76"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76"/>
      <w:bookmarkStart w:id="77" w:name="_Toc15396624"/>
    </w:p>
    <w:p>
      <w:pPr>
        <w:pStyle w:val="3"/>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77"/>
    </w:p>
    <w:p>
      <w:pPr>
        <w:pStyle w:val="3"/>
        <w:rPr>
          <w:rFonts w:ascii="仿宋" w:hAnsi="仿宋" w:eastAsia="仿宋"/>
        </w:rPr>
      </w:pPr>
      <w:bookmarkStart w:id="78"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78"/>
    </w:p>
    <w:p>
      <w:pPr>
        <w:pStyle w:val="3"/>
        <w:rPr>
          <w:rFonts w:ascii="仿宋" w:hAnsi="仿宋" w:eastAsia="仿宋"/>
        </w:rPr>
      </w:pPr>
      <w:bookmarkStart w:id="79"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79"/>
    </w:p>
    <w:p>
      <w:pPr>
        <w:pStyle w:val="3"/>
        <w:rPr>
          <w:rFonts w:ascii="仿宋" w:hAnsi="仿宋" w:eastAsia="仿宋"/>
        </w:rPr>
      </w:pPr>
      <w:bookmarkStart w:id="80"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80"/>
    </w:p>
    <w:p>
      <w:pPr>
        <w:pStyle w:val="3"/>
        <w:rPr>
          <w:rFonts w:ascii="仿宋" w:hAnsi="仿宋" w:eastAsia="仿宋"/>
        </w:rPr>
      </w:pPr>
      <w:bookmarkStart w:id="81" w:name="_Toc15396628"/>
      <w:r>
        <w:rPr>
          <w:rStyle w:val="26"/>
          <w:rFonts w:hint="eastAsia" w:ascii="仿宋" w:hAnsi="仿宋" w:eastAsia="仿宋"/>
          <w:b w:val="0"/>
          <w:bCs w:val="0"/>
        </w:rPr>
        <w:t>十、</w:t>
      </w:r>
      <w:bookmarkEnd w:id="81"/>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3"/>
        <w:rPr>
          <w:rFonts w:ascii="仿宋" w:hAnsi="仿宋" w:eastAsia="仿宋"/>
        </w:rPr>
      </w:pPr>
      <w:bookmarkStart w:id="82" w:name="_Toc15396629"/>
      <w:r>
        <w:rPr>
          <w:rStyle w:val="26"/>
          <w:rFonts w:hint="eastAsia" w:ascii="仿宋" w:hAnsi="仿宋" w:eastAsia="仿宋"/>
          <w:b w:val="0"/>
          <w:bCs w:val="0"/>
        </w:rPr>
        <w:t>十一、</w:t>
      </w:r>
      <w:bookmarkEnd w:id="82"/>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3"/>
        <w:rPr>
          <w:rFonts w:ascii="仿宋" w:hAnsi="仿宋" w:eastAsia="仿宋"/>
        </w:rPr>
      </w:pPr>
      <w:bookmarkStart w:id="83" w:name="_Toc15396630"/>
      <w:r>
        <w:rPr>
          <w:rStyle w:val="26"/>
          <w:rFonts w:hint="eastAsia" w:ascii="仿宋" w:hAnsi="仿宋" w:eastAsia="仿宋"/>
          <w:b w:val="0"/>
          <w:bCs w:val="0"/>
        </w:rPr>
        <w:t>十二、</w:t>
      </w:r>
      <w:bookmarkEnd w:id="83"/>
      <w:r>
        <w:rPr>
          <w:rStyle w:val="26"/>
          <w:rFonts w:hint="eastAsia" w:ascii="仿宋" w:hAnsi="仿宋" w:eastAsia="仿宋"/>
          <w:b w:val="0"/>
          <w:bCs w:val="0"/>
        </w:rPr>
        <w:t>国有资本经营预算财政拨款支出决算表</w:t>
      </w:r>
    </w:p>
    <w:p>
      <w:pPr>
        <w:pStyle w:val="3"/>
        <w:rPr>
          <w:rFonts w:eastAsia="仿宋"/>
        </w:rPr>
      </w:pPr>
      <w:bookmarkStart w:id="84" w:name="_Toc15396631"/>
      <w:r>
        <w:rPr>
          <w:rStyle w:val="26"/>
          <w:rFonts w:hint="eastAsia" w:ascii="仿宋" w:hAnsi="仿宋" w:eastAsia="仿宋"/>
          <w:b w:val="0"/>
          <w:bCs w:val="0"/>
        </w:rPr>
        <w:t>十三、</w:t>
      </w:r>
      <w:bookmarkEnd w:id="84"/>
      <w:r>
        <w:rPr>
          <w:rStyle w:val="26"/>
          <w:rFonts w:hint="eastAsia" w:ascii="仿宋" w:hAnsi="仿宋" w:eastAsia="仿宋"/>
          <w:b w:val="0"/>
          <w:bCs w:val="0"/>
        </w:rPr>
        <w:t>财政拨款“三公”经费支出决算表</w:t>
      </w:r>
      <w:bookmarkEnd w:id="70"/>
      <w:bookmarkEnd w:id="71"/>
    </w:p>
    <w:sectPr>
      <w:headerReference r:id="rId3" w:type="default"/>
      <w:footerReference r:id="rId4" w:type="default"/>
      <w:pgSz w:w="11906" w:h="16838"/>
      <w:pgMar w:top="1134" w:right="1701" w:bottom="1134"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3747"/>
    </w:sdtPr>
    <w:sdtContent>
      <w:p>
        <w:pPr>
          <w:pStyle w:val="9"/>
          <w:jc w:val="center"/>
        </w:pPr>
        <w:r>
          <w:fldChar w:fldCharType="begin"/>
        </w:r>
        <w:r>
          <w:instrText xml:space="preserve">PAGE   \* MERGEFORMAT</w:instrText>
        </w:r>
        <w:r>
          <w:fldChar w:fldCharType="separate"/>
        </w:r>
        <w:r>
          <w:rPr>
            <w:lang w:val="zh-CN"/>
          </w:rPr>
          <w:t>19</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k3NTM3NGMzYzk5OWQ0YzYwMmE4NTI3ODY2ODYxZmEifQ=="/>
  </w:docVars>
  <w:rsids>
    <w:rsidRoot w:val="00F1361C"/>
    <w:rsid w:val="00001171"/>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248"/>
    <w:rsid w:val="001333FB"/>
    <w:rsid w:val="00142216"/>
    <w:rsid w:val="00144D6A"/>
    <w:rsid w:val="0014729F"/>
    <w:rsid w:val="00157BAB"/>
    <w:rsid w:val="001654D1"/>
    <w:rsid w:val="00174518"/>
    <w:rsid w:val="0018106D"/>
    <w:rsid w:val="001877A7"/>
    <w:rsid w:val="00191536"/>
    <w:rsid w:val="00196687"/>
    <w:rsid w:val="001A6719"/>
    <w:rsid w:val="001C0962"/>
    <w:rsid w:val="001D7531"/>
    <w:rsid w:val="001E737D"/>
    <w:rsid w:val="001F0592"/>
    <w:rsid w:val="001F7506"/>
    <w:rsid w:val="002006CD"/>
    <w:rsid w:val="00202B36"/>
    <w:rsid w:val="00204B7A"/>
    <w:rsid w:val="00204CDE"/>
    <w:rsid w:val="0021101A"/>
    <w:rsid w:val="00220536"/>
    <w:rsid w:val="002236B4"/>
    <w:rsid w:val="00235629"/>
    <w:rsid w:val="00241F23"/>
    <w:rsid w:val="00260C38"/>
    <w:rsid w:val="002616C0"/>
    <w:rsid w:val="00265372"/>
    <w:rsid w:val="002662AA"/>
    <w:rsid w:val="00280496"/>
    <w:rsid w:val="002833D3"/>
    <w:rsid w:val="00294DC9"/>
    <w:rsid w:val="00295495"/>
    <w:rsid w:val="002A31DE"/>
    <w:rsid w:val="002B2613"/>
    <w:rsid w:val="002C1CD3"/>
    <w:rsid w:val="002C290C"/>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4FB7"/>
    <w:rsid w:val="003C7B60"/>
    <w:rsid w:val="003D0C0F"/>
    <w:rsid w:val="003D1FB2"/>
    <w:rsid w:val="003D66DA"/>
    <w:rsid w:val="003E1310"/>
    <w:rsid w:val="003E6F55"/>
    <w:rsid w:val="00406254"/>
    <w:rsid w:val="004223DE"/>
    <w:rsid w:val="0042718E"/>
    <w:rsid w:val="00434489"/>
    <w:rsid w:val="00437085"/>
    <w:rsid w:val="00443880"/>
    <w:rsid w:val="004464F4"/>
    <w:rsid w:val="00470868"/>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3486"/>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1BF4"/>
    <w:rsid w:val="006440E4"/>
    <w:rsid w:val="0066343B"/>
    <w:rsid w:val="00664777"/>
    <w:rsid w:val="006748A4"/>
    <w:rsid w:val="00681A31"/>
    <w:rsid w:val="00683E73"/>
    <w:rsid w:val="00684C6F"/>
    <w:rsid w:val="006A3141"/>
    <w:rsid w:val="006A5E34"/>
    <w:rsid w:val="006B2422"/>
    <w:rsid w:val="006B2B9A"/>
    <w:rsid w:val="006C1937"/>
    <w:rsid w:val="006F020C"/>
    <w:rsid w:val="007127B7"/>
    <w:rsid w:val="0071798E"/>
    <w:rsid w:val="00726777"/>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B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433"/>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67C4"/>
    <w:rsid w:val="009F7527"/>
    <w:rsid w:val="00A04EB0"/>
    <w:rsid w:val="00A06914"/>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41D4"/>
    <w:rsid w:val="00AB64C9"/>
    <w:rsid w:val="00AC3C6A"/>
    <w:rsid w:val="00AD5620"/>
    <w:rsid w:val="00AD656B"/>
    <w:rsid w:val="00AD7C1B"/>
    <w:rsid w:val="00AE16BA"/>
    <w:rsid w:val="00AE1EBE"/>
    <w:rsid w:val="00AE5F04"/>
    <w:rsid w:val="00B03C9D"/>
    <w:rsid w:val="00B060AE"/>
    <w:rsid w:val="00B10517"/>
    <w:rsid w:val="00B14E76"/>
    <w:rsid w:val="00B161B8"/>
    <w:rsid w:val="00B2048C"/>
    <w:rsid w:val="00B310B9"/>
    <w:rsid w:val="00B35F3F"/>
    <w:rsid w:val="00B36CBB"/>
    <w:rsid w:val="00B40FD6"/>
    <w:rsid w:val="00B425E0"/>
    <w:rsid w:val="00B440AA"/>
    <w:rsid w:val="00B44B70"/>
    <w:rsid w:val="00B53C56"/>
    <w:rsid w:val="00B57DAF"/>
    <w:rsid w:val="00B77EA6"/>
    <w:rsid w:val="00B81598"/>
    <w:rsid w:val="00B841F1"/>
    <w:rsid w:val="00B944D6"/>
    <w:rsid w:val="00BA065F"/>
    <w:rsid w:val="00BB4DF0"/>
    <w:rsid w:val="00BC289F"/>
    <w:rsid w:val="00BC2D50"/>
    <w:rsid w:val="00BC5361"/>
    <w:rsid w:val="00BC5460"/>
    <w:rsid w:val="00BC6B50"/>
    <w:rsid w:val="00BD0E25"/>
    <w:rsid w:val="00BF5BD6"/>
    <w:rsid w:val="00BF7FA1"/>
    <w:rsid w:val="00C03E31"/>
    <w:rsid w:val="00C04876"/>
    <w:rsid w:val="00C33E72"/>
    <w:rsid w:val="00C354B2"/>
    <w:rsid w:val="00C35554"/>
    <w:rsid w:val="00C42709"/>
    <w:rsid w:val="00C533CC"/>
    <w:rsid w:val="00C5751C"/>
    <w:rsid w:val="00C61BFC"/>
    <w:rsid w:val="00C62B85"/>
    <w:rsid w:val="00C65438"/>
    <w:rsid w:val="00C6567A"/>
    <w:rsid w:val="00C72A40"/>
    <w:rsid w:val="00C87FD8"/>
    <w:rsid w:val="00C91381"/>
    <w:rsid w:val="00C91CBB"/>
    <w:rsid w:val="00CB2BEB"/>
    <w:rsid w:val="00CB4E70"/>
    <w:rsid w:val="00CC09B6"/>
    <w:rsid w:val="00CC666F"/>
    <w:rsid w:val="00CD1E3F"/>
    <w:rsid w:val="00CE44F6"/>
    <w:rsid w:val="00CE49DA"/>
    <w:rsid w:val="00CE7B61"/>
    <w:rsid w:val="00D00095"/>
    <w:rsid w:val="00D114F0"/>
    <w:rsid w:val="00D12DB8"/>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193F"/>
    <w:rsid w:val="00E07ACF"/>
    <w:rsid w:val="00E331A1"/>
    <w:rsid w:val="00E33202"/>
    <w:rsid w:val="00E336A9"/>
    <w:rsid w:val="00E472B1"/>
    <w:rsid w:val="00E50624"/>
    <w:rsid w:val="00E568DF"/>
    <w:rsid w:val="00E64269"/>
    <w:rsid w:val="00E82267"/>
    <w:rsid w:val="00E853CE"/>
    <w:rsid w:val="00E867B6"/>
    <w:rsid w:val="00E965FB"/>
    <w:rsid w:val="00EA010F"/>
    <w:rsid w:val="00ED1B63"/>
    <w:rsid w:val="00ED3C1F"/>
    <w:rsid w:val="00ED4085"/>
    <w:rsid w:val="00ED420E"/>
    <w:rsid w:val="00ED6FBE"/>
    <w:rsid w:val="00ED732E"/>
    <w:rsid w:val="00EE2F57"/>
    <w:rsid w:val="00EF4C34"/>
    <w:rsid w:val="00EF77C6"/>
    <w:rsid w:val="00F05438"/>
    <w:rsid w:val="00F1361C"/>
    <w:rsid w:val="00F156F0"/>
    <w:rsid w:val="00F160C7"/>
    <w:rsid w:val="00F2408F"/>
    <w:rsid w:val="00F240E9"/>
    <w:rsid w:val="00F251CA"/>
    <w:rsid w:val="00F36D8F"/>
    <w:rsid w:val="00F417B1"/>
    <w:rsid w:val="00F45853"/>
    <w:rsid w:val="00F602DF"/>
    <w:rsid w:val="00F6312F"/>
    <w:rsid w:val="00F754A1"/>
    <w:rsid w:val="00F81FD9"/>
    <w:rsid w:val="00F841AA"/>
    <w:rsid w:val="00F84A94"/>
    <w:rsid w:val="00F87E96"/>
    <w:rsid w:val="00FA23E8"/>
    <w:rsid w:val="00FD3CC1"/>
    <w:rsid w:val="00FF1E02"/>
    <w:rsid w:val="00FF30B4"/>
    <w:rsid w:val="010247C5"/>
    <w:rsid w:val="03456CF9"/>
    <w:rsid w:val="0433711F"/>
    <w:rsid w:val="053A62B5"/>
    <w:rsid w:val="06C829B5"/>
    <w:rsid w:val="06E2595A"/>
    <w:rsid w:val="09557917"/>
    <w:rsid w:val="099A322B"/>
    <w:rsid w:val="0A2032A3"/>
    <w:rsid w:val="0AB1211B"/>
    <w:rsid w:val="0AEB765F"/>
    <w:rsid w:val="0B8A37D8"/>
    <w:rsid w:val="0B8D70C1"/>
    <w:rsid w:val="0F211479"/>
    <w:rsid w:val="10A80A87"/>
    <w:rsid w:val="10C055FF"/>
    <w:rsid w:val="118107EC"/>
    <w:rsid w:val="11DD6519"/>
    <w:rsid w:val="126A1BCD"/>
    <w:rsid w:val="12D02AEB"/>
    <w:rsid w:val="16BB723D"/>
    <w:rsid w:val="17011D34"/>
    <w:rsid w:val="17592E40"/>
    <w:rsid w:val="17C651CA"/>
    <w:rsid w:val="18015F3F"/>
    <w:rsid w:val="183B1275"/>
    <w:rsid w:val="1A4E60EF"/>
    <w:rsid w:val="1BE8440E"/>
    <w:rsid w:val="1D155CEE"/>
    <w:rsid w:val="1E085DF7"/>
    <w:rsid w:val="209E12D1"/>
    <w:rsid w:val="20F57F95"/>
    <w:rsid w:val="240371BF"/>
    <w:rsid w:val="25711CC6"/>
    <w:rsid w:val="25C741E6"/>
    <w:rsid w:val="27627DEE"/>
    <w:rsid w:val="27702D29"/>
    <w:rsid w:val="27842671"/>
    <w:rsid w:val="29FD04D3"/>
    <w:rsid w:val="2A7B16DC"/>
    <w:rsid w:val="2ABE7A3E"/>
    <w:rsid w:val="2CA234A8"/>
    <w:rsid w:val="2EFA178C"/>
    <w:rsid w:val="30791BB6"/>
    <w:rsid w:val="30B46D73"/>
    <w:rsid w:val="319F7F4E"/>
    <w:rsid w:val="33443936"/>
    <w:rsid w:val="37F64713"/>
    <w:rsid w:val="383D272C"/>
    <w:rsid w:val="385D51A0"/>
    <w:rsid w:val="39333B77"/>
    <w:rsid w:val="39AE70AB"/>
    <w:rsid w:val="3B261FEA"/>
    <w:rsid w:val="3C0C0783"/>
    <w:rsid w:val="3C4F0686"/>
    <w:rsid w:val="3D1A1011"/>
    <w:rsid w:val="3F9F3A96"/>
    <w:rsid w:val="3FB43189"/>
    <w:rsid w:val="41EB125E"/>
    <w:rsid w:val="48BF60AB"/>
    <w:rsid w:val="493C27E9"/>
    <w:rsid w:val="496F39ED"/>
    <w:rsid w:val="49FF41D3"/>
    <w:rsid w:val="4B6F2BF5"/>
    <w:rsid w:val="4BE068DB"/>
    <w:rsid w:val="4BF6002B"/>
    <w:rsid w:val="4D8A555C"/>
    <w:rsid w:val="4ECE2238"/>
    <w:rsid w:val="4F4B3399"/>
    <w:rsid w:val="51DB4B86"/>
    <w:rsid w:val="55333C3E"/>
    <w:rsid w:val="55FC24CB"/>
    <w:rsid w:val="593B2D99"/>
    <w:rsid w:val="595C7C60"/>
    <w:rsid w:val="5A736D06"/>
    <w:rsid w:val="61A3560A"/>
    <w:rsid w:val="62E436D6"/>
    <w:rsid w:val="64C20460"/>
    <w:rsid w:val="64CA39A1"/>
    <w:rsid w:val="65051FB0"/>
    <w:rsid w:val="66207EB7"/>
    <w:rsid w:val="675E427E"/>
    <w:rsid w:val="69630ADE"/>
    <w:rsid w:val="69AC1A8A"/>
    <w:rsid w:val="6C4A05C8"/>
    <w:rsid w:val="6D3B1A89"/>
    <w:rsid w:val="6F167C2A"/>
    <w:rsid w:val="6F9570F5"/>
    <w:rsid w:val="6F9A04F8"/>
    <w:rsid w:val="71BF4EC2"/>
    <w:rsid w:val="72734D90"/>
    <w:rsid w:val="739335AD"/>
    <w:rsid w:val="7412278C"/>
    <w:rsid w:val="74CC23D1"/>
    <w:rsid w:val="7510455A"/>
    <w:rsid w:val="757F0D0E"/>
    <w:rsid w:val="760B3C46"/>
    <w:rsid w:val="76DF40BB"/>
    <w:rsid w:val="76DF5FF5"/>
    <w:rsid w:val="770D158A"/>
    <w:rsid w:val="79E7B28D"/>
    <w:rsid w:val="7C3F53D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BodyText1I2"/>
    <w:basedOn w:val="32"/>
    <w:qFormat/>
    <w:uiPriority w:val="0"/>
    <w:pPr>
      <w:spacing w:line="240" w:lineRule="auto"/>
      <w:ind w:firstLine="420" w:firstLineChars="200"/>
      <w:jc w:val="both"/>
      <w:textAlignment w:val="baseline"/>
    </w:pPr>
  </w:style>
  <w:style w:type="paragraph" w:customStyle="1" w:styleId="32">
    <w:name w:val="BodyTextIndent"/>
    <w:basedOn w:val="1"/>
    <w:qFormat/>
    <w:uiPriority w:val="0"/>
    <w:pPr>
      <w:spacing w:line="240" w:lineRule="auto"/>
      <w:ind w:firstLine="640" w:firstLineChars="200"/>
      <w:jc w:val="both"/>
      <w:textAlignment w:val="baseline"/>
    </w:pPr>
    <w:rPr>
      <w:rFonts w:ascii="Calibri" w:hAnsi="Calibri" w:eastAsia="仿宋_GB2312"/>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18-&#36930;&#23425;&#24066;&#33337;&#23665;&#21306;&#35029;&#20016;&#34903;&#23567;&#23398;&#26657;2023&#24180;&#20915;&#31639;&#20844;&#24320;\&#22270;&#24418;-&#35029;&#20016;&#34903;&#23567;&#23398;&#2665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18-&#36930;&#23425;&#24066;&#33337;&#23665;&#21306;&#35029;&#20016;&#34903;&#23567;&#23398;&#26657;2023&#24180;&#20915;&#31639;&#20844;&#24320;\&#22270;&#24418;-&#35029;&#20016;&#34903;&#23567;&#23398;&#2665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18-&#36930;&#23425;&#24066;&#33337;&#23665;&#21306;&#35029;&#20016;&#34903;&#23567;&#23398;&#26657;2023&#24180;&#20915;&#31639;&#20844;&#24320;\&#22270;&#24418;-&#35029;&#20016;&#34903;&#23567;&#23398;&#2665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18-&#36930;&#23425;&#24066;&#33337;&#23665;&#21306;&#35029;&#20016;&#34903;&#23567;&#23398;&#26657;2023&#24180;&#20915;&#31639;&#20844;&#24320;\&#22270;&#24418;-&#35029;&#20016;&#34903;&#23567;&#23398;&#2665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18-&#36930;&#23425;&#24066;&#33337;&#23665;&#21306;&#35029;&#20016;&#34903;&#23567;&#23398;&#26657;2023&#24180;&#20915;&#31639;&#20844;&#24320;\&#22270;&#24418;-&#35029;&#20016;&#34903;&#23567;&#23398;&#2665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18-&#36930;&#23425;&#24066;&#33337;&#23665;&#21306;&#35029;&#20016;&#34903;&#23567;&#23398;&#26657;2023&#24180;&#20915;&#31639;&#20844;&#24320;\&#22270;&#24418;-&#35029;&#20016;&#34903;&#23567;&#23398;&#2665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'[图形-裕丰街小学校.xlsx]Sheet1'!$B$1</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'[图形-裕丰街小学校.xlsx]Sheet1'!$A$2:$A$3</c:f>
              <c:strCache>
                <c:ptCount val="2"/>
                <c:pt idx="0">
                  <c:v>2022年</c:v>
                </c:pt>
                <c:pt idx="1">
                  <c:v>2023年</c:v>
                </c:pt>
              </c:strCache>
            </c:strRef>
          </c:cat>
          <c:val>
            <c:numRef>
              <c:f>'[图形-裕丰街小学校.xlsx]Sheet1'!$B$2:$B$3</c:f>
              <c:numCache>
                <c:formatCode>0.00_ </c:formatCode>
                <c:ptCount val="2"/>
                <c:pt idx="0">
                  <c:v>1873.7</c:v>
                </c:pt>
                <c:pt idx="1">
                  <c:v>2138.45</c:v>
                </c:pt>
              </c:numCache>
            </c:numRef>
          </c:val>
        </c:ser>
        <c:dLbls>
          <c:showLegendKey val="0"/>
          <c:showVal val="1"/>
          <c:showCatName val="0"/>
          <c:showSerName val="0"/>
          <c:showPercent val="0"/>
          <c:showBubbleSize val="0"/>
        </c:dLbls>
        <c:gapWidth val="150"/>
        <c:axId val="24361216"/>
        <c:axId val="24707072"/>
      </c:barChart>
      <c:catAx>
        <c:axId val="24361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707072"/>
        <c:crosses val="autoZero"/>
        <c:auto val="1"/>
        <c:lblAlgn val="ctr"/>
        <c:lblOffset val="100"/>
        <c:noMultiLvlLbl val="0"/>
      </c:catAx>
      <c:valAx>
        <c:axId val="24707072"/>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612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733931240658"/>
          <c:y val="0.0069444444444444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'[图形-裕丰街小学校.xlsx]Sheet1'!$E$1</c:f>
              <c:strCache>
                <c:ptCount val="1"/>
                <c:pt idx="0">
                  <c:v>二、 收入决算情况(万元)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'[图形-裕丰街小学校.xlsx]Sheet1'!$D$2:$D$4</c:f>
              <c:strCache>
                <c:ptCount val="3"/>
                <c:pt idx="0">
                  <c:v>一般公共预算财政拨款收入</c:v>
                </c:pt>
                <c:pt idx="1">
                  <c:v>其他收入</c:v>
                </c:pt>
              </c:strCache>
            </c:strRef>
          </c:cat>
          <c:val>
            <c:numRef>
              <c:f>'[图形-裕丰街小学校.xlsx]Sheet1'!$E$2:$E$4</c:f>
              <c:numCache>
                <c:formatCode>General</c:formatCode>
                <c:ptCount val="3"/>
                <c:pt idx="0">
                  <c:v>1693.12</c:v>
                </c:pt>
                <c:pt idx="1">
                  <c:v>347.41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'[图形-裕丰街小学校.xlsx]Sheet1'!$I$1</c:f>
              <c:strCache>
                <c:ptCount val="1"/>
                <c:pt idx="0">
                  <c:v>三、 支出决算情况(万元)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'[图形-裕丰街小学校.xlsx]Sheet1'!$H$2:$H$3</c:f>
              <c:strCache>
                <c:ptCount val="2"/>
                <c:pt idx="0">
                  <c:v>基本支出</c:v>
                </c:pt>
                <c:pt idx="1">
                  <c:v>项目支出</c:v>
                </c:pt>
              </c:strCache>
            </c:strRef>
          </c:cat>
          <c:val>
            <c:numRef>
              <c:f>'[图形-裕丰街小学校.xlsx]Sheet1'!$I$2:$I$3</c:f>
              <c:numCache>
                <c:formatCode>General</c:formatCode>
                <c:ptCount val="2"/>
                <c:pt idx="0">
                  <c:v>1453.09</c:v>
                </c:pt>
                <c:pt idx="1">
                  <c:v>595.44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'[图形-裕丰街小学校.xlsx]Sheet1'!$M$1</c:f>
              <c:strCache>
                <c:ptCount val="1"/>
                <c:pt idx="0">
                  <c:v>四、财政拨款收、支决算总计变动情况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'[图形-裕丰街小学校.xlsx]Sheet1'!$L$2:$L$3</c:f>
              <c:strCache>
                <c:ptCount val="2"/>
                <c:pt idx="0">
                  <c:v>2022年</c:v>
                </c:pt>
                <c:pt idx="1">
                  <c:v>2023年</c:v>
                </c:pt>
              </c:strCache>
            </c:strRef>
          </c:cat>
          <c:val>
            <c:numRef>
              <c:f>'[图形-裕丰街小学校.xlsx]Sheet1'!$M$2:$M$3</c:f>
              <c:numCache>
                <c:formatCode>General</c:formatCode>
                <c:ptCount val="2"/>
                <c:pt idx="0">
                  <c:v>1670.66</c:v>
                </c:pt>
                <c:pt idx="1" c:formatCode="#,##0.00">
                  <c:v>1693.12</c:v>
                </c:pt>
              </c:numCache>
            </c:numRef>
          </c:val>
        </c:ser>
        <c:dLbls>
          <c:showLegendKey val="0"/>
          <c:showVal val="1"/>
          <c:showCatName val="0"/>
          <c:showSerName val="0"/>
          <c:showPercent val="0"/>
          <c:showBubbleSize val="0"/>
        </c:dLbls>
        <c:gapWidth val="150"/>
        <c:axId val="24909696"/>
        <c:axId val="24911232"/>
      </c:barChart>
      <c:catAx>
        <c:axId val="24909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11232"/>
        <c:crosses val="autoZero"/>
        <c:auto val="1"/>
        <c:lblAlgn val="ctr"/>
        <c:lblOffset val="100"/>
        <c:noMultiLvlLbl val="0"/>
      </c:catAx>
      <c:valAx>
        <c:axId val="24911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0969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一般公共预算财政拨款支出决算总体情况（万元）</a:t>
            </a:r>
            <a:endParaRPr lang="zh-CN" altLang="en-US" sz="1200"/>
          </a:p>
        </c:rich>
      </c:tx>
      <c:layout>
        <c:manualLayout>
          <c:xMode val="edge"/>
          <c:yMode val="edge"/>
          <c:x val="0.113316954695044"/>
          <c:y val="0.0153188535039171"/>
        </c:manualLayout>
      </c:layout>
      <c:overlay val="0"/>
    </c:title>
    <c:autoTitleDeleted val="0"/>
    <c:plotArea>
      <c:layout>
        <c:manualLayout>
          <c:layoutTarget val="inner"/>
          <c:xMode val="edge"/>
          <c:yMode val="edge"/>
          <c:x val="0.10439076018575"/>
          <c:y val="0.138401349447186"/>
          <c:w val="0.867295222977443"/>
          <c:h val="0.585335840402905"/>
        </c:manualLayout>
      </c:layout>
      <c:barChart>
        <c:barDir val="col"/>
        <c:grouping val="clustered"/>
        <c:varyColors val="0"/>
        <c:ser>
          <c:idx val="0"/>
          <c:order val="0"/>
          <c:tx>
            <c:strRef>
              <c:f>'[图形-裕丰街小学校.xlsx]Sheet1'!$B$20</c:f>
              <c:strCache>
                <c:ptCount val="1"/>
                <c:pt idx="0">
                  <c:v>一般公共预算财政拨款支出决算总体情况（万元）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'[图形-裕丰街小学校.xlsx]Sheet1'!$A$21:$A$22</c:f>
              <c:strCache>
                <c:ptCount val="2"/>
                <c:pt idx="0">
                  <c:v>2022年</c:v>
                </c:pt>
                <c:pt idx="1">
                  <c:v>2023年</c:v>
                </c:pt>
              </c:strCache>
            </c:strRef>
          </c:cat>
          <c:val>
            <c:numRef>
              <c:f>'[图形-裕丰街小学校.xlsx]Sheet1'!$B$21:$B$22</c:f>
              <c:numCache>
                <c:formatCode>General</c:formatCode>
                <c:ptCount val="2"/>
                <c:pt idx="0">
                  <c:v>1670.66</c:v>
                </c:pt>
                <c:pt idx="1" c:formatCode="#,##0.00">
                  <c:v>1693.12</c:v>
                </c:pt>
              </c:numCache>
            </c:numRef>
          </c:val>
        </c:ser>
        <c:dLbls>
          <c:showLegendKey val="0"/>
          <c:showVal val="1"/>
          <c:showCatName val="0"/>
          <c:showSerName val="0"/>
          <c:showPercent val="0"/>
          <c:showBubbleSize val="0"/>
        </c:dLbls>
        <c:gapWidth val="150"/>
        <c:axId val="24927232"/>
        <c:axId val="24961792"/>
      </c:barChart>
      <c:catAx>
        <c:axId val="24927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61792"/>
        <c:crosses val="autoZero"/>
        <c:auto val="1"/>
        <c:lblAlgn val="ctr"/>
        <c:lblOffset val="100"/>
        <c:noMultiLvlLbl val="0"/>
      </c:catAx>
      <c:valAx>
        <c:axId val="24961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272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'[图形-裕丰街小学校.xlsx]Sheet1'!$B$47</c:f>
              <c:strCache>
                <c:ptCount val="1"/>
                <c:pt idx="0">
                  <c:v>（二）一般公共预算财政拨款支出决算结构情况(万元)</c:v>
                </c:pt>
              </c:strCache>
            </c:strRef>
          </c:tx>
          <c:explosion val="14"/>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'[图形-裕丰街小学校.xlsx]Sheet1'!$A$48:$A$51</c:f>
              <c:strCache>
                <c:ptCount val="4"/>
                <c:pt idx="0">
                  <c:v>教育支出</c:v>
                </c:pt>
                <c:pt idx="1">
                  <c:v>社会保障和就业支出</c:v>
                </c:pt>
                <c:pt idx="2">
                  <c:v>卫生健康支出</c:v>
                </c:pt>
                <c:pt idx="3">
                  <c:v>住房保障支出</c:v>
                </c:pt>
              </c:strCache>
            </c:strRef>
          </c:cat>
          <c:val>
            <c:numRef>
              <c:f>'[图形-裕丰街小学校.xlsx]Sheet1'!$B$48:$B$51</c:f>
              <c:numCache>
                <c:formatCode>General</c:formatCode>
                <c:ptCount val="4"/>
                <c:pt idx="0">
                  <c:v>1322.29</c:v>
                </c:pt>
                <c:pt idx="1">
                  <c:v>186.88</c:v>
                </c:pt>
                <c:pt idx="2">
                  <c:v>72.51</c:v>
                </c:pt>
                <c:pt idx="3">
                  <c:v>111.44</c:v>
                </c:pt>
              </c:numCache>
            </c:numRef>
          </c:val>
        </c:ser>
        <c:dLbls>
          <c:showLegendKey val="0"/>
          <c:showVal val="1"/>
          <c:showCatName val="0"/>
          <c:showSerName val="0"/>
          <c:showPercent val="0"/>
          <c:showBubbleSize val="0"/>
          <c:showLeaderLines val="1"/>
        </c:dLbls>
        <c:firstSliceAng val="0"/>
      </c:pieChart>
    </c:plotArea>
    <c:legend>
      <c:legendPos val="r"/>
      <c:legendEntry>
        <c:idx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ayout>
        <c:manualLayout>
          <c:xMode val="edge"/>
          <c:yMode val="edge"/>
          <c:x val="0.591709755030621"/>
          <c:y val="0.461732283464567"/>
          <c:w val="0.363845800524934"/>
          <c:h val="0.33486876640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sz="1000"/>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5616</Words>
  <Characters>6181</Characters>
  <Lines>44</Lines>
  <Paragraphs>12</Paragraphs>
  <TotalTime>2</TotalTime>
  <ScaleCrop>false</ScaleCrop>
  <LinksUpToDate>false</LinksUpToDate>
  <CharactersWithSpaces>6233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2023-09-11T08:34:00Z</dcterms:created>
  <dc:creator>曹颖</dc:creator>
  <cp:lastModifiedBy>lenovo</cp:lastModifiedBy>
  <cp:lastPrinted>2023-09-11T05:41:00Z</cp:lastPrinted>
  <dcterms:modified xsi:type="dcterms:W3CDTF">2024-09-19T06:44:56Z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63935F46EA6E47ACA85688F13049DA61</vt:lpwstr>
  </property>
</Properties>
</file>