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96597"/>
      <w:bookmarkStart w:id="2" w:name="_Toc15396475"/>
      <w:bookmarkStart w:id="3" w:name="_Toc15378441"/>
      <w:bookmarkStart w:id="4" w:name="_Toc15377425"/>
      <w:bookmarkStart w:id="5" w:name="_Toc15377193"/>
      <w:r>
        <w:rPr>
          <w:rFonts w:hint="eastAsia" w:ascii="方正小标宋简体" w:hAnsi="方正小标宋简体" w:eastAsia="方正小标宋简体" w:cs="方正小标宋简体"/>
          <w:sz w:val="52"/>
          <w:szCs w:val="52"/>
        </w:rPr>
        <w:t>2023年度</w:t>
      </w:r>
      <w:bookmarkEnd w:id="1"/>
      <w:bookmarkEnd w:id="2"/>
      <w:bookmarkEnd w:id="3"/>
      <w:bookmarkEnd w:id="4"/>
      <w:bookmarkEnd w:id="5"/>
    </w:p>
    <w:bookmarkEnd w:id="0"/>
    <w:p>
      <w:pPr>
        <w:widowControl/>
        <w:jc w:val="center"/>
        <w:rPr>
          <w:rFonts w:hint="eastAsia" w:ascii="黑体" w:hAnsi="黑体" w:eastAsia="黑体"/>
          <w:sz w:val="48"/>
          <w:szCs w:val="48"/>
        </w:rPr>
      </w:pPr>
      <w:bookmarkStart w:id="6" w:name="_Toc15377426"/>
      <w:bookmarkStart w:id="7" w:name="_Toc15396598"/>
      <w:bookmarkStart w:id="8" w:name="_Toc15396476"/>
      <w:bookmarkStart w:id="9" w:name="_Toc15378442"/>
      <w:bookmarkStart w:id="10" w:name="_Toc15377194"/>
      <w:bookmarkStart w:id="11" w:name="_Toc15306268"/>
      <w:r>
        <w:rPr>
          <w:rFonts w:hint="eastAsia" w:ascii="方正小标宋简体" w:hAnsi="方正小标宋简体" w:eastAsia="方正小标宋简体" w:cs="方正小标宋简体"/>
          <w:sz w:val="52"/>
          <w:szCs w:val="52"/>
          <w:lang w:val="en-US" w:eastAsia="zh-CN"/>
        </w:rPr>
        <w:t>四川省</w:t>
      </w:r>
      <w:r>
        <w:rPr>
          <w:rFonts w:hint="eastAsia" w:ascii="方正小标宋简体" w:hAnsi="方正小标宋简体" w:eastAsia="方正小标宋简体" w:cs="方正小标宋简体"/>
          <w:sz w:val="52"/>
          <w:szCs w:val="52"/>
        </w:rPr>
        <w:t>遂宁市船山区教育科学研究所单位决算</w:t>
      </w:r>
      <w:bookmarkEnd w:id="6"/>
      <w:bookmarkEnd w:id="7"/>
      <w:bookmarkEnd w:id="8"/>
      <w:bookmarkEnd w:id="9"/>
      <w:bookmarkEnd w:id="10"/>
      <w:bookmarkEnd w:id="11"/>
      <w:r>
        <w:rPr>
          <w:rFonts w:ascii="方正小标宋简体" w:hAnsi="宋体" w:eastAsia="方正小标宋简体"/>
          <w:sz w:val="36"/>
          <w:szCs w:val="36"/>
        </w:rPr>
        <w:br w:type="page"/>
      </w:r>
      <w:r>
        <w:rPr>
          <w:rFonts w:hint="eastAsia" w:ascii="黑体" w:hAnsi="黑体" w:eastAsia="黑体"/>
          <w:sz w:val="48"/>
          <w:szCs w:val="48"/>
        </w:rPr>
        <w:t>目录</w:t>
      </w:r>
    </w:p>
    <w:p>
      <w:pPr>
        <w:jc w:val="center"/>
        <w:rPr>
          <w:rFonts w:hint="default" w:eastAsia="宋体"/>
          <w:lang w:val="en-US" w:eastAsia="zh-CN"/>
        </w:rPr>
      </w:pPr>
      <w:r>
        <w:rPr>
          <w:rFonts w:hint="eastAsia" w:ascii="仿宋_GB2312" w:eastAsia="仿宋_GB2312" w:cs="Times New Roman"/>
          <w:color w:val="auto"/>
          <w:sz w:val="32"/>
          <w:szCs w:val="32"/>
          <w:highlight w:val="none"/>
          <w:lang w:val="en-US" w:eastAsia="zh-CN"/>
        </w:rPr>
        <w:t>公开时间：2024年9月11日</w:t>
      </w:r>
    </w:p>
    <w:p>
      <w:pPr>
        <w:pStyle w:val="5"/>
      </w:pPr>
    </w:p>
    <w:p>
      <w:pPr>
        <w:pStyle w:val="10"/>
        <w:adjustRightInd w:val="0"/>
        <w:snapToGrid w:val="0"/>
        <w:spacing w:before="0" w:line="440" w:lineRule="exact"/>
        <w:jc w:val="left"/>
        <w:rPr>
          <w:rFonts w:cstheme="minorBidi"/>
          <w:sz w:val="24"/>
          <w:szCs w:val="24"/>
        </w:rPr>
      </w:pPr>
      <w:r>
        <w:rPr>
          <w:rFonts w:hint="eastAsia"/>
          <w:sz w:val="24"/>
        </w:rPr>
        <w:t>第一部分单位概况………………………………………………………………3</w:t>
      </w:r>
    </w:p>
    <w:p>
      <w:pPr>
        <w:pStyle w:val="11"/>
        <w:adjustRightInd w:val="0"/>
        <w:snapToGrid w:val="0"/>
        <w:spacing w:line="440" w:lineRule="exact"/>
        <w:jc w:val="left"/>
        <w:rPr>
          <w:sz w:val="24"/>
        </w:rPr>
      </w:pPr>
      <w:r>
        <w:rPr>
          <w:rFonts w:hint="eastAsia"/>
          <w:sz w:val="24"/>
        </w:rPr>
        <w:t>一、主要职责……………………………………………………………………3</w:t>
      </w:r>
    </w:p>
    <w:p>
      <w:pPr>
        <w:pStyle w:val="11"/>
        <w:adjustRightInd w:val="0"/>
        <w:snapToGrid w:val="0"/>
        <w:spacing w:line="440" w:lineRule="exact"/>
        <w:jc w:val="left"/>
      </w:pPr>
      <w:r>
        <w:rPr>
          <w:rFonts w:hint="eastAsia"/>
          <w:sz w:val="24"/>
        </w:rPr>
        <w:t>二、机构设置……………………………………………………………………4</w:t>
      </w:r>
    </w:p>
    <w:p>
      <w:pPr>
        <w:pStyle w:val="10"/>
        <w:adjustRightInd w:val="0"/>
        <w:snapToGrid w:val="0"/>
        <w:spacing w:before="0" w:line="440" w:lineRule="exact"/>
        <w:jc w:val="left"/>
        <w:rPr>
          <w:sz w:val="24"/>
          <w:szCs w:val="24"/>
        </w:rPr>
      </w:pPr>
      <w:r>
        <w:rPr>
          <w:rFonts w:hint="eastAsia"/>
          <w:sz w:val="24"/>
        </w:rPr>
        <w:t>第二部分 2023年度单位决算情况说明……………………………………………5</w:t>
      </w:r>
    </w:p>
    <w:p>
      <w:pPr>
        <w:pStyle w:val="11"/>
        <w:adjustRightInd w:val="0"/>
        <w:snapToGrid w:val="0"/>
        <w:spacing w:line="440" w:lineRule="exact"/>
        <w:jc w:val="left"/>
        <w:rPr>
          <w:rFonts w:ascii="仿宋" w:hAnsi="仿宋" w:cstheme="minorBidi"/>
          <w:sz w:val="24"/>
        </w:rPr>
      </w:pPr>
      <w:r>
        <w:rPr>
          <w:rFonts w:hint="eastAsia"/>
          <w:sz w:val="24"/>
        </w:rPr>
        <w:t>一、收入支出决算总体情况说明………………………………………………6</w:t>
      </w:r>
    </w:p>
    <w:p>
      <w:pPr>
        <w:pStyle w:val="11"/>
        <w:adjustRightInd w:val="0"/>
        <w:snapToGrid w:val="0"/>
        <w:spacing w:line="440" w:lineRule="exact"/>
        <w:jc w:val="left"/>
        <w:rPr>
          <w:rFonts w:ascii="仿宋" w:hAnsi="仿宋" w:cstheme="minorBidi"/>
          <w:sz w:val="24"/>
        </w:rPr>
      </w:pPr>
      <w:r>
        <w:rPr>
          <w:rFonts w:hint="eastAsia"/>
          <w:sz w:val="24"/>
        </w:rPr>
        <w:t>二、收入决算情况说明…………………………………………………………6</w:t>
      </w:r>
    </w:p>
    <w:p>
      <w:pPr>
        <w:pStyle w:val="11"/>
        <w:adjustRightInd w:val="0"/>
        <w:snapToGrid w:val="0"/>
        <w:spacing w:line="440" w:lineRule="exact"/>
        <w:jc w:val="left"/>
        <w:rPr>
          <w:rFonts w:ascii="仿宋" w:hAnsi="仿宋" w:cstheme="minorBidi"/>
          <w:sz w:val="24"/>
        </w:rPr>
      </w:pPr>
      <w:r>
        <w:rPr>
          <w:rFonts w:hint="eastAsia"/>
          <w:sz w:val="24"/>
        </w:rPr>
        <w:t>三、支出决算情况说明…………………………………………………………7</w:t>
      </w:r>
    </w:p>
    <w:p>
      <w:pPr>
        <w:pStyle w:val="11"/>
        <w:adjustRightInd w:val="0"/>
        <w:snapToGrid w:val="0"/>
        <w:spacing w:line="440" w:lineRule="exact"/>
        <w:jc w:val="left"/>
        <w:rPr>
          <w:rFonts w:ascii="仿宋" w:hAnsi="仿宋" w:cstheme="minorBidi"/>
          <w:sz w:val="24"/>
        </w:rPr>
      </w:pPr>
      <w:r>
        <w:rPr>
          <w:rFonts w:hint="eastAsia"/>
          <w:sz w:val="24"/>
        </w:rPr>
        <w:t>四、财政拨款收入支出决算总体情况说明……………………………………7</w:t>
      </w:r>
    </w:p>
    <w:p>
      <w:pPr>
        <w:pStyle w:val="11"/>
        <w:adjustRightInd w:val="0"/>
        <w:snapToGrid w:val="0"/>
        <w:spacing w:line="440" w:lineRule="exact"/>
        <w:jc w:val="left"/>
        <w:rPr>
          <w:rFonts w:ascii="仿宋" w:hAnsi="仿宋" w:cstheme="minorBidi"/>
          <w:sz w:val="24"/>
        </w:rPr>
      </w:pPr>
      <w:r>
        <w:rPr>
          <w:rFonts w:hint="eastAsia"/>
          <w:sz w:val="24"/>
        </w:rPr>
        <w:t>五、一般公共预算财政拨款支出决算情况说明………………………………8</w:t>
      </w:r>
    </w:p>
    <w:p>
      <w:pPr>
        <w:pStyle w:val="11"/>
        <w:adjustRightInd w:val="0"/>
        <w:snapToGrid w:val="0"/>
        <w:spacing w:line="440" w:lineRule="exact"/>
        <w:jc w:val="left"/>
        <w:rPr>
          <w:rFonts w:ascii="仿宋" w:hAnsi="仿宋" w:cstheme="minorBidi"/>
          <w:sz w:val="24"/>
        </w:rPr>
      </w:pPr>
      <w:r>
        <w:rPr>
          <w:rFonts w:hint="eastAsia"/>
          <w:sz w:val="24"/>
        </w:rPr>
        <w:t>六、一般公共预算财政拨款基本支出决算情况说明…………………………11</w:t>
      </w:r>
    </w:p>
    <w:p>
      <w:pPr>
        <w:pStyle w:val="11"/>
        <w:adjustRightInd w:val="0"/>
        <w:snapToGrid w:val="0"/>
        <w:spacing w:line="440" w:lineRule="exact"/>
        <w:jc w:val="left"/>
        <w:rPr>
          <w:rFonts w:ascii="仿宋" w:hAnsi="仿宋" w:cstheme="minorBidi"/>
          <w:sz w:val="24"/>
        </w:rPr>
      </w:pPr>
      <w:r>
        <w:rPr>
          <w:rFonts w:hint="eastAsia"/>
          <w:sz w:val="24"/>
        </w:rPr>
        <w:t>七、财政拨款“三公”经费支出决算情况说明………………………………12</w:t>
      </w:r>
    </w:p>
    <w:p>
      <w:pPr>
        <w:pStyle w:val="11"/>
        <w:adjustRightInd w:val="0"/>
        <w:snapToGrid w:val="0"/>
        <w:spacing w:line="440" w:lineRule="exact"/>
        <w:jc w:val="left"/>
        <w:rPr>
          <w:rFonts w:ascii="仿宋" w:hAnsi="仿宋" w:cstheme="minorBidi"/>
          <w:sz w:val="24"/>
        </w:rPr>
      </w:pPr>
      <w:r>
        <w:rPr>
          <w:rFonts w:hint="eastAsia"/>
          <w:sz w:val="24"/>
        </w:rPr>
        <w:t>八、政府性基金预算支出决算情况说明………………………………………13</w:t>
      </w:r>
    </w:p>
    <w:p>
      <w:pPr>
        <w:pStyle w:val="11"/>
        <w:adjustRightInd w:val="0"/>
        <w:snapToGrid w:val="0"/>
        <w:spacing w:line="440" w:lineRule="exact"/>
        <w:jc w:val="left"/>
        <w:rPr>
          <w:sz w:val="24"/>
        </w:rPr>
      </w:pPr>
      <w:r>
        <w:rPr>
          <w:rFonts w:hint="eastAsia"/>
          <w:sz w:val="24"/>
        </w:rPr>
        <w:t>九、国有资本经营预算支出决算情况说明……………………………………13</w:t>
      </w:r>
    </w:p>
    <w:p>
      <w:pPr>
        <w:pStyle w:val="11"/>
        <w:adjustRightInd w:val="0"/>
        <w:snapToGrid w:val="0"/>
        <w:spacing w:line="440" w:lineRule="exact"/>
        <w:jc w:val="left"/>
        <w:rPr>
          <w:sz w:val="24"/>
        </w:rPr>
      </w:pPr>
      <w:r>
        <w:rPr>
          <w:rFonts w:hint="eastAsia"/>
          <w:sz w:val="24"/>
        </w:rPr>
        <w:t>十、其他重要事项的情况说明…………………………………………………13</w:t>
      </w:r>
    </w:p>
    <w:p>
      <w:pPr>
        <w:pStyle w:val="10"/>
        <w:adjustRightInd w:val="0"/>
        <w:snapToGrid w:val="0"/>
        <w:spacing w:before="0" w:line="440" w:lineRule="exact"/>
        <w:jc w:val="left"/>
        <w:rPr>
          <w:sz w:val="24"/>
        </w:rPr>
      </w:pPr>
      <w:r>
        <w:rPr>
          <w:rFonts w:hint="eastAsia"/>
          <w:sz w:val="24"/>
        </w:rPr>
        <w:t>第三部分名词解释…………………………………………………………………15</w:t>
      </w:r>
    </w:p>
    <w:p>
      <w:pPr>
        <w:pStyle w:val="10"/>
        <w:adjustRightInd w:val="0"/>
        <w:snapToGrid w:val="0"/>
        <w:spacing w:before="0" w:line="440" w:lineRule="exact"/>
        <w:jc w:val="left"/>
        <w:rPr>
          <w:rFonts w:cstheme="minorBidi"/>
          <w:sz w:val="24"/>
          <w:szCs w:val="24"/>
        </w:rPr>
      </w:pPr>
      <w:r>
        <w:rPr>
          <w:rFonts w:hint="eastAsia"/>
          <w:sz w:val="24"/>
        </w:rPr>
        <w:t>第四部分附件………………………………………………………………………18</w:t>
      </w:r>
    </w:p>
    <w:p>
      <w:pPr>
        <w:pStyle w:val="10"/>
        <w:adjustRightInd w:val="0"/>
        <w:snapToGrid w:val="0"/>
        <w:spacing w:before="0" w:line="440" w:lineRule="exact"/>
        <w:jc w:val="left"/>
        <w:rPr>
          <w:rFonts w:cstheme="minorBidi"/>
          <w:sz w:val="24"/>
          <w:szCs w:val="24"/>
        </w:rPr>
      </w:pPr>
      <w:r>
        <w:rPr>
          <w:rFonts w:hint="eastAsia"/>
          <w:sz w:val="24"/>
        </w:rPr>
        <w:t>第五部分附表………………………………………………………………………20</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Fonts w:ascii="黑体" w:eastAsia="黑体"/>
          <w:sz w:val="32"/>
          <w:szCs w:val="32"/>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pStyle w:val="3"/>
        <w:numPr>
          <w:ilvl w:val="0"/>
          <w:numId w:val="1"/>
        </w:numPr>
        <w:rPr>
          <w:rStyle w:val="25"/>
          <w:rFonts w:ascii="黑体" w:hAnsi="黑体" w:eastAsia="黑体"/>
          <w:b w:val="0"/>
          <w:bCs w:val="0"/>
        </w:rPr>
      </w:pPr>
      <w:bookmarkStart w:id="14" w:name="_Toc15377197"/>
      <w:bookmarkStart w:id="15" w:name="_Toc15396600"/>
      <w:r>
        <w:rPr>
          <w:rStyle w:val="25"/>
          <w:rFonts w:hint="eastAsia" w:ascii="黑体" w:hAnsi="黑体" w:eastAsia="黑体"/>
          <w:b w:val="0"/>
          <w:bCs w:val="0"/>
        </w:rPr>
        <w:t>主要职责</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正确贯彻执行党和国家的教育方针、政策、法规，维护学校的教学秩序，为学生创造良好的学习环境；积极稳妥地推进教育改革，按教育规律办事，不断提高教育质量;根据学校规模，设置学校管理机构，建立健全各项规章制度和岗位责任制；坚持教书育人，服务育人，环境育人方针，加强对学生的思想品德教育，使学生的德智体全面发展；抓好教师队伍建设，使每个教师都热心于教育事业;做好安全防范，保证学生的</w:t>
      </w:r>
      <w:r>
        <w:rPr>
          <w:rFonts w:hint="eastAsia" w:ascii="仿宋" w:hAnsi="仿宋" w:eastAsia="仿宋"/>
          <w:sz w:val="32"/>
          <w:szCs w:val="32"/>
          <w:lang w:eastAsia="zh-CN"/>
        </w:rPr>
        <w:t>人身安全</w:t>
      </w:r>
      <w:r>
        <w:rPr>
          <w:rFonts w:hint="eastAsia" w:ascii="仿宋" w:hAnsi="仿宋" w:eastAsia="仿宋"/>
          <w:sz w:val="32"/>
          <w:szCs w:val="32"/>
        </w:rPr>
        <w:t>。规划全区教育科学研究、管理、评选及推广应用工作；为基层学校及广大教师开展教育科研工作提供信息服务和业务指导；负责教学研究、教学指导、教学业务管理等有关工作，努力探索教学规律，为学校全面提高教育教学质量服务；负责全区中小学干部培训、教师继续教育培训工作；做好全区学校教育装备规划工作；负责学校仪器、电教设备、图书、体育器材等的装备工作；开展实验教学、现代教育技术、学校图书馆建设与管理及培训方面的研究；做好音像教材的推广使用工作，做好音像资源库建设和网络资源库建设，为学校教学服务。</w:t>
      </w:r>
    </w:p>
    <w:p/>
    <w:p>
      <w:pPr>
        <w:pStyle w:val="3"/>
        <w:numPr>
          <w:ilvl w:val="0"/>
          <w:numId w:val="1"/>
        </w:numPr>
        <w:rPr>
          <w:rFonts w:ascii="黑体" w:hAnsi="黑体" w:eastAsia="黑体"/>
          <w:b w:val="0"/>
        </w:rPr>
      </w:pPr>
      <w:r>
        <w:rPr>
          <w:rFonts w:hint="eastAsia" w:ascii="黑体" w:hAnsi="黑体" w:eastAsia="黑体"/>
          <w:b w:val="0"/>
        </w:rPr>
        <w:t>机构设置</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本单位是船山区教体局下属二级单位，本单位无下属预算单位。</w:t>
      </w: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2"/>
        <w:ind w:right="440"/>
        <w:jc w:val="center"/>
        <w:rPr>
          <w:rStyle w:val="24"/>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24"/>
          <w:rFonts w:hint="eastAsia" w:ascii="黑体" w:hAnsi="黑体" w:eastAsia="黑体"/>
          <w:b w:val="0"/>
          <w:bCs/>
        </w:rPr>
        <w:t>单位决算情况说明</w:t>
      </w:r>
      <w:bookmarkEnd w:id="16"/>
      <w:bookmarkEnd w:id="17"/>
    </w:p>
    <w:p>
      <w:pPr>
        <w:pStyle w:val="23"/>
        <w:numPr>
          <w:ilvl w:val="0"/>
          <w:numId w:val="2"/>
        </w:numPr>
        <w:spacing w:line="600" w:lineRule="exact"/>
        <w:ind w:firstLineChars="0"/>
        <w:outlineLvl w:val="1"/>
        <w:rPr>
          <w:rStyle w:val="25"/>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2023年度收、支总计820.84万元。与2022年相比，收、支总计各减少181.48万元，下降18.11</w:t>
      </w:r>
      <w:r>
        <w:rPr>
          <w:rFonts w:ascii="仿宋" w:hAnsi="仿宋" w:eastAsia="仿宋"/>
          <w:sz w:val="32"/>
          <w:szCs w:val="32"/>
        </w:rPr>
        <w:t>%</w:t>
      </w:r>
      <w:r>
        <w:rPr>
          <w:rFonts w:hint="eastAsia" w:ascii="仿宋" w:hAnsi="仿宋" w:eastAsia="仿宋"/>
          <w:sz w:val="32"/>
          <w:szCs w:val="32"/>
        </w:rPr>
        <w:t>。主要变动原因是人员变动，本年度人员经费、公用经费和项目预算支出减少。</w:t>
      </w:r>
    </w:p>
    <w:p>
      <w:pPr>
        <w:pStyle w:val="5"/>
        <w:spacing w:before="93"/>
      </w:pPr>
      <w:r>
        <w:drawing>
          <wp:inline distT="0" distB="0" distL="114300" distR="114300">
            <wp:extent cx="4820285" cy="2438400"/>
            <wp:effectExtent l="4445" t="5080" r="13970" b="13970"/>
            <wp:docPr id="47"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3"/>
        <w:numPr>
          <w:ilvl w:val="0"/>
          <w:numId w:val="2"/>
        </w:numPr>
        <w:spacing w:line="600" w:lineRule="exact"/>
        <w:ind w:firstLineChars="0"/>
        <w:outlineLvl w:val="1"/>
        <w:rPr>
          <w:rStyle w:val="25"/>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2023年本年收入合计801.52万元，其中：一般公共预算财政拨款收入789.93万元，占98.55</w:t>
      </w:r>
      <w:r>
        <w:rPr>
          <w:rFonts w:ascii="仿宋" w:hAnsi="仿宋" w:eastAsia="仿宋"/>
          <w:sz w:val="32"/>
          <w:szCs w:val="32"/>
        </w:rPr>
        <w:t>%</w:t>
      </w:r>
      <w:r>
        <w:rPr>
          <w:rFonts w:hint="eastAsia" w:ascii="仿宋" w:hAnsi="仿宋" w:eastAsia="仿宋"/>
          <w:sz w:val="32"/>
          <w:szCs w:val="32"/>
        </w:rPr>
        <w:t>；其他收入11.59万元，占1.45</w:t>
      </w:r>
      <w:r>
        <w:rPr>
          <w:rFonts w:ascii="仿宋" w:hAnsi="仿宋" w:eastAsia="仿宋"/>
          <w:sz w:val="32"/>
          <w:szCs w:val="32"/>
        </w:rPr>
        <w:t>%</w:t>
      </w:r>
      <w:r>
        <w:rPr>
          <w:rFonts w:hint="eastAsia" w:ascii="仿宋" w:hAnsi="仿宋" w:eastAsia="仿宋"/>
          <w:sz w:val="32"/>
          <w:szCs w:val="32"/>
        </w:rPr>
        <w:t>。</w:t>
      </w:r>
    </w:p>
    <w:p>
      <w:pPr>
        <w:pStyle w:val="5"/>
        <w:spacing w:before="93"/>
        <w:jc w:val="center"/>
      </w:pPr>
      <w:r>
        <w:drawing>
          <wp:inline distT="0" distB="0" distL="114300" distR="114300">
            <wp:extent cx="4544060" cy="2509520"/>
            <wp:effectExtent l="4445" t="4445" r="23495" b="19685"/>
            <wp:docPr id="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1600" w:firstLineChars="500"/>
        <w:rPr>
          <w:rFonts w:ascii="仿宋_GB2312" w:eastAsia="仿宋_GB2312"/>
          <w:sz w:val="32"/>
          <w:szCs w:val="32"/>
        </w:rPr>
      </w:pPr>
      <w:r>
        <w:rPr>
          <w:rFonts w:hint="eastAsia" w:ascii="仿宋" w:hAnsi="仿宋" w:eastAsia="仿宋"/>
          <w:sz w:val="32"/>
          <w:szCs w:val="32"/>
        </w:rPr>
        <w:t>（图2：收入决算结构图）（饼状图）</w:t>
      </w:r>
    </w:p>
    <w:p>
      <w:pPr>
        <w:pStyle w:val="23"/>
        <w:numPr>
          <w:ilvl w:val="0"/>
          <w:numId w:val="2"/>
        </w:numPr>
        <w:spacing w:line="600" w:lineRule="exact"/>
        <w:ind w:firstLineChars="0"/>
        <w:outlineLvl w:val="1"/>
        <w:rPr>
          <w:rStyle w:val="25"/>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2023年本年支出合计803.73万元，其中：基本支出759.48万元，占94.49</w:t>
      </w:r>
      <w:r>
        <w:rPr>
          <w:rFonts w:ascii="仿宋" w:hAnsi="仿宋" w:eastAsia="仿宋"/>
          <w:sz w:val="32"/>
          <w:szCs w:val="32"/>
        </w:rPr>
        <w:t>%</w:t>
      </w:r>
      <w:r>
        <w:rPr>
          <w:rFonts w:hint="eastAsia" w:ascii="仿宋" w:hAnsi="仿宋" w:eastAsia="仿宋"/>
          <w:sz w:val="32"/>
          <w:szCs w:val="32"/>
        </w:rPr>
        <w:t>；项目支出44.25万元，占5.51</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shd w:val="pct10" w:color="auto" w:fill="FFFFFF"/>
        </w:rPr>
      </w:pPr>
    </w:p>
    <w:p>
      <w:pPr>
        <w:pStyle w:val="5"/>
        <w:spacing w:before="93"/>
        <w:jc w:val="center"/>
      </w:pPr>
      <w:r>
        <w:drawing>
          <wp:inline distT="0" distB="0" distL="114300" distR="114300">
            <wp:extent cx="4491355" cy="2496820"/>
            <wp:effectExtent l="4445" t="4445" r="19050" b="13335"/>
            <wp:docPr id="54" name="图表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5"/>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hint="eastAsia" w:ascii="仿宋" w:hAnsi="仿宋" w:eastAsia="仿宋"/>
          <w:sz w:val="32"/>
          <w:szCs w:val="32"/>
        </w:rPr>
        <w:t>2023年财政拨款收、支总计789.93万元。与2022年相比，财政拨款收、支总计各减少177.80万元，下降18.37</w:t>
      </w:r>
      <w:r>
        <w:rPr>
          <w:rFonts w:ascii="仿宋" w:hAnsi="仿宋" w:eastAsia="仿宋"/>
          <w:sz w:val="32"/>
          <w:szCs w:val="32"/>
        </w:rPr>
        <w:t>%</w:t>
      </w:r>
      <w:r>
        <w:rPr>
          <w:rFonts w:hint="eastAsia" w:ascii="仿宋" w:hAnsi="仿宋" w:eastAsia="仿宋"/>
          <w:sz w:val="32"/>
          <w:szCs w:val="32"/>
        </w:rPr>
        <w:t>。主要变动原因是人员变动，本年度人员经费、公用经费和项目预算支出减少。</w:t>
      </w:r>
    </w:p>
    <w:p>
      <w:pPr>
        <w:pStyle w:val="5"/>
        <w:spacing w:before="93"/>
      </w:pPr>
      <w:r>
        <w:drawing>
          <wp:inline distT="0" distB="0" distL="114300" distR="114300">
            <wp:extent cx="4836795" cy="2427605"/>
            <wp:effectExtent l="4445" t="5080" r="16510" b="5715"/>
            <wp:docPr id="55" name="图表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jc w:val="left"/>
        <w:rPr>
          <w:rFonts w:ascii="仿宋" w:hAnsi="仿宋" w:eastAsia="仿宋"/>
          <w:sz w:val="32"/>
          <w:szCs w:val="32"/>
        </w:rPr>
      </w:pPr>
      <w:r>
        <w:rPr>
          <w:rFonts w:hint="eastAsia" w:ascii="仿宋" w:hAnsi="仿宋" w:eastAsia="仿宋"/>
          <w:sz w:val="32"/>
          <w:szCs w:val="32"/>
        </w:rPr>
        <w:t>（图4：财政拨款收、支决算总计变动情况）（柱状图）</w:t>
      </w:r>
    </w:p>
    <w:p>
      <w:pPr>
        <w:pStyle w:val="5"/>
        <w:spacing w:before="93"/>
      </w:pPr>
    </w:p>
    <w:p>
      <w:pPr>
        <w:spacing w:line="600" w:lineRule="exact"/>
        <w:ind w:firstLine="640" w:firstLineChars="200"/>
        <w:outlineLvl w:val="1"/>
        <w:rPr>
          <w:rStyle w:val="25"/>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rPr>
          <w:rFonts w:ascii="仿宋" w:hAnsi="仿宋" w:eastAsia="仿宋"/>
          <w:sz w:val="32"/>
          <w:szCs w:val="32"/>
        </w:rPr>
      </w:pPr>
      <w:r>
        <w:rPr>
          <w:rFonts w:hint="eastAsia" w:ascii="仿宋" w:hAnsi="仿宋" w:eastAsia="仿宋"/>
          <w:sz w:val="32"/>
          <w:szCs w:val="32"/>
        </w:rPr>
        <w:t>2023年一般公共预算财政拨款支出789.93万元，占本年支出合计的98.45</w:t>
      </w:r>
      <w:r>
        <w:rPr>
          <w:rFonts w:ascii="仿宋" w:hAnsi="仿宋" w:eastAsia="仿宋"/>
          <w:sz w:val="32"/>
          <w:szCs w:val="32"/>
        </w:rPr>
        <w:t>%</w:t>
      </w:r>
      <w:r>
        <w:rPr>
          <w:rFonts w:hint="eastAsia" w:ascii="仿宋" w:hAnsi="仿宋" w:eastAsia="仿宋"/>
          <w:sz w:val="32"/>
          <w:szCs w:val="32"/>
        </w:rPr>
        <w:t>。与2022年相比，一般公共预算财政拨款支出减少177.80万元，下降18.37</w:t>
      </w:r>
      <w:r>
        <w:rPr>
          <w:rFonts w:ascii="仿宋" w:hAnsi="仿宋" w:eastAsia="仿宋"/>
          <w:sz w:val="32"/>
          <w:szCs w:val="32"/>
        </w:rPr>
        <w:t>%</w:t>
      </w:r>
      <w:r>
        <w:rPr>
          <w:rFonts w:hint="eastAsia" w:ascii="仿宋" w:hAnsi="仿宋" w:eastAsia="仿宋"/>
          <w:sz w:val="32"/>
          <w:szCs w:val="32"/>
        </w:rPr>
        <w:t>。主要变动原因是人员变动，本年度人员经费、公用经费和项目预算支出减少。</w:t>
      </w:r>
    </w:p>
    <w:p>
      <w:pPr>
        <w:spacing w:line="600" w:lineRule="exact"/>
        <w:ind w:firstLine="640" w:firstLineChars="200"/>
        <w:rPr>
          <w:rFonts w:ascii="仿宋" w:hAnsi="仿宋" w:eastAsia="仿宋"/>
          <w:sz w:val="32"/>
          <w:szCs w:val="32"/>
        </w:rPr>
      </w:pPr>
    </w:p>
    <w:p>
      <w:pPr>
        <w:pStyle w:val="5"/>
        <w:spacing w:before="93"/>
      </w:pPr>
      <w:r>
        <w:drawing>
          <wp:inline distT="0" distB="0" distL="114300" distR="114300">
            <wp:extent cx="4705985" cy="2658110"/>
            <wp:effectExtent l="4445" t="5080" r="13970" b="22860"/>
            <wp:docPr id="56" name="图表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hint="eastAsia" w:ascii="仿宋" w:hAnsi="仿宋" w:eastAsia="仿宋"/>
          <w:sz w:val="32"/>
          <w:szCs w:val="32"/>
        </w:rPr>
        <w:t>2023年一般公共预算财政拨款支出789.93万元，主要用于以下方面：</w:t>
      </w:r>
      <w:r>
        <w:rPr>
          <w:rFonts w:hint="eastAsia" w:ascii="仿宋" w:hAnsi="仿宋" w:eastAsia="仿宋"/>
          <w:b/>
          <w:sz w:val="32"/>
          <w:szCs w:val="32"/>
        </w:rPr>
        <w:t>教育支出</w:t>
      </w:r>
      <w:r>
        <w:rPr>
          <w:rFonts w:hint="eastAsia" w:ascii="仿宋" w:hAnsi="仿宋" w:eastAsia="仿宋"/>
          <w:sz w:val="32"/>
          <w:szCs w:val="32"/>
        </w:rPr>
        <w:t>592.55万元，占75.02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133.04万元，占16.84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31.78万元，占4.02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32.56万元，占4.12</w:t>
      </w:r>
      <w:r>
        <w:rPr>
          <w:rFonts w:ascii="仿宋" w:hAnsi="仿宋" w:eastAsia="仿宋"/>
          <w:sz w:val="32"/>
          <w:szCs w:val="32"/>
        </w:rPr>
        <w:t>%</w:t>
      </w:r>
      <w:r>
        <w:rPr>
          <w:rFonts w:hint="eastAsia" w:ascii="仿宋" w:hAnsi="仿宋" w:eastAsia="仿宋"/>
          <w:sz w:val="32"/>
          <w:szCs w:val="32"/>
        </w:rPr>
        <w:t>。</w:t>
      </w:r>
    </w:p>
    <w:p>
      <w:pPr>
        <w:pStyle w:val="5"/>
        <w:spacing w:before="93"/>
      </w:pPr>
      <w:r>
        <w:drawing>
          <wp:inline distT="0" distB="0" distL="114300" distR="114300">
            <wp:extent cx="4848860" cy="3048000"/>
            <wp:effectExtent l="4445" t="4445" r="23495" b="14605"/>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5"/>
        <w:spacing w:before="93"/>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hint="eastAsia" w:ascii="仿宋" w:hAnsi="仿宋" w:eastAsia="仿宋"/>
          <w:sz w:val="32"/>
          <w:szCs w:val="32"/>
        </w:rPr>
        <w:t>789.93，</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1.教育（类）教育管理事务（款）其他教育管理事务支出（项）</w:t>
      </w:r>
      <w:r>
        <w:rPr>
          <w:rStyle w:val="14"/>
          <w:rFonts w:ascii="仿宋" w:hAnsi="仿宋" w:eastAsia="仿宋"/>
          <w:bCs/>
          <w:sz w:val="32"/>
          <w:szCs w:val="32"/>
        </w:rPr>
        <w:t>:</w:t>
      </w:r>
      <w:r>
        <w:rPr>
          <w:rStyle w:val="14"/>
          <w:rFonts w:hint="eastAsia" w:ascii="仿宋" w:hAnsi="仿宋" w:eastAsia="仿宋"/>
          <w:b w:val="0"/>
          <w:bCs/>
          <w:sz w:val="32"/>
          <w:szCs w:val="32"/>
        </w:rPr>
        <w:t>支出决算为592.55万元，完成预算100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  事业单位离退休</w:t>
      </w:r>
      <w:r>
        <w:rPr>
          <w:rStyle w:val="14"/>
          <w:rFonts w:hint="eastAsia" w:ascii="仿宋" w:hAnsi="仿宋" w:eastAsia="仿宋"/>
          <w:b w:val="0"/>
          <w:bCs/>
          <w:sz w:val="32"/>
          <w:szCs w:val="32"/>
        </w:rPr>
        <w:t>数：支出决算为6.48万元，完成预算100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3</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  机关事业单位基本养老保险缴费支出（项）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支出决算为40.46万元，完成预算100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4</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  机关事业单位职业年金缴费支出（项）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支出决算为39.86万元，完成预算100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5</w:t>
      </w:r>
      <w:r>
        <w:rPr>
          <w:rStyle w:val="14"/>
          <w:rFonts w:ascii="仿宋" w:hAnsi="仿宋" w:eastAsia="仿宋"/>
          <w:bCs/>
          <w:sz w:val="32"/>
          <w:szCs w:val="32"/>
        </w:rPr>
        <w:t>.</w:t>
      </w:r>
      <w:r>
        <w:rPr>
          <w:rStyle w:val="14"/>
          <w:rFonts w:hint="eastAsia" w:ascii="仿宋" w:hAnsi="仿宋" w:eastAsia="仿宋"/>
          <w:bCs/>
          <w:sz w:val="32"/>
          <w:szCs w:val="32"/>
        </w:rPr>
        <w:t>社会保障和就业（类）抚恤（款） 死亡抚恤（项）</w:t>
      </w:r>
      <w:r>
        <w:rPr>
          <w:rStyle w:val="14"/>
          <w:rFonts w:ascii="仿宋" w:hAnsi="仿宋" w:eastAsia="仿宋"/>
          <w:bCs/>
          <w:sz w:val="32"/>
          <w:szCs w:val="32"/>
        </w:rPr>
        <w:t>:</w:t>
      </w:r>
      <w:r>
        <w:rPr>
          <w:rStyle w:val="14"/>
          <w:rFonts w:hint="eastAsia" w:ascii="仿宋" w:hAnsi="仿宋" w:eastAsia="仿宋"/>
          <w:b w:val="0"/>
          <w:bCs/>
          <w:sz w:val="32"/>
          <w:szCs w:val="32"/>
        </w:rPr>
        <w:t>支出决算为42.03万元，完成预算100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6</w:t>
      </w:r>
      <w:r>
        <w:rPr>
          <w:rStyle w:val="14"/>
          <w:rFonts w:ascii="仿宋" w:hAnsi="仿宋" w:eastAsia="仿宋"/>
          <w:bCs/>
          <w:sz w:val="32"/>
          <w:szCs w:val="32"/>
        </w:rPr>
        <w:t>.</w:t>
      </w:r>
      <w:r>
        <w:rPr>
          <w:rStyle w:val="14"/>
          <w:rFonts w:hint="eastAsia" w:ascii="仿宋" w:hAnsi="仿宋" w:eastAsia="仿宋"/>
          <w:bCs/>
          <w:sz w:val="32"/>
          <w:szCs w:val="32"/>
        </w:rPr>
        <w:t>社会保障和就业（类）残疾人事业（款） 残疾人就业（项）</w:t>
      </w:r>
      <w:r>
        <w:rPr>
          <w:rStyle w:val="14"/>
          <w:rFonts w:ascii="仿宋" w:hAnsi="仿宋" w:eastAsia="仿宋"/>
          <w:bCs/>
          <w:sz w:val="32"/>
          <w:szCs w:val="32"/>
        </w:rPr>
        <w:t>:</w:t>
      </w:r>
      <w:r>
        <w:rPr>
          <w:rStyle w:val="14"/>
          <w:rFonts w:hint="eastAsia" w:ascii="仿宋" w:hAnsi="仿宋" w:eastAsia="仿宋"/>
          <w:b w:val="0"/>
          <w:bCs/>
          <w:sz w:val="32"/>
          <w:szCs w:val="32"/>
        </w:rPr>
        <w:t>支出决算为2.22万元，完成预算100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7</w:t>
      </w:r>
      <w:r>
        <w:rPr>
          <w:rStyle w:val="14"/>
          <w:rFonts w:ascii="仿宋" w:hAnsi="仿宋" w:eastAsia="仿宋"/>
          <w:bCs/>
          <w:sz w:val="32"/>
          <w:szCs w:val="32"/>
        </w:rPr>
        <w:t>.</w:t>
      </w:r>
      <w:r>
        <w:rPr>
          <w:rStyle w:val="14"/>
          <w:rFonts w:hint="eastAsia" w:ascii="仿宋" w:hAnsi="仿宋" w:eastAsia="仿宋"/>
          <w:bCs/>
          <w:sz w:val="32"/>
          <w:szCs w:val="32"/>
        </w:rPr>
        <w:t>社会保障和就业（类）其他社会保障和就业支出（款）    其他社会保障和就业支出支出（项）</w:t>
      </w:r>
      <w:r>
        <w:rPr>
          <w:rStyle w:val="14"/>
          <w:rFonts w:ascii="仿宋" w:hAnsi="仿宋" w:eastAsia="仿宋"/>
          <w:bCs/>
          <w:sz w:val="32"/>
          <w:szCs w:val="32"/>
        </w:rPr>
        <w:t>:</w:t>
      </w:r>
      <w:r>
        <w:rPr>
          <w:rStyle w:val="14"/>
          <w:rFonts w:hint="eastAsia" w:ascii="仿宋" w:hAnsi="仿宋" w:eastAsia="仿宋"/>
          <w:b w:val="0"/>
          <w:bCs/>
          <w:sz w:val="32"/>
          <w:szCs w:val="32"/>
        </w:rPr>
        <w:t>支出决算为1.99万元，完成预算100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8</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支出决算为13.84万元，完成预算100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9</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（类）行政事业单位医疗（款）公务员医疗补助（项）</w:t>
      </w:r>
      <w:r>
        <w:rPr>
          <w:rStyle w:val="14"/>
          <w:rFonts w:ascii="仿宋" w:hAnsi="仿宋" w:eastAsia="仿宋"/>
          <w:bCs/>
          <w:sz w:val="32"/>
          <w:szCs w:val="32"/>
        </w:rPr>
        <w:t>:</w:t>
      </w:r>
      <w:r>
        <w:rPr>
          <w:rStyle w:val="14"/>
          <w:rFonts w:hint="eastAsia" w:ascii="仿宋" w:hAnsi="仿宋" w:eastAsia="仿宋"/>
          <w:b w:val="0"/>
          <w:bCs/>
          <w:sz w:val="32"/>
          <w:szCs w:val="32"/>
        </w:rPr>
        <w:t>支出决算为17.94万元，完成预算100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10</w:t>
      </w:r>
      <w:r>
        <w:rPr>
          <w:rStyle w:val="14"/>
          <w:rFonts w:ascii="仿宋" w:hAnsi="仿宋" w:eastAsia="仿宋"/>
          <w:bCs/>
          <w:sz w:val="32"/>
          <w:szCs w:val="32"/>
        </w:rPr>
        <w:t>.</w:t>
      </w:r>
      <w:r>
        <w:rPr>
          <w:rFonts w:hint="eastAsia" w:ascii="仿宋" w:hAnsi="仿宋" w:eastAsia="仿宋"/>
          <w:b/>
          <w:bCs/>
          <w:sz w:val="32"/>
          <w:szCs w:val="32"/>
        </w:rPr>
        <w:t>住房保障支出</w:t>
      </w:r>
      <w:r>
        <w:rPr>
          <w:rStyle w:val="14"/>
          <w:rFonts w:hint="eastAsia" w:ascii="仿宋" w:hAnsi="仿宋" w:eastAsia="仿宋"/>
          <w:bCs/>
          <w:sz w:val="32"/>
          <w:szCs w:val="32"/>
        </w:rPr>
        <w:t>（类）住房改革支出（款）住房公积金（项）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支出决算为32.56万元，完成预算100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tabs>
          <w:tab w:val="right" w:pos="8306"/>
        </w:tabs>
        <w:spacing w:line="600" w:lineRule="exact"/>
        <w:ind w:firstLine="640"/>
        <w:outlineLvl w:val="1"/>
        <w:rPr>
          <w:rStyle w:val="25"/>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2023年一般公共预算财政拨款基本支出758.58万元，其中：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707.73万元，主要包括：基本工资、津贴补贴、绩效工资、机关事业单位基本养老保险缴费、职业年金缴费、职工基本医疗保险缴费、公务员医疗补助缴费、其他社会保障缴费、住房公积金、其他工资福利支出、抚恤金、生活补助、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50.85万元，主要包括：办公费、印刷费、水费、电费、邮电费、物业管理费、差旅费、维修（护）费、租赁费、培训费、公务接待费、专用材料费、劳务费、工会经费、福利费、其他交通费、其他商品和服务支出等。</w:t>
      </w:r>
    </w:p>
    <w:p>
      <w:pPr>
        <w:pStyle w:val="5"/>
        <w:spacing w:before="93"/>
      </w:pPr>
    </w:p>
    <w:p>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hint="eastAsia" w:ascii="仿宋" w:hAnsi="仿宋" w:eastAsia="仿宋"/>
          <w:sz w:val="32"/>
          <w:szCs w:val="32"/>
        </w:rPr>
        <w:t>2023年“三公”经费财政拨款支出决算为0万元，完成预算0</w:t>
      </w:r>
      <w:r>
        <w:rPr>
          <w:rFonts w:ascii="仿宋" w:hAnsi="仿宋" w:eastAsia="仿宋"/>
          <w:sz w:val="32"/>
          <w:szCs w:val="32"/>
        </w:rPr>
        <w:t>%</w:t>
      </w:r>
      <w:r>
        <w:rPr>
          <w:rFonts w:hint="eastAsia" w:ascii="仿宋" w:hAnsi="仿宋" w:eastAsia="仿宋"/>
          <w:sz w:val="32"/>
          <w:szCs w:val="32"/>
        </w:rPr>
        <w:t>，决算数小于预算数的主要原因是节约开支未支出。</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hint="eastAsia" w:ascii="仿宋" w:hAnsi="仿宋" w:eastAsia="仿宋"/>
          <w:sz w:val="32"/>
          <w:szCs w:val="32"/>
        </w:rPr>
        <w:t>2022年“三公”经费财政拨款支出决算中，因公出国（境）费支出决算0万元，占0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；公务接待费支出决算0.38万元，占100</w:t>
      </w:r>
      <w:r>
        <w:rPr>
          <w:rFonts w:ascii="仿宋" w:hAnsi="仿宋" w:eastAsia="仿宋"/>
          <w:sz w:val="32"/>
          <w:szCs w:val="32"/>
        </w:rPr>
        <w:t>%</w:t>
      </w:r>
      <w:r>
        <w:rPr>
          <w:rFonts w:hint="eastAsia" w:ascii="仿宋" w:hAnsi="仿宋" w:eastAsia="仿宋"/>
          <w:sz w:val="32"/>
          <w:szCs w:val="32"/>
        </w:rPr>
        <w:t>。具体情况如下：</w:t>
      </w:r>
    </w:p>
    <w:p>
      <w:pPr>
        <w:pStyle w:val="5"/>
        <w:spacing w:before="93"/>
      </w:pPr>
    </w:p>
    <w:p>
      <w:pPr>
        <w:pStyle w:val="5"/>
        <w:spacing w:before="93"/>
      </w:pPr>
      <w:r>
        <w:drawing>
          <wp:inline distT="0" distB="0" distL="114300" distR="114300">
            <wp:extent cx="5190490" cy="2458085"/>
            <wp:effectExtent l="4445" t="4445" r="5715" b="1397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bookmarkStart w:id="40" w:name="_Toc15377218"/>
      <w:bookmarkStart w:id="41" w:name="_Toc15396610"/>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22年持平。</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开支内容包括：无</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ascii="仿宋_GB2312" w:eastAsia="仿宋_GB2312"/>
          <w:sz w:val="32"/>
          <w:szCs w:val="32"/>
        </w:rPr>
        <w:t>20</w:t>
      </w:r>
      <w:r>
        <w:rPr>
          <w:rFonts w:hint="eastAsia" w:ascii="仿宋_GB2312" w:eastAsia="仿宋_GB2312"/>
          <w:sz w:val="32"/>
          <w:szCs w:val="32"/>
        </w:rPr>
        <w:t>22年持平。</w:t>
      </w:r>
    </w:p>
    <w:p>
      <w:pPr>
        <w:spacing w:line="600" w:lineRule="exact"/>
        <w:ind w:firstLine="640"/>
        <w:rPr>
          <w:rFonts w:ascii="仿宋_GB2312" w:eastAsia="仿宋_GB2312"/>
          <w:sz w:val="32"/>
          <w:szCs w:val="32"/>
        </w:rPr>
      </w:pPr>
      <w:r>
        <w:rPr>
          <w:rFonts w:hint="eastAsia" w:ascii="仿宋_GB2312" w:eastAsia="仿宋_GB2312"/>
          <w:sz w:val="32"/>
          <w:szCs w:val="32"/>
        </w:rPr>
        <w:t>其中：公务用车购置支出0万元。全年按规定更新购置公务用车0辆，其中：轿车0辆、金额0万元，越野车0辆、金额0万元，载客汽车0辆、金额0万元。截至2023年12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sz w:val="32"/>
          <w:szCs w:val="32"/>
        </w:rPr>
        <w:t>公务用车运行维护费支出0万元。</w:t>
      </w:r>
    </w:p>
    <w:p>
      <w:pPr>
        <w:spacing w:line="600" w:lineRule="exact"/>
        <w:ind w:firstLine="640"/>
        <w:rPr>
          <w:rFonts w:ascii="仿宋_GB2312" w:eastAsia="仿宋_GB2312"/>
          <w:sz w:val="32"/>
          <w:szCs w:val="32"/>
        </w:rPr>
      </w:pPr>
      <w:r>
        <w:rPr>
          <w:rFonts w:hint="eastAsia" w:ascii="仿宋_GB2312" w:eastAsia="仿宋_GB2312"/>
          <w:sz w:val="32"/>
          <w:szCs w:val="32"/>
        </w:rPr>
        <w:t>3.公务接待费支出0.38万元，完成预算100%。公务接待费支出决算较2022年增加0.38万元，增长100</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疫情</w:t>
      </w:r>
      <w:r>
        <w:rPr>
          <w:rFonts w:hint="eastAsia" w:ascii="仿宋" w:hAnsi="仿宋" w:eastAsia="仿宋"/>
          <w:sz w:val="32"/>
          <w:szCs w:val="32"/>
          <w:lang w:eastAsia="zh-CN"/>
        </w:rPr>
        <w:t>防控</w:t>
      </w:r>
      <w:r>
        <w:rPr>
          <w:rFonts w:hint="eastAsia" w:ascii="仿宋" w:hAnsi="仿宋" w:eastAsia="仿宋"/>
          <w:sz w:val="32"/>
          <w:szCs w:val="32"/>
        </w:rPr>
        <w:t>，公务接待人次增加</w:t>
      </w:r>
      <w:r>
        <w:rPr>
          <w:rFonts w:hint="eastAsia" w:ascii="仿宋_GB2312" w:eastAsia="仿宋_GB2312"/>
          <w:sz w:val="32"/>
          <w:szCs w:val="32"/>
        </w:rPr>
        <w:t>。其中：</w:t>
      </w:r>
    </w:p>
    <w:p>
      <w:pPr>
        <w:spacing w:line="600" w:lineRule="exact"/>
        <w:ind w:firstLine="640"/>
        <w:rPr>
          <w:rFonts w:ascii="仿宋_GB2312" w:eastAsia="仿宋_GB2312"/>
          <w:sz w:val="32"/>
          <w:szCs w:val="32"/>
        </w:rPr>
      </w:pPr>
      <w:bookmarkStart w:id="42" w:name="OLE_LINK1"/>
      <w:r>
        <w:rPr>
          <w:rFonts w:hint="eastAsia" w:ascii="仿宋" w:hAnsi="仿宋" w:eastAsia="仿宋"/>
          <w:b/>
          <w:sz w:val="32"/>
          <w:szCs w:val="32"/>
        </w:rPr>
        <w:t>国内公务接待支出</w:t>
      </w:r>
      <w:r>
        <w:rPr>
          <w:rFonts w:hint="eastAsia" w:ascii="仿宋" w:hAnsi="仿宋" w:eastAsia="仿宋"/>
          <w:sz w:val="32"/>
          <w:szCs w:val="32"/>
        </w:rPr>
        <w:t>0.38</w:t>
      </w:r>
      <w:r>
        <w:rPr>
          <w:rFonts w:hint="eastAsia" w:ascii="仿宋_GB2312" w:eastAsia="仿宋_GB2312"/>
          <w:sz w:val="32"/>
          <w:szCs w:val="32"/>
        </w:rPr>
        <w:t>万元，</w:t>
      </w:r>
      <w:bookmarkEnd w:id="42"/>
      <w:r>
        <w:rPr>
          <w:rFonts w:hint="eastAsia" w:ascii="仿宋_GB2312" w:eastAsia="仿宋_GB2312"/>
          <w:sz w:val="32"/>
          <w:szCs w:val="32"/>
        </w:rPr>
        <w:t>具体内容包括：</w:t>
      </w:r>
      <w:bookmarkStart w:id="43" w:name="OLE_LINK2"/>
      <w:r>
        <w:rPr>
          <w:rFonts w:hint="eastAsia" w:ascii="仿宋_GB2312" w:eastAsia="仿宋_GB2312"/>
          <w:sz w:val="32"/>
          <w:szCs w:val="32"/>
        </w:rPr>
        <w:t>接待大英县教科所开展交流学习活动（大英10人，陪同3人），接待费0.13万元；接待成都市龙泉驿区教科院交流学习一行9人，陪同3人，其接待费（含住宿费0.13）0.25万元。</w:t>
      </w:r>
      <w:bookmarkEnd w:id="43"/>
      <w:r>
        <w:rPr>
          <w:rFonts w:hint="eastAsia" w:ascii="仿宋_GB2312" w:eastAsia="仿宋_GB2312"/>
          <w:sz w:val="32"/>
          <w:szCs w:val="32"/>
        </w:rPr>
        <w:t>共计支出0.38万元。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hint="eastAsia" w:ascii="仿宋_GB2312" w:eastAsia="仿宋_GB2312"/>
          <w:sz w:val="32"/>
          <w:szCs w:val="32"/>
        </w:rPr>
        <w:t>2023年政府性基金预算财政拨款支出0万元。</w:t>
      </w:r>
    </w:p>
    <w:p>
      <w:pPr>
        <w:numPr>
          <w:ilvl w:val="0"/>
          <w:numId w:val="3"/>
        </w:numPr>
        <w:spacing w:line="600" w:lineRule="exact"/>
        <w:ind w:firstLine="640"/>
        <w:outlineLvl w:val="1"/>
        <w:rPr>
          <w:rStyle w:val="25"/>
          <w:rFonts w:ascii="黑体" w:hAnsi="黑体" w:eastAsia="黑体"/>
          <w:b w:val="0"/>
        </w:rPr>
      </w:pPr>
      <w:bookmarkStart w:id="44" w:name="_Toc15377219"/>
      <w:bookmarkStart w:id="45" w:name="_Toc15396611"/>
      <w:r>
        <w:rPr>
          <w:rStyle w:val="25"/>
          <w:rFonts w:hint="eastAsia" w:ascii="黑体" w:hAnsi="黑体" w:eastAsia="黑体"/>
          <w:b w:val="0"/>
        </w:rPr>
        <w:t>国有资本经营预算支出决算情况说明</w:t>
      </w:r>
      <w:bookmarkEnd w:id="44"/>
      <w:bookmarkEnd w:id="45"/>
    </w:p>
    <w:p>
      <w:pPr>
        <w:spacing w:line="600" w:lineRule="exact"/>
        <w:ind w:firstLine="640"/>
        <w:rPr>
          <w:rFonts w:ascii="仿宋_GB2312" w:eastAsia="仿宋_GB2312"/>
          <w:sz w:val="32"/>
          <w:szCs w:val="32"/>
        </w:rPr>
      </w:pPr>
      <w:r>
        <w:rPr>
          <w:rFonts w:hint="eastAsia" w:ascii="仿宋_GB2312" w:eastAsia="仿宋_GB2312"/>
          <w:sz w:val="32"/>
          <w:szCs w:val="32"/>
        </w:rPr>
        <w:t>2023年国有资本经营预算财政拨款支出0万元。</w:t>
      </w:r>
    </w:p>
    <w:p>
      <w:pPr>
        <w:numPr>
          <w:ilvl w:val="0"/>
          <w:numId w:val="3"/>
        </w:numPr>
        <w:spacing w:line="600" w:lineRule="exact"/>
        <w:ind w:firstLine="640"/>
        <w:outlineLvl w:val="1"/>
        <w:rPr>
          <w:rStyle w:val="25"/>
          <w:rFonts w:ascii="黑体" w:hAnsi="黑体" w:eastAsia="黑体"/>
          <w:b w:val="0"/>
        </w:rPr>
      </w:pPr>
      <w:bookmarkStart w:id="46" w:name="_Toc15377221"/>
      <w:bookmarkStart w:id="47" w:name="_Toc15396612"/>
      <w:r>
        <w:rPr>
          <w:rStyle w:val="25"/>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2023年，本机关运行经费支出0万元，与</w:t>
      </w:r>
      <w:r>
        <w:rPr>
          <w:rFonts w:ascii="仿宋_GB2312" w:eastAsia="仿宋_GB2312"/>
          <w:sz w:val="32"/>
          <w:szCs w:val="32"/>
        </w:rPr>
        <w:t>20</w:t>
      </w:r>
      <w:r>
        <w:rPr>
          <w:rFonts w:hint="eastAsia" w:ascii="仿宋_GB2312" w:eastAsia="仿宋_GB2312"/>
          <w:sz w:val="32"/>
          <w:szCs w:val="32"/>
        </w:rPr>
        <w:t>22年持平，主要原因是本单位为事业单位，按规定未使用机关运行的相关科目。</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pPr>
      <w:r>
        <w:rPr>
          <w:rFonts w:hint="eastAsia" w:ascii="仿宋_GB2312" w:eastAsia="仿宋_GB2312"/>
          <w:sz w:val="32"/>
          <w:szCs w:val="32"/>
        </w:rPr>
        <w:t>2023年，教科所政府采购支出总额0万元，其中：政府采购货物支出0万元、政府采购工程支出0万元、政府采购服务支出0万元。授予中小企业合同金额0万元，占政府采购支出总额的0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日，教科所共有车辆0辆，其中：主要领导干部用车0辆、机要通信用车0辆、应急保障用车0辆、其他用车0辆。单价100万元以上通用设备0台（套），单价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eastAsia="仿宋_GB2312"/>
          <w:b/>
          <w:sz w:val="32"/>
          <w:szCs w:val="32"/>
        </w:rPr>
      </w:pPr>
      <w:r>
        <w:rPr>
          <w:rFonts w:hint="eastAsia" w:ascii="仿宋_GB2312" w:eastAsia="仿宋_GB2312"/>
          <w:sz w:val="32"/>
          <w:szCs w:val="32"/>
        </w:rPr>
        <w:t>根据预算绩效管理要求，本单位在2023年度预算编制阶段，没有需要做预算事前绩效评估项目，故未开展预算绩效评估，组织对人员类、运转类、特定目标等31个项目编制了绩效目标，预算执行过程中，选取了1个项目开展绩效监控，组织对</w:t>
      </w:r>
      <w:r>
        <w:rPr>
          <w:rFonts w:ascii="仿宋_GB2312" w:eastAsia="仿宋_GB2312"/>
          <w:sz w:val="32"/>
          <w:szCs w:val="32"/>
        </w:rPr>
        <w:t>培训费项目</w:t>
      </w:r>
      <w:r>
        <w:rPr>
          <w:rFonts w:hint="eastAsia" w:ascii="仿宋_GB2312" w:eastAsia="仿宋_GB2312"/>
          <w:sz w:val="32"/>
          <w:szCs w:val="32"/>
        </w:rPr>
        <w:t>等1个项目开展绩效自评，绩效自评表详见第四部分附件。</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1" w:name="_Toc15396613"/>
      <w:bookmarkStart w:id="52" w:name="_Toc15377225"/>
      <w:r>
        <w:rPr>
          <w:rFonts w:hint="eastAsia" w:ascii="黑体" w:hAnsi="黑体" w:eastAsia="黑体"/>
          <w:sz w:val="44"/>
          <w:szCs w:val="44"/>
        </w:rPr>
        <w:t>名</w:t>
      </w:r>
      <w:r>
        <w:rPr>
          <w:rStyle w:val="24"/>
          <w:rFonts w:hint="eastAsia" w:ascii="黑体" w:hAnsi="黑体" w:eastAsia="黑体"/>
          <w:b w:val="0"/>
        </w:rPr>
        <w:t>词解释</w:t>
      </w:r>
      <w:bookmarkEnd w:id="51"/>
      <w:bookmarkEnd w:id="52"/>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bookmarkStart w:id="53" w:name="_Toc15377226"/>
      <w:r>
        <w:rPr>
          <w:rFonts w:hint="eastAsia" w:ascii="仿宋_GB2312" w:eastAsia="仿宋_GB2312"/>
          <w:color w:val="auto"/>
          <w:sz w:val="32"/>
          <w:szCs w:val="32"/>
        </w:rPr>
        <w:t>1.财政拨款收入：指单位从同级财政部门取得的财政预算资金。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4.其他收入：指单位取得的除上述收入以外的各项收入。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5.使用非财政拨款结余：指事业单位使用以前年度积累的非财政拨款结余弥补当年收支差额的金额。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6.年初结转和结余：指以前年度尚未完成、结转到本年按有关规定继续使用的资金。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8.年末结转和结余：指单位按有关规定结转到下年或以后年度继续使用的资金。</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9.教育支出（类）普通教育（款）小学教育（项）：指各部门举办的小学教育支出。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10.教育支出（类）普通教育（款）其他普通教育支出（项）：指除上述项目以外其他用于普通教育方面的支出。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11.教育（类）普通教育（款）其他教育支出（项）：指除上述项目以外的教育支出。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12、社会保障和就业（类）行政事业单位离退休（款）机关事业单位基本养老保险缴费支出（项）：指机关事业单位实施养老保险制度由单位缴纳的基本养老保险费支出。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卫生健康支出（类）行政事业单位医疗（款）事业单位医疗（项）：指财政部门集中安排的事业单位基本医疗保险缴费经费，未参加医疗保险的事业单位的公费医疗经费，按国家规定享受离休人员待遇的医疗经费。</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14.卫生健康支出（类）行政事业单位医疗（款）公务员医疗补助（项）：指行政机关及参公管理事业单位用于集中缴纳公务员医疗补助支出。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15.住房保障支出（类）住房改革支出（款）住房公积金（项）：指行政事业单位按人力资源和社会保障部、财政部规定的基本工资和津贴补贴以及规定比例为职工缴纳的住房公积金。</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16.社会保障和就业（类）抚恤（款）死亡抚恤（项）: 指反映按规定用于烈士和牺牲、病故人员家属的一次性和定期抚恤金以及丧葬补助费。</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17.社会保障和就业（类）残疾人事业（款）残疾人就业（项）：反映残疾人联合会用于残疾人就业方面的支出。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18.社会保障和就业（类）行政事业单位养老支出（款）机关事业单位职业年金缴费支出（项）: 指反映机关事业单位实施养老保险制度由单位实际缴纳的职业年金支出。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19.基本支出：指为保障机构正常运转、完成日常工作任务而发生的人员支出和公用支出。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20.项目支出：指在基本支出之外为完成特定行政任务和事业发展目标所发生的支出。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olor w:val="auto"/>
          <w:sz w:val="32"/>
          <w:szCs w:val="32"/>
        </w:rPr>
      </w:pPr>
    </w:p>
    <w:p>
      <w:pPr>
        <w:pStyle w:val="22"/>
        <w:spacing w:line="560" w:lineRule="exact"/>
        <w:ind w:firstLine="2080" w:firstLineChars="650"/>
        <w:rPr>
          <w:rStyle w:val="24"/>
          <w:rFonts w:ascii="黑体" w:hAnsi="黑体" w:eastAsia="黑体"/>
          <w:b w:val="0"/>
          <w:color w:val="auto"/>
        </w:rPr>
      </w:pPr>
      <w:r>
        <w:rPr>
          <w:rFonts w:hint="eastAsia" w:ascii="仿宋_GB2312" w:eastAsia="仿宋_GB2312"/>
          <w:color w:val="auto"/>
          <w:sz w:val="32"/>
          <w:szCs w:val="32"/>
        </w:rPr>
        <w:br w:type="page"/>
      </w:r>
      <w:bookmarkStart w:id="54" w:name="_Toc15396614"/>
      <w:r>
        <w:rPr>
          <w:rFonts w:hint="eastAsia" w:ascii="黑体" w:hAnsi="黑体" w:eastAsia="黑体"/>
          <w:color w:val="auto"/>
          <w:sz w:val="44"/>
          <w:szCs w:val="44"/>
        </w:rPr>
        <w:t>第</w:t>
      </w:r>
      <w:r>
        <w:rPr>
          <w:rStyle w:val="24"/>
          <w:rFonts w:hint="eastAsia" w:ascii="黑体" w:hAnsi="黑体" w:eastAsia="黑体"/>
          <w:b w:val="0"/>
          <w:color w:val="auto"/>
        </w:rPr>
        <w:t>四部分 附件</w:t>
      </w:r>
      <w:bookmarkEnd w:id="54"/>
    </w:p>
    <w:tbl>
      <w:tblPr>
        <w:tblStyle w:val="12"/>
        <w:tblW w:w="5000" w:type="pct"/>
        <w:tblInd w:w="0" w:type="dxa"/>
        <w:tblLayout w:type="autofit"/>
        <w:tblCellMar>
          <w:top w:w="0" w:type="dxa"/>
          <w:left w:w="108" w:type="dxa"/>
          <w:bottom w:w="0" w:type="dxa"/>
          <w:right w:w="108" w:type="dxa"/>
        </w:tblCellMar>
      </w:tblPr>
      <w:tblGrid>
        <w:gridCol w:w="576"/>
        <w:gridCol w:w="1076"/>
        <w:gridCol w:w="906"/>
        <w:gridCol w:w="1202"/>
        <w:gridCol w:w="396"/>
        <w:gridCol w:w="848"/>
        <w:gridCol w:w="396"/>
        <w:gridCol w:w="847"/>
        <w:gridCol w:w="487"/>
        <w:gridCol w:w="397"/>
        <w:gridCol w:w="1391"/>
      </w:tblGrid>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bookmarkStart w:id="55" w:name="_Toc15396618"/>
            <w:r>
              <w:rPr>
                <w:rFonts w:hint="eastAsia" w:ascii="黑体" w:hAnsi="宋体" w:eastAsia="黑体" w:cs="黑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51090322T000005764883-培训费</w:t>
            </w:r>
          </w:p>
        </w:tc>
      </w:tr>
      <w:tr>
        <w:tblPrEx>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四川省遂宁市船山区教育体育局部门</w:t>
            </w:r>
          </w:p>
        </w:tc>
        <w:tc>
          <w:tcPr>
            <w:tcW w:w="496" w:type="pct"/>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四川省遂宁市船山区教育科学研究所</w:t>
            </w:r>
          </w:p>
        </w:tc>
      </w:tr>
      <w:tr>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w:t>
            </w:r>
            <w:bookmarkStart w:id="69" w:name="_GoBack"/>
            <w:r>
              <w:rPr>
                <w:rFonts w:ascii="宋体" w:hAnsi="宋体" w:cs="宋体"/>
                <w:color w:val="000000"/>
                <w:kern w:val="0"/>
                <w:sz w:val="18"/>
                <w:szCs w:val="18"/>
              </w:rPr>
              <w:t>年度目标</w:t>
            </w:r>
            <w:bookmarkEnd w:id="69"/>
          </w:p>
        </w:tc>
        <w:tc>
          <w:tcPr>
            <w:tcW w:w="18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158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按照《中共中央、国务院关于全面深化新时代教师队伍建设改革的意见》（2018年1月20日）和四川省财政厅 四川省教育厅关于征求《四川省国家和省级教师培训补助资金管理办法（征求意见稿）》意见的函、《遂宁市船山区财政局、中共遂宁市船山区委组织部、遂宁市船山区人力资源和社会保障局关于印发（遂宁市船山区区直机关培训费管理办法）的通知》等相关文件精神，针对教师队伍建设实际情况，特制定2023年船山区教师培训实施方案，旨在提升区教师队伍的专业能力和专业素养，加快推进船山教育高品质发展。</w:t>
            </w:r>
          </w:p>
        </w:tc>
        <w:tc>
          <w:tcPr>
            <w:tcW w:w="18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宋体" w:hAnsi="宋体" w:cs="宋体"/>
                <w:color w:val="000000"/>
                <w:kern w:val="0"/>
                <w:sz w:val="18"/>
                <w:szCs w:val="18"/>
              </w:rPr>
              <w:t>在年度内较好地完成了年度目标任务。</w:t>
            </w:r>
          </w:p>
        </w:tc>
      </w:tr>
      <w:tr>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通过财政补贴方式，推行培训自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w:t>
            </w:r>
          </w:p>
        </w:tc>
      </w:tr>
      <w:tr>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资金使用度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完成年度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2023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9</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9</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资金预算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元/年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36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97</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仿宋_GB2312" w:hAnsi="仿宋_GB2312" w:eastAsia="仿宋_GB2312" w:cs="仿宋_GB2312"/>
                <w:szCs w:val="32"/>
                <w:lang w:val="zh-CN"/>
              </w:rPr>
              <w:t>为</w:t>
            </w:r>
            <w:r>
              <w:rPr>
                <w:rFonts w:hint="eastAsia" w:ascii="宋体" w:hAnsi="宋体" w:cs="宋体"/>
                <w:color w:val="000000"/>
                <w:kern w:val="0"/>
                <w:sz w:val="18"/>
                <w:szCs w:val="18"/>
                <w:lang w:val="zh-CN"/>
              </w:rPr>
              <w:t>确保项目评价工作顺利开展，牢固树立绩效理念，切实提高资金使用效益，我</w:t>
            </w:r>
            <w:r>
              <w:rPr>
                <w:rFonts w:hint="eastAsia" w:ascii="宋体" w:hAnsi="宋体" w:cs="宋体"/>
                <w:color w:val="000000"/>
                <w:kern w:val="0"/>
                <w:sz w:val="18"/>
                <w:szCs w:val="18"/>
              </w:rPr>
              <w:t>校</w:t>
            </w:r>
            <w:r>
              <w:rPr>
                <w:rFonts w:hint="eastAsia" w:ascii="宋体" w:hAnsi="宋体" w:cs="宋体"/>
                <w:color w:val="000000"/>
                <w:kern w:val="0"/>
                <w:sz w:val="18"/>
                <w:szCs w:val="18"/>
                <w:lang w:val="zh-CN"/>
              </w:rPr>
              <w:t>项目绩效评价工作实施</w:t>
            </w:r>
            <w:r>
              <w:rPr>
                <w:rFonts w:hint="eastAsia" w:ascii="宋体" w:hAnsi="宋体" w:cs="宋体"/>
                <w:color w:val="000000"/>
                <w:kern w:val="0"/>
                <w:sz w:val="18"/>
                <w:szCs w:val="18"/>
              </w:rPr>
              <w:t>各股室</w:t>
            </w:r>
            <w:r>
              <w:rPr>
                <w:rFonts w:hint="eastAsia" w:ascii="宋体" w:hAnsi="宋体" w:cs="宋体"/>
                <w:color w:val="000000"/>
                <w:kern w:val="0"/>
                <w:sz w:val="18"/>
                <w:szCs w:val="18"/>
                <w:lang w:val="zh-CN"/>
              </w:rPr>
              <w:t>具体开展项目绩效自评工作，</w:t>
            </w:r>
            <w:r>
              <w:rPr>
                <w:rFonts w:hint="eastAsia" w:ascii="宋体" w:hAnsi="宋体" w:cs="宋体"/>
                <w:color w:val="000000"/>
                <w:kern w:val="0"/>
                <w:sz w:val="18"/>
                <w:szCs w:val="18"/>
              </w:rPr>
              <w:t>评分978</w:t>
            </w:r>
          </w:p>
        </w:tc>
      </w:tr>
      <w:tr>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18"/>
                <w:szCs w:val="18"/>
                <w:lang w:val="zh-CN"/>
              </w:rPr>
            </w:pPr>
            <w:r>
              <w:rPr>
                <w:rFonts w:hint="eastAsia" w:ascii="宋体" w:hAnsi="宋体" w:cs="宋体"/>
                <w:color w:val="000000"/>
                <w:kern w:val="0"/>
                <w:sz w:val="18"/>
                <w:szCs w:val="18"/>
                <w:lang w:val="zh-CN"/>
              </w:rPr>
              <w:t>项目事</w:t>
            </w:r>
            <w:r>
              <w:rPr>
                <w:rFonts w:hint="eastAsia" w:ascii="宋体" w:hAnsi="宋体" w:cs="宋体"/>
                <w:color w:val="000000"/>
                <w:kern w:val="0"/>
                <w:sz w:val="18"/>
                <w:szCs w:val="18"/>
              </w:rPr>
              <w:t>前</w:t>
            </w:r>
            <w:r>
              <w:rPr>
                <w:rFonts w:hint="eastAsia" w:ascii="宋体" w:hAnsi="宋体" w:cs="宋体"/>
                <w:color w:val="000000"/>
                <w:kern w:val="0"/>
                <w:sz w:val="18"/>
                <w:szCs w:val="18"/>
                <w:lang w:val="zh-CN"/>
              </w:rPr>
              <w:t>绩效评估、绩效目标指标设置还不够完整、合理。</w:t>
            </w:r>
          </w:p>
          <w:p>
            <w:pPr>
              <w:widowControl/>
              <w:jc w:val="left"/>
              <w:textAlignment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牢固树立绩效观念，加强预算项目事前评估，进一步加强资金使用用途，合理编制绩效目标，动态</w:t>
            </w:r>
          </w:p>
          <w:p>
            <w:pPr>
              <w:widowControl/>
              <w:textAlignment w:val="center"/>
              <w:rPr>
                <w:rFonts w:ascii="微软雅黑" w:hAnsi="微软雅黑" w:eastAsia="微软雅黑" w:cs="微软雅黑"/>
                <w:i/>
                <w:iCs/>
                <w:color w:val="000000"/>
                <w:sz w:val="16"/>
                <w:szCs w:val="16"/>
              </w:rPr>
            </w:pPr>
            <w:r>
              <w:rPr>
                <w:rFonts w:hint="eastAsia" w:ascii="宋体" w:hAnsi="宋体" w:cs="宋体"/>
                <w:color w:val="000000"/>
                <w:kern w:val="0"/>
                <w:sz w:val="18"/>
                <w:szCs w:val="18"/>
              </w:rPr>
              <w:t>监控项目实施情况，及时调整绩效目标，确保绩效目标合理、可行、能实现</w:t>
            </w:r>
          </w:p>
        </w:tc>
      </w:tr>
      <w:tr>
        <w:tblPrEx>
          <w:tblCellMar>
            <w:top w:w="0" w:type="dxa"/>
            <w:left w:w="108" w:type="dxa"/>
            <w:bottom w:w="0" w:type="dxa"/>
            <w:right w:w="108" w:type="dxa"/>
          </w:tblCellMar>
        </w:tblPrEx>
        <w:trPr>
          <w:trHeight w:val="286" w:hRule="atLeast"/>
        </w:trPr>
        <w:tc>
          <w:tcPr>
            <w:tcW w:w="24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w:t>
            </w:r>
          </w:p>
        </w:tc>
        <w:tc>
          <w:tcPr>
            <w:tcW w:w="2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p>
        </w:tc>
      </w:tr>
    </w:tbl>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rPr>
          <w:rFonts w:hAnsi="Calibri" w:cs="仿宋"/>
          <w:sz w:val="32"/>
          <w:szCs w:val="32"/>
        </w:rPr>
      </w:pPr>
    </w:p>
    <w:p>
      <w:pPr>
        <w:pStyle w:val="5"/>
        <w:spacing w:before="93"/>
        <w:rPr>
          <w:rFonts w:hAnsi="Calibri" w:cs="仿宋"/>
          <w:sz w:val="32"/>
          <w:szCs w:val="32"/>
        </w:rPr>
      </w:pPr>
    </w:p>
    <w:p>
      <w:pPr>
        <w:rPr>
          <w:rFonts w:hAnsi="Calibri" w:cs="仿宋"/>
          <w:sz w:val="32"/>
          <w:szCs w:val="32"/>
        </w:rPr>
      </w:pPr>
    </w:p>
    <w:p>
      <w:pPr>
        <w:pStyle w:val="5"/>
        <w:spacing w:before="93"/>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3"/>
      <w:bookmarkEnd w:id="55"/>
      <w:bookmarkStart w:id="56" w:name="_Toc15396619"/>
    </w:p>
    <w:p>
      <w:pPr>
        <w:pStyle w:val="3"/>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6"/>
    </w:p>
    <w:p>
      <w:pPr>
        <w:pStyle w:val="3"/>
        <w:rPr>
          <w:rFonts w:ascii="仿宋" w:hAnsi="仿宋" w:eastAsia="仿宋"/>
        </w:rPr>
      </w:pPr>
      <w:bookmarkStart w:id="57" w:name="_Toc15396620"/>
      <w:r>
        <w:rPr>
          <w:rFonts w:hint="eastAsia" w:ascii="仿宋" w:hAnsi="仿宋" w:eastAsia="仿宋"/>
          <w:b w:val="0"/>
        </w:rPr>
        <w:t>二、收</w:t>
      </w:r>
      <w:r>
        <w:rPr>
          <w:rStyle w:val="25"/>
          <w:rFonts w:hint="eastAsia" w:ascii="仿宋" w:hAnsi="仿宋" w:eastAsia="仿宋"/>
          <w:b w:val="0"/>
          <w:bCs w:val="0"/>
        </w:rPr>
        <w:t>入决算表</w:t>
      </w:r>
      <w:bookmarkEnd w:id="57"/>
    </w:p>
    <w:p>
      <w:pPr>
        <w:pStyle w:val="3"/>
        <w:rPr>
          <w:rFonts w:ascii="仿宋" w:hAnsi="仿宋" w:eastAsia="仿宋"/>
        </w:rPr>
      </w:pPr>
      <w:bookmarkStart w:id="58"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8"/>
    </w:p>
    <w:p>
      <w:pPr>
        <w:pStyle w:val="3"/>
        <w:rPr>
          <w:rFonts w:ascii="仿宋" w:hAnsi="仿宋" w:eastAsia="仿宋"/>
          <w:b w:val="0"/>
        </w:rPr>
      </w:pPr>
      <w:bookmarkStart w:id="59"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9"/>
    </w:p>
    <w:p>
      <w:pPr>
        <w:pStyle w:val="3"/>
        <w:rPr>
          <w:rStyle w:val="25"/>
          <w:rFonts w:ascii="仿宋" w:hAnsi="仿宋" w:eastAsia="仿宋"/>
          <w:b w:val="0"/>
          <w:bCs w:val="0"/>
        </w:rPr>
      </w:pPr>
      <w:bookmarkStart w:id="60"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0"/>
      <w:bookmarkStart w:id="61" w:name="_Toc15396624"/>
    </w:p>
    <w:p>
      <w:pPr>
        <w:pStyle w:val="3"/>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1"/>
    </w:p>
    <w:p>
      <w:pPr>
        <w:pStyle w:val="3"/>
        <w:rPr>
          <w:rFonts w:ascii="仿宋" w:hAnsi="仿宋" w:eastAsia="仿宋"/>
        </w:rPr>
      </w:pPr>
      <w:bookmarkStart w:id="62"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2"/>
    </w:p>
    <w:p>
      <w:pPr>
        <w:pStyle w:val="3"/>
        <w:rPr>
          <w:rFonts w:ascii="仿宋" w:hAnsi="仿宋" w:eastAsia="仿宋"/>
        </w:rPr>
      </w:pPr>
      <w:bookmarkStart w:id="63"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3"/>
    </w:p>
    <w:p>
      <w:pPr>
        <w:pStyle w:val="3"/>
        <w:rPr>
          <w:rFonts w:ascii="仿宋" w:hAnsi="仿宋" w:eastAsia="仿宋"/>
        </w:rPr>
      </w:pPr>
      <w:bookmarkStart w:id="64"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4"/>
    </w:p>
    <w:p>
      <w:pPr>
        <w:pStyle w:val="3"/>
        <w:rPr>
          <w:rFonts w:ascii="仿宋" w:hAnsi="仿宋" w:eastAsia="仿宋"/>
        </w:rPr>
      </w:pPr>
      <w:bookmarkStart w:id="65" w:name="_Toc15396628"/>
      <w:r>
        <w:rPr>
          <w:rStyle w:val="25"/>
          <w:rFonts w:hint="eastAsia" w:ascii="仿宋" w:hAnsi="仿宋" w:eastAsia="仿宋"/>
          <w:b w:val="0"/>
          <w:bCs w:val="0"/>
        </w:rPr>
        <w:t>十、</w:t>
      </w:r>
      <w:bookmarkEnd w:id="65"/>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3"/>
        <w:rPr>
          <w:rFonts w:ascii="仿宋" w:hAnsi="仿宋" w:eastAsia="仿宋"/>
        </w:rPr>
      </w:pPr>
      <w:bookmarkStart w:id="66" w:name="_Toc15396629"/>
      <w:r>
        <w:rPr>
          <w:rStyle w:val="25"/>
          <w:rFonts w:hint="eastAsia" w:ascii="仿宋" w:hAnsi="仿宋" w:eastAsia="仿宋"/>
          <w:b w:val="0"/>
          <w:bCs w:val="0"/>
        </w:rPr>
        <w:t>十一、</w:t>
      </w:r>
      <w:bookmarkEnd w:id="66"/>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3"/>
        <w:rPr>
          <w:rFonts w:ascii="仿宋" w:hAnsi="仿宋" w:eastAsia="仿宋"/>
        </w:rPr>
      </w:pPr>
      <w:bookmarkStart w:id="67" w:name="_Toc15396630"/>
      <w:r>
        <w:rPr>
          <w:rStyle w:val="25"/>
          <w:rFonts w:hint="eastAsia" w:ascii="仿宋" w:hAnsi="仿宋" w:eastAsia="仿宋"/>
          <w:b w:val="0"/>
          <w:bCs w:val="0"/>
        </w:rPr>
        <w:t>十二、</w:t>
      </w:r>
      <w:bookmarkEnd w:id="67"/>
      <w:r>
        <w:rPr>
          <w:rStyle w:val="25"/>
          <w:rFonts w:hint="eastAsia" w:ascii="仿宋" w:hAnsi="仿宋" w:eastAsia="仿宋"/>
          <w:b w:val="0"/>
          <w:bCs w:val="0"/>
        </w:rPr>
        <w:t>国有资本经营预算财政拨款支出决算表</w:t>
      </w:r>
    </w:p>
    <w:p>
      <w:pPr>
        <w:pStyle w:val="3"/>
        <w:rPr>
          <w:rFonts w:eastAsia="仿宋"/>
        </w:rPr>
      </w:pPr>
      <w:bookmarkStart w:id="68" w:name="_Toc15396631"/>
      <w:r>
        <w:rPr>
          <w:rStyle w:val="25"/>
          <w:rFonts w:hint="eastAsia" w:ascii="仿宋" w:hAnsi="仿宋" w:eastAsia="仿宋"/>
          <w:b w:val="0"/>
          <w:bCs w:val="0"/>
        </w:rPr>
        <w:t>十三、</w:t>
      </w:r>
      <w:bookmarkEnd w:id="68"/>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118"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20</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cxNjQ1ZjZlYTdkYTE1NTkzZDc0YTZhNzJlNDM4M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6671"/>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4EBB"/>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16FE8"/>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6F6D9F"/>
    <w:rsid w:val="007127B7"/>
    <w:rsid w:val="007165A8"/>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6F0E"/>
    <w:rsid w:val="00A40A00"/>
    <w:rsid w:val="00A4142F"/>
    <w:rsid w:val="00A422EB"/>
    <w:rsid w:val="00A45BB7"/>
    <w:rsid w:val="00A56DF2"/>
    <w:rsid w:val="00A56E6E"/>
    <w:rsid w:val="00A62217"/>
    <w:rsid w:val="00A67AB5"/>
    <w:rsid w:val="00A733B2"/>
    <w:rsid w:val="00A741C2"/>
    <w:rsid w:val="00A91760"/>
    <w:rsid w:val="00A93B00"/>
    <w:rsid w:val="00A93C21"/>
    <w:rsid w:val="00AB64C9"/>
    <w:rsid w:val="00AC3C6A"/>
    <w:rsid w:val="00AD5620"/>
    <w:rsid w:val="00AD656B"/>
    <w:rsid w:val="00AD7C1B"/>
    <w:rsid w:val="00AE16BA"/>
    <w:rsid w:val="00AE1EBE"/>
    <w:rsid w:val="00B00137"/>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8D1"/>
    <w:rsid w:val="00D34E7C"/>
    <w:rsid w:val="00D35489"/>
    <w:rsid w:val="00D36AFE"/>
    <w:rsid w:val="00D51276"/>
    <w:rsid w:val="00D7035F"/>
    <w:rsid w:val="00DA634F"/>
    <w:rsid w:val="00DA65AC"/>
    <w:rsid w:val="00DB1913"/>
    <w:rsid w:val="00DC410D"/>
    <w:rsid w:val="00DC5A81"/>
    <w:rsid w:val="00DC68CA"/>
    <w:rsid w:val="00DC7CBA"/>
    <w:rsid w:val="00DD73B7"/>
    <w:rsid w:val="00DD7FCB"/>
    <w:rsid w:val="00DF28BC"/>
    <w:rsid w:val="00DF34B9"/>
    <w:rsid w:val="00E00D01"/>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0603D"/>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16E3"/>
    <w:rsid w:val="00FA23E8"/>
    <w:rsid w:val="00FD3CC1"/>
    <w:rsid w:val="00FF1E02"/>
    <w:rsid w:val="00FF30B4"/>
    <w:rsid w:val="053A62B5"/>
    <w:rsid w:val="05F91C4D"/>
    <w:rsid w:val="067326B2"/>
    <w:rsid w:val="0A2032A3"/>
    <w:rsid w:val="0B8A37D8"/>
    <w:rsid w:val="10C055FF"/>
    <w:rsid w:val="118107EC"/>
    <w:rsid w:val="11DD6519"/>
    <w:rsid w:val="16BB723D"/>
    <w:rsid w:val="18015F3F"/>
    <w:rsid w:val="185F0EE2"/>
    <w:rsid w:val="1AD44A07"/>
    <w:rsid w:val="1BB76E65"/>
    <w:rsid w:val="1BE8440E"/>
    <w:rsid w:val="1D155CEE"/>
    <w:rsid w:val="20062EB1"/>
    <w:rsid w:val="20F57F95"/>
    <w:rsid w:val="240371BF"/>
    <w:rsid w:val="25711CC6"/>
    <w:rsid w:val="25C741E6"/>
    <w:rsid w:val="26AD04D8"/>
    <w:rsid w:val="27842671"/>
    <w:rsid w:val="29FD04D3"/>
    <w:rsid w:val="2ABE7A3E"/>
    <w:rsid w:val="2C027C88"/>
    <w:rsid w:val="2C087CD1"/>
    <w:rsid w:val="2CA234A8"/>
    <w:rsid w:val="2EFA178C"/>
    <w:rsid w:val="30B46D73"/>
    <w:rsid w:val="319F7F4E"/>
    <w:rsid w:val="383D272C"/>
    <w:rsid w:val="39347464"/>
    <w:rsid w:val="395B33FC"/>
    <w:rsid w:val="39AE70AB"/>
    <w:rsid w:val="3C0C0783"/>
    <w:rsid w:val="3E5E2A55"/>
    <w:rsid w:val="3F9F3A96"/>
    <w:rsid w:val="48BF60AB"/>
    <w:rsid w:val="493C27E9"/>
    <w:rsid w:val="496F39ED"/>
    <w:rsid w:val="49FF41D3"/>
    <w:rsid w:val="4BE068DB"/>
    <w:rsid w:val="4BF6002B"/>
    <w:rsid w:val="4ECE2238"/>
    <w:rsid w:val="5034638B"/>
    <w:rsid w:val="51DB4B86"/>
    <w:rsid w:val="55333C3E"/>
    <w:rsid w:val="559671E3"/>
    <w:rsid w:val="5A530BC8"/>
    <w:rsid w:val="5F1B66FD"/>
    <w:rsid w:val="61D85DD5"/>
    <w:rsid w:val="61EA053C"/>
    <w:rsid w:val="64CA39A1"/>
    <w:rsid w:val="65A849C6"/>
    <w:rsid w:val="69630ADE"/>
    <w:rsid w:val="6B914BC2"/>
    <w:rsid w:val="6BE760E3"/>
    <w:rsid w:val="6C4A05C8"/>
    <w:rsid w:val="6C65525E"/>
    <w:rsid w:val="6D3B1A89"/>
    <w:rsid w:val="71BF4EC2"/>
    <w:rsid w:val="72734D90"/>
    <w:rsid w:val="73495A17"/>
    <w:rsid w:val="7412278C"/>
    <w:rsid w:val="741F1B15"/>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BodyText1I2"/>
    <w:basedOn w:val="31"/>
    <w:qFormat/>
    <w:uiPriority w:val="0"/>
    <w:pPr>
      <w:ind w:firstLine="420"/>
    </w:pPr>
  </w:style>
  <w:style w:type="paragraph" w:customStyle="1" w:styleId="31">
    <w:name w:val="BodyTextIndent"/>
    <w:basedOn w:val="1"/>
    <w:qFormat/>
    <w:uiPriority w:val="0"/>
    <w:pPr>
      <w:ind w:firstLine="640" w:firstLineChars="200"/>
      <w:textAlignment w:val="baseline"/>
    </w:pPr>
    <w:rPr>
      <w:rFonts w:ascii="Calibri" w:hAnsi="Calibri"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8-&#25945;&#31185;&#25152;2023&#24180;&#24230;&#21333;&#20301;&#20915;&#31639;&#20844;&#24320;\&#22270;&#24418;&#21270;&#25945;&#32946;&#31185;&#23398;&#30740;&#31350;&#2515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8-&#25945;&#31185;&#25152;2023&#24180;&#24230;&#21333;&#20301;&#20915;&#31639;&#20844;&#24320;\&#22270;&#24418;&#21270;&#25945;&#32946;&#31185;&#23398;&#30740;&#31350;&#2515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8-&#25945;&#31185;&#25152;2023&#24180;&#24230;&#21333;&#20301;&#20915;&#31639;&#20844;&#24320;\&#22270;&#24418;&#21270;&#25945;&#32946;&#31185;&#23398;&#30740;&#31350;&#2515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8-&#25945;&#31185;&#25152;2023&#24180;&#24230;&#21333;&#20301;&#20915;&#31639;&#20844;&#24320;\&#22270;&#24418;&#21270;&#25945;&#32946;&#31185;&#23398;&#30740;&#31350;&#2515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8-&#25945;&#31185;&#25152;2023&#24180;&#24230;&#21333;&#20301;&#20915;&#31639;&#20844;&#24320;\&#22270;&#24418;&#21270;&#25945;&#32946;&#31185;&#23398;&#30740;&#31350;&#2515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8-&#25945;&#31185;&#25152;2023&#24180;&#24230;&#21333;&#20301;&#20915;&#31639;&#20844;&#24320;\&#22270;&#24418;&#21270;&#25945;&#32946;&#31185;&#23398;&#30740;&#31350;&#2515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8-&#25945;&#31185;&#25152;2023&#24180;&#24230;&#21333;&#20301;&#20915;&#31639;&#20844;&#24320;\&#22270;&#24418;&#21270;&#25945;&#32946;&#31185;&#23398;&#30740;&#31350;&#2515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[图形化教育科学研究所.xlsx]Sheet1!$B$1</c:f>
              <c:strCache>
                <c:ptCount val="1"/>
                <c:pt idx="0">
                  <c:v>收入支出总体情况表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[图形化教育科学研究所.xlsx]Sheet1!$A$2:$A$3</c:f>
              <c:strCache>
                <c:ptCount val="2"/>
                <c:pt idx="0">
                  <c:v>2022年</c:v>
                </c:pt>
                <c:pt idx="1">
                  <c:v>2023年</c:v>
                </c:pt>
              </c:strCache>
            </c:strRef>
          </c:cat>
          <c:val>
            <c:numRef>
              <c:f>[图形化教育科学研究所.xlsx]Sheet1!$B$2:$B$3</c:f>
              <c:numCache>
                <c:formatCode>General</c:formatCode>
                <c:ptCount val="2"/>
                <c:pt idx="0">
                  <c:v>1002.32</c:v>
                </c:pt>
                <c:pt idx="1">
                  <c:v>820.84</c:v>
                </c:pt>
              </c:numCache>
            </c:numRef>
          </c:val>
        </c:ser>
        <c:dLbls>
          <c:showLegendKey val="0"/>
          <c:showVal val="1"/>
          <c:showCatName val="0"/>
          <c:showSerName val="0"/>
          <c:showPercent val="0"/>
          <c:showBubbleSize val="0"/>
        </c:dLbls>
        <c:gapWidth val="150"/>
        <c:axId val="68538752"/>
        <c:axId val="68540288"/>
      </c:barChart>
      <c:catAx>
        <c:axId val="685387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540288"/>
        <c:crosses val="autoZero"/>
        <c:auto val="1"/>
        <c:lblAlgn val="ctr"/>
        <c:lblOffset val="100"/>
        <c:noMultiLvlLbl val="0"/>
      </c:catAx>
      <c:valAx>
        <c:axId val="68540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53875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1733931240658"/>
          <c:y val="0.00694444444444445"/>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[图形化教育科学研究所.xlsx]Sheet1!$E$1</c:f>
              <c:strCache>
                <c:ptCount val="1"/>
                <c:pt idx="0">
                  <c:v>二、 收入决算情况(万元)</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[图形化教育科学研究所.xlsx]Sheet1!$D$2:$D$4</c:f>
              <c:strCache>
                <c:ptCount val="3"/>
                <c:pt idx="0">
                  <c:v>一般公共预算财政拨款收入</c:v>
                </c:pt>
                <c:pt idx="1">
                  <c:v>其他收入</c:v>
                </c:pt>
              </c:strCache>
            </c:strRef>
          </c:cat>
          <c:val>
            <c:numRef>
              <c:f>[图形化教育科学研究所.xlsx]Sheet1!$E$2:$E$4</c:f>
              <c:numCache>
                <c:formatCode>General</c:formatCode>
                <c:ptCount val="3"/>
                <c:pt idx="0">
                  <c:v>789.93</c:v>
                </c:pt>
                <c:pt idx="1">
                  <c:v>11.59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[图形化教育科学研究所.xlsx]Sheet1!$I$1</c:f>
              <c:strCache>
                <c:ptCount val="1"/>
                <c:pt idx="0">
                  <c:v>三、 支出决算情况(万元)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[图形化教育科学研究所.xlsx]Sheet1!$H$2:$H$3</c:f>
              <c:strCache>
                <c:ptCount val="2"/>
                <c:pt idx="0">
                  <c:v>基本支出</c:v>
                </c:pt>
                <c:pt idx="1">
                  <c:v>项目支出</c:v>
                </c:pt>
              </c:strCache>
            </c:strRef>
          </c:cat>
          <c:val>
            <c:numRef>
              <c:f>[图形化教育科学研究所.xlsx]Sheet1!$I$2:$I$3</c:f>
              <c:numCache>
                <c:formatCode>General</c:formatCode>
                <c:ptCount val="2"/>
                <c:pt idx="0">
                  <c:v>759.48</c:v>
                </c:pt>
                <c:pt idx="1">
                  <c:v>44.25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[图形化教育科学研究所.xlsx]Sheet1!$M$1</c:f>
              <c:strCache>
                <c:ptCount val="1"/>
                <c:pt idx="0">
                  <c:v>四、财政拨款收、支决算总计变动情况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[图形化教育科学研究所.xlsx]Sheet1!$L$2:$L$3</c:f>
              <c:strCache>
                <c:ptCount val="2"/>
                <c:pt idx="0">
                  <c:v>2022年</c:v>
                </c:pt>
                <c:pt idx="1">
                  <c:v>2023年</c:v>
                </c:pt>
              </c:strCache>
            </c:strRef>
          </c:cat>
          <c:val>
            <c:numRef>
              <c:f>[图形化教育科学研究所.xlsx]Sheet1!$M$2:$M$3</c:f>
              <c:numCache>
                <c:formatCode>General</c:formatCode>
                <c:ptCount val="2"/>
                <c:pt idx="0">
                  <c:v>967.73</c:v>
                </c:pt>
                <c:pt idx="1" c:formatCode="#,##0.00">
                  <c:v>789.93</c:v>
                </c:pt>
              </c:numCache>
            </c:numRef>
          </c:val>
        </c:ser>
        <c:dLbls>
          <c:showLegendKey val="0"/>
          <c:showVal val="1"/>
          <c:showCatName val="0"/>
          <c:showSerName val="0"/>
          <c:showPercent val="0"/>
          <c:showBubbleSize val="0"/>
        </c:dLbls>
        <c:gapWidth val="150"/>
        <c:axId val="142272768"/>
        <c:axId val="142291712"/>
      </c:barChart>
      <c:catAx>
        <c:axId val="1422727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2291712"/>
        <c:crosses val="autoZero"/>
        <c:auto val="1"/>
        <c:lblAlgn val="ctr"/>
        <c:lblOffset val="100"/>
        <c:noMultiLvlLbl val="0"/>
      </c:catAx>
      <c:valAx>
        <c:axId val="1422917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227276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五、一般公共预算财政拨款支出（万元）</a:t>
            </a:r>
            <a:endParaRPr lang="zh-CN" altLang="en-US" sz="1200"/>
          </a:p>
        </c:rich>
      </c:tx>
      <c:layout>
        <c:manualLayout>
          <c:xMode val="edge"/>
          <c:yMode val="edge"/>
          <c:x val="0.192253670387933"/>
          <c:y val="0.0332357192468698"/>
        </c:manualLayout>
      </c:layout>
      <c:overlay val="0"/>
    </c:title>
    <c:autoTitleDeleted val="0"/>
    <c:plotArea>
      <c:layout>
        <c:manualLayout>
          <c:layoutTarget val="inner"/>
          <c:xMode val="edge"/>
          <c:yMode val="edge"/>
          <c:x val="0.10439076018575"/>
          <c:y val="0.138401349447186"/>
          <c:w val="0.867295222977443"/>
          <c:h val="0.585335840402904"/>
        </c:manualLayout>
      </c:layout>
      <c:barChart>
        <c:barDir val="col"/>
        <c:grouping val="clustered"/>
        <c:varyColors val="0"/>
        <c:ser>
          <c:idx val="0"/>
          <c:order val="0"/>
          <c:tx>
            <c:strRef>
              <c:f>[图形化教育科学研究所.xlsx]Sheet1!$B$20</c:f>
              <c:strCache>
                <c:ptCount val="1"/>
                <c:pt idx="0">
                  <c:v>五、一般公共预算财政拨款支出情况（万元）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[图形化教育科学研究所.xlsx]Sheet1!$A$21:$A$22</c:f>
              <c:strCache>
                <c:ptCount val="2"/>
                <c:pt idx="0">
                  <c:v>2022年</c:v>
                </c:pt>
                <c:pt idx="1">
                  <c:v>2023年</c:v>
                </c:pt>
              </c:strCache>
            </c:strRef>
          </c:cat>
          <c:val>
            <c:numRef>
              <c:f>[图形化教育科学研究所.xlsx]Sheet1!$B$21:$B$22</c:f>
              <c:numCache>
                <c:formatCode>General</c:formatCode>
                <c:ptCount val="2"/>
                <c:pt idx="0">
                  <c:v>967.73</c:v>
                </c:pt>
                <c:pt idx="1" c:formatCode="#,##0.00">
                  <c:v>789.93</c:v>
                </c:pt>
              </c:numCache>
            </c:numRef>
          </c:val>
        </c:ser>
        <c:dLbls>
          <c:showLegendKey val="0"/>
          <c:showVal val="1"/>
          <c:showCatName val="0"/>
          <c:showSerName val="0"/>
          <c:showPercent val="0"/>
          <c:showBubbleSize val="0"/>
        </c:dLbls>
        <c:gapWidth val="150"/>
        <c:axId val="142461184"/>
        <c:axId val="142467072"/>
      </c:barChart>
      <c:catAx>
        <c:axId val="1424611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2467072"/>
        <c:crosses val="autoZero"/>
        <c:auto val="1"/>
        <c:lblAlgn val="ctr"/>
        <c:lblOffset val="100"/>
        <c:noMultiLvlLbl val="0"/>
      </c:catAx>
      <c:valAx>
        <c:axId val="1424670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246118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[图形化教育科学研究所.xlsx]Sheet1!$B$47</c:f>
              <c:strCache>
                <c:ptCount val="1"/>
                <c:pt idx="0">
                  <c:v>六、一般公共预算财政拨款支出决算(万元)</c:v>
                </c:pt>
              </c:strCache>
            </c:strRef>
          </c:tx>
          <c:explosion val="14"/>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[图形化教育科学研究所.xlsx]Sheet1!$A$48:$A$51</c:f>
              <c:strCache>
                <c:ptCount val="4"/>
                <c:pt idx="0">
                  <c:v>教育支出</c:v>
                </c:pt>
                <c:pt idx="1">
                  <c:v>社会保障和就业支出</c:v>
                </c:pt>
                <c:pt idx="2">
                  <c:v>卫生健康支出</c:v>
                </c:pt>
                <c:pt idx="3">
                  <c:v>住房保障支出</c:v>
                </c:pt>
              </c:strCache>
            </c:strRef>
          </c:cat>
          <c:val>
            <c:numRef>
              <c:f>[图形化教育科学研究所.xlsx]Sheet1!$B$48:$B$51</c:f>
              <c:numCache>
                <c:formatCode>0.00_ </c:formatCode>
                <c:ptCount val="4"/>
                <c:pt idx="0">
                  <c:v>592.55</c:v>
                </c:pt>
                <c:pt idx="1" c:formatCode="General">
                  <c:v>133.04</c:v>
                </c:pt>
                <c:pt idx="2" c:formatCode="General">
                  <c:v>31.78</c:v>
                </c:pt>
                <c:pt idx="3" c:formatCode="General">
                  <c:v>32.56</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591709755030621"/>
          <c:y val="0.461732283464567"/>
          <c:w val="0.363845800524934"/>
          <c:h val="0.33486876640420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[图形化教育科学研究所.xlsx]Sheet1!$E$25</c:f>
              <c:strCache>
                <c:ptCount val="1"/>
                <c:pt idx="0">
                  <c:v>“三公”经费支出决算表（单位：万元）</c:v>
                </c:pt>
              </c:strCache>
            </c:strRef>
          </c:tx>
          <c:explosion val="0"/>
          <c:dPt>
            <c:idx val="0"/>
            <c:bubble3D val="0"/>
          </c:dPt>
          <c:dPt>
            <c:idx val="1"/>
            <c:bubble3D val="0"/>
          </c:dPt>
          <c:dPt>
            <c:idx val="2"/>
            <c:bubble3D val="0"/>
          </c:dPt>
          <c:dPt>
            <c:idx val="3"/>
            <c:bubble3D val="0"/>
          </c:dPt>
          <c:dLbls>
            <c:delete val="1"/>
          </c:dLbls>
          <c:cat>
            <c:strRef>
              <c:f>[图形化教育科学研究所.xlsx]Sheet1!$D$26:$D$29</c:f>
              <c:strCache>
                <c:ptCount val="4"/>
                <c:pt idx="0">
                  <c:v>因公出国（境）费</c:v>
                </c:pt>
                <c:pt idx="1">
                  <c:v>公务用车购置费</c:v>
                </c:pt>
                <c:pt idx="2">
                  <c:v>公务用车运行费</c:v>
                </c:pt>
                <c:pt idx="3">
                  <c:v>公务接待费</c:v>
                </c:pt>
              </c:strCache>
            </c:strRef>
          </c:cat>
          <c:val>
            <c:numRef>
              <c:f>[图形化教育科学研究所.xlsx]Sheet1!$E$26:$E$29</c:f>
              <c:numCache>
                <c:formatCode>General</c:formatCode>
                <c:ptCount val="4"/>
                <c:pt idx="0">
                  <c:v>0</c:v>
                </c:pt>
                <c:pt idx="1" c:formatCode="#,##0.00">
                  <c:v>0</c:v>
                </c:pt>
                <c:pt idx="2" c:formatCode="#,##0.00_ ">
                  <c:v>0</c:v>
                </c:pt>
                <c:pt idx="3">
                  <c:v>0.38</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6508</Words>
  <Characters>7055</Characters>
  <Lines>52</Lines>
  <Paragraphs>14</Paragraphs>
  <TotalTime>3</TotalTime>
  <ScaleCrop>false</ScaleCrop>
  <LinksUpToDate>false</LinksUpToDate>
  <CharactersWithSpaces>7081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2024-09-18T08:28:39Z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E4E0D664264F43D791F00473AC6AC7B8_12</vt:lpwstr>
  </property>
</Properties>
</file>