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1" w:name="_Toc15396597"/>
      <w:bookmarkStart w:id="2" w:name="_Toc15377425"/>
      <w:bookmarkStart w:id="3" w:name="_Toc15378441"/>
      <w:bookmarkStart w:id="4" w:name="_Toc145506438"/>
      <w:bookmarkStart w:id="5" w:name="_Toc15377193"/>
      <w:bookmarkStart w:id="6" w:name="_Toc15396475"/>
      <w:r>
        <w:rPr>
          <w:rFonts w:hint="eastAsia" w:ascii="方正小标宋简体" w:hAnsi="方正小标宋简体" w:eastAsia="方正小标宋简体" w:cs="方正小标宋简体"/>
          <w:sz w:val="52"/>
          <w:szCs w:val="52"/>
          <w:lang w:eastAsia="zh-CN"/>
        </w:rPr>
        <w:t>2023</w:t>
      </w:r>
      <w:r>
        <w:rPr>
          <w:rFonts w:hint="eastAsia" w:ascii="方正小标宋简体" w:hAnsi="方正小标宋简体" w:eastAsia="方正小标宋简体" w:cs="方正小标宋简体"/>
          <w:sz w:val="52"/>
          <w:szCs w:val="52"/>
        </w:rPr>
        <w:t>年度</w:t>
      </w:r>
      <w:bookmarkEnd w:id="1"/>
      <w:bookmarkEnd w:id="2"/>
      <w:bookmarkEnd w:id="3"/>
      <w:bookmarkEnd w:id="4"/>
      <w:bookmarkEnd w:id="5"/>
      <w:bookmarkEnd w:id="6"/>
    </w:p>
    <w:bookmarkEnd w:id="0"/>
    <w:p>
      <w:pPr>
        <w:pStyle w:val="5"/>
        <w:spacing w:before="93"/>
        <w:jc w:val="center"/>
      </w:pPr>
      <w:r>
        <w:rPr>
          <w:rFonts w:hint="eastAsia" w:ascii="方正小标宋简体" w:hAnsi="方正小标宋简体" w:eastAsia="方正小标宋简体" w:cs="方正小标宋简体"/>
          <w:kern w:val="2"/>
          <w:sz w:val="52"/>
          <w:szCs w:val="52"/>
        </w:rPr>
        <w:t>遂宁市船山区</w:t>
      </w:r>
      <w:r>
        <w:rPr>
          <w:rFonts w:hint="eastAsia" w:ascii="方正小标宋简体" w:hAnsi="方正小标宋简体" w:eastAsia="方正小标宋简体" w:cs="方正小标宋简体"/>
          <w:kern w:val="2"/>
          <w:sz w:val="52"/>
          <w:szCs w:val="52"/>
          <w:lang w:eastAsia="zh-CN"/>
        </w:rPr>
        <w:t>龙凤幼</w:t>
      </w:r>
      <w:r>
        <w:rPr>
          <w:rFonts w:hint="eastAsia" w:ascii="方正小标宋简体" w:hAnsi="方正小标宋简体" w:eastAsia="方正小标宋简体" w:cs="方正小标宋简体"/>
          <w:kern w:val="2"/>
          <w:sz w:val="52"/>
          <w:szCs w:val="52"/>
        </w:rPr>
        <w:t>儿园</w:t>
      </w:r>
    </w:p>
    <w:p>
      <w:pPr>
        <w:pStyle w:val="5"/>
        <w:spacing w:before="93"/>
      </w:pPr>
    </w:p>
    <w:p>
      <w:pPr>
        <w:adjustRightInd w:val="0"/>
        <w:snapToGrid w:val="0"/>
        <w:spacing w:line="360" w:lineRule="auto"/>
        <w:jc w:val="center"/>
        <w:outlineLvl w:val="0"/>
        <w:rPr>
          <w:rFonts w:hint="eastAsia" w:ascii="方正小标宋简体" w:hAnsi="方正小标宋简体" w:eastAsia="方正小标宋简体" w:cs="方正小标宋简体"/>
          <w:sz w:val="52"/>
          <w:szCs w:val="52"/>
          <w:lang w:val="en-US" w:eastAsia="zh-CN"/>
        </w:rPr>
      </w:pPr>
      <w:bookmarkStart w:id="7" w:name="_Toc145506439"/>
      <w:bookmarkStart w:id="8" w:name="_Toc5305"/>
      <w:r>
        <w:rPr>
          <w:rFonts w:hint="eastAsia" w:ascii="方正小标宋简体" w:hAnsi="方正小标宋简体" w:eastAsia="方正小标宋简体" w:cs="方正小标宋简体"/>
          <w:sz w:val="52"/>
          <w:szCs w:val="52"/>
          <w:lang w:eastAsia="zh-CN"/>
        </w:rPr>
        <w:t>单位</w:t>
      </w:r>
      <w:r>
        <w:rPr>
          <w:rFonts w:hint="eastAsia" w:ascii="方正小标宋简体" w:hAnsi="方正小标宋简体" w:eastAsia="方正小标宋简体" w:cs="方正小标宋简体"/>
          <w:sz w:val="52"/>
          <w:szCs w:val="52"/>
        </w:rPr>
        <w:t>决算</w:t>
      </w:r>
      <w:bookmarkEnd w:id="7"/>
      <w:bookmarkEnd w:id="8"/>
    </w:p>
    <w:p>
      <w:pPr>
        <w:pStyle w:val="5"/>
        <w:spacing w:before="93"/>
      </w:pPr>
    </w:p>
    <w:p>
      <w:pPr>
        <w:pStyle w:val="5"/>
        <w:spacing w:before="93"/>
      </w:pPr>
    </w:p>
    <w:p>
      <w:pPr>
        <w:pStyle w:val="5"/>
        <w:spacing w:before="93"/>
      </w:pPr>
    </w:p>
    <w:p>
      <w:pPr>
        <w:pStyle w:val="5"/>
        <w:spacing w:before="93"/>
      </w:pPr>
    </w:p>
    <w:p>
      <w:pPr>
        <w:pStyle w:val="5"/>
        <w:spacing w:before="93"/>
      </w:pPr>
    </w:p>
    <w:p>
      <w:pPr>
        <w:pStyle w:val="5"/>
        <w:spacing w:before="93"/>
      </w:pPr>
    </w:p>
    <w:p>
      <w:pPr>
        <w:pStyle w:val="5"/>
        <w:spacing w:before="93"/>
      </w:pPr>
    </w:p>
    <w:p>
      <w:pPr>
        <w:pStyle w:val="5"/>
        <w:spacing w:before="93"/>
      </w:pPr>
    </w:p>
    <w:p>
      <w:pPr>
        <w:pStyle w:val="5"/>
        <w:spacing w:before="93"/>
      </w:pPr>
    </w:p>
    <w:p>
      <w:pPr>
        <w:pStyle w:val="5"/>
        <w:spacing w:before="93"/>
      </w:pPr>
    </w:p>
    <w:p>
      <w:pPr>
        <w:pStyle w:val="5"/>
        <w:spacing w:before="93"/>
      </w:pPr>
    </w:p>
    <w:sdt>
      <w:sdtPr>
        <w:rPr>
          <w:lang w:val="zh-CN"/>
        </w:rPr>
        <w:id w:val="435953772"/>
        <w:docPartObj>
          <w:docPartGallery w:val="Table of Contents"/>
          <w:docPartUnique/>
        </w:docPartObj>
      </w:sdtPr>
      <w:sdtEndPr>
        <w:rPr>
          <w:lang w:val="en-US"/>
        </w:rPr>
      </w:sdtEndPr>
      <w:sdtContent>
        <w:p>
          <w:pPr>
            <w:widowControl/>
            <w:jc w:val="center"/>
            <w:rPr>
              <w:rFonts w:hint="eastAsia" w:ascii="黑体" w:hAnsi="黑体" w:eastAsia="黑体"/>
              <w:sz w:val="48"/>
              <w:szCs w:val="48"/>
            </w:rPr>
          </w:pPr>
          <w:r>
            <w:rPr>
              <w:rFonts w:hint="eastAsia" w:ascii="黑体" w:hAnsi="黑体" w:eastAsia="黑体"/>
              <w:sz w:val="48"/>
              <w:szCs w:val="48"/>
            </w:rPr>
            <w:t>目录</w:t>
          </w:r>
        </w:p>
        <w:p>
          <w:pPr>
            <w:jc w:val="center"/>
            <w:rPr>
              <w:rFonts w:hint="default" w:eastAsia="宋体"/>
              <w:lang w:val="en-US" w:eastAsia="zh-CN"/>
            </w:rPr>
          </w:pPr>
          <w:r>
            <w:rPr>
              <w:rFonts w:hint="eastAsia" w:ascii="仿宋_GB2312" w:eastAsia="仿宋_GB2312" w:cs="Times New Roman"/>
              <w:color w:val="auto"/>
              <w:sz w:val="32"/>
              <w:szCs w:val="32"/>
              <w:highlight w:val="none"/>
              <w:lang w:val="en-US" w:eastAsia="zh-CN"/>
            </w:rPr>
            <w:t>公开时间：2024年9月11日</w:t>
          </w:r>
        </w:p>
        <w:p>
          <w:pPr>
            <w:widowControl/>
            <w:jc w:val="center"/>
            <w:rPr>
              <w:rFonts w:asciiTheme="minorHAnsi" w:hAnsiTheme="minorHAnsi" w:eastAsiaTheme="minorEastAsia" w:cstheme="minorBidi"/>
              <w:szCs w:val="22"/>
            </w:rPr>
          </w:pPr>
          <w:r>
            <w:fldChar w:fldCharType="begin"/>
          </w:r>
          <w:r>
            <w:instrText xml:space="preserve"> TOC \o "1-3" \h \z \u </w:instrText>
          </w:r>
          <w:r>
            <w:fldChar w:fldCharType="separate"/>
          </w:r>
        </w:p>
        <w:p>
          <w:pPr>
            <w:pStyle w:val="10"/>
            <w:jc w:val="both"/>
            <w:rPr>
              <w:rFonts w:asciiTheme="minorHAnsi" w:hAnsiTheme="minorHAnsi" w:eastAsiaTheme="minorEastAsia" w:cstheme="minorBidi"/>
              <w:sz w:val="21"/>
              <w:szCs w:val="22"/>
            </w:rPr>
          </w:pPr>
          <w:r>
            <w:fldChar w:fldCharType="begin"/>
          </w:r>
          <w:r>
            <w:instrText xml:space="preserve"> HYPERLINK \l "_Toc145506440" </w:instrText>
          </w:r>
          <w:r>
            <w:fldChar w:fldCharType="separate"/>
          </w:r>
          <w:r>
            <w:rPr>
              <w:rStyle w:val="15"/>
              <w:rFonts w:hint="eastAsia" w:ascii="黑体" w:hAnsi="黑体" w:eastAsia="黑体"/>
            </w:rPr>
            <w:t>第一部分</w:t>
          </w:r>
          <w:r>
            <w:rPr>
              <w:rStyle w:val="15"/>
              <w:rFonts w:ascii="黑体" w:hAnsi="黑体" w:eastAsia="黑体"/>
            </w:rPr>
            <w:t xml:space="preserve"> </w:t>
          </w:r>
          <w:r>
            <w:rPr>
              <w:rStyle w:val="15"/>
              <w:rFonts w:hint="eastAsia" w:ascii="黑体" w:hAnsi="黑体" w:eastAsia="黑体"/>
            </w:rPr>
            <w:t>单位概况</w:t>
          </w:r>
          <w:r>
            <w:tab/>
          </w:r>
          <w:r>
            <w:fldChar w:fldCharType="begin"/>
          </w:r>
          <w:r>
            <w:instrText xml:space="preserve"> PAGEREF _Toc145506440 \h </w:instrText>
          </w:r>
          <w:r>
            <w:fldChar w:fldCharType="separate"/>
          </w:r>
          <w:r>
            <w:t>3</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"_Toc145506441" </w:instrText>
          </w:r>
          <w:r>
            <w:fldChar w:fldCharType="separate"/>
          </w:r>
          <w:r>
            <w:rPr>
              <w:rStyle w:val="15"/>
              <w:rFonts w:hint="eastAsia" w:ascii="黑体" w:hAnsi="黑体" w:eastAsia="黑体"/>
            </w:rPr>
            <w:t>一、主要职责</w:t>
          </w:r>
          <w:r>
            <w:tab/>
          </w:r>
          <w:r>
            <w:fldChar w:fldCharType="begin"/>
          </w:r>
          <w:r>
            <w:instrText xml:space="preserve"> PAGEREF _Toc145506441 \h </w:instrText>
          </w:r>
          <w:r>
            <w:fldChar w:fldCharType="separate"/>
          </w:r>
          <w:r>
            <w:t>3</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"_Toc145506442" </w:instrText>
          </w:r>
          <w:r>
            <w:fldChar w:fldCharType="separate"/>
          </w:r>
          <w:r>
            <w:rPr>
              <w:rStyle w:val="15"/>
              <w:rFonts w:hint="eastAsia" w:ascii="黑体" w:hAnsi="黑体" w:eastAsia="黑体"/>
            </w:rPr>
            <w:t>二、机构设置</w:t>
          </w:r>
          <w:r>
            <w:tab/>
          </w:r>
          <w:r>
            <w:fldChar w:fldCharType="begin"/>
          </w:r>
          <w:r>
            <w:instrText xml:space="preserve"> PAGEREF _Toc145506442 \h </w:instrText>
          </w:r>
          <w:r>
            <w:fldChar w:fldCharType="separate"/>
          </w:r>
          <w:r>
            <w:t>4</w:t>
          </w:r>
          <w:r>
            <w:fldChar w:fldCharType="end"/>
          </w:r>
          <w:r>
            <w:fldChar w:fldCharType="end"/>
          </w:r>
        </w:p>
        <w:p>
          <w:pPr>
            <w:pStyle w:val="10"/>
            <w:jc w:val="both"/>
            <w:rPr>
              <w:rFonts w:asciiTheme="minorHAnsi" w:hAnsiTheme="minorHAnsi" w:eastAsiaTheme="minorEastAsia" w:cstheme="minorBidi"/>
              <w:sz w:val="21"/>
              <w:szCs w:val="22"/>
            </w:rPr>
          </w:pPr>
          <w:r>
            <w:fldChar w:fldCharType="begin"/>
          </w:r>
          <w:r>
            <w:instrText xml:space="preserve"> HYPERLINK \l "_Toc145506443" </w:instrText>
          </w:r>
          <w:r>
            <w:fldChar w:fldCharType="separate"/>
          </w:r>
          <w:r>
            <w:rPr>
              <w:rStyle w:val="15"/>
              <w:rFonts w:hint="eastAsia" w:ascii="黑体" w:hAnsi="黑体" w:eastAsia="黑体"/>
            </w:rPr>
            <w:t>第二部分</w:t>
          </w:r>
          <w:r>
            <w:rPr>
              <w:rStyle w:val="15"/>
              <w:rFonts w:ascii="黑体" w:hAnsi="黑体" w:eastAsia="黑体"/>
            </w:rPr>
            <w:t xml:space="preserve"> </w:t>
          </w:r>
          <w:r>
            <w:rPr>
              <w:rStyle w:val="15"/>
              <w:rFonts w:hint="eastAsia" w:ascii="黑体" w:hAnsi="黑体" w:eastAsia="黑体"/>
              <w:lang w:eastAsia="zh-CN"/>
            </w:rPr>
            <w:t>2023</w:t>
          </w:r>
          <w:r>
            <w:rPr>
              <w:rStyle w:val="15"/>
              <w:rFonts w:hint="eastAsia" w:ascii="黑体" w:hAnsi="黑体" w:eastAsia="黑体"/>
            </w:rPr>
            <w:t>年度单位决算情况说明</w:t>
          </w:r>
          <w:r>
            <w:tab/>
          </w:r>
          <w:r>
            <w:fldChar w:fldCharType="begin"/>
          </w:r>
          <w:r>
            <w:instrText xml:space="preserve"> PAGEREF _Toc145506443 \h </w:instrText>
          </w:r>
          <w:r>
            <w:fldChar w:fldCharType="separate"/>
          </w:r>
          <w:r>
            <w:t>5</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"_Toc145506444" </w:instrText>
          </w:r>
          <w:r>
            <w:fldChar w:fldCharType="separate"/>
          </w:r>
          <w:r>
            <w:rPr>
              <w:rStyle w:val="15"/>
              <w:rFonts w:hint="eastAsia" w:ascii="黑体" w:hAnsi="黑体" w:eastAsia="黑体" w:cstheme="majorBidi"/>
              <w:bCs/>
            </w:rPr>
            <w:t>一、</w:t>
          </w:r>
          <w:r>
            <w:rPr>
              <w:rStyle w:val="15"/>
              <w:rFonts w:hint="eastAsia" w:ascii="黑体" w:hAnsi="黑体" w:eastAsia="黑体"/>
            </w:rPr>
            <w:t>收</w:t>
          </w:r>
          <w:r>
            <w:rPr>
              <w:rStyle w:val="15"/>
              <w:rFonts w:hint="eastAsia" w:ascii="黑体" w:hAnsi="黑体" w:eastAsia="黑体" w:cstheme="majorBidi"/>
              <w:bCs/>
            </w:rPr>
            <w:t>入支出决算总体情况说明</w:t>
          </w:r>
          <w:r>
            <w:tab/>
          </w:r>
          <w:r>
            <w:fldChar w:fldCharType="begin"/>
          </w:r>
          <w:r>
            <w:instrText xml:space="preserve"> PAGEREF _Toc145506444 \h </w:instrText>
          </w:r>
          <w:r>
            <w:fldChar w:fldCharType="separate"/>
          </w:r>
          <w:r>
            <w:t>5</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"_Toc145506445" </w:instrText>
          </w:r>
          <w:r>
            <w:fldChar w:fldCharType="separate"/>
          </w:r>
          <w:r>
            <w:rPr>
              <w:rStyle w:val="15"/>
              <w:rFonts w:hint="eastAsia" w:ascii="黑体" w:hAnsi="黑体" w:eastAsia="黑体" w:cstheme="majorBidi"/>
              <w:bCs/>
            </w:rPr>
            <w:t>二、</w:t>
          </w:r>
          <w:r>
            <w:rPr>
              <w:rStyle w:val="15"/>
              <w:rFonts w:hint="eastAsia" w:ascii="黑体" w:hAnsi="黑体" w:eastAsia="黑体"/>
            </w:rPr>
            <w:t>收</w:t>
          </w:r>
          <w:r>
            <w:rPr>
              <w:rStyle w:val="15"/>
              <w:rFonts w:hint="eastAsia" w:ascii="黑体" w:hAnsi="黑体" w:eastAsia="黑体" w:cstheme="majorBidi"/>
              <w:bCs/>
            </w:rPr>
            <w:t>入决算情况说明</w:t>
          </w:r>
          <w:r>
            <w:tab/>
          </w:r>
          <w:r>
            <w:fldChar w:fldCharType="begin"/>
          </w:r>
          <w:r>
            <w:instrText xml:space="preserve"> PAGEREF _Toc145506445 \h </w:instrText>
          </w:r>
          <w:r>
            <w:fldChar w:fldCharType="separate"/>
          </w:r>
          <w:r>
            <w:t>5</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"_Toc145506447" </w:instrText>
          </w:r>
          <w:r>
            <w:fldChar w:fldCharType="separate"/>
          </w:r>
          <w:r>
            <w:rPr>
              <w:rStyle w:val="15"/>
              <w:rFonts w:hint="eastAsia" w:ascii="黑体" w:hAnsi="黑体" w:eastAsia="黑体" w:cstheme="majorBidi"/>
              <w:bCs/>
            </w:rPr>
            <w:t>三、</w:t>
          </w:r>
          <w:r>
            <w:rPr>
              <w:rStyle w:val="15"/>
              <w:rFonts w:hint="eastAsia" w:ascii="黑体" w:hAnsi="黑体" w:eastAsia="黑体"/>
            </w:rPr>
            <w:t>支</w:t>
          </w:r>
          <w:r>
            <w:rPr>
              <w:rStyle w:val="15"/>
              <w:rFonts w:hint="eastAsia" w:ascii="黑体" w:hAnsi="黑体" w:eastAsia="黑体" w:cstheme="majorBidi"/>
              <w:bCs/>
            </w:rPr>
            <w:t>出决算情况说明</w:t>
          </w:r>
          <w:r>
            <w:tab/>
          </w:r>
          <w:r>
            <w:fldChar w:fldCharType="begin"/>
          </w:r>
          <w:r>
            <w:instrText xml:space="preserve"> PAGEREF _Toc145506447 \h </w:instrText>
          </w:r>
          <w:r>
            <w:fldChar w:fldCharType="separate"/>
          </w:r>
          <w:r>
            <w:t>6</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"_Toc145506449" </w:instrText>
          </w:r>
          <w:r>
            <w:fldChar w:fldCharType="separate"/>
          </w:r>
          <w:r>
            <w:rPr>
              <w:rStyle w:val="15"/>
              <w:rFonts w:hint="eastAsia" w:ascii="黑体" w:hAnsi="黑体" w:eastAsia="黑体"/>
            </w:rPr>
            <w:t>四、财</w:t>
          </w:r>
          <w:r>
            <w:rPr>
              <w:rStyle w:val="15"/>
              <w:rFonts w:hint="eastAsia" w:ascii="黑体" w:hAnsi="黑体" w:eastAsia="黑体" w:cstheme="majorBidi"/>
              <w:bCs/>
            </w:rPr>
            <w:t>政拨款收入支出决算总体情况说明</w:t>
          </w:r>
          <w:r>
            <w:tab/>
          </w:r>
          <w:r>
            <w:fldChar w:fldCharType="begin"/>
          </w:r>
          <w:r>
            <w:instrText xml:space="preserve"> PAGEREF _Toc145506449 \h </w:instrText>
          </w:r>
          <w:r>
            <w:fldChar w:fldCharType="separate"/>
          </w:r>
          <w:r>
            <w:t>6</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"_Toc145506450" </w:instrText>
          </w:r>
          <w:r>
            <w:fldChar w:fldCharType="separate"/>
          </w:r>
          <w:r>
            <w:rPr>
              <w:rStyle w:val="15"/>
              <w:rFonts w:hint="eastAsia" w:ascii="黑体" w:hAnsi="黑体" w:eastAsia="黑体"/>
            </w:rPr>
            <w:t>五、</w:t>
          </w:r>
          <w:r>
            <w:rPr>
              <w:rStyle w:val="15"/>
              <w:rFonts w:hint="eastAsia" w:ascii="黑体" w:hAnsi="黑体" w:eastAsia="黑体"/>
              <w:b/>
            </w:rPr>
            <w:t>一</w:t>
          </w:r>
          <w:r>
            <w:rPr>
              <w:rStyle w:val="15"/>
              <w:rFonts w:hint="eastAsia" w:ascii="黑体" w:hAnsi="黑体" w:eastAsia="黑体" w:cstheme="majorBidi"/>
              <w:bCs/>
            </w:rPr>
            <w:t>般公共预算财政拨款支出决算情况说明</w:t>
          </w:r>
          <w:r>
            <w:tab/>
          </w:r>
          <w:r>
            <w:fldChar w:fldCharType="begin"/>
          </w:r>
          <w:r>
            <w:instrText xml:space="preserve"> PAGEREF _Toc145506450 \h </w:instrText>
          </w:r>
          <w:r>
            <w:fldChar w:fldCharType="separate"/>
          </w:r>
          <w:r>
            <w:t>7</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"_Toc145506455" </w:instrText>
          </w:r>
          <w:r>
            <w:fldChar w:fldCharType="separate"/>
          </w:r>
          <w:r>
            <w:rPr>
              <w:rStyle w:val="15"/>
              <w:rFonts w:hint="eastAsia" w:ascii="黑体" w:eastAsia="黑体"/>
            </w:rPr>
            <w:t>六</w:t>
          </w:r>
          <w:r>
            <w:rPr>
              <w:rStyle w:val="15"/>
              <w:rFonts w:hint="eastAsia" w:ascii="黑体" w:eastAsia="黑体"/>
              <w:b/>
            </w:rPr>
            <w:t>、</w:t>
          </w:r>
          <w:r>
            <w:rPr>
              <w:rStyle w:val="15"/>
              <w:rFonts w:hint="eastAsia" w:ascii="黑体" w:hAnsi="黑体" w:eastAsia="黑体"/>
              <w:b/>
            </w:rPr>
            <w:t>一</w:t>
          </w:r>
          <w:r>
            <w:rPr>
              <w:rStyle w:val="15"/>
              <w:rFonts w:hint="eastAsia" w:ascii="黑体" w:hAnsi="黑体" w:eastAsia="黑体" w:cstheme="majorBidi"/>
              <w:bCs/>
            </w:rPr>
            <w:t>般公共预算财政拨款基本支出决算情况说明</w:t>
          </w:r>
          <w:r>
            <w:tab/>
          </w:r>
          <w:r>
            <w:fldChar w:fldCharType="begin"/>
          </w:r>
          <w:r>
            <w:instrText xml:space="preserve"> PAGEREF _Toc145506455 \h </w:instrText>
          </w:r>
          <w:r>
            <w:fldChar w:fldCharType="separate"/>
          </w:r>
          <w:r>
            <w:t>9</w:t>
          </w:r>
          <w:r>
            <w:fldChar w:fldCharType="end"/>
          </w:r>
          <w:r>
            <w:fldChar w:fldCharType="end"/>
          </w:r>
        </w:p>
        <w:p>
          <w:pPr>
            <w:pStyle w:val="11"/>
            <w:rPr>
              <w:rFonts w:asciiTheme="minorHAnsi" w:hAnsiTheme="minorHAnsi" w:eastAsiaTheme="minorEastAsia" w:cstheme="minorBidi"/>
              <w:szCs w:val="21"/>
            </w:rPr>
          </w:pPr>
          <w:r>
            <w:fldChar w:fldCharType="begin"/>
          </w:r>
          <w:r>
            <w:instrText xml:space="preserve"> HYPERLINK \l "_Toc145506456" </w:instrText>
          </w:r>
          <w:r>
            <w:fldChar w:fldCharType="separate"/>
          </w:r>
          <w:r>
            <w:rPr>
              <w:rStyle w:val="15"/>
              <w:rFonts w:hint="eastAsia" w:ascii="黑体" w:eastAsia="黑体"/>
            </w:rPr>
            <w:t>七、</w:t>
          </w:r>
          <w:r>
            <w:rPr>
              <w:rStyle w:val="15"/>
              <w:rFonts w:hint="eastAsia" w:ascii="黑体" w:hAnsi="黑体" w:eastAsia="黑体" w:cstheme="majorBidi"/>
              <w:bCs/>
            </w:rPr>
            <w:t>财政拨款</w:t>
          </w:r>
          <w:r>
            <w:rPr>
              <w:rStyle w:val="15"/>
              <w:rFonts w:ascii="黑体" w:hAnsi="黑体" w:eastAsia="黑体" w:cstheme="majorBidi"/>
              <w:b/>
              <w:bCs/>
            </w:rPr>
            <w:t>“</w:t>
          </w:r>
          <w:r>
            <w:rPr>
              <w:rStyle w:val="15"/>
              <w:rFonts w:hint="eastAsia" w:ascii="黑体" w:hAnsi="黑体" w:eastAsia="黑体" w:cstheme="majorBidi"/>
              <w:bCs/>
            </w:rPr>
            <w:t>三公”经费支出决算情况说明</w:t>
          </w:r>
          <w:r>
            <w:tab/>
          </w:r>
          <w:r>
            <w:fldChar w:fldCharType="begin"/>
          </w:r>
          <w:r>
            <w:instrText xml:space="preserve"> PAGEREF _Toc145506456 \h </w:instrText>
          </w:r>
          <w:r>
            <w:fldChar w:fldCharType="separate"/>
          </w:r>
          <w:r>
            <w:t>10</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"_Toc145506459" </w:instrText>
          </w:r>
          <w:r>
            <w:fldChar w:fldCharType="separate"/>
          </w:r>
          <w:r>
            <w:rPr>
              <w:rStyle w:val="15"/>
              <w:rFonts w:hint="eastAsia" w:ascii="黑体" w:eastAsia="黑体"/>
            </w:rPr>
            <w:t>八、</w:t>
          </w:r>
          <w:r>
            <w:rPr>
              <w:rStyle w:val="15"/>
              <w:rFonts w:hint="eastAsia" w:ascii="黑体" w:hAnsi="黑体" w:eastAsia="黑体" w:cstheme="majorBidi"/>
              <w:bCs/>
            </w:rPr>
            <w:t>政府性基金预算支出决算情况说明</w:t>
          </w:r>
          <w:r>
            <w:tab/>
          </w:r>
          <w:r>
            <w:fldChar w:fldCharType="begin"/>
          </w:r>
          <w:r>
            <w:instrText xml:space="preserve"> PAGEREF _Toc145506459 \h </w:instrText>
          </w:r>
          <w:r>
            <w:fldChar w:fldCharType="separate"/>
          </w:r>
          <w:r>
            <w:t>11</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"_Toc145506460" </w:instrText>
          </w:r>
          <w:r>
            <w:fldChar w:fldCharType="separate"/>
          </w:r>
          <w:r>
            <w:rPr>
              <w:rStyle w:val="15"/>
              <w:rFonts w:hint="eastAsia" w:ascii="黑体" w:hAnsi="黑体" w:eastAsia="黑体" w:cstheme="majorBidi"/>
              <w:bCs/>
            </w:rPr>
            <w:t>九、国有资本经营预算支出决算情况说明</w:t>
          </w:r>
          <w:r>
            <w:tab/>
          </w:r>
          <w:r>
            <w:fldChar w:fldCharType="begin"/>
          </w:r>
          <w:r>
            <w:instrText xml:space="preserve"> PAGEREF _Toc145506460 \h </w:instrText>
          </w:r>
          <w:r>
            <w:fldChar w:fldCharType="separate"/>
          </w:r>
          <w:r>
            <w:t>11</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"_Toc145506461" </w:instrText>
          </w:r>
          <w:r>
            <w:fldChar w:fldCharType="separate"/>
          </w:r>
          <w:r>
            <w:rPr>
              <w:rStyle w:val="15"/>
              <w:rFonts w:hint="eastAsia" w:ascii="黑体" w:hAnsi="黑体" w:eastAsia="黑体" w:cstheme="majorBidi"/>
              <w:bCs/>
            </w:rPr>
            <w:t>十、其他重要事项的情况说明</w:t>
          </w:r>
          <w:r>
            <w:tab/>
          </w:r>
          <w:r>
            <w:fldChar w:fldCharType="begin"/>
          </w:r>
          <w:r>
            <w:instrText xml:space="preserve"> PAGEREF _Toc145506461 \h </w:instrText>
          </w:r>
          <w:r>
            <w:fldChar w:fldCharType="separate"/>
          </w:r>
          <w:r>
            <w:t>11</w:t>
          </w:r>
          <w:r>
            <w:fldChar w:fldCharType="end"/>
          </w:r>
          <w:r>
            <w:fldChar w:fldCharType="end"/>
          </w:r>
        </w:p>
        <w:p>
          <w:pPr>
            <w:pStyle w:val="10"/>
            <w:jc w:val="both"/>
            <w:rPr>
              <w:rFonts w:asciiTheme="minorHAnsi" w:hAnsiTheme="minorHAnsi" w:eastAsiaTheme="minorEastAsia" w:cstheme="minorBidi"/>
              <w:sz w:val="21"/>
              <w:szCs w:val="22"/>
            </w:rPr>
          </w:pPr>
          <w:r>
            <w:fldChar w:fldCharType="begin"/>
          </w:r>
          <w:r>
            <w:instrText xml:space="preserve"> HYPERLINK \l "_Toc145506466" </w:instrText>
          </w:r>
          <w:r>
            <w:fldChar w:fldCharType="separate"/>
          </w:r>
          <w:r>
            <w:rPr>
              <w:rStyle w:val="15"/>
              <w:rFonts w:hint="eastAsia" w:ascii="黑体" w:hAnsi="黑体" w:eastAsia="黑体" w:cs="黑体"/>
              <w:bCs/>
              <w:kern w:val="44"/>
            </w:rPr>
            <w:t>第三部分</w:t>
          </w:r>
          <w:r>
            <w:rPr>
              <w:rStyle w:val="15"/>
              <w:rFonts w:hint="eastAsia" w:ascii="黑体" w:hAnsi="黑体" w:eastAsia="黑体"/>
            </w:rPr>
            <w:t xml:space="preserve"> 名</w:t>
          </w:r>
          <w:r>
            <w:rPr>
              <w:rStyle w:val="15"/>
              <w:rFonts w:hint="eastAsia" w:ascii="黑体" w:hAnsi="黑体" w:eastAsia="黑体"/>
              <w:bCs/>
              <w:kern w:val="44"/>
            </w:rPr>
            <w:t>词解释</w:t>
          </w:r>
          <w:r>
            <w:tab/>
          </w:r>
          <w:r>
            <w:fldChar w:fldCharType="begin"/>
          </w:r>
          <w:r>
            <w:instrText xml:space="preserve"> PAGEREF _Toc145506466 \h </w:instrText>
          </w:r>
          <w:r>
            <w:fldChar w:fldCharType="separate"/>
          </w:r>
          <w:r>
            <w:t>13</w:t>
          </w:r>
          <w:r>
            <w:fldChar w:fldCharType="end"/>
          </w:r>
          <w:r>
            <w:fldChar w:fldCharType="end"/>
          </w:r>
        </w:p>
        <w:p>
          <w:pPr>
            <w:pStyle w:val="10"/>
            <w:jc w:val="both"/>
            <w:rPr>
              <w:rFonts w:asciiTheme="minorHAnsi" w:hAnsiTheme="minorHAnsi" w:eastAsiaTheme="minorEastAsia" w:cstheme="minorBidi"/>
              <w:sz w:val="21"/>
              <w:szCs w:val="22"/>
            </w:rPr>
          </w:pPr>
          <w:r>
            <w:fldChar w:fldCharType="begin"/>
          </w:r>
          <w:r>
            <w:instrText xml:space="preserve"> HYPERLINK \l "_Toc145506467" </w:instrText>
          </w:r>
          <w:r>
            <w:fldChar w:fldCharType="separate"/>
          </w:r>
          <w:r>
            <w:rPr>
              <w:rStyle w:val="15"/>
              <w:rFonts w:hint="eastAsia" w:ascii="黑体" w:hAnsi="黑体" w:eastAsia="黑体"/>
            </w:rPr>
            <w:t>第</w:t>
          </w:r>
          <w:r>
            <w:rPr>
              <w:rStyle w:val="15"/>
              <w:rFonts w:hint="eastAsia" w:ascii="黑体" w:hAnsi="黑体" w:eastAsia="黑体"/>
              <w:bCs/>
              <w:kern w:val="44"/>
            </w:rPr>
            <w:t>四部分</w:t>
          </w:r>
          <w:r>
            <w:rPr>
              <w:rStyle w:val="15"/>
              <w:rFonts w:ascii="黑体" w:hAnsi="黑体" w:eastAsia="黑体"/>
              <w:bCs/>
              <w:kern w:val="44"/>
            </w:rPr>
            <w:t xml:space="preserve"> </w:t>
          </w:r>
          <w:r>
            <w:rPr>
              <w:rStyle w:val="15"/>
              <w:rFonts w:hint="eastAsia" w:ascii="黑体" w:hAnsi="黑体" w:eastAsia="黑体"/>
              <w:bCs/>
              <w:kern w:val="44"/>
            </w:rPr>
            <w:t>附件</w:t>
          </w:r>
          <w:r>
            <w:tab/>
          </w:r>
          <w:r>
            <w:fldChar w:fldCharType="begin"/>
          </w:r>
          <w:r>
            <w:instrText xml:space="preserve"> PAGEREF _Toc145506467 \h </w:instrText>
          </w:r>
          <w:r>
            <w:fldChar w:fldCharType="separate"/>
          </w:r>
          <w:r>
            <w:t>1</w:t>
          </w:r>
          <w:r>
            <w:fldChar w:fldCharType="end"/>
          </w:r>
          <w:r>
            <w:fldChar w:fldCharType="end"/>
          </w:r>
        </w:p>
        <w:p>
          <w:pPr>
            <w:pStyle w:val="10"/>
            <w:jc w:val="both"/>
            <w:rPr>
              <w:rFonts w:asciiTheme="minorHAnsi" w:hAnsiTheme="minorHAnsi" w:eastAsiaTheme="minorEastAsia" w:cstheme="minorBidi"/>
              <w:sz w:val="21"/>
              <w:szCs w:val="22"/>
            </w:rPr>
          </w:pPr>
          <w:r>
            <w:fldChar w:fldCharType="begin"/>
          </w:r>
          <w:r>
            <w:instrText xml:space="preserve"> HYPERLINK \l "_Toc145506468" </w:instrText>
          </w:r>
          <w:r>
            <w:fldChar w:fldCharType="separate"/>
          </w:r>
          <w:r>
            <w:rPr>
              <w:rStyle w:val="15"/>
              <w:rFonts w:hint="eastAsia" w:ascii="黑体" w:hAnsi="黑体" w:eastAsia="黑体"/>
            </w:rPr>
            <w:t>第</w:t>
          </w:r>
          <w:r>
            <w:rPr>
              <w:rStyle w:val="15"/>
              <w:rFonts w:hint="eastAsia" w:ascii="黑体" w:hAnsi="黑体" w:eastAsia="黑体"/>
              <w:bCs/>
              <w:kern w:val="44"/>
            </w:rPr>
            <w:t>五部分</w:t>
          </w:r>
          <w:r>
            <w:rPr>
              <w:rStyle w:val="15"/>
              <w:rFonts w:ascii="黑体" w:hAnsi="黑体" w:eastAsia="黑体"/>
              <w:bCs/>
              <w:kern w:val="44"/>
            </w:rPr>
            <w:t xml:space="preserve"> </w:t>
          </w:r>
          <w:r>
            <w:rPr>
              <w:rStyle w:val="15"/>
              <w:rFonts w:hint="eastAsia" w:ascii="黑体" w:hAnsi="黑体" w:eastAsia="黑体"/>
              <w:bCs/>
              <w:kern w:val="44"/>
            </w:rPr>
            <w:t>附表</w:t>
          </w:r>
          <w:r>
            <w:tab/>
          </w:r>
          <w:r>
            <w:fldChar w:fldCharType="begin"/>
          </w:r>
          <w:r>
            <w:instrText xml:space="preserve"> PAGEREF _Toc145506468 \h </w:instrText>
          </w:r>
          <w:r>
            <w:fldChar w:fldCharType="separate"/>
          </w:r>
          <w:r>
            <w:t>3</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"_Toc145506469" </w:instrText>
          </w:r>
          <w:r>
            <w:fldChar w:fldCharType="separate"/>
          </w:r>
          <w:r>
            <w:rPr>
              <w:rStyle w:val="15"/>
              <w:rFonts w:hint="eastAsia" w:ascii="仿宋" w:hAnsi="仿宋" w:eastAsia="仿宋"/>
            </w:rPr>
            <w:t>一、收入支出决算总表</w:t>
          </w:r>
          <w:r>
            <w:tab/>
          </w:r>
          <w:r>
            <w:fldChar w:fldCharType="begin"/>
          </w:r>
          <w:r>
            <w:instrText xml:space="preserve"> PAGEREF _Toc145506469 \h </w:instrText>
          </w:r>
          <w:r>
            <w:fldChar w:fldCharType="separate"/>
          </w:r>
          <w:r>
            <w:t>3</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"_Toc145506470" </w:instrText>
          </w:r>
          <w:r>
            <w:fldChar w:fldCharType="separate"/>
          </w:r>
          <w:r>
            <w:rPr>
              <w:rStyle w:val="15"/>
              <w:rFonts w:hint="eastAsia" w:ascii="仿宋" w:hAnsi="仿宋" w:eastAsia="仿宋"/>
            </w:rPr>
            <w:t>二、收入决算表</w:t>
          </w:r>
          <w:r>
            <w:tab/>
          </w:r>
          <w:r>
            <w:fldChar w:fldCharType="begin"/>
          </w:r>
          <w:r>
            <w:instrText xml:space="preserve"> PAGEREF _Toc145506470 \h </w:instrText>
          </w:r>
          <w:r>
            <w:fldChar w:fldCharType="separate"/>
          </w:r>
          <w:r>
            <w:t>3</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"_Toc145506471" </w:instrText>
          </w:r>
          <w:r>
            <w:fldChar w:fldCharType="separate"/>
          </w:r>
          <w:r>
            <w:rPr>
              <w:rStyle w:val="15"/>
              <w:rFonts w:hint="eastAsia" w:ascii="仿宋" w:hAnsi="仿宋" w:eastAsia="仿宋"/>
            </w:rPr>
            <w:t>三、支出决算表</w:t>
          </w:r>
          <w:r>
            <w:tab/>
          </w:r>
          <w:r>
            <w:fldChar w:fldCharType="begin"/>
          </w:r>
          <w:r>
            <w:instrText xml:space="preserve"> PAGEREF _Toc145506471 \h </w:instrText>
          </w:r>
          <w:r>
            <w:fldChar w:fldCharType="separate"/>
          </w:r>
          <w:r>
            <w:t>3</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"_Toc145506472" </w:instrText>
          </w:r>
          <w:r>
            <w:fldChar w:fldCharType="separate"/>
          </w:r>
          <w:r>
            <w:rPr>
              <w:rStyle w:val="15"/>
              <w:rFonts w:hint="eastAsia" w:ascii="仿宋" w:hAnsi="仿宋" w:eastAsia="仿宋"/>
            </w:rPr>
            <w:t>四、财政拨款收入支出决算总表</w:t>
          </w:r>
          <w:r>
            <w:tab/>
          </w:r>
          <w:r>
            <w:fldChar w:fldCharType="begin"/>
          </w:r>
          <w:r>
            <w:instrText xml:space="preserve"> PAGEREF _Toc145506472 \h </w:instrText>
          </w:r>
          <w:r>
            <w:fldChar w:fldCharType="separate"/>
          </w:r>
          <w:r>
            <w:t>3</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"_Toc145506473" </w:instrText>
          </w:r>
          <w:r>
            <w:fldChar w:fldCharType="separate"/>
          </w:r>
          <w:r>
            <w:rPr>
              <w:rStyle w:val="15"/>
              <w:rFonts w:hint="eastAsia" w:ascii="仿宋" w:hAnsi="仿宋" w:eastAsia="仿宋"/>
            </w:rPr>
            <w:t>五、财政拨款支出决算明细表</w:t>
          </w:r>
          <w:r>
            <w:tab/>
          </w:r>
          <w:r>
            <w:fldChar w:fldCharType="begin"/>
          </w:r>
          <w:r>
            <w:instrText xml:space="preserve"> PAGEREF _Toc145506473 \h </w:instrText>
          </w:r>
          <w:r>
            <w:fldChar w:fldCharType="separate"/>
          </w:r>
          <w:r>
            <w:t>3</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"_Toc145506474" </w:instrText>
          </w:r>
          <w:r>
            <w:fldChar w:fldCharType="separate"/>
          </w:r>
          <w:r>
            <w:rPr>
              <w:rStyle w:val="15"/>
              <w:rFonts w:hint="eastAsia" w:ascii="仿宋" w:hAnsi="仿宋" w:eastAsia="仿宋"/>
            </w:rPr>
            <w:t>六、一般公共预算财政拨款支出决算表</w:t>
          </w:r>
          <w:r>
            <w:tab/>
          </w:r>
          <w:r>
            <w:fldChar w:fldCharType="begin"/>
          </w:r>
          <w:r>
            <w:instrText xml:space="preserve"> PAGEREF _Toc145506474 \h </w:instrText>
          </w:r>
          <w:r>
            <w:fldChar w:fldCharType="separate"/>
          </w:r>
          <w:r>
            <w:t>3</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"_Toc145506475" </w:instrText>
          </w:r>
          <w:r>
            <w:fldChar w:fldCharType="separate"/>
          </w:r>
          <w:r>
            <w:rPr>
              <w:rStyle w:val="15"/>
              <w:rFonts w:hint="eastAsia" w:ascii="仿宋" w:hAnsi="仿宋" w:eastAsia="仿宋"/>
            </w:rPr>
            <w:t>七、一般公共预算财政拨款支出决算明细表</w:t>
          </w:r>
          <w:r>
            <w:tab/>
          </w:r>
          <w:r>
            <w:fldChar w:fldCharType="begin"/>
          </w:r>
          <w:r>
            <w:instrText xml:space="preserve"> PAGEREF _Toc145506475 \h </w:instrText>
          </w:r>
          <w:r>
            <w:fldChar w:fldCharType="separate"/>
          </w:r>
          <w:r>
            <w:t>3</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"_Toc145506476" </w:instrText>
          </w:r>
          <w:r>
            <w:fldChar w:fldCharType="separate"/>
          </w:r>
          <w:r>
            <w:rPr>
              <w:rStyle w:val="15"/>
              <w:rFonts w:hint="eastAsia" w:ascii="仿宋" w:hAnsi="仿宋" w:eastAsia="仿宋"/>
            </w:rPr>
            <w:t>八、一般公共预算财政拨款基本支出决算表</w:t>
          </w:r>
          <w:r>
            <w:tab/>
          </w:r>
          <w:r>
            <w:fldChar w:fldCharType="begin"/>
          </w:r>
          <w:r>
            <w:instrText xml:space="preserve"> PAGEREF _Toc145506476 \h </w:instrText>
          </w:r>
          <w:r>
            <w:fldChar w:fldCharType="separate"/>
          </w:r>
          <w:r>
            <w:t>3</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"_Toc145506477" </w:instrText>
          </w:r>
          <w:r>
            <w:fldChar w:fldCharType="separate"/>
          </w:r>
          <w:r>
            <w:rPr>
              <w:rStyle w:val="15"/>
              <w:rFonts w:hint="eastAsia" w:ascii="仿宋" w:hAnsi="仿宋" w:eastAsia="仿宋"/>
            </w:rPr>
            <w:t>九、一般公共预算财政拨款项目支出决算表</w:t>
          </w:r>
          <w:r>
            <w:tab/>
          </w:r>
          <w:r>
            <w:fldChar w:fldCharType="begin"/>
          </w:r>
          <w:r>
            <w:instrText xml:space="preserve"> PAGEREF _Toc145506477 \h </w:instrText>
          </w:r>
          <w:r>
            <w:fldChar w:fldCharType="separate"/>
          </w:r>
          <w:r>
            <w:t>3</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"_Toc145506478" </w:instrText>
          </w:r>
          <w:r>
            <w:fldChar w:fldCharType="separate"/>
          </w:r>
          <w:r>
            <w:rPr>
              <w:rStyle w:val="15"/>
              <w:rFonts w:hint="eastAsia" w:ascii="仿宋" w:hAnsi="仿宋" w:eastAsia="仿宋"/>
            </w:rPr>
            <w:t>十、政府性基金预算财政拨款收入支出决算表</w:t>
          </w:r>
          <w:r>
            <w:tab/>
          </w:r>
          <w:r>
            <w:fldChar w:fldCharType="begin"/>
          </w:r>
          <w:r>
            <w:instrText xml:space="preserve"> PAGEREF _Toc145506478 \h </w:instrText>
          </w:r>
          <w:r>
            <w:fldChar w:fldCharType="separate"/>
          </w:r>
          <w:r>
            <w:t>3</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"_Toc145506479" </w:instrText>
          </w:r>
          <w:r>
            <w:fldChar w:fldCharType="separate"/>
          </w:r>
          <w:r>
            <w:rPr>
              <w:rStyle w:val="15"/>
              <w:rFonts w:hint="eastAsia" w:ascii="仿宋" w:hAnsi="仿宋" w:eastAsia="仿宋"/>
            </w:rPr>
            <w:t>十一、国有资本经营预算财政拨款收入支出决算表</w:t>
          </w:r>
          <w:r>
            <w:tab/>
          </w:r>
          <w:r>
            <w:fldChar w:fldCharType="begin"/>
          </w:r>
          <w:r>
            <w:instrText xml:space="preserve"> PAGEREF _Toc145506479 \h </w:instrText>
          </w:r>
          <w:r>
            <w:fldChar w:fldCharType="separate"/>
          </w:r>
          <w:r>
            <w:t>3</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"_Toc145506480" </w:instrText>
          </w:r>
          <w:r>
            <w:fldChar w:fldCharType="separate"/>
          </w:r>
          <w:r>
            <w:rPr>
              <w:rStyle w:val="15"/>
              <w:rFonts w:hint="eastAsia" w:ascii="仿宋" w:hAnsi="仿宋" w:eastAsia="仿宋"/>
            </w:rPr>
            <w:t>十二、国有资本经营预算财政拨款支出决算表</w:t>
          </w:r>
          <w:r>
            <w:tab/>
          </w:r>
          <w:r>
            <w:fldChar w:fldCharType="begin"/>
          </w:r>
          <w:r>
            <w:instrText xml:space="preserve"> PAGEREF _Toc145506480 \h </w:instrText>
          </w:r>
          <w:r>
            <w:fldChar w:fldCharType="separate"/>
          </w:r>
          <w:r>
            <w:t>3</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"_Toc145506481" </w:instrText>
          </w:r>
          <w:r>
            <w:fldChar w:fldCharType="separate"/>
          </w:r>
          <w:r>
            <w:rPr>
              <w:rStyle w:val="15"/>
              <w:rFonts w:hint="eastAsia" w:ascii="仿宋" w:hAnsi="仿宋" w:eastAsia="仿宋"/>
            </w:rPr>
            <w:t>十三、财政拨款“三公”经费支出决算表</w:t>
          </w:r>
          <w:r>
            <w:tab/>
          </w:r>
          <w:r>
            <w:fldChar w:fldCharType="begin"/>
          </w:r>
          <w:r>
            <w:instrText xml:space="preserve"> PAGEREF _Toc145506481 \h </w:instrText>
          </w:r>
          <w:r>
            <w:fldChar w:fldCharType="separate"/>
          </w:r>
          <w:r>
            <w:t>3</w:t>
          </w:r>
          <w:r>
            <w:fldChar w:fldCharType="end"/>
          </w:r>
          <w:r>
            <w:fldChar w:fldCharType="end"/>
          </w:r>
        </w:p>
        <w:p>
          <w:r>
            <w:fldChar w:fldCharType="end"/>
          </w:r>
        </w:p>
      </w:sdtContent>
    </w:sdt>
    <w:p>
      <w:pPr>
        <w:pStyle w:val="2"/>
        <w:jc w:val="center"/>
        <w:rPr>
          <w:rStyle w:val="24"/>
          <w:rFonts w:ascii="黑体" w:hAnsi="黑体" w:eastAsia="黑体"/>
          <w:b/>
          <w:bCs w:val="0"/>
        </w:rPr>
      </w:pPr>
      <w:bookmarkStart w:id="9" w:name="_Toc15377196"/>
      <w:bookmarkStart w:id="10" w:name="_Toc15396599"/>
      <w:bookmarkStart w:id="11" w:name="_Toc145506440"/>
      <w:r>
        <w:rPr>
          <w:rFonts w:hint="eastAsia" w:ascii="黑体" w:hAnsi="黑体" w:eastAsia="黑体"/>
          <w:b w:val="0"/>
        </w:rPr>
        <w:t>第一部分 单位</w:t>
      </w:r>
      <w:r>
        <w:rPr>
          <w:rStyle w:val="24"/>
          <w:rFonts w:hint="eastAsia" w:ascii="黑体" w:hAnsi="黑体" w:eastAsia="黑体"/>
          <w:b w:val="0"/>
          <w:bCs w:val="0"/>
        </w:rPr>
        <w:t>概况</w:t>
      </w:r>
      <w:bookmarkEnd w:id="9"/>
      <w:bookmarkEnd w:id="10"/>
      <w:bookmarkEnd w:id="11"/>
    </w:p>
    <w:p>
      <w:pPr>
        <w:pStyle w:val="3"/>
        <w:numPr>
          <w:ilvl w:val="0"/>
          <w:numId w:val="1"/>
        </w:numPr>
        <w:rPr>
          <w:rStyle w:val="25"/>
          <w:rFonts w:ascii="黑体" w:hAnsi="黑体" w:eastAsia="黑体"/>
          <w:b w:val="0"/>
          <w:bCs w:val="0"/>
        </w:rPr>
      </w:pPr>
      <w:bookmarkStart w:id="12" w:name="_Toc145506441"/>
      <w:bookmarkStart w:id="13" w:name="_Toc15377197"/>
      <w:bookmarkStart w:id="14" w:name="_Toc15396600"/>
      <w:r>
        <w:rPr>
          <w:rStyle w:val="25"/>
          <w:rFonts w:hint="eastAsia" w:ascii="黑体" w:hAnsi="黑体" w:eastAsia="黑体"/>
          <w:b w:val="0"/>
          <w:bCs w:val="0"/>
        </w:rPr>
        <w:t>主要职责</w:t>
      </w:r>
      <w:bookmarkEnd w:id="12"/>
    </w:p>
    <w:p>
      <w:pPr>
        <w:pStyle w:val="23"/>
        <w:numPr>
          <w:ilvl w:val="0"/>
          <w:numId w:val="2"/>
        </w:numPr>
        <w:snapToGrid w:val="0"/>
        <w:spacing w:line="520" w:lineRule="exact"/>
        <w:ind w:firstLineChars="0"/>
        <w:rPr>
          <w:rFonts w:ascii="仿宋" w:hAnsi="仿宋" w:eastAsia="仿宋"/>
          <w:sz w:val="32"/>
          <w:szCs w:val="32"/>
        </w:rPr>
      </w:pPr>
      <w:r>
        <w:rPr>
          <w:rFonts w:hint="eastAsia" w:ascii="仿宋" w:hAnsi="仿宋" w:eastAsia="仿宋"/>
          <w:sz w:val="32"/>
          <w:szCs w:val="32"/>
        </w:rPr>
        <w:t>主要职能。</w:t>
      </w:r>
    </w:p>
    <w:p>
      <w:pPr>
        <w:pStyle w:val="23"/>
        <w:widowControl/>
        <w:shd w:val="clear" w:color="auto" w:fill="FFFFFF"/>
        <w:ind w:left="660" w:firstLine="0" w:firstLineChars="0"/>
        <w:jc w:val="left"/>
        <w:rPr>
          <w:rFonts w:ascii="仿宋" w:hAnsi="仿宋" w:eastAsia="仿宋" w:cs="华文楷体"/>
          <w:kern w:val="0"/>
          <w:sz w:val="32"/>
          <w:szCs w:val="32"/>
          <w:shd w:val="clear" w:color="auto" w:fill="FFFFFF"/>
        </w:rPr>
      </w:pPr>
      <w:r>
        <w:rPr>
          <w:rFonts w:hint="eastAsia" w:ascii="仿宋" w:hAnsi="仿宋" w:eastAsia="仿宋" w:cs="华文楷体"/>
          <w:kern w:val="0"/>
          <w:sz w:val="32"/>
          <w:szCs w:val="32"/>
          <w:shd w:val="clear" w:color="auto" w:fill="FFFFFF"/>
        </w:rPr>
        <w:t>1.负责贯彻党的教育方针，正确执行上级主管部门的决议和</w:t>
      </w:r>
    </w:p>
    <w:p>
      <w:pPr>
        <w:widowControl/>
        <w:shd w:val="clear" w:color="auto" w:fill="FFFFFF"/>
        <w:jc w:val="left"/>
        <w:rPr>
          <w:rFonts w:ascii="仿宋" w:hAnsi="仿宋" w:eastAsia="仿宋" w:cs="华文楷体"/>
          <w:sz w:val="32"/>
          <w:szCs w:val="32"/>
        </w:rPr>
      </w:pPr>
      <w:r>
        <w:rPr>
          <w:rFonts w:hint="eastAsia" w:ascii="仿宋" w:hAnsi="仿宋" w:eastAsia="仿宋" w:cs="华文楷体"/>
          <w:kern w:val="0"/>
          <w:sz w:val="32"/>
          <w:szCs w:val="32"/>
          <w:shd w:val="clear" w:color="auto" w:fill="FFFFFF"/>
        </w:rPr>
        <w:t>指示，全面实施素质教育，培养德、智、体、美等方面全面发展的社会主义事业的建设者和接班人。</w:t>
      </w:r>
    </w:p>
    <w:p>
      <w:pPr>
        <w:pStyle w:val="23"/>
        <w:widowControl/>
        <w:shd w:val="clear" w:color="auto" w:fill="FFFFFF"/>
        <w:ind w:left="660" w:firstLine="0" w:firstLineChars="0"/>
        <w:jc w:val="left"/>
        <w:rPr>
          <w:rFonts w:ascii="仿宋" w:hAnsi="仿宋" w:eastAsia="仿宋" w:cs="华文楷体"/>
          <w:kern w:val="0"/>
          <w:sz w:val="32"/>
          <w:szCs w:val="32"/>
          <w:shd w:val="clear" w:color="auto" w:fill="FFFFFF"/>
        </w:rPr>
      </w:pPr>
      <w:r>
        <w:rPr>
          <w:rFonts w:hint="eastAsia" w:ascii="仿宋" w:hAnsi="仿宋" w:eastAsia="仿宋" w:cs="华文楷体"/>
          <w:kern w:val="0"/>
          <w:sz w:val="32"/>
          <w:szCs w:val="32"/>
          <w:shd w:val="clear" w:color="auto" w:fill="FFFFFF"/>
        </w:rPr>
        <w:t>2.根据教育规律、社会要求和学校实际，组织制定学校发展</w:t>
      </w:r>
    </w:p>
    <w:p>
      <w:pPr>
        <w:widowControl/>
        <w:shd w:val="clear" w:color="auto" w:fill="FFFFFF"/>
        <w:jc w:val="left"/>
        <w:rPr>
          <w:rFonts w:ascii="仿宋" w:hAnsi="仿宋" w:eastAsia="仿宋" w:cs="华文楷体"/>
          <w:sz w:val="32"/>
          <w:szCs w:val="32"/>
        </w:rPr>
      </w:pPr>
      <w:r>
        <w:rPr>
          <w:rFonts w:hint="eastAsia" w:ascii="仿宋" w:hAnsi="仿宋" w:eastAsia="仿宋" w:cs="华文楷体"/>
          <w:kern w:val="0"/>
          <w:sz w:val="32"/>
          <w:szCs w:val="32"/>
          <w:shd w:val="clear" w:color="auto" w:fill="FFFFFF"/>
        </w:rPr>
        <w:t>远景规划、近期目标、学年和学期各项工作计划以及各项工作指标并组织实施。</w:t>
      </w:r>
    </w:p>
    <w:p>
      <w:pPr>
        <w:widowControl/>
        <w:shd w:val="clear" w:color="auto" w:fill="FFFFFF"/>
        <w:ind w:firstLine="800" w:firstLineChars="250"/>
        <w:jc w:val="left"/>
        <w:rPr>
          <w:rFonts w:ascii="仿宋" w:hAnsi="仿宋" w:eastAsia="仿宋" w:cs="华文楷体"/>
          <w:sz w:val="32"/>
          <w:szCs w:val="32"/>
        </w:rPr>
      </w:pPr>
      <w:r>
        <w:rPr>
          <w:rFonts w:hint="eastAsia" w:ascii="仿宋" w:hAnsi="仿宋" w:eastAsia="仿宋" w:cs="华文楷体"/>
          <w:kern w:val="0"/>
          <w:sz w:val="32"/>
          <w:szCs w:val="32"/>
          <w:shd w:val="clear" w:color="auto" w:fill="FFFFFF"/>
        </w:rPr>
        <w:t>3.负责领导和组织学校的教学工作，坚持以教学为中心，保证教学计划的贯彻执行。大力推进学校改革，加强科研工作的组织领导。</w:t>
      </w:r>
    </w:p>
    <w:p>
      <w:pPr>
        <w:widowControl/>
        <w:shd w:val="clear" w:color="auto" w:fill="FFFFFF"/>
        <w:ind w:firstLine="800" w:firstLineChars="250"/>
        <w:jc w:val="left"/>
        <w:rPr>
          <w:rFonts w:ascii="仿宋" w:hAnsi="仿宋" w:eastAsia="仿宋" w:cs="华文楷体"/>
          <w:sz w:val="32"/>
          <w:szCs w:val="32"/>
        </w:rPr>
      </w:pPr>
      <w:r>
        <w:rPr>
          <w:rFonts w:hint="eastAsia" w:ascii="仿宋" w:hAnsi="仿宋" w:eastAsia="仿宋" w:cs="华文楷体"/>
          <w:kern w:val="0"/>
          <w:sz w:val="32"/>
          <w:szCs w:val="32"/>
          <w:shd w:val="clear" w:color="auto" w:fill="FFFFFF"/>
        </w:rPr>
        <w:t>4.加强学校的科学化管理，制定和健全各项规章制度，规范办学行为，培养良好校风，逐步实现管理决策的科学化，管理方法的定量化和管理手段的现代化。</w:t>
      </w:r>
    </w:p>
    <w:p>
      <w:pPr>
        <w:widowControl/>
        <w:shd w:val="clear" w:color="auto" w:fill="FFFFFF"/>
        <w:ind w:firstLine="640" w:firstLineChars="200"/>
        <w:jc w:val="left"/>
        <w:rPr>
          <w:rFonts w:ascii="仿宋" w:hAnsi="仿宋" w:eastAsia="仿宋" w:cs="华文楷体"/>
          <w:sz w:val="32"/>
          <w:szCs w:val="32"/>
        </w:rPr>
      </w:pPr>
      <w:r>
        <w:rPr>
          <w:rFonts w:hint="eastAsia" w:ascii="仿宋" w:hAnsi="仿宋" w:eastAsia="仿宋" w:cs="华文楷体"/>
          <w:kern w:val="0"/>
          <w:sz w:val="32"/>
          <w:szCs w:val="32"/>
          <w:shd w:val="clear" w:color="auto" w:fill="FFFFFF"/>
        </w:rPr>
        <w:t>5.负责教师队伍建设工作，制定教师队伍建设计划，不断提高他们的政治素质、文化业务水平和科研水平。</w:t>
      </w:r>
    </w:p>
    <w:p>
      <w:pPr>
        <w:widowControl/>
        <w:shd w:val="clear" w:color="auto" w:fill="FFFFFF"/>
        <w:ind w:firstLine="640" w:firstLineChars="200"/>
        <w:jc w:val="left"/>
        <w:rPr>
          <w:rFonts w:ascii="仿宋" w:hAnsi="仿宋" w:eastAsia="仿宋" w:cs="华文楷体"/>
          <w:sz w:val="32"/>
          <w:szCs w:val="32"/>
        </w:rPr>
      </w:pPr>
      <w:r>
        <w:rPr>
          <w:rFonts w:hint="eastAsia" w:ascii="仿宋" w:hAnsi="仿宋" w:eastAsia="仿宋" w:cs="华文楷体"/>
          <w:kern w:val="0"/>
          <w:sz w:val="32"/>
          <w:szCs w:val="32"/>
          <w:shd w:val="clear" w:color="auto" w:fill="FFFFFF"/>
        </w:rPr>
        <w:t>6.领导和组织学校的思想政治工作，把德育放在首位。教育全体教职工做到教书育人、管理育人、服务育人、搞好学校、社会、家庭三结合教育。</w:t>
      </w:r>
    </w:p>
    <w:p>
      <w:pPr>
        <w:pStyle w:val="5"/>
        <w:spacing w:before="93"/>
        <w:ind w:firstLine="640" w:firstLineChars="200"/>
        <w:rPr>
          <w:rFonts w:ascii="仿宋" w:hAnsi="仿宋" w:eastAsia="仿宋"/>
          <w:sz w:val="32"/>
          <w:szCs w:val="32"/>
        </w:rPr>
      </w:pPr>
      <w:r>
        <w:rPr>
          <w:rFonts w:hint="eastAsia" w:ascii="仿宋" w:hAnsi="仿宋" w:eastAsia="仿宋" w:cs="华文楷体"/>
          <w:sz w:val="32"/>
          <w:szCs w:val="32"/>
          <w:shd w:val="clear" w:color="auto" w:fill="FFFFFF"/>
        </w:rPr>
        <w:t>7.组织制定和实施校舍建设和校园建设规划，加强对财务工作的领导，正确使用各项经费，不断改善办学条件，强化安全</w:t>
      </w:r>
      <w:r>
        <w:rPr>
          <w:rFonts w:hint="eastAsia" w:ascii="仿宋" w:hAnsi="仿宋" w:eastAsia="仿宋" w:cs="华文楷体"/>
          <w:sz w:val="32"/>
          <w:szCs w:val="32"/>
          <w:shd w:val="clear" w:color="auto" w:fill="FFFFFF"/>
          <w:lang w:eastAsia="zh-CN"/>
        </w:rPr>
        <w:t>管理工作</w:t>
      </w:r>
      <w:r>
        <w:rPr>
          <w:rFonts w:hint="eastAsia" w:ascii="仿宋" w:hAnsi="仿宋" w:eastAsia="仿宋" w:cs="华文楷体"/>
          <w:sz w:val="32"/>
          <w:szCs w:val="32"/>
          <w:shd w:val="clear" w:color="auto" w:fill="FFFFFF"/>
        </w:rPr>
        <w:t>及安全保卫工作，创造良好的育人环境</w:t>
      </w:r>
    </w:p>
    <w:p>
      <w:pPr>
        <w:pStyle w:val="3"/>
        <w:rPr>
          <w:rFonts w:ascii="黑体" w:hAnsi="黑体" w:eastAsia="黑体"/>
          <w:b w:val="0"/>
        </w:rPr>
      </w:pPr>
      <w:bookmarkStart w:id="15" w:name="_Toc145506442"/>
      <w:r>
        <w:rPr>
          <w:rFonts w:hint="eastAsia" w:ascii="黑体" w:hAnsi="黑体" w:eastAsia="黑体"/>
          <w:b w:val="0"/>
        </w:rPr>
        <w:t>二、机构设置</w:t>
      </w:r>
      <w:bookmarkEnd w:id="15"/>
    </w:p>
    <w:bookmarkEnd w:id="13"/>
    <w:bookmarkEnd w:id="14"/>
    <w:p>
      <w:pPr>
        <w:widowControl/>
        <w:ind w:firstLine="640" w:firstLineChars="200"/>
        <w:jc w:val="left"/>
        <w:rPr>
          <w:rFonts w:ascii="仿宋" w:hAnsi="仿宋" w:eastAsia="仿宋"/>
          <w:kern w:val="0"/>
          <w:sz w:val="32"/>
          <w:szCs w:val="32"/>
        </w:rPr>
      </w:pPr>
      <w:r>
        <w:rPr>
          <w:rFonts w:hint="eastAsia" w:ascii="仿宋" w:hAnsi="仿宋" w:eastAsia="仿宋" w:cs="华文楷体"/>
          <w:kern w:val="0"/>
          <w:sz w:val="32"/>
          <w:szCs w:val="32"/>
          <w:shd w:val="clear" w:color="auto" w:fill="FFFFFF"/>
        </w:rPr>
        <w:t>船山区</w:t>
      </w:r>
      <w:r>
        <w:rPr>
          <w:rFonts w:hint="eastAsia" w:ascii="仿宋" w:hAnsi="仿宋" w:eastAsia="仿宋" w:cs="华文楷体"/>
          <w:kern w:val="0"/>
          <w:sz w:val="32"/>
          <w:szCs w:val="32"/>
          <w:shd w:val="clear" w:color="auto" w:fill="FFFFFF"/>
          <w:lang w:eastAsia="zh-CN"/>
        </w:rPr>
        <w:t>龙凤</w:t>
      </w:r>
      <w:r>
        <w:rPr>
          <w:rFonts w:hint="eastAsia" w:ascii="仿宋" w:hAnsi="仿宋" w:eastAsia="仿宋" w:cs="华文楷体"/>
          <w:kern w:val="0"/>
          <w:sz w:val="32"/>
          <w:szCs w:val="32"/>
          <w:shd w:val="clear" w:color="auto" w:fill="FFFFFF"/>
        </w:rPr>
        <w:t>幼儿园</w:t>
      </w:r>
      <w:r>
        <w:rPr>
          <w:rFonts w:hint="eastAsia" w:ascii="仿宋" w:hAnsi="仿宋" w:eastAsia="仿宋"/>
          <w:sz w:val="32"/>
          <w:szCs w:val="32"/>
        </w:rPr>
        <w:t>是区教育体育局下属二级单位，本单位无下属单位</w:t>
      </w:r>
      <w:r>
        <w:rPr>
          <w:rFonts w:hint="eastAsia" w:ascii="仿宋" w:hAnsi="仿宋" w:eastAsia="仿宋"/>
          <w:sz w:val="32"/>
          <w:szCs w:val="32"/>
          <w:lang w:eastAsia="zh-CN"/>
        </w:rPr>
        <w:t>。</w:t>
      </w:r>
      <w:r>
        <w:rPr>
          <w:rFonts w:ascii="仿宋" w:hAnsi="仿宋" w:eastAsia="仿宋"/>
          <w:sz w:val="32"/>
          <w:szCs w:val="32"/>
        </w:rPr>
        <w:br w:type="page"/>
      </w:r>
    </w:p>
    <w:p>
      <w:pPr>
        <w:pStyle w:val="2"/>
        <w:ind w:right="440"/>
        <w:jc w:val="center"/>
        <w:rPr>
          <w:rStyle w:val="24"/>
          <w:rFonts w:ascii="黑体" w:hAnsi="黑体" w:eastAsia="黑体"/>
          <w:b w:val="0"/>
          <w:bCs/>
        </w:rPr>
      </w:pPr>
      <w:bookmarkStart w:id="16" w:name="_Toc15396602"/>
      <w:bookmarkStart w:id="17" w:name="_Toc15377204"/>
      <w:bookmarkStart w:id="18" w:name="_Toc145506443"/>
      <w:r>
        <w:rPr>
          <w:rFonts w:hint="eastAsia" w:ascii="黑体" w:hAnsi="黑体" w:eastAsia="黑体"/>
          <w:b w:val="0"/>
        </w:rPr>
        <w:t xml:space="preserve">第二部分 </w:t>
      </w:r>
      <w:r>
        <w:rPr>
          <w:rFonts w:hint="eastAsia" w:ascii="黑体" w:hAnsi="黑体" w:eastAsia="黑体"/>
          <w:b w:val="0"/>
          <w:lang w:eastAsia="zh-CN"/>
        </w:rPr>
        <w:t>2023</w:t>
      </w:r>
      <w:r>
        <w:rPr>
          <w:rFonts w:hint="eastAsia" w:ascii="黑体" w:hAnsi="黑体" w:eastAsia="黑体"/>
          <w:b w:val="0"/>
        </w:rPr>
        <w:t>年度</w:t>
      </w:r>
      <w:r>
        <w:rPr>
          <w:rStyle w:val="24"/>
          <w:rFonts w:hint="eastAsia" w:ascii="黑体" w:hAnsi="黑体" w:eastAsia="黑体"/>
          <w:b w:val="0"/>
          <w:bCs/>
        </w:rPr>
        <w:t>单位决算情况说明</w:t>
      </w:r>
      <w:bookmarkEnd w:id="16"/>
      <w:bookmarkEnd w:id="17"/>
      <w:bookmarkEnd w:id="18"/>
    </w:p>
    <w:p/>
    <w:p>
      <w:pPr>
        <w:pStyle w:val="23"/>
        <w:numPr>
          <w:ilvl w:val="0"/>
          <w:numId w:val="3"/>
        </w:numPr>
        <w:spacing w:line="600" w:lineRule="exact"/>
        <w:ind w:firstLineChars="0"/>
        <w:outlineLvl w:val="1"/>
        <w:rPr>
          <w:rStyle w:val="25"/>
          <w:rFonts w:ascii="黑体" w:hAnsi="黑体" w:eastAsia="黑体"/>
          <w:b w:val="0"/>
        </w:rPr>
      </w:pPr>
      <w:bookmarkStart w:id="19" w:name="_Toc15377205"/>
      <w:bookmarkStart w:id="20" w:name="_Toc15396603"/>
      <w:bookmarkStart w:id="21" w:name="_Toc145506444"/>
      <w:r>
        <w:rPr>
          <w:rFonts w:hint="eastAsia" w:ascii="黑体" w:hAnsi="黑体" w:eastAsia="黑体"/>
          <w:sz w:val="32"/>
          <w:szCs w:val="32"/>
        </w:rPr>
        <w:t>收</w:t>
      </w:r>
      <w:r>
        <w:rPr>
          <w:rStyle w:val="25"/>
          <w:rFonts w:hint="eastAsia" w:ascii="黑体" w:hAnsi="黑体" w:eastAsia="黑体"/>
          <w:b w:val="0"/>
        </w:rPr>
        <w:t>入支出决算总体情况说明</w:t>
      </w:r>
      <w:bookmarkEnd w:id="19"/>
      <w:bookmarkEnd w:id="20"/>
      <w:bookmarkEnd w:id="21"/>
    </w:p>
    <w:p>
      <w:pPr>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年度收、支总计288.22万元。与</w:t>
      </w:r>
      <w:r>
        <w:rPr>
          <w:rFonts w:hint="eastAsia" w:ascii="仿宋" w:hAnsi="仿宋" w:eastAsia="仿宋"/>
          <w:sz w:val="32"/>
          <w:szCs w:val="32"/>
          <w:lang w:eastAsia="zh-CN"/>
        </w:rPr>
        <w:t>2022</w:t>
      </w:r>
      <w:r>
        <w:rPr>
          <w:rFonts w:hint="eastAsia" w:ascii="仿宋" w:hAnsi="仿宋" w:eastAsia="仿宋"/>
          <w:sz w:val="32"/>
          <w:szCs w:val="32"/>
        </w:rPr>
        <w:t>年相比，收、支总计各</w:t>
      </w:r>
      <w:r>
        <w:rPr>
          <w:rFonts w:hint="eastAsia" w:ascii="仿宋" w:hAnsi="仿宋" w:eastAsia="仿宋"/>
          <w:sz w:val="32"/>
          <w:szCs w:val="32"/>
          <w:lang w:val="en-US" w:eastAsia="zh-CN"/>
        </w:rPr>
        <w:t>减少61.23</w:t>
      </w:r>
      <w:r>
        <w:rPr>
          <w:rFonts w:hint="eastAsia" w:ascii="仿宋" w:hAnsi="仿宋" w:eastAsia="仿宋"/>
          <w:sz w:val="32"/>
          <w:szCs w:val="32"/>
        </w:rPr>
        <w:t>万元，</w:t>
      </w:r>
      <w:r>
        <w:rPr>
          <w:rFonts w:hint="eastAsia" w:ascii="仿宋" w:hAnsi="仿宋" w:eastAsia="仿宋"/>
          <w:sz w:val="32"/>
          <w:szCs w:val="32"/>
          <w:lang w:val="en-US" w:eastAsia="zh-CN"/>
        </w:rPr>
        <w:t>下降17.52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人员减少</w:t>
      </w:r>
      <w:r>
        <w:rPr>
          <w:rFonts w:hint="eastAsia" w:ascii="仿宋" w:hAnsi="仿宋" w:eastAsia="仿宋"/>
          <w:sz w:val="32"/>
          <w:szCs w:val="32"/>
        </w:rPr>
        <w:t>，本年度无政府基金预算支出。</w:t>
      </w:r>
    </w:p>
    <w:p>
      <w:pPr>
        <w:pStyle w:val="5"/>
        <w:spacing w:before="93"/>
        <w:jc w:val="center"/>
      </w:pPr>
      <w:r>
        <w:drawing>
          <wp:inline distT="0" distB="0" distL="114300" distR="114300">
            <wp:extent cx="4820285" cy="2438400"/>
            <wp:effectExtent l="4445" t="5080" r="13970" b="13970"/>
            <wp:docPr id="47" name="图表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3"/>
        <w:numPr>
          <w:ilvl w:val="0"/>
          <w:numId w:val="3"/>
        </w:numPr>
        <w:spacing w:line="600" w:lineRule="exact"/>
        <w:ind w:firstLineChars="0"/>
        <w:outlineLvl w:val="1"/>
        <w:rPr>
          <w:rStyle w:val="25"/>
          <w:rFonts w:ascii="黑体" w:hAnsi="黑体" w:eastAsia="黑体"/>
          <w:b w:val="0"/>
        </w:rPr>
      </w:pPr>
      <w:bookmarkStart w:id="22" w:name="_Toc15396604"/>
      <w:bookmarkStart w:id="23" w:name="_Toc145506445"/>
      <w:bookmarkStart w:id="24" w:name="_Toc15377206"/>
      <w:r>
        <w:rPr>
          <w:rFonts w:hint="eastAsia" w:ascii="黑体" w:hAnsi="黑体" w:eastAsia="黑体"/>
          <w:sz w:val="32"/>
          <w:szCs w:val="32"/>
        </w:rPr>
        <w:t>收</w:t>
      </w:r>
      <w:r>
        <w:rPr>
          <w:rStyle w:val="25"/>
          <w:rFonts w:hint="eastAsia" w:ascii="黑体" w:hAnsi="黑体" w:eastAsia="黑体"/>
          <w:b w:val="0"/>
        </w:rPr>
        <w:t>入决算情况说明</w:t>
      </w:r>
      <w:bookmarkEnd w:id="22"/>
      <w:bookmarkEnd w:id="23"/>
      <w:bookmarkEnd w:id="24"/>
    </w:p>
    <w:p>
      <w:pPr>
        <w:spacing w:line="600" w:lineRule="exact"/>
        <w:ind w:firstLine="640" w:firstLineChars="200"/>
        <w:outlineLvl w:val="1"/>
        <w:rPr>
          <w:rFonts w:ascii="仿宋" w:hAnsi="仿宋" w:eastAsia="仿宋"/>
          <w:sz w:val="32"/>
          <w:szCs w:val="32"/>
        </w:rPr>
      </w:pPr>
      <w:bookmarkStart w:id="25" w:name="_Toc145506446"/>
      <w:r>
        <w:rPr>
          <w:rFonts w:hint="eastAsia" w:ascii="仿宋" w:hAnsi="仿宋" w:eastAsia="仿宋"/>
          <w:sz w:val="32"/>
          <w:szCs w:val="32"/>
          <w:lang w:eastAsia="zh-CN"/>
        </w:rPr>
        <w:t>2023</w:t>
      </w:r>
      <w:r>
        <w:rPr>
          <w:rFonts w:hint="eastAsia" w:ascii="仿宋" w:hAnsi="仿宋" w:eastAsia="仿宋"/>
          <w:sz w:val="32"/>
          <w:szCs w:val="32"/>
        </w:rPr>
        <w:t>年本年收入合计277.64万元，其中：一般公共预算财政拨款收入243.83万元，占</w:t>
      </w:r>
      <w:r>
        <w:rPr>
          <w:rFonts w:hint="eastAsia" w:ascii="仿宋" w:hAnsi="仿宋" w:eastAsia="仿宋"/>
          <w:sz w:val="32"/>
          <w:szCs w:val="32"/>
          <w:lang w:val="en-US" w:eastAsia="zh-CN"/>
        </w:rPr>
        <w:t>87.82</w:t>
      </w:r>
      <w:r>
        <w:rPr>
          <w:rFonts w:ascii="仿宋" w:hAnsi="仿宋" w:eastAsia="仿宋"/>
          <w:sz w:val="32"/>
          <w:szCs w:val="32"/>
        </w:rPr>
        <w:t>%</w:t>
      </w:r>
      <w:r>
        <w:rPr>
          <w:rFonts w:hint="eastAsia" w:ascii="仿宋" w:hAnsi="仿宋" w:eastAsia="仿宋"/>
          <w:sz w:val="32"/>
          <w:szCs w:val="32"/>
        </w:rPr>
        <w:t>；其他收入33.81万元, 占</w:t>
      </w:r>
      <w:r>
        <w:rPr>
          <w:rFonts w:hint="eastAsia" w:ascii="仿宋" w:hAnsi="仿宋" w:eastAsia="仿宋"/>
          <w:sz w:val="32"/>
          <w:szCs w:val="32"/>
          <w:lang w:val="en-US" w:eastAsia="zh-CN"/>
        </w:rPr>
        <w:t>12.18</w:t>
      </w:r>
      <w:r>
        <w:rPr>
          <w:rFonts w:hint="eastAsia" w:ascii="仿宋" w:hAnsi="仿宋" w:eastAsia="仿宋"/>
          <w:sz w:val="32"/>
          <w:szCs w:val="32"/>
        </w:rPr>
        <w:t>%。</w:t>
      </w:r>
      <w:bookmarkEnd w:id="25"/>
    </w:p>
    <w:p>
      <w:pPr>
        <w:spacing w:line="600" w:lineRule="exact"/>
        <w:outlineLvl w:val="1"/>
        <w:rPr>
          <w:rFonts w:ascii="仿宋" w:hAnsi="仿宋" w:eastAsia="仿宋"/>
          <w:sz w:val="32"/>
          <w:szCs w:val="32"/>
        </w:rPr>
      </w:pPr>
    </w:p>
    <w:p>
      <w:pPr>
        <w:pStyle w:val="5"/>
        <w:spacing w:before="93"/>
        <w:jc w:val="center"/>
      </w:pPr>
      <w:r>
        <w:drawing>
          <wp:inline distT="0" distB="0" distL="114300" distR="114300">
            <wp:extent cx="4248150" cy="2562225"/>
            <wp:effectExtent l="4445" t="4445" r="14605" b="508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（图2：收入决算结构图）（饼状图）</w:t>
      </w:r>
    </w:p>
    <w:p>
      <w:pPr>
        <w:pStyle w:val="23"/>
        <w:numPr>
          <w:ilvl w:val="0"/>
          <w:numId w:val="3"/>
        </w:numPr>
        <w:spacing w:line="600" w:lineRule="exact"/>
        <w:ind w:firstLineChars="0"/>
        <w:outlineLvl w:val="1"/>
        <w:rPr>
          <w:rStyle w:val="25"/>
          <w:rFonts w:ascii="黑体" w:hAnsi="黑体" w:eastAsia="黑体"/>
          <w:b w:val="0"/>
        </w:rPr>
      </w:pPr>
      <w:bookmarkStart w:id="26" w:name="_Toc145506447"/>
      <w:bookmarkStart w:id="27" w:name="_Toc15396605"/>
      <w:bookmarkStart w:id="28" w:name="_Toc15377207"/>
      <w:r>
        <w:rPr>
          <w:rFonts w:hint="eastAsia" w:ascii="黑体" w:hAnsi="黑体" w:eastAsia="黑体"/>
          <w:sz w:val="32"/>
          <w:szCs w:val="32"/>
        </w:rPr>
        <w:t>支</w:t>
      </w:r>
      <w:r>
        <w:rPr>
          <w:rStyle w:val="25"/>
          <w:rFonts w:hint="eastAsia" w:ascii="黑体" w:hAnsi="黑体" w:eastAsia="黑体"/>
          <w:b w:val="0"/>
        </w:rPr>
        <w:t>出决算情况说明</w:t>
      </w:r>
      <w:bookmarkEnd w:id="26"/>
      <w:bookmarkEnd w:id="27"/>
      <w:bookmarkEnd w:id="28"/>
    </w:p>
    <w:p>
      <w:pPr>
        <w:spacing w:line="600" w:lineRule="exact"/>
        <w:ind w:firstLine="640" w:firstLineChars="200"/>
        <w:outlineLvl w:val="1"/>
        <w:rPr>
          <w:rFonts w:ascii="仿宋" w:hAnsi="仿宋" w:eastAsia="仿宋"/>
          <w:sz w:val="32"/>
          <w:szCs w:val="32"/>
        </w:rPr>
      </w:pPr>
      <w:bookmarkStart w:id="29" w:name="_Toc145506448"/>
      <w:r>
        <w:rPr>
          <w:rFonts w:hint="eastAsia" w:ascii="仿宋" w:hAnsi="仿宋" w:eastAsia="仿宋"/>
          <w:sz w:val="32"/>
          <w:szCs w:val="32"/>
          <w:lang w:eastAsia="zh-CN"/>
        </w:rPr>
        <w:t>2023</w:t>
      </w:r>
      <w:r>
        <w:rPr>
          <w:rFonts w:hint="eastAsia" w:ascii="仿宋" w:hAnsi="仿宋" w:eastAsia="仿宋"/>
          <w:sz w:val="32"/>
          <w:szCs w:val="32"/>
        </w:rPr>
        <w:t>年本年支出合计</w:t>
      </w:r>
      <w:r>
        <w:rPr>
          <w:rFonts w:ascii="仿宋" w:hAnsi="仿宋" w:eastAsia="仿宋"/>
          <w:sz w:val="32"/>
          <w:szCs w:val="32"/>
        </w:rPr>
        <w:t>338.89</w:t>
      </w:r>
      <w:r>
        <w:rPr>
          <w:rFonts w:hint="eastAsia" w:ascii="仿宋" w:hAnsi="仿宋" w:eastAsia="仿宋"/>
          <w:sz w:val="32"/>
          <w:szCs w:val="32"/>
        </w:rPr>
        <w:t>万元，其中：基本支出167.2</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61.25</w:t>
      </w:r>
      <w:r>
        <w:rPr>
          <w:rFonts w:ascii="仿宋" w:hAnsi="仿宋" w:eastAsia="仿宋"/>
          <w:sz w:val="32"/>
          <w:szCs w:val="32"/>
        </w:rPr>
        <w:t>%</w:t>
      </w:r>
      <w:r>
        <w:rPr>
          <w:rFonts w:hint="eastAsia" w:ascii="仿宋" w:hAnsi="仿宋" w:eastAsia="仿宋"/>
          <w:sz w:val="32"/>
          <w:szCs w:val="32"/>
        </w:rPr>
        <w:t>；项目支出105.76万元，占</w:t>
      </w:r>
      <w:r>
        <w:rPr>
          <w:rFonts w:hint="eastAsia" w:ascii="仿宋" w:hAnsi="仿宋" w:eastAsia="仿宋"/>
          <w:sz w:val="32"/>
          <w:szCs w:val="32"/>
          <w:lang w:val="en-US" w:eastAsia="zh-CN"/>
        </w:rPr>
        <w:t>38.75</w:t>
      </w:r>
      <w:r>
        <w:rPr>
          <w:rFonts w:ascii="仿宋" w:hAnsi="仿宋" w:eastAsia="仿宋"/>
          <w:sz w:val="32"/>
          <w:szCs w:val="32"/>
        </w:rPr>
        <w:t>%</w:t>
      </w:r>
      <w:r>
        <w:rPr>
          <w:rFonts w:hint="eastAsia" w:ascii="仿宋" w:hAnsi="仿宋" w:eastAsia="仿宋"/>
          <w:sz w:val="32"/>
          <w:szCs w:val="32"/>
        </w:rPr>
        <w:t>。</w:t>
      </w:r>
      <w:bookmarkEnd w:id="29"/>
    </w:p>
    <w:p>
      <w:pPr>
        <w:pStyle w:val="5"/>
        <w:spacing w:before="93"/>
        <w:jc w:val="center"/>
      </w:pPr>
      <w:r>
        <w:drawing>
          <wp:inline distT="0" distB="0" distL="114300" distR="114300">
            <wp:extent cx="4248150" cy="2496820"/>
            <wp:effectExtent l="4445" t="4445" r="14605" b="13335"/>
            <wp:docPr id="54" name="图表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outlineLvl w:val="1"/>
        <w:rPr>
          <w:rStyle w:val="25"/>
          <w:rFonts w:ascii="黑体" w:hAnsi="黑体" w:eastAsia="黑体"/>
          <w:b w:val="0"/>
        </w:rPr>
      </w:pPr>
      <w:bookmarkStart w:id="30" w:name="_Toc145506449"/>
      <w:bookmarkStart w:id="31" w:name="_Toc15396606"/>
      <w:bookmarkStart w:id="32" w:name="_Toc15377208"/>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30"/>
      <w:bookmarkEnd w:id="31"/>
      <w:bookmarkEnd w:id="32"/>
    </w:p>
    <w:p>
      <w:pPr>
        <w:spacing w:line="600" w:lineRule="exact"/>
        <w:ind w:firstLine="64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年财政拨款收、支总计243.83万元。与</w:t>
      </w:r>
      <w:r>
        <w:rPr>
          <w:rFonts w:hint="eastAsia" w:ascii="仿宋" w:hAnsi="仿宋" w:eastAsia="仿宋"/>
          <w:sz w:val="32"/>
          <w:szCs w:val="32"/>
          <w:lang w:eastAsia="zh-CN"/>
        </w:rPr>
        <w:t>2022</w:t>
      </w:r>
      <w:r>
        <w:rPr>
          <w:rFonts w:hint="eastAsia" w:ascii="仿宋" w:hAnsi="仿宋" w:eastAsia="仿宋"/>
          <w:sz w:val="32"/>
          <w:szCs w:val="32"/>
        </w:rPr>
        <w:t>年相比，财政拨款收、支总计各</w:t>
      </w:r>
      <w:r>
        <w:rPr>
          <w:rFonts w:hint="eastAsia" w:ascii="仿宋" w:hAnsi="仿宋" w:eastAsia="仿宋"/>
          <w:sz w:val="32"/>
          <w:szCs w:val="32"/>
          <w:lang w:val="en-US" w:eastAsia="zh-CN"/>
        </w:rPr>
        <w:t>减少73.71</w:t>
      </w:r>
      <w:r>
        <w:rPr>
          <w:rFonts w:hint="eastAsia" w:ascii="仿宋" w:hAnsi="仿宋" w:eastAsia="仿宋"/>
          <w:sz w:val="32"/>
          <w:szCs w:val="32"/>
        </w:rPr>
        <w:t>万元，</w:t>
      </w:r>
      <w:r>
        <w:rPr>
          <w:rFonts w:hint="eastAsia" w:ascii="仿宋" w:hAnsi="仿宋" w:eastAsia="仿宋"/>
          <w:sz w:val="32"/>
          <w:szCs w:val="32"/>
          <w:lang w:val="en-US" w:eastAsia="zh-CN"/>
        </w:rPr>
        <w:t>下降23.12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人员减少</w:t>
      </w:r>
      <w:r>
        <w:rPr>
          <w:rFonts w:hint="eastAsia" w:ascii="仿宋" w:hAnsi="仿宋" w:eastAsia="仿宋"/>
          <w:sz w:val="32"/>
          <w:szCs w:val="32"/>
        </w:rPr>
        <w:t>，本年度无政府基金预算支出。</w:t>
      </w:r>
    </w:p>
    <w:p>
      <w:pPr>
        <w:pStyle w:val="5"/>
        <w:spacing w:before="93"/>
        <w:jc w:val="center"/>
      </w:pPr>
      <w:r>
        <w:drawing>
          <wp:inline distT="0" distB="0" distL="0" distR="0">
            <wp:extent cx="4572000" cy="2838450"/>
            <wp:effectExtent l="19050" t="0" r="19050" b="0"/>
            <wp:docPr id="16"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25"/>
          <w:rFonts w:ascii="黑体" w:hAnsi="黑体" w:eastAsia="黑体"/>
          <w:b w:val="0"/>
        </w:rPr>
      </w:pPr>
      <w:bookmarkStart w:id="33" w:name="_Toc15396607"/>
      <w:bookmarkStart w:id="34" w:name="_Toc145506450"/>
      <w:bookmarkStart w:id="35" w:name="_Toc15377209"/>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33"/>
      <w:bookmarkEnd w:id="34"/>
      <w:bookmarkEnd w:id="35"/>
    </w:p>
    <w:p>
      <w:pPr>
        <w:spacing w:line="600" w:lineRule="exact"/>
        <w:ind w:firstLine="643" w:firstLineChars="200"/>
        <w:outlineLvl w:val="2"/>
        <w:rPr>
          <w:rFonts w:ascii="仿宋" w:hAnsi="仿宋" w:eastAsia="仿宋"/>
          <w:b/>
          <w:sz w:val="32"/>
          <w:szCs w:val="32"/>
        </w:rPr>
      </w:pPr>
      <w:bookmarkStart w:id="36" w:name="_Toc145506451"/>
      <w:bookmarkStart w:id="37" w:name="_Toc15377210"/>
      <w:r>
        <w:rPr>
          <w:rFonts w:hint="eastAsia" w:ascii="仿宋" w:hAnsi="仿宋" w:eastAsia="仿宋"/>
          <w:b/>
          <w:sz w:val="32"/>
          <w:szCs w:val="32"/>
        </w:rPr>
        <w:t>（一）一般公共预算财政拨款支出决算总体情况</w:t>
      </w:r>
      <w:bookmarkEnd w:id="36"/>
      <w:bookmarkEnd w:id="37"/>
    </w:p>
    <w:p>
      <w:pPr>
        <w:spacing w:line="600" w:lineRule="exact"/>
        <w:ind w:firstLine="64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年一般公共预算财政拨款支出243.83万元，占本年支出合计的</w:t>
      </w:r>
      <w:r>
        <w:rPr>
          <w:rFonts w:hint="eastAsia" w:ascii="仿宋" w:hAnsi="仿宋" w:eastAsia="仿宋"/>
          <w:sz w:val="32"/>
          <w:szCs w:val="32"/>
          <w:lang w:val="en-US" w:eastAsia="zh-CN"/>
        </w:rPr>
        <w:t>89.33</w:t>
      </w:r>
      <w:r>
        <w:rPr>
          <w:rFonts w:ascii="仿宋" w:hAnsi="仿宋" w:eastAsia="仿宋"/>
          <w:sz w:val="32"/>
          <w:szCs w:val="32"/>
        </w:rPr>
        <w:t>%</w:t>
      </w:r>
      <w:r>
        <w:rPr>
          <w:rFonts w:hint="eastAsia" w:ascii="仿宋" w:hAnsi="仿宋" w:eastAsia="仿宋"/>
          <w:sz w:val="32"/>
          <w:szCs w:val="32"/>
        </w:rPr>
        <w:t>。与</w:t>
      </w:r>
      <w:r>
        <w:rPr>
          <w:rFonts w:hint="eastAsia" w:ascii="仿宋" w:hAnsi="仿宋" w:eastAsia="仿宋"/>
          <w:sz w:val="32"/>
          <w:szCs w:val="32"/>
          <w:lang w:eastAsia="zh-CN"/>
        </w:rPr>
        <w:t>2022</w:t>
      </w:r>
      <w:r>
        <w:rPr>
          <w:rFonts w:hint="eastAsia" w:ascii="仿宋" w:hAnsi="仿宋" w:eastAsia="仿宋"/>
          <w:sz w:val="32"/>
          <w:szCs w:val="32"/>
        </w:rPr>
        <w:t>年相比，一般公共预算财政拨款支出</w:t>
      </w:r>
      <w:r>
        <w:rPr>
          <w:rFonts w:hint="eastAsia" w:ascii="仿宋" w:hAnsi="仿宋" w:eastAsia="仿宋"/>
          <w:sz w:val="32"/>
          <w:szCs w:val="32"/>
          <w:lang w:val="en-US" w:eastAsia="zh-CN"/>
        </w:rPr>
        <w:t>增加12.29</w:t>
      </w:r>
      <w:r>
        <w:rPr>
          <w:rFonts w:hint="eastAsia" w:ascii="仿宋" w:hAnsi="仿宋" w:eastAsia="仿宋"/>
          <w:sz w:val="32"/>
          <w:szCs w:val="32"/>
        </w:rPr>
        <w:t>万元，</w:t>
      </w:r>
      <w:r>
        <w:rPr>
          <w:rFonts w:hint="eastAsia" w:ascii="仿宋" w:hAnsi="仿宋" w:eastAsia="仿宋"/>
          <w:sz w:val="32"/>
          <w:szCs w:val="32"/>
          <w:lang w:val="en-US" w:eastAsia="zh-CN"/>
        </w:rPr>
        <w:t>增长26.29</w:t>
      </w:r>
      <w:r>
        <w:rPr>
          <w:rFonts w:ascii="仿宋" w:hAnsi="仿宋" w:eastAsia="仿宋"/>
          <w:sz w:val="32"/>
          <w:szCs w:val="32"/>
        </w:rPr>
        <w:t>%</w:t>
      </w:r>
      <w:r>
        <w:rPr>
          <w:rFonts w:hint="eastAsia" w:ascii="仿宋" w:hAnsi="仿宋" w:eastAsia="仿宋"/>
          <w:sz w:val="32"/>
          <w:szCs w:val="32"/>
        </w:rPr>
        <w:t>。主要变动原因是本年度财政项目资金预算收入增加</w:t>
      </w:r>
      <w:r>
        <w:rPr>
          <w:rFonts w:hint="eastAsia" w:ascii="仿宋" w:hAnsi="仿宋" w:eastAsia="仿宋"/>
          <w:sz w:val="32"/>
          <w:szCs w:val="32"/>
          <w:lang w:eastAsia="zh-CN"/>
        </w:rPr>
        <w:t>。</w:t>
      </w:r>
      <w:r>
        <w:rPr>
          <w:rFonts w:hint="eastAsia" w:ascii="仿宋" w:hAnsi="仿宋" w:eastAsia="仿宋"/>
          <w:sz w:val="32"/>
          <w:szCs w:val="32"/>
        </w:rPr>
        <w:t>。</w:t>
      </w:r>
    </w:p>
    <w:p>
      <w:pPr>
        <w:pStyle w:val="5"/>
        <w:spacing w:before="93"/>
        <w:jc w:val="center"/>
      </w:pPr>
      <w:r>
        <w:drawing>
          <wp:inline distT="0" distB="0" distL="114300" distR="114300">
            <wp:extent cx="4705985" cy="2658110"/>
            <wp:effectExtent l="4445" t="5080" r="13970" b="22860"/>
            <wp:docPr id="56" name="图表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24"/>
        </w:rPr>
        <w:t>图5：一般公共预算财政拨款支出决算变动情况）（柱状图）</w:t>
      </w:r>
    </w:p>
    <w:p>
      <w:pPr>
        <w:spacing w:line="600" w:lineRule="exact"/>
        <w:ind w:firstLine="643" w:firstLineChars="200"/>
        <w:outlineLvl w:val="2"/>
        <w:rPr>
          <w:rFonts w:ascii="仿宋" w:hAnsi="仿宋" w:eastAsia="仿宋"/>
          <w:b/>
          <w:sz w:val="32"/>
          <w:szCs w:val="32"/>
        </w:rPr>
      </w:pPr>
      <w:bookmarkStart w:id="38" w:name="_Toc145506452"/>
      <w:bookmarkStart w:id="39" w:name="_Toc15377211"/>
      <w:r>
        <w:rPr>
          <w:rFonts w:hint="eastAsia" w:ascii="仿宋" w:hAnsi="仿宋" w:eastAsia="仿宋"/>
          <w:b/>
          <w:sz w:val="32"/>
          <w:szCs w:val="32"/>
        </w:rPr>
        <w:t>（二）一般公共预算财政拨款支出决算结构情况</w:t>
      </w:r>
      <w:bookmarkEnd w:id="38"/>
      <w:bookmarkEnd w:id="39"/>
    </w:p>
    <w:p>
      <w:pPr>
        <w:spacing w:line="600" w:lineRule="exact"/>
        <w:ind w:firstLine="640"/>
        <w:rPr>
          <w:rFonts w:ascii="仿宋" w:hAnsi="仿宋" w:eastAsia="仿宋"/>
          <w:b/>
          <w:sz w:val="32"/>
          <w:szCs w:val="32"/>
        </w:rPr>
      </w:pPr>
      <w:r>
        <w:rPr>
          <w:rFonts w:hint="eastAsia" w:ascii="仿宋" w:hAnsi="仿宋" w:eastAsia="仿宋"/>
          <w:sz w:val="32"/>
          <w:szCs w:val="32"/>
          <w:lang w:eastAsia="zh-CN"/>
        </w:rPr>
        <w:t>2023</w:t>
      </w:r>
      <w:r>
        <w:rPr>
          <w:rFonts w:hint="eastAsia" w:ascii="仿宋" w:hAnsi="仿宋" w:eastAsia="仿宋"/>
          <w:sz w:val="32"/>
          <w:szCs w:val="32"/>
        </w:rPr>
        <w:t>年一般公共预算财政拨款支出243.83万元，主要用于以下方面</w:t>
      </w:r>
      <w:r>
        <w:rPr>
          <w:rFonts w:ascii="仿宋" w:hAnsi="仿宋" w:eastAsia="仿宋"/>
          <w:sz w:val="32"/>
          <w:szCs w:val="32"/>
        </w:rPr>
        <w:t>:</w:t>
      </w:r>
      <w:r>
        <w:rPr>
          <w:rFonts w:hint="eastAsia" w:ascii="仿宋" w:hAnsi="仿宋" w:eastAsia="仿宋"/>
          <w:b/>
          <w:sz w:val="32"/>
          <w:szCs w:val="32"/>
        </w:rPr>
        <w:t>教育支出</w:t>
      </w:r>
      <w:r>
        <w:rPr>
          <w:rFonts w:hint="eastAsia" w:ascii="仿宋" w:hAnsi="仿宋" w:eastAsia="仿宋" w:cs="Times New Roman"/>
          <w:sz w:val="32"/>
          <w:szCs w:val="32"/>
        </w:rPr>
        <w:t>222.96万</w:t>
      </w:r>
      <w:r>
        <w:rPr>
          <w:rFonts w:hint="eastAsia" w:ascii="仿宋" w:hAnsi="仿宋" w:eastAsia="仿宋"/>
          <w:sz w:val="32"/>
          <w:szCs w:val="32"/>
        </w:rPr>
        <w:t>元，占91.</w:t>
      </w:r>
      <w:r>
        <w:rPr>
          <w:rFonts w:hint="eastAsia" w:ascii="仿宋" w:hAnsi="仿宋" w:eastAsia="仿宋"/>
          <w:sz w:val="32"/>
          <w:szCs w:val="32"/>
          <w:lang w:val="en-US" w:eastAsia="zh-CN"/>
        </w:rPr>
        <w:t>44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9.13万元，占3.</w:t>
      </w:r>
      <w:r>
        <w:rPr>
          <w:rFonts w:hint="eastAsia" w:ascii="仿宋" w:hAnsi="仿宋" w:eastAsia="仿宋"/>
          <w:sz w:val="32"/>
          <w:szCs w:val="32"/>
          <w:lang w:val="en-US" w:eastAsia="zh-CN"/>
        </w:rPr>
        <w:t>74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4.27万元，占1.</w:t>
      </w:r>
      <w:r>
        <w:rPr>
          <w:rFonts w:hint="eastAsia" w:ascii="仿宋" w:hAnsi="仿宋" w:eastAsia="仿宋"/>
          <w:sz w:val="32"/>
          <w:szCs w:val="32"/>
          <w:lang w:val="en-US" w:eastAsia="zh-CN"/>
        </w:rPr>
        <w:t>75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7.47万元，占3.0</w:t>
      </w:r>
      <w:r>
        <w:rPr>
          <w:rFonts w:hint="eastAsia" w:ascii="仿宋" w:hAnsi="仿宋" w:eastAsia="仿宋"/>
          <w:sz w:val="32"/>
          <w:szCs w:val="32"/>
          <w:lang w:val="en-US" w:eastAsia="zh-CN"/>
        </w:rPr>
        <w:t>6</w:t>
      </w:r>
      <w:r>
        <w:rPr>
          <w:rFonts w:ascii="仿宋" w:hAnsi="仿宋" w:eastAsia="仿宋"/>
          <w:sz w:val="32"/>
          <w:szCs w:val="32"/>
        </w:rPr>
        <w:t>%</w:t>
      </w:r>
      <w:r>
        <w:rPr>
          <w:rFonts w:hint="eastAsia" w:ascii="仿宋" w:hAnsi="仿宋" w:eastAsia="仿宋"/>
          <w:sz w:val="32"/>
          <w:szCs w:val="32"/>
        </w:rPr>
        <w:t>。</w:t>
      </w:r>
    </w:p>
    <w:p>
      <w:pPr>
        <w:pStyle w:val="5"/>
        <w:spacing w:before="93"/>
        <w:jc w:val="center"/>
      </w:pPr>
      <w:r>
        <w:drawing>
          <wp:inline distT="0" distB="0" distL="114300" distR="114300">
            <wp:extent cx="4848860" cy="2857500"/>
            <wp:effectExtent l="5080" t="4445" r="22860"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pPr>
      <w:r>
        <w:rPr>
          <w:rFonts w:hint="eastAsia" w:ascii="仿宋" w:hAnsi="仿宋" w:eastAsia="仿宋"/>
          <w:sz w:val="32"/>
          <w:szCs w:val="32"/>
        </w:rPr>
        <w:t>（图6：一般公共预算财政拨款支出决算结构）（饼状图）</w:t>
      </w:r>
    </w:p>
    <w:p>
      <w:pPr>
        <w:spacing w:line="600" w:lineRule="exact"/>
        <w:ind w:firstLine="643" w:firstLineChars="200"/>
        <w:outlineLvl w:val="2"/>
        <w:rPr>
          <w:rFonts w:ascii="仿宋" w:hAnsi="仿宋" w:eastAsia="仿宋"/>
          <w:b/>
          <w:sz w:val="32"/>
          <w:szCs w:val="32"/>
        </w:rPr>
      </w:pPr>
      <w:bookmarkStart w:id="40" w:name="_Toc15377212"/>
      <w:bookmarkStart w:id="41" w:name="_Toc145506453"/>
      <w:r>
        <w:rPr>
          <w:rFonts w:hint="eastAsia" w:ascii="仿宋" w:hAnsi="仿宋" w:eastAsia="仿宋"/>
          <w:b/>
          <w:sz w:val="32"/>
          <w:szCs w:val="32"/>
        </w:rPr>
        <w:t>（三）一般公共预算财政拨款支出决算具体情况</w:t>
      </w:r>
      <w:bookmarkEnd w:id="40"/>
      <w:bookmarkEnd w:id="41"/>
    </w:p>
    <w:p>
      <w:pPr>
        <w:spacing w:line="600" w:lineRule="exact"/>
        <w:ind w:firstLine="643" w:firstLineChars="200"/>
        <w:outlineLvl w:val="2"/>
        <w:rPr>
          <w:rFonts w:ascii="仿宋" w:hAnsi="仿宋" w:eastAsia="仿宋"/>
          <w:sz w:val="32"/>
          <w:szCs w:val="32"/>
        </w:rPr>
      </w:pPr>
      <w:bookmarkStart w:id="42" w:name="_Toc15378460"/>
      <w:bookmarkStart w:id="43" w:name="_Toc15377444"/>
      <w:bookmarkStart w:id="44" w:name="_Toc15377213"/>
      <w:bookmarkStart w:id="45" w:name="_Toc145506454"/>
      <w:r>
        <w:rPr>
          <w:rFonts w:hint="eastAsia" w:ascii="仿宋" w:hAnsi="仿宋" w:eastAsia="仿宋"/>
          <w:b/>
          <w:sz w:val="32"/>
          <w:szCs w:val="32"/>
          <w:lang w:eastAsia="zh-CN"/>
        </w:rPr>
        <w:t>2023</w:t>
      </w:r>
      <w:r>
        <w:rPr>
          <w:rFonts w:hint="eastAsia" w:ascii="仿宋" w:hAnsi="仿宋" w:eastAsia="仿宋"/>
          <w:b/>
          <w:sz w:val="32"/>
          <w:szCs w:val="32"/>
        </w:rPr>
        <w:t>年一般公共预算支出决算数为243.83</w:t>
      </w:r>
      <w:r>
        <w:rPr>
          <w:rFonts w:ascii="仿宋" w:hAnsi="仿宋" w:eastAsia="仿宋"/>
          <w:b/>
          <w:sz w:val="32"/>
          <w:szCs w:val="32"/>
        </w:rPr>
        <w:t>万元</w:t>
      </w:r>
      <w:r>
        <w:rPr>
          <w:rFonts w:hint="eastAsia" w:ascii="仿宋" w:hAnsi="仿宋" w:eastAsia="仿宋"/>
          <w:sz w:val="32"/>
          <w:szCs w:val="32"/>
        </w:rPr>
        <w:t>，</w:t>
      </w:r>
      <w:r>
        <w:rPr>
          <w:rStyle w:val="14"/>
          <w:rFonts w:hint="eastAsia" w:ascii="仿宋" w:hAnsi="仿宋" w:eastAsia="仿宋"/>
          <w:bCs/>
          <w:sz w:val="32"/>
          <w:szCs w:val="32"/>
        </w:rPr>
        <w:t>完成预算100</w:t>
      </w:r>
      <w:r>
        <w:rPr>
          <w:rStyle w:val="14"/>
          <w:rFonts w:ascii="仿宋" w:hAnsi="仿宋" w:eastAsia="仿宋"/>
          <w:bCs/>
          <w:sz w:val="32"/>
          <w:szCs w:val="32"/>
        </w:rPr>
        <w:t>%</w:t>
      </w:r>
      <w:r>
        <w:rPr>
          <w:rStyle w:val="14"/>
          <w:rFonts w:hint="eastAsia" w:ascii="仿宋" w:hAnsi="仿宋" w:eastAsia="仿宋"/>
          <w:bCs/>
          <w:sz w:val="32"/>
          <w:szCs w:val="32"/>
        </w:rPr>
        <w:t>。其中：</w:t>
      </w:r>
      <w:bookmarkEnd w:id="42"/>
      <w:bookmarkEnd w:id="43"/>
      <w:bookmarkEnd w:id="44"/>
      <w:bookmarkEnd w:id="45"/>
    </w:p>
    <w:p>
      <w:pPr>
        <w:numPr>
          <w:ilvl w:val="0"/>
          <w:numId w:val="0"/>
        </w:numPr>
        <w:spacing w:line="600" w:lineRule="exact"/>
        <w:ind w:firstLine="643" w:firstLineChars="200"/>
        <w:rPr>
          <w:rStyle w:val="14"/>
          <w:rFonts w:hint="eastAsia" w:ascii="仿宋" w:hAnsi="仿宋" w:eastAsia="仿宋"/>
          <w:b w:val="0"/>
          <w:bCs/>
          <w:sz w:val="32"/>
          <w:szCs w:val="32"/>
        </w:rPr>
      </w:pPr>
      <w:r>
        <w:rPr>
          <w:rStyle w:val="14"/>
          <w:rFonts w:hint="eastAsia" w:ascii="仿宋" w:hAnsi="仿宋" w:eastAsia="仿宋"/>
          <w:bCs/>
          <w:sz w:val="32"/>
          <w:szCs w:val="32"/>
          <w:lang w:val="en-US" w:eastAsia="zh-CN"/>
        </w:rPr>
        <w:t>1.</w:t>
      </w:r>
      <w:r>
        <w:rPr>
          <w:rStyle w:val="14"/>
          <w:rFonts w:hint="eastAsia" w:ascii="仿宋" w:hAnsi="仿宋" w:eastAsia="仿宋"/>
          <w:bCs/>
          <w:sz w:val="32"/>
          <w:szCs w:val="32"/>
        </w:rPr>
        <w:t>教育支出（类）普通教育（款）学前教育（项）</w:t>
      </w:r>
      <w:r>
        <w:rPr>
          <w:rStyle w:val="14"/>
          <w:rFonts w:ascii="仿宋" w:hAnsi="仿宋" w:eastAsia="仿宋"/>
          <w:bCs/>
          <w:sz w:val="32"/>
          <w:szCs w:val="32"/>
        </w:rPr>
        <w:t>:</w:t>
      </w:r>
      <w:r>
        <w:rPr>
          <w:rStyle w:val="14"/>
          <w:rFonts w:hint="eastAsia" w:ascii="仿宋" w:hAnsi="仿宋" w:eastAsia="仿宋"/>
          <w:b w:val="0"/>
          <w:bCs/>
          <w:sz w:val="32"/>
          <w:szCs w:val="32"/>
        </w:rPr>
        <w:t>支出决算为222.97万元，完成预算100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，决算数与预算数持平</w:t>
      </w:r>
      <w:r>
        <w:rPr>
          <w:rStyle w:val="14"/>
          <w:rFonts w:hint="eastAsia" w:ascii="仿宋" w:hAnsi="仿宋" w:eastAsia="仿宋"/>
          <w:b w:val="0"/>
          <w:bCs/>
          <w:sz w:val="32"/>
          <w:szCs w:val="32"/>
        </w:rPr>
        <w:t>。</w:t>
      </w:r>
    </w:p>
    <w:p>
      <w:pPr>
        <w:numPr>
          <w:ilvl w:val="0"/>
          <w:numId w:val="0"/>
        </w:num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rPr>
        <w:t>2</w:t>
      </w:r>
      <w:r>
        <w:rPr>
          <w:rStyle w:val="14"/>
          <w:rFonts w:ascii="仿宋" w:hAnsi="仿宋" w:eastAsia="仿宋"/>
          <w:bCs/>
          <w:sz w:val="32"/>
          <w:szCs w:val="32"/>
        </w:rPr>
        <w:t>.</w:t>
      </w:r>
      <w:r>
        <w:rPr>
          <w:rStyle w:val="14"/>
          <w:rFonts w:hint="eastAsia" w:ascii="仿宋" w:hAnsi="仿宋" w:eastAsia="仿宋"/>
          <w:bCs/>
          <w:sz w:val="32"/>
          <w:szCs w:val="32"/>
        </w:rPr>
        <w:t>社会保障和就业支出（类）行政事业单位养老支出（款）机关事业单位基本养老保险缴费支出（项）</w:t>
      </w:r>
      <w:r>
        <w:rPr>
          <w:rStyle w:val="14"/>
          <w:rFonts w:ascii="仿宋" w:hAnsi="仿宋" w:eastAsia="仿宋"/>
          <w:bCs/>
          <w:sz w:val="32"/>
          <w:szCs w:val="32"/>
        </w:rPr>
        <w:t>:</w:t>
      </w:r>
      <w:r>
        <w:rPr>
          <w:rStyle w:val="14"/>
          <w:rFonts w:hint="eastAsia" w:ascii="仿宋" w:hAnsi="仿宋" w:eastAsia="仿宋"/>
          <w:b w:val="0"/>
          <w:bCs/>
          <w:sz w:val="32"/>
          <w:szCs w:val="32"/>
        </w:rPr>
        <w:t>支出决算为8.72万元，完成预算100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，决算数与预算数持平</w:t>
      </w:r>
      <w:r>
        <w:rPr>
          <w:rStyle w:val="14"/>
          <w:rFonts w:hint="eastAsia" w:ascii="仿宋" w:hAnsi="仿宋" w:eastAsia="仿宋"/>
          <w:b w:val="0"/>
          <w:bCs/>
          <w:sz w:val="32"/>
          <w:szCs w:val="32"/>
        </w:rPr>
        <w:t>。</w:t>
      </w:r>
    </w:p>
    <w:p>
      <w:pPr>
        <w:spacing w:line="600" w:lineRule="exact"/>
        <w:ind w:firstLine="643" w:firstLineChars="200"/>
      </w:pPr>
      <w:r>
        <w:rPr>
          <w:rStyle w:val="14"/>
          <w:rFonts w:hint="eastAsia" w:ascii="仿宋" w:hAnsi="仿宋" w:eastAsia="仿宋"/>
          <w:bCs/>
          <w:sz w:val="32"/>
          <w:szCs w:val="32"/>
          <w:lang w:val="en-US" w:eastAsia="zh-CN"/>
        </w:rPr>
        <w:t>3</w:t>
      </w:r>
      <w:r>
        <w:rPr>
          <w:rStyle w:val="14"/>
          <w:rFonts w:ascii="仿宋" w:hAnsi="仿宋" w:eastAsia="仿宋"/>
          <w:bCs/>
          <w:sz w:val="32"/>
          <w:szCs w:val="32"/>
        </w:rPr>
        <w:t>.</w:t>
      </w:r>
      <w:r>
        <w:rPr>
          <w:rStyle w:val="14"/>
          <w:rFonts w:hint="eastAsia" w:ascii="仿宋" w:hAnsi="仿宋" w:eastAsia="仿宋"/>
          <w:bCs/>
          <w:sz w:val="32"/>
          <w:szCs w:val="32"/>
        </w:rPr>
        <w:t>社会保障和就业支出（类）其他社会保障和就业支出（款）其他社会保障和就业支出（项）</w:t>
      </w:r>
      <w:r>
        <w:rPr>
          <w:rStyle w:val="14"/>
          <w:rFonts w:ascii="仿宋" w:hAnsi="仿宋" w:eastAsia="仿宋"/>
          <w:bCs/>
          <w:sz w:val="32"/>
          <w:szCs w:val="32"/>
        </w:rPr>
        <w:t>:</w:t>
      </w:r>
      <w:r>
        <w:rPr>
          <w:rStyle w:val="14"/>
          <w:rFonts w:hint="eastAsia" w:ascii="仿宋" w:hAnsi="仿宋" w:eastAsia="仿宋"/>
          <w:b w:val="0"/>
          <w:bCs/>
          <w:sz w:val="32"/>
          <w:szCs w:val="32"/>
        </w:rPr>
        <w:t>支出决算为0.41万元，完成预算100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，决算数与预算数持平</w:t>
      </w:r>
      <w:r>
        <w:rPr>
          <w:rStyle w:val="14"/>
          <w:rFonts w:hint="eastAsia" w:ascii="仿宋" w:hAnsi="仿宋" w:eastAsia="仿宋"/>
          <w:b w:val="0"/>
          <w:bCs/>
          <w:sz w:val="32"/>
          <w:szCs w:val="32"/>
        </w:rPr>
        <w:t>。</w:t>
      </w:r>
    </w:p>
    <w:p>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lang w:val="en-US" w:eastAsia="zh-CN"/>
        </w:rPr>
        <w:t>4</w:t>
      </w:r>
      <w:r>
        <w:rPr>
          <w:rStyle w:val="14"/>
          <w:rFonts w:ascii="仿宋" w:hAnsi="仿宋" w:eastAsia="仿宋"/>
          <w:bCs/>
          <w:sz w:val="32"/>
          <w:szCs w:val="32"/>
        </w:rPr>
        <w:t>.</w:t>
      </w:r>
      <w:r>
        <w:rPr>
          <w:rFonts w:hint="eastAsia" w:ascii="仿宋" w:hAnsi="仿宋" w:eastAsia="仿宋"/>
          <w:b/>
          <w:bCs/>
          <w:sz w:val="32"/>
          <w:szCs w:val="32"/>
        </w:rPr>
        <w:t>卫生健康支出</w:t>
      </w:r>
      <w:r>
        <w:rPr>
          <w:rStyle w:val="14"/>
          <w:rFonts w:hint="eastAsia" w:ascii="仿宋" w:hAnsi="仿宋" w:eastAsia="仿宋"/>
          <w:bCs/>
          <w:sz w:val="32"/>
          <w:szCs w:val="32"/>
        </w:rPr>
        <w:t>（类）行政事业单位医疗（款）事业单位医疗（项）</w:t>
      </w:r>
      <w:r>
        <w:rPr>
          <w:rStyle w:val="14"/>
          <w:rFonts w:ascii="仿宋" w:hAnsi="仿宋" w:eastAsia="仿宋"/>
          <w:bCs/>
          <w:sz w:val="32"/>
          <w:szCs w:val="32"/>
        </w:rPr>
        <w:t>:</w:t>
      </w:r>
      <w:r>
        <w:rPr>
          <w:rStyle w:val="14"/>
          <w:rFonts w:hint="eastAsia" w:ascii="仿宋" w:hAnsi="仿宋" w:eastAsia="仿宋"/>
          <w:b w:val="0"/>
          <w:bCs/>
          <w:sz w:val="32"/>
          <w:szCs w:val="32"/>
        </w:rPr>
        <w:t>支出决算为3.35万元，完成预算100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，决算数与预算数持平</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5</w:t>
      </w:r>
      <w:r>
        <w:rPr>
          <w:rStyle w:val="14"/>
          <w:rFonts w:ascii="仿宋" w:hAnsi="仿宋" w:eastAsia="仿宋"/>
          <w:bCs/>
          <w:sz w:val="32"/>
          <w:szCs w:val="32"/>
        </w:rPr>
        <w:t>.</w:t>
      </w:r>
      <w:r>
        <w:rPr>
          <w:rFonts w:hint="eastAsia" w:ascii="仿宋" w:hAnsi="仿宋" w:eastAsia="仿宋"/>
          <w:b/>
          <w:bCs/>
          <w:sz w:val="32"/>
          <w:szCs w:val="32"/>
        </w:rPr>
        <w:t>卫生健康支出</w:t>
      </w:r>
      <w:r>
        <w:rPr>
          <w:rStyle w:val="14"/>
          <w:rFonts w:hint="eastAsia" w:ascii="仿宋" w:hAnsi="仿宋" w:eastAsia="仿宋"/>
          <w:bCs/>
          <w:sz w:val="32"/>
          <w:szCs w:val="32"/>
        </w:rPr>
        <w:t>（类）行政事业单位医疗（款）公务员医疗补助（项）</w:t>
      </w:r>
      <w:r>
        <w:rPr>
          <w:rStyle w:val="14"/>
          <w:rFonts w:ascii="仿宋" w:hAnsi="仿宋" w:eastAsia="仿宋"/>
          <w:bCs/>
          <w:sz w:val="32"/>
          <w:szCs w:val="32"/>
        </w:rPr>
        <w:t>:</w:t>
      </w:r>
      <w:r>
        <w:rPr>
          <w:rStyle w:val="14"/>
          <w:rFonts w:hint="eastAsia" w:ascii="仿宋" w:hAnsi="仿宋" w:eastAsia="仿宋"/>
          <w:b w:val="0"/>
          <w:bCs/>
          <w:sz w:val="32"/>
          <w:szCs w:val="32"/>
        </w:rPr>
        <w:t>支出决算为0.92万元，完成预算100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，决算数与预算数持平</w:t>
      </w:r>
      <w:r>
        <w:rPr>
          <w:rStyle w:val="14"/>
          <w:rFonts w:hint="eastAsia" w:ascii="仿宋" w:hAnsi="仿宋" w:eastAsia="仿宋"/>
          <w:b w:val="0"/>
          <w:bCs/>
          <w:sz w:val="32"/>
          <w:szCs w:val="32"/>
        </w:rPr>
        <w:t>。</w:t>
      </w:r>
    </w:p>
    <w:p>
      <w:pPr>
        <w:pStyle w:val="5"/>
        <w:spacing w:before="93"/>
        <w:ind w:firstLine="630" w:firstLineChars="196"/>
      </w:pPr>
      <w:r>
        <w:rPr>
          <w:rStyle w:val="14"/>
          <w:rFonts w:hint="eastAsia" w:ascii="仿宋" w:hAnsi="仿宋" w:eastAsia="仿宋"/>
          <w:bCs/>
          <w:sz w:val="32"/>
          <w:szCs w:val="32"/>
        </w:rPr>
        <w:t>6</w:t>
      </w:r>
      <w:r>
        <w:rPr>
          <w:rStyle w:val="14"/>
          <w:rFonts w:ascii="仿宋" w:hAnsi="仿宋" w:eastAsia="仿宋"/>
          <w:bCs/>
          <w:sz w:val="32"/>
          <w:szCs w:val="32"/>
        </w:rPr>
        <w:t>.</w:t>
      </w:r>
      <w:r>
        <w:rPr>
          <w:rFonts w:hint="eastAsia"/>
        </w:rPr>
        <w:t xml:space="preserve"> </w:t>
      </w:r>
      <w:r>
        <w:rPr>
          <w:rFonts w:hint="eastAsia" w:ascii="仿宋" w:hAnsi="仿宋" w:eastAsia="仿宋"/>
          <w:b/>
          <w:bCs/>
          <w:sz w:val="32"/>
          <w:szCs w:val="32"/>
        </w:rPr>
        <w:t>住房保障支出</w:t>
      </w:r>
      <w:r>
        <w:rPr>
          <w:rStyle w:val="14"/>
          <w:rFonts w:hint="eastAsia" w:ascii="仿宋" w:hAnsi="仿宋" w:eastAsia="仿宋"/>
          <w:bCs/>
          <w:sz w:val="32"/>
          <w:szCs w:val="32"/>
        </w:rPr>
        <w:t>（类）住房改革支出（款）住房公积金（项）</w:t>
      </w:r>
      <w:r>
        <w:rPr>
          <w:rStyle w:val="14"/>
          <w:rFonts w:ascii="仿宋" w:hAnsi="仿宋" w:eastAsia="仿宋"/>
          <w:bCs/>
          <w:sz w:val="32"/>
          <w:szCs w:val="32"/>
        </w:rPr>
        <w:t>:</w:t>
      </w:r>
      <w:r>
        <w:rPr>
          <w:rStyle w:val="14"/>
          <w:rFonts w:hint="eastAsia" w:ascii="仿宋" w:hAnsi="仿宋" w:eastAsia="仿宋"/>
          <w:b w:val="0"/>
          <w:bCs/>
          <w:sz w:val="32"/>
          <w:szCs w:val="32"/>
        </w:rPr>
        <w:t>支出决算为7.47万元，完成预算100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，决算数与预算数持平</w:t>
      </w:r>
      <w:r>
        <w:rPr>
          <w:rStyle w:val="14"/>
          <w:rFonts w:hint="eastAsia" w:ascii="仿宋" w:hAnsi="仿宋" w:eastAsia="仿宋"/>
          <w:b w:val="0"/>
          <w:bCs/>
          <w:sz w:val="32"/>
          <w:szCs w:val="32"/>
        </w:rPr>
        <w:t>。</w:t>
      </w:r>
    </w:p>
    <w:p>
      <w:pPr>
        <w:tabs>
          <w:tab w:val="right" w:pos="8306"/>
        </w:tabs>
        <w:spacing w:line="600" w:lineRule="exact"/>
        <w:ind w:firstLine="640"/>
        <w:outlineLvl w:val="1"/>
        <w:rPr>
          <w:rStyle w:val="25"/>
        </w:rPr>
      </w:pPr>
      <w:bookmarkStart w:id="46" w:name="_Toc15396608"/>
      <w:bookmarkStart w:id="47" w:name="_Toc15377214"/>
      <w:bookmarkStart w:id="48" w:name="_Toc145506455"/>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46"/>
      <w:bookmarkEnd w:id="47"/>
      <w:bookmarkEnd w:id="48"/>
      <w:r>
        <w:rPr>
          <w:rStyle w:val="25"/>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年一般公共预算财政拨款基本支出167.19万元，其中：</w:t>
      </w:r>
    </w:p>
    <w:p>
      <w:pPr>
        <w:spacing w:line="600" w:lineRule="exact"/>
        <w:ind w:firstLine="645"/>
        <w:rPr>
          <w:rFonts w:ascii="仿宋" w:hAnsi="仿宋" w:eastAsia="仿宋"/>
          <w:sz w:val="32"/>
          <w:szCs w:val="32"/>
        </w:rPr>
      </w:pPr>
      <w:r>
        <w:rPr>
          <w:rFonts w:hint="eastAsia" w:ascii="仿宋" w:hAnsi="仿宋" w:eastAsia="仿宋"/>
          <w:sz w:val="32"/>
          <w:szCs w:val="32"/>
        </w:rPr>
        <w:t xml:space="preserve">人员经费152.98万元，主要包括：基本工资、津贴补贴、绩效工资、机关事业单位基本养老保险缴费、职工基本医疗保险缴费、公务员医疗补助缴费、其他社会保障缴费、住房公积金、其他工资福利支出等。　　  </w:t>
      </w:r>
    </w:p>
    <w:p>
      <w:pPr>
        <w:spacing w:line="600" w:lineRule="exact"/>
        <w:ind w:firstLine="645"/>
        <w:rPr>
          <w:rFonts w:ascii="仿宋" w:hAnsi="仿宋" w:eastAsia="仿宋"/>
          <w:sz w:val="32"/>
          <w:szCs w:val="32"/>
        </w:rPr>
      </w:pPr>
      <w:r>
        <w:rPr>
          <w:rFonts w:hint="eastAsia" w:ascii="仿宋" w:hAnsi="仿宋" w:eastAsia="仿宋"/>
          <w:sz w:val="32"/>
          <w:szCs w:val="32"/>
        </w:rPr>
        <w:t>公用经费14.21万元，主要包括：办公费、水费、电费、邮电费</w:t>
      </w:r>
      <w:r>
        <w:rPr>
          <w:rFonts w:hint="eastAsia" w:ascii="仿宋" w:hAnsi="仿宋" w:eastAsia="仿宋"/>
          <w:sz w:val="32"/>
          <w:szCs w:val="32"/>
          <w:lang w:eastAsia="zh-CN"/>
        </w:rPr>
        <w:t>、</w:t>
      </w:r>
      <w:r>
        <w:rPr>
          <w:rFonts w:hint="eastAsia" w:ascii="仿宋" w:hAnsi="仿宋" w:eastAsia="仿宋"/>
          <w:sz w:val="32"/>
          <w:szCs w:val="32"/>
        </w:rPr>
        <w:t>物业管理费、差旅费、维修（护）费、培训费、专用材料费、劳务费、福利费、其他商品和服务支出等。</w:t>
      </w:r>
    </w:p>
    <w:p>
      <w:pPr>
        <w:pStyle w:val="5"/>
        <w:spacing w:before="93"/>
      </w:pPr>
    </w:p>
    <w:p>
      <w:pPr>
        <w:spacing w:line="600" w:lineRule="exact"/>
        <w:ind w:firstLine="640"/>
        <w:outlineLvl w:val="1"/>
        <w:rPr>
          <w:rStyle w:val="25"/>
          <w:rFonts w:ascii="黑体" w:hAnsi="黑体" w:eastAsia="黑体"/>
          <w:b w:val="0"/>
        </w:rPr>
      </w:pPr>
      <w:bookmarkStart w:id="49" w:name="_Toc15377215"/>
      <w:bookmarkStart w:id="50" w:name="_Toc145506456"/>
      <w:bookmarkStart w:id="51" w:name="_Toc15396609"/>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49"/>
      <w:bookmarkEnd w:id="50"/>
      <w:bookmarkEnd w:id="51"/>
    </w:p>
    <w:p>
      <w:pPr>
        <w:spacing w:line="600" w:lineRule="exact"/>
        <w:ind w:firstLine="640"/>
        <w:outlineLvl w:val="2"/>
        <w:rPr>
          <w:rFonts w:ascii="仿宋" w:hAnsi="仿宋" w:eastAsia="仿宋"/>
          <w:b/>
          <w:sz w:val="32"/>
          <w:szCs w:val="32"/>
        </w:rPr>
      </w:pPr>
      <w:bookmarkStart w:id="52" w:name="_Toc15377216"/>
      <w:bookmarkStart w:id="53" w:name="_Toc145506457"/>
      <w:r>
        <w:rPr>
          <w:rFonts w:hint="eastAsia" w:ascii="仿宋" w:hAnsi="仿宋" w:eastAsia="仿宋"/>
          <w:b/>
          <w:sz w:val="32"/>
          <w:szCs w:val="32"/>
        </w:rPr>
        <w:t>（一）“三公”经费财政拨款支出决算总体情况说明</w:t>
      </w:r>
      <w:bookmarkEnd w:id="52"/>
      <w:bookmarkEnd w:id="53"/>
    </w:p>
    <w:p>
      <w:pPr>
        <w:spacing w:line="600" w:lineRule="exact"/>
        <w:ind w:firstLine="64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年“三公”经费财政拨款支出决算为0万元，完成预算100</w:t>
      </w:r>
      <w:r>
        <w:rPr>
          <w:rFonts w:ascii="仿宋" w:hAnsi="仿宋" w:eastAsia="仿宋"/>
          <w:sz w:val="32"/>
          <w:szCs w:val="32"/>
        </w:rPr>
        <w:t>%</w:t>
      </w:r>
      <w:r>
        <w:rPr>
          <w:rFonts w:hint="eastAsia" w:ascii="仿宋" w:hAnsi="仿宋" w:eastAsia="仿宋"/>
          <w:sz w:val="32"/>
          <w:szCs w:val="32"/>
        </w:rPr>
        <w:t>。决算数与预算数持平。</w:t>
      </w:r>
    </w:p>
    <w:p>
      <w:pPr>
        <w:spacing w:line="600" w:lineRule="exact"/>
        <w:ind w:firstLine="640"/>
        <w:outlineLvl w:val="2"/>
        <w:rPr>
          <w:rFonts w:ascii="仿宋" w:hAnsi="仿宋" w:eastAsia="仿宋"/>
          <w:b/>
          <w:sz w:val="32"/>
          <w:szCs w:val="32"/>
        </w:rPr>
      </w:pPr>
      <w:bookmarkStart w:id="54" w:name="_Toc15377217"/>
      <w:bookmarkStart w:id="55" w:name="_Toc145506458"/>
      <w:r>
        <w:rPr>
          <w:rFonts w:hint="eastAsia" w:ascii="仿宋" w:hAnsi="仿宋" w:eastAsia="仿宋"/>
          <w:b/>
          <w:sz w:val="32"/>
          <w:szCs w:val="32"/>
        </w:rPr>
        <w:t>（二）“三公”经费财政拨款支出决算具体情况说明</w:t>
      </w:r>
      <w:bookmarkEnd w:id="54"/>
      <w:bookmarkEnd w:id="55"/>
    </w:p>
    <w:p>
      <w:pPr>
        <w:spacing w:line="600" w:lineRule="exact"/>
        <w:ind w:firstLine="64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4"/>
          <w:rFonts w:hint="eastAsia" w:ascii="仿宋" w:hAnsi="仿宋" w:eastAsia="仿宋"/>
          <w:b w:val="0"/>
          <w:bCs/>
          <w:sz w:val="32"/>
          <w:szCs w:val="32"/>
        </w:rPr>
        <w:t>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全年安排因公出国（境）团组0次，出国（境）0人。因公出国（境）支出决算与</w:t>
      </w:r>
      <w:r>
        <w:rPr>
          <w:rFonts w:hint="eastAsia" w:ascii="仿宋_GB2312" w:eastAsia="仿宋_GB2312"/>
          <w:sz w:val="32"/>
          <w:szCs w:val="32"/>
          <w:lang w:eastAsia="zh-CN"/>
        </w:rPr>
        <w:t>2022</w:t>
      </w:r>
      <w:r>
        <w:rPr>
          <w:rFonts w:hint="eastAsia" w:ascii="仿宋_GB2312" w:eastAsia="仿宋_GB2312"/>
          <w:sz w:val="32"/>
          <w:szCs w:val="32"/>
        </w:rPr>
        <w:t>年持平</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4"/>
          <w:rFonts w:hint="eastAsia" w:ascii="仿宋" w:hAnsi="仿宋" w:eastAsia="仿宋"/>
          <w:b w:val="0"/>
          <w:bCs/>
          <w:sz w:val="32"/>
          <w:szCs w:val="32"/>
        </w:rPr>
        <w:t>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公务用车购置及运行维护费支出决算与</w:t>
      </w:r>
      <w:r>
        <w:rPr>
          <w:rFonts w:hint="eastAsia" w:ascii="仿宋_GB2312" w:eastAsia="仿宋_GB2312"/>
          <w:sz w:val="32"/>
          <w:szCs w:val="32"/>
          <w:lang w:eastAsia="zh-CN"/>
        </w:rPr>
        <w:t>2022年</w:t>
      </w:r>
      <w:r>
        <w:rPr>
          <w:rFonts w:hint="eastAsia" w:ascii="仿宋_GB2312" w:eastAsia="仿宋_GB2312"/>
          <w:sz w:val="32"/>
          <w:szCs w:val="32"/>
        </w:rPr>
        <w:t>持平。</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0万元。全年按规定更新购置公务用车0辆，其中：轿车0辆、金额0万元，越野车0辆、金额0万元，载客汽车0辆、金额0万元。截至</w:t>
      </w:r>
      <w:r>
        <w:rPr>
          <w:rFonts w:hint="eastAsia" w:ascii="仿宋_GB2312" w:eastAsia="仿宋_GB2312"/>
          <w:sz w:val="32"/>
          <w:szCs w:val="32"/>
          <w:lang w:eastAsia="zh-CN"/>
        </w:rPr>
        <w:t>2023</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0万元，</w:t>
      </w:r>
      <w:r>
        <w:rPr>
          <w:rStyle w:val="14"/>
          <w:rFonts w:hint="eastAsia" w:ascii="仿宋" w:hAnsi="仿宋" w:eastAsia="仿宋"/>
          <w:b w:val="0"/>
          <w:bCs/>
          <w:sz w:val="32"/>
          <w:szCs w:val="32"/>
        </w:rPr>
        <w:t>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公务接待费支出决算与</w:t>
      </w:r>
      <w:r>
        <w:rPr>
          <w:rFonts w:hint="eastAsia" w:ascii="仿宋_GB2312" w:eastAsia="仿宋_GB2312"/>
          <w:sz w:val="32"/>
          <w:szCs w:val="32"/>
          <w:lang w:eastAsia="zh-CN"/>
        </w:rPr>
        <w:t>2022</w:t>
      </w:r>
      <w:r>
        <w:rPr>
          <w:rFonts w:hint="eastAsia" w:ascii="仿宋_GB2312" w:eastAsia="仿宋_GB2312"/>
          <w:sz w:val="32"/>
          <w:szCs w:val="32"/>
        </w:rPr>
        <w:t>年持平</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w:t>
      </w:r>
      <w:r>
        <w:rPr>
          <w:rFonts w:hint="eastAsia" w:ascii="仿宋_GB2312" w:eastAsia="仿宋_GB2312"/>
          <w:sz w:val="32"/>
          <w:szCs w:val="32"/>
        </w:rPr>
        <w:t>万元，。国内公务接待0批次，0人次（不包括陪同人员），共计支出0万元。</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万元。外事接待0批次，0人次（不包括陪同人员），共计支出0万元。</w:t>
      </w:r>
      <w:bookmarkStart w:id="56" w:name="_Toc15377218"/>
      <w:bookmarkStart w:id="57" w:name="_Toc15396610"/>
    </w:p>
    <w:p>
      <w:pPr>
        <w:spacing w:line="600" w:lineRule="exact"/>
        <w:ind w:firstLine="640"/>
        <w:outlineLvl w:val="1"/>
        <w:rPr>
          <w:rStyle w:val="25"/>
          <w:rFonts w:ascii="黑体" w:hAnsi="黑体" w:eastAsia="黑体"/>
        </w:rPr>
      </w:pPr>
      <w:bookmarkStart w:id="58" w:name="_Toc145506459"/>
      <w:r>
        <w:rPr>
          <w:rFonts w:hint="eastAsia" w:ascii="黑体" w:eastAsia="黑体"/>
          <w:sz w:val="32"/>
          <w:szCs w:val="32"/>
        </w:rPr>
        <w:t>八、</w:t>
      </w:r>
      <w:r>
        <w:rPr>
          <w:rStyle w:val="25"/>
          <w:rFonts w:hint="eastAsia" w:ascii="黑体" w:hAnsi="黑体" w:eastAsia="黑体"/>
          <w:b w:val="0"/>
        </w:rPr>
        <w:t>政府性基金预算支出决算情况说明</w:t>
      </w:r>
      <w:bookmarkEnd w:id="56"/>
      <w:bookmarkEnd w:id="57"/>
      <w:bookmarkEnd w:id="58"/>
    </w:p>
    <w:p>
      <w:pPr>
        <w:spacing w:line="600" w:lineRule="exact"/>
        <w:ind w:firstLine="640"/>
        <w:rPr>
          <w:rFonts w:ascii="仿宋_GB2312" w:eastAsia="仿宋_GB2312"/>
          <w:sz w:val="32"/>
          <w:szCs w:val="32"/>
        </w:rPr>
      </w:pPr>
      <w:r>
        <w:rPr>
          <w:rFonts w:hint="eastAsia" w:ascii="仿宋_GB2312" w:eastAsia="仿宋_GB2312"/>
          <w:sz w:val="32"/>
          <w:szCs w:val="32"/>
          <w:lang w:eastAsia="zh-CN"/>
        </w:rPr>
        <w:t>2023</w:t>
      </w:r>
      <w:r>
        <w:rPr>
          <w:rFonts w:hint="eastAsia" w:ascii="仿宋_GB2312" w:eastAsia="仿宋_GB2312"/>
          <w:sz w:val="32"/>
          <w:szCs w:val="32"/>
        </w:rPr>
        <w:t>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4"/>
        </w:numPr>
        <w:spacing w:line="600" w:lineRule="exact"/>
        <w:ind w:firstLine="640"/>
        <w:outlineLvl w:val="1"/>
        <w:rPr>
          <w:rStyle w:val="25"/>
          <w:rFonts w:ascii="黑体" w:hAnsi="黑体" w:eastAsia="黑体"/>
          <w:b w:val="0"/>
        </w:rPr>
      </w:pPr>
      <w:bookmarkStart w:id="59" w:name="_Toc145506460"/>
      <w:bookmarkStart w:id="60" w:name="_Toc15377219"/>
      <w:bookmarkStart w:id="61" w:name="_Toc15396611"/>
      <w:r>
        <w:rPr>
          <w:rStyle w:val="25"/>
          <w:rFonts w:hint="eastAsia" w:ascii="黑体" w:hAnsi="黑体" w:eastAsia="黑体"/>
          <w:b w:val="0"/>
        </w:rPr>
        <w:t>国有资本经营预算支出决算情况说明</w:t>
      </w:r>
      <w:bookmarkEnd w:id="59"/>
      <w:bookmarkEnd w:id="60"/>
      <w:bookmarkEnd w:id="61"/>
    </w:p>
    <w:p>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lang w:eastAsia="zh-CN"/>
        </w:rPr>
        <w:t>2023</w:t>
      </w:r>
      <w:r>
        <w:rPr>
          <w:rFonts w:hint="eastAsia" w:ascii="仿宋_GB2312" w:eastAsia="仿宋_GB2312"/>
          <w:sz w:val="32"/>
          <w:szCs w:val="32"/>
        </w:rPr>
        <w:t>年国有资本经营预算财政拨款支出0万元。</w:t>
      </w:r>
    </w:p>
    <w:p>
      <w:pPr>
        <w:numPr>
          <w:ilvl w:val="0"/>
          <w:numId w:val="4"/>
        </w:numPr>
        <w:spacing w:line="600" w:lineRule="exact"/>
        <w:ind w:firstLine="640"/>
        <w:outlineLvl w:val="1"/>
        <w:rPr>
          <w:rStyle w:val="25"/>
          <w:rFonts w:ascii="黑体" w:hAnsi="黑体" w:eastAsia="黑体"/>
          <w:b w:val="0"/>
        </w:rPr>
      </w:pPr>
      <w:bookmarkStart w:id="62" w:name="_Toc15377221"/>
      <w:bookmarkStart w:id="63" w:name="_Toc15396612"/>
      <w:bookmarkStart w:id="64" w:name="_Toc145506461"/>
      <w:r>
        <w:rPr>
          <w:rStyle w:val="25"/>
          <w:rFonts w:hint="eastAsia" w:ascii="黑体" w:hAnsi="黑体" w:eastAsia="黑体"/>
          <w:b w:val="0"/>
        </w:rPr>
        <w:t>其他重要事项的情况说明</w:t>
      </w:r>
      <w:bookmarkEnd w:id="62"/>
      <w:bookmarkEnd w:id="63"/>
      <w:bookmarkEnd w:id="64"/>
    </w:p>
    <w:p>
      <w:pPr>
        <w:spacing w:line="600" w:lineRule="exact"/>
        <w:ind w:firstLine="643" w:firstLineChars="200"/>
        <w:outlineLvl w:val="2"/>
        <w:rPr>
          <w:rFonts w:ascii="仿宋" w:hAnsi="仿宋" w:eastAsia="仿宋"/>
          <w:sz w:val="32"/>
          <w:szCs w:val="32"/>
        </w:rPr>
      </w:pPr>
      <w:bookmarkStart w:id="65" w:name="_Toc145506462"/>
      <w:bookmarkStart w:id="66" w:name="_Toc15377222"/>
      <w:r>
        <w:rPr>
          <w:rFonts w:hint="eastAsia" w:ascii="仿宋" w:hAnsi="仿宋" w:eastAsia="仿宋"/>
          <w:b/>
          <w:sz w:val="32"/>
          <w:szCs w:val="32"/>
        </w:rPr>
        <w:t>（一）机关运行经费支出情况</w:t>
      </w:r>
      <w:bookmarkEnd w:id="65"/>
      <w:bookmarkEnd w:id="66"/>
    </w:p>
    <w:p>
      <w:pPr>
        <w:rPr>
          <w:rFonts w:ascii="仿宋" w:hAnsi="仿宋" w:eastAsia="仿宋"/>
          <w:b/>
          <w:sz w:val="32"/>
          <w:szCs w:val="32"/>
        </w:rPr>
      </w:pPr>
      <w:r>
        <w:rPr>
          <w:rFonts w:hint="eastAsia" w:ascii="仿宋_GB2312" w:eastAsia="仿宋_GB2312"/>
          <w:sz w:val="32"/>
          <w:szCs w:val="32"/>
          <w:lang w:eastAsia="zh-CN"/>
        </w:rPr>
        <w:t>2023</w:t>
      </w:r>
      <w:r>
        <w:rPr>
          <w:rFonts w:hint="eastAsia" w:ascii="仿宋_GB2312" w:eastAsia="仿宋_GB2312"/>
          <w:sz w:val="32"/>
          <w:szCs w:val="32"/>
        </w:rPr>
        <w:t>年，机关运行经费支出</w:t>
      </w:r>
      <w:r>
        <w:rPr>
          <w:rFonts w:hint="eastAsia" w:ascii="仿宋_GB2312" w:eastAsia="仿宋_GB2312"/>
          <w:sz w:val="32"/>
          <w:szCs w:val="32"/>
          <w:lang w:val="en-US" w:eastAsia="zh-CN"/>
        </w:rPr>
        <w:t>0万元，</w:t>
      </w:r>
      <w:bookmarkStart w:id="67" w:name="OLE_LINK1"/>
      <w:bookmarkStart w:id="68" w:name="OLE_LINK3"/>
      <w:bookmarkStart w:id="69" w:name="OLE_LINK11"/>
      <w:bookmarkStart w:id="70" w:name="OLE_LINK14"/>
      <w:bookmarkStart w:id="71" w:name="OLE_LINK5"/>
      <w:bookmarkStart w:id="72" w:name="OLE_LINK10"/>
      <w:bookmarkStart w:id="73" w:name="OLE_LINK15"/>
      <w:bookmarkStart w:id="74" w:name="OLE_LINK18"/>
      <w:bookmarkStart w:id="75" w:name="OLE_LINK17"/>
      <w:bookmarkStart w:id="76" w:name="OLE_LINK7"/>
      <w:bookmarkStart w:id="77" w:name="OLE_LINK9"/>
      <w:bookmarkStart w:id="78" w:name="OLE_LINK4"/>
      <w:bookmarkStart w:id="79" w:name="OLE_LINK12"/>
      <w:bookmarkStart w:id="80" w:name="OLE_LINK13"/>
      <w:bookmarkStart w:id="81" w:name="OLE_LINK2"/>
      <w:bookmarkStart w:id="82" w:name="OLE_LINK16"/>
      <w:bookmarkStart w:id="83" w:name="OLE_LINK8"/>
      <w:bookmarkStart w:id="84" w:name="OLE_LINK6"/>
      <w:r>
        <w:rPr>
          <w:rFonts w:hint="eastAsia" w:ascii="仿宋_GB2312" w:eastAsia="仿宋_GB2312" w:cs="Times New Roman"/>
          <w:color w:val="auto"/>
          <w:sz w:val="32"/>
          <w:szCs w:val="32"/>
          <w:highlight w:val="none"/>
          <w:lang w:val="en-US" w:eastAsia="zh-CN"/>
        </w:rPr>
        <w:t>本单位是全额拨款事业单位，没有预算机关运行经费</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85" w:name="_Toc15377223"/>
      <w:bookmarkStart w:id="86" w:name="_Toc145506463"/>
      <w:r>
        <w:rPr>
          <w:rFonts w:hint="eastAsia" w:ascii="仿宋" w:hAnsi="仿宋" w:eastAsia="仿宋"/>
          <w:b/>
          <w:sz w:val="32"/>
          <w:szCs w:val="32"/>
        </w:rPr>
        <w:t>（二）政府采购支出情况</w:t>
      </w:r>
      <w:bookmarkEnd w:id="85"/>
      <w:bookmarkEnd w:id="86"/>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2023</w:t>
      </w:r>
      <w:r>
        <w:rPr>
          <w:rFonts w:hint="eastAsia" w:ascii="仿宋_GB2312" w:eastAsia="仿宋_GB2312"/>
          <w:sz w:val="32"/>
          <w:szCs w:val="32"/>
        </w:rPr>
        <w:t>年，政府采购支出总额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万元、政府采购工程支出0万元、政府采购服务支出0万元，主要用于购买办公设备。授予中小企业合同金额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87" w:name="_Toc145506464"/>
      <w:bookmarkStart w:id="88" w:name="_Toc15377224"/>
      <w:r>
        <w:rPr>
          <w:rFonts w:hint="eastAsia" w:ascii="仿宋" w:hAnsi="仿宋" w:eastAsia="仿宋"/>
          <w:b/>
          <w:sz w:val="32"/>
          <w:szCs w:val="32"/>
        </w:rPr>
        <w:t>（三）国有资产占有使用情况</w:t>
      </w:r>
      <w:bookmarkEnd w:id="87"/>
      <w:bookmarkEnd w:id="8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hint="eastAsia" w:ascii="仿宋_GB2312" w:eastAsia="仿宋_GB2312"/>
          <w:sz w:val="32"/>
          <w:szCs w:val="32"/>
          <w:lang w:eastAsia="zh-CN"/>
        </w:rPr>
        <w:t>2023</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日，共有车辆0辆，其中：主要领导干部用车0辆、机要通信用车0辆、应急保障用车0辆、其他用车0辆。单价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89" w:name="_Toc145506465"/>
      <w:r>
        <w:rPr>
          <w:rFonts w:hint="eastAsia" w:ascii="仿宋" w:hAnsi="仿宋" w:eastAsia="仿宋"/>
          <w:b/>
          <w:sz w:val="32"/>
          <w:szCs w:val="32"/>
        </w:rPr>
        <w:t>（四）预算绩效管理情况</w:t>
      </w:r>
      <w:bookmarkEnd w:id="89"/>
    </w:p>
    <w:p>
      <w:pPr>
        <w:autoSpaceDE w:val="0"/>
        <w:autoSpaceDN w:val="0"/>
        <w:adjustRightInd w:val="0"/>
        <w:spacing w:line="600" w:lineRule="exact"/>
        <w:ind w:firstLine="640" w:firstLineChars="200"/>
        <w:jc w:val="left"/>
        <w:rPr>
          <w:rFonts w:ascii="仿宋_GB2312" w:eastAsia="仿宋_GB2312"/>
          <w:sz w:val="32"/>
          <w:szCs w:val="32"/>
          <w:highlight w:val="yellow"/>
        </w:rPr>
      </w:pPr>
      <w:r>
        <w:rPr>
          <w:rFonts w:hint="eastAsia" w:ascii="仿宋_GB2312" w:eastAsia="仿宋_GB2312"/>
          <w:color w:val="000000" w:themeColor="text1"/>
          <w:sz w:val="32"/>
          <w:szCs w:val="32"/>
          <w:highlight w:val="none"/>
        </w:rPr>
        <w:t>根据预算绩效管理要求，本单位在2023年度预算编制阶段，没有需要做预算事前绩效评估项目，故未开展预算绩效评估，组织对人员类、运转类、特定目标等</w:t>
      </w:r>
      <w:r>
        <w:rPr>
          <w:rFonts w:hint="eastAsia" w:ascii="仿宋_GB2312" w:eastAsia="仿宋_GB2312"/>
          <w:color w:val="000000" w:themeColor="text1"/>
          <w:sz w:val="32"/>
          <w:szCs w:val="32"/>
          <w:highlight w:val="none"/>
          <w:lang w:val="en-US" w:eastAsia="zh-CN"/>
        </w:rPr>
        <w:t>23</w:t>
      </w:r>
      <w:r>
        <w:rPr>
          <w:rFonts w:hint="eastAsia" w:ascii="仿宋_GB2312" w:eastAsia="仿宋_GB2312"/>
          <w:color w:val="000000" w:themeColor="text1"/>
          <w:sz w:val="32"/>
          <w:szCs w:val="32"/>
          <w:highlight w:val="none"/>
        </w:rPr>
        <w:t>个项目编制了绩效目标，预算执行过程中，选取了</w:t>
      </w:r>
      <w:r>
        <w:rPr>
          <w:rFonts w:hint="eastAsia" w:ascii="仿宋_GB2312" w:eastAsia="仿宋_GB2312"/>
          <w:color w:val="000000" w:themeColor="text1"/>
          <w:sz w:val="32"/>
          <w:szCs w:val="32"/>
          <w:highlight w:val="none"/>
          <w:lang w:val="en-US" w:eastAsia="zh-CN"/>
        </w:rPr>
        <w:t>1</w:t>
      </w:r>
      <w:r>
        <w:rPr>
          <w:rFonts w:hint="eastAsia" w:ascii="仿宋_GB2312" w:eastAsia="仿宋_GB2312"/>
          <w:color w:val="000000" w:themeColor="text1"/>
          <w:sz w:val="32"/>
          <w:szCs w:val="32"/>
          <w:highlight w:val="none"/>
        </w:rPr>
        <w:t>个项目开展绩效监控，组织对学前教育保教费（收费）项目等</w:t>
      </w:r>
      <w:r>
        <w:rPr>
          <w:rFonts w:hint="eastAsia" w:ascii="仿宋_GB2312" w:eastAsia="仿宋_GB2312"/>
          <w:color w:val="000000" w:themeColor="text1"/>
          <w:sz w:val="32"/>
          <w:szCs w:val="32"/>
          <w:highlight w:val="none"/>
          <w:lang w:val="en-US" w:eastAsia="zh-CN"/>
        </w:rPr>
        <w:t>1</w:t>
      </w:r>
      <w:r>
        <w:rPr>
          <w:rFonts w:hint="eastAsia" w:ascii="仿宋_GB2312" w:eastAsia="仿宋_GB2312"/>
          <w:color w:val="000000" w:themeColor="text1"/>
          <w:sz w:val="32"/>
          <w:szCs w:val="32"/>
          <w:highlight w:val="none"/>
        </w:rPr>
        <w:t>个项目开展绩效自评，绩效自评表详见第四部分附件。</w:t>
      </w:r>
      <w:r>
        <w:rPr>
          <w:rFonts w:ascii="仿宋_GB2312" w:eastAsia="仿宋_GB2312"/>
          <w:color w:val="000000" w:themeColor="text1"/>
          <w:sz w:val="32"/>
          <w:szCs w:val="32"/>
          <w:highlight w:val="yellow"/>
        </w:rPr>
        <w:br w:type="page"/>
      </w:r>
    </w:p>
    <w:p>
      <w:pPr>
        <w:numPr>
          <w:ilvl w:val="0"/>
          <w:numId w:val="5"/>
        </w:numPr>
        <w:spacing w:line="600" w:lineRule="exact"/>
        <w:ind w:firstLine="660" w:firstLineChars="150"/>
        <w:jc w:val="center"/>
        <w:outlineLvl w:val="0"/>
        <w:rPr>
          <w:rStyle w:val="24"/>
          <w:rFonts w:ascii="黑体" w:hAnsi="黑体" w:eastAsia="黑体"/>
          <w:b w:val="0"/>
        </w:rPr>
      </w:pPr>
      <w:bookmarkStart w:id="90" w:name="_Toc15396613"/>
      <w:bookmarkStart w:id="91" w:name="_Toc145506466"/>
      <w:bookmarkStart w:id="92" w:name="_Toc15377225"/>
      <w:r>
        <w:rPr>
          <w:rFonts w:hint="eastAsia" w:ascii="黑体" w:hAnsi="黑体" w:eastAsia="黑体"/>
          <w:sz w:val="44"/>
          <w:szCs w:val="44"/>
        </w:rPr>
        <w:t>名</w:t>
      </w:r>
      <w:r>
        <w:rPr>
          <w:rStyle w:val="24"/>
          <w:rFonts w:hint="eastAsia" w:ascii="黑体" w:hAnsi="黑体" w:eastAsia="黑体"/>
          <w:b w:val="0"/>
        </w:rPr>
        <w:t>词解释</w:t>
      </w:r>
      <w:bookmarkEnd w:id="90"/>
      <w:bookmarkEnd w:id="91"/>
      <w:bookmarkEnd w:id="92"/>
    </w:p>
    <w:p>
      <w:pPr>
        <w:pStyle w:val="22"/>
        <w:spacing w:line="560" w:lineRule="exact"/>
        <w:ind w:firstLine="640" w:firstLineChars="200"/>
        <w:rPr>
          <w:rFonts w:ascii="仿宋_GB2312" w:eastAsia="仿宋_GB2312"/>
          <w:color w:val="auto"/>
          <w:sz w:val="32"/>
          <w:szCs w:val="32"/>
          <w:highlight w:val="none"/>
        </w:rPr>
      </w:pPr>
      <w:bookmarkStart w:id="93" w:name="_Toc15377226"/>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spacing w:line="576" w:lineRule="exact"/>
        <w:ind w:firstLine="640" w:firstLineChars="200"/>
        <w:rPr>
          <w:rFonts w:hint="eastAsia" w:eastAsia="仿宋_GB2312"/>
          <w:sz w:val="32"/>
        </w:rPr>
      </w:pPr>
      <w:r>
        <w:rPr>
          <w:rFonts w:hint="eastAsia" w:eastAsia="仿宋_GB2312"/>
          <w:sz w:val="32"/>
          <w:lang w:val="en-US" w:eastAsia="zh-CN"/>
        </w:rPr>
        <w:t>3</w:t>
      </w:r>
      <w:r>
        <w:rPr>
          <w:rFonts w:hint="eastAsia" w:eastAsia="仿宋_GB2312"/>
          <w:sz w:val="32"/>
        </w:rPr>
        <w:t>.教育（类）普通教育（款）学前教育（项）: 指学前教育。</w:t>
      </w:r>
    </w:p>
    <w:p>
      <w:pPr>
        <w:spacing w:line="576" w:lineRule="exact"/>
        <w:ind w:firstLine="640" w:firstLineChars="200"/>
        <w:rPr>
          <w:rFonts w:hint="eastAsia" w:eastAsia="仿宋_GB2312"/>
          <w:sz w:val="32"/>
        </w:rPr>
      </w:pPr>
      <w:r>
        <w:rPr>
          <w:rFonts w:hint="eastAsia" w:eastAsia="仿宋_GB2312"/>
          <w:sz w:val="32"/>
          <w:lang w:val="en-US" w:eastAsia="zh-CN"/>
        </w:rPr>
        <w:t>4</w:t>
      </w:r>
      <w:r>
        <w:rPr>
          <w:rFonts w:hint="eastAsia" w:eastAsia="仿宋_GB2312"/>
          <w:sz w:val="32"/>
        </w:rPr>
        <w:t>.教育（类）普通教育（款）其他普通教育（项）:指其他普通教育。</w:t>
      </w:r>
    </w:p>
    <w:p>
      <w:pPr>
        <w:spacing w:line="576" w:lineRule="exact"/>
        <w:ind w:firstLine="640" w:firstLineChars="200"/>
        <w:rPr>
          <w:rFonts w:hint="eastAsia" w:eastAsia="仿宋_GB2312"/>
          <w:sz w:val="32"/>
        </w:rPr>
      </w:pPr>
      <w:r>
        <w:rPr>
          <w:rFonts w:hint="eastAsia" w:eastAsia="仿宋_GB2312"/>
          <w:sz w:val="32"/>
          <w:lang w:val="en-US" w:eastAsia="zh-CN"/>
        </w:rPr>
        <w:t>5</w:t>
      </w:r>
      <w:r>
        <w:rPr>
          <w:rFonts w:hint="eastAsia" w:eastAsia="仿宋_GB2312"/>
          <w:sz w:val="32"/>
        </w:rPr>
        <w:t>.社会保障和就业（类）行政事业单位养老（款）机关事业单位基本养老保险缴费（项）:指机关事业单位基本养老保险缴费 。</w:t>
      </w:r>
    </w:p>
    <w:p>
      <w:pPr>
        <w:spacing w:line="576" w:lineRule="exact"/>
        <w:ind w:firstLine="640" w:firstLineChars="200"/>
        <w:rPr>
          <w:rFonts w:hint="eastAsia" w:eastAsia="仿宋_GB2312"/>
          <w:sz w:val="32"/>
          <w:lang w:val="en-US" w:eastAsia="zh-CN"/>
        </w:rPr>
      </w:pPr>
      <w:r>
        <w:rPr>
          <w:rFonts w:hint="eastAsia" w:eastAsia="仿宋_GB2312"/>
          <w:sz w:val="32"/>
          <w:lang w:val="en-US" w:eastAsia="zh-CN"/>
        </w:rPr>
        <w:t>6.</w:t>
      </w:r>
      <w:r>
        <w:rPr>
          <w:rFonts w:hint="eastAsia" w:eastAsia="仿宋_GB2312"/>
          <w:sz w:val="32"/>
        </w:rPr>
        <w:t>社会保障和就业支出（类）行政事业单位养老支出（款）    机关事业单位职业年金缴费支出（项）</w:t>
      </w:r>
      <w:r>
        <w:rPr>
          <w:rStyle w:val="14"/>
          <w:rFonts w:hint="eastAsia" w:ascii="仿宋" w:hAnsi="仿宋" w:eastAsia="仿宋"/>
          <w:bCs/>
          <w:color w:val="auto"/>
          <w:sz w:val="32"/>
          <w:szCs w:val="32"/>
          <w:highlight w:val="none"/>
          <w:lang w:eastAsia="zh-CN"/>
        </w:rPr>
        <w:t>：</w:t>
      </w:r>
      <w:r>
        <w:rPr>
          <w:rFonts w:hint="eastAsia" w:eastAsia="仿宋_GB2312"/>
          <w:sz w:val="32"/>
          <w:lang w:val="en-US" w:eastAsia="zh-CN"/>
        </w:rPr>
        <w:t>指</w:t>
      </w:r>
      <w:r>
        <w:rPr>
          <w:rFonts w:hint="eastAsia" w:eastAsia="仿宋_GB2312"/>
          <w:sz w:val="32"/>
        </w:rPr>
        <w:t>机关事业单位实施养老保险制度由单位实际缴纳的职业年金支出</w:t>
      </w:r>
      <w:r>
        <w:rPr>
          <w:rFonts w:hint="eastAsia" w:eastAsia="仿宋_GB2312"/>
          <w:sz w:val="32"/>
          <w:lang w:eastAsia="zh-CN"/>
        </w:rPr>
        <w:t>。</w:t>
      </w:r>
    </w:p>
    <w:p>
      <w:pPr>
        <w:spacing w:line="576" w:lineRule="exact"/>
        <w:ind w:firstLine="640" w:firstLineChars="200"/>
        <w:rPr>
          <w:rFonts w:hint="eastAsia" w:eastAsia="仿宋_GB2312"/>
          <w:sz w:val="32"/>
        </w:rPr>
      </w:pPr>
      <w:r>
        <w:rPr>
          <w:rFonts w:hint="eastAsia" w:eastAsia="仿宋_GB2312"/>
          <w:sz w:val="32"/>
          <w:lang w:val="en-US" w:eastAsia="zh-CN"/>
        </w:rPr>
        <w:t>7</w:t>
      </w:r>
      <w:r>
        <w:rPr>
          <w:rFonts w:hint="eastAsia" w:eastAsia="仿宋_GB2312"/>
          <w:sz w:val="32"/>
        </w:rPr>
        <w:t>.社会保障和就业（类）其他社会保障和就业（款）其他社会保障和就业（项）:指其他社会保障和就业。</w:t>
      </w:r>
    </w:p>
    <w:p>
      <w:pPr>
        <w:spacing w:line="576" w:lineRule="exact"/>
        <w:ind w:firstLine="640" w:firstLineChars="200"/>
        <w:rPr>
          <w:rFonts w:hint="eastAsia" w:eastAsia="仿宋_GB2312"/>
          <w:sz w:val="32"/>
        </w:rPr>
      </w:pPr>
      <w:r>
        <w:rPr>
          <w:rFonts w:hint="eastAsia" w:eastAsia="仿宋_GB2312"/>
          <w:sz w:val="32"/>
          <w:lang w:val="en-US" w:eastAsia="zh-CN"/>
        </w:rPr>
        <w:t>8</w:t>
      </w:r>
      <w:r>
        <w:rPr>
          <w:rFonts w:hint="eastAsia" w:eastAsia="仿宋_GB2312"/>
          <w:sz w:val="32"/>
        </w:rPr>
        <w:t>.卫生健康（类）行政事业单位医疗（款）事业单位医疗（项）:指事业单位医疗。</w:t>
      </w:r>
    </w:p>
    <w:p>
      <w:pPr>
        <w:spacing w:line="576" w:lineRule="exact"/>
        <w:ind w:firstLine="640" w:firstLineChars="200"/>
        <w:rPr>
          <w:rFonts w:hint="eastAsia" w:eastAsia="仿宋_GB2312"/>
          <w:sz w:val="32"/>
        </w:rPr>
      </w:pPr>
      <w:r>
        <w:rPr>
          <w:rFonts w:hint="eastAsia" w:eastAsia="仿宋_GB2312"/>
          <w:sz w:val="32"/>
          <w:lang w:val="en-US" w:eastAsia="zh-CN"/>
        </w:rPr>
        <w:t>9</w:t>
      </w:r>
      <w:r>
        <w:rPr>
          <w:rFonts w:hint="eastAsia" w:eastAsia="仿宋_GB2312"/>
          <w:sz w:val="32"/>
        </w:rPr>
        <w:t>.卫生健康（类）行政事业单位医疗（款）公务员医疗补助（项）：指公务员医疗补助。</w:t>
      </w:r>
    </w:p>
    <w:p>
      <w:pPr>
        <w:spacing w:line="576" w:lineRule="exact"/>
        <w:ind w:firstLine="640" w:firstLineChars="200"/>
        <w:rPr>
          <w:rFonts w:hint="eastAsia" w:eastAsia="仿宋_GB2312"/>
          <w:sz w:val="32"/>
        </w:rPr>
      </w:pPr>
      <w:r>
        <w:rPr>
          <w:rFonts w:hint="eastAsia" w:eastAsia="仿宋_GB2312"/>
          <w:sz w:val="32"/>
          <w:lang w:val="en-US" w:eastAsia="zh-CN"/>
        </w:rPr>
        <w:t>10</w:t>
      </w:r>
      <w:r>
        <w:rPr>
          <w:rFonts w:hint="eastAsia" w:eastAsia="仿宋_GB2312"/>
          <w:sz w:val="32"/>
        </w:rPr>
        <w:t>.卫生健康（类）行政事业单位医疗（款）其他行政事业单位医疗（项）：指其他行政事业单位医疗。</w:t>
      </w:r>
    </w:p>
    <w:p>
      <w:pPr>
        <w:spacing w:line="576" w:lineRule="exact"/>
        <w:ind w:firstLine="640" w:firstLineChars="200"/>
        <w:rPr>
          <w:rFonts w:hint="eastAsia" w:eastAsia="仿宋_GB2312"/>
          <w:sz w:val="32"/>
        </w:rPr>
      </w:pPr>
      <w:r>
        <w:rPr>
          <w:rFonts w:hint="eastAsia" w:eastAsia="仿宋_GB2312"/>
          <w:sz w:val="32"/>
        </w:rPr>
        <w:t>1</w:t>
      </w:r>
      <w:r>
        <w:rPr>
          <w:rFonts w:hint="eastAsia" w:eastAsia="仿宋_GB2312"/>
          <w:sz w:val="32"/>
          <w:lang w:val="en-US" w:eastAsia="zh-CN"/>
        </w:rPr>
        <w:t>1</w:t>
      </w:r>
      <w:r>
        <w:rPr>
          <w:rFonts w:hint="eastAsia" w:eastAsia="仿宋_GB2312"/>
          <w:sz w:val="32"/>
        </w:rPr>
        <w:t>.住房保障（类）住房改革（款）住房公积金（项）：指住房公积金。</w:t>
      </w:r>
    </w:p>
    <w:p>
      <w:pPr>
        <w:spacing w:line="576" w:lineRule="exact"/>
        <w:ind w:firstLine="640" w:firstLineChars="200"/>
        <w:rPr>
          <w:rFonts w:hint="eastAsia" w:eastAsia="仿宋_GB2312"/>
          <w:sz w:val="32"/>
        </w:rPr>
      </w:pPr>
      <w:r>
        <w:rPr>
          <w:rFonts w:hint="eastAsia" w:eastAsia="仿宋_GB2312"/>
          <w:sz w:val="32"/>
        </w:rPr>
        <w:t>1</w:t>
      </w:r>
      <w:r>
        <w:rPr>
          <w:rFonts w:hint="eastAsia" w:eastAsia="仿宋_GB2312"/>
          <w:sz w:val="32"/>
          <w:lang w:val="en-US" w:eastAsia="zh-CN"/>
        </w:rPr>
        <w:t>2</w:t>
      </w:r>
      <w:r>
        <w:rPr>
          <w:rFonts w:hint="eastAsia" w:eastAsia="仿宋_GB2312"/>
          <w:sz w:val="32"/>
        </w:rPr>
        <w:t>.基本支出：指为保障机构正常运转、完成日常工作任务而发生的人员支出和公用支出。</w:t>
      </w:r>
    </w:p>
    <w:p>
      <w:pPr>
        <w:spacing w:line="576" w:lineRule="exact"/>
        <w:ind w:firstLine="640" w:firstLineChars="200"/>
        <w:rPr>
          <w:rFonts w:ascii="仿宋_GB2312" w:eastAsia="仿宋_GB2312"/>
          <w:color w:val="auto"/>
          <w:sz w:val="32"/>
          <w:szCs w:val="32"/>
          <w:highlight w:val="none"/>
        </w:rPr>
      </w:pPr>
      <w:r>
        <w:rPr>
          <w:rFonts w:hint="eastAsia" w:eastAsia="仿宋_GB2312"/>
          <w:sz w:val="32"/>
        </w:rPr>
        <w:t>1</w:t>
      </w:r>
      <w:r>
        <w:rPr>
          <w:rFonts w:hint="eastAsia" w:eastAsia="仿宋_GB2312"/>
          <w:sz w:val="32"/>
          <w:lang w:val="en-US" w:eastAsia="zh-CN"/>
        </w:rPr>
        <w:t>3</w:t>
      </w:r>
      <w:r>
        <w:rPr>
          <w:rFonts w:hint="eastAsia" w:eastAsia="仿宋_GB2312"/>
          <w:sz w:val="32"/>
        </w:rPr>
        <w:t>.项目支出：指在基本支出之外为完成特定行政任务和事业发展目标所发生的支出。</w:t>
      </w:r>
    </w:p>
    <w:p>
      <w:pPr>
        <w:spacing w:line="600" w:lineRule="exact"/>
        <w:ind w:firstLine="640"/>
        <w:jc w:val="center"/>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w:t>
      </w:r>
    </w:p>
    <w:p>
      <w:pPr>
        <w:spacing w:line="600" w:lineRule="exact"/>
        <w:jc w:val="both"/>
        <w:outlineLvl w:val="9"/>
        <w:rPr>
          <w:rFonts w:ascii="宋体"/>
          <w:b/>
          <w:color w:val="auto"/>
          <w:sz w:val="44"/>
          <w:szCs w:val="44"/>
          <w:highlight w:val="none"/>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r>
        <w:rPr>
          <w:rFonts w:hint="eastAsia" w:ascii="仿宋_GB2312" w:eastAsia="仿宋_GB2312"/>
          <w:color w:val="auto"/>
          <w:sz w:val="32"/>
          <w:szCs w:val="32"/>
          <w:highlight w:val="none"/>
        </w:rPr>
        <w:t>待（含外宾接待）支出。</w:t>
      </w:r>
    </w:p>
    <w:p>
      <w:pPr>
        <w:spacing w:line="600" w:lineRule="exact"/>
        <w:jc w:val="center"/>
        <w:outlineLvl w:val="0"/>
        <w:rPr>
          <w:rStyle w:val="24"/>
          <w:rFonts w:ascii="黑体" w:hAnsi="黑体" w:eastAsia="黑体"/>
          <w:b w:val="0"/>
        </w:rPr>
      </w:pPr>
      <w:bookmarkStart w:id="94" w:name="_Toc15396614"/>
      <w:bookmarkStart w:id="95" w:name="_Toc145506467"/>
      <w:r>
        <w:rPr>
          <w:rFonts w:hint="eastAsia" w:ascii="黑体" w:hAnsi="黑体" w:eastAsia="黑体"/>
          <w:sz w:val="44"/>
          <w:szCs w:val="44"/>
        </w:rPr>
        <w:t>第</w:t>
      </w:r>
      <w:r>
        <w:rPr>
          <w:rStyle w:val="24"/>
          <w:rFonts w:hint="eastAsia" w:ascii="黑体" w:hAnsi="黑体" w:eastAsia="黑体"/>
          <w:b w:val="0"/>
        </w:rPr>
        <w:t>四部分 附件</w:t>
      </w:r>
      <w:bookmarkEnd w:id="94"/>
      <w:bookmarkEnd w:id="95"/>
    </w:p>
    <w:p>
      <w:pPr>
        <w:spacing w:line="572" w:lineRule="exact"/>
        <w:jc w:val="left"/>
        <w:outlineLvl w:val="0"/>
        <w:rPr>
          <w:rFonts w:ascii="仿宋_GB2312" w:hAnsi="仿宋_GB2312" w:eastAsia="仿宋_GB2312" w:cs="仿宋_GB2312"/>
          <w:sz w:val="32"/>
          <w:szCs w:val="32"/>
        </w:r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00"/>
        <w:gridCol w:w="1021"/>
        <w:gridCol w:w="1333"/>
        <w:gridCol w:w="397"/>
        <w:gridCol w:w="957"/>
        <w:gridCol w:w="399"/>
        <w:gridCol w:w="761"/>
        <w:gridCol w:w="486"/>
        <w:gridCol w:w="397"/>
        <w:gridCol w:w="15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96" w:name="_Toc15396618"/>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1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51090322T000000352871-学前教育保教费（收费）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四川省遂宁市船山区教育体育局部门</w:t>
            </w:r>
          </w:p>
        </w:tc>
        <w:tc>
          <w:tcPr>
            <w:tcW w:w="41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四川省遂宁市船山区龙凤幼儿园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2023年收入的保教费290000元，将全部用于学校的办公费及聘用人员工资保险等等日常经费预算。</w:t>
            </w:r>
          </w:p>
        </w:tc>
        <w:tc>
          <w:tcPr>
            <w:tcW w:w="17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1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校成立了学前保教经费领导小组，并拟定相关资金管理办法，做到学前保教经费资金使用“专款专用”的原则。严格按照财务管理制度进行管理、使用学前教育保教经费。与此同时，我校按照相关文件要求，实行拟定学前教育保教经费资金使用计划专人负责，分管领导签字等制度。项目实施后，校园环境极大改善，有益于师生的身心健康，基本解决入园难入园贵的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29.84</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28.35</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28.08</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99.05%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8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29.84</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28.35</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28.08</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99.05%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保教费人数约</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资金使用率</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完成年度</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提高幼儿综合能力</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经营管理机制</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家长满意度</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97</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为了</w:t>
            </w:r>
            <w:r>
              <w:rPr>
                <w:rFonts w:hint="eastAsia" w:ascii="宋体" w:hAnsi="宋体" w:cs="宋体"/>
                <w:i w:val="0"/>
                <w:iCs w:val="0"/>
                <w:color w:val="000000"/>
                <w:kern w:val="0"/>
                <w:sz w:val="18"/>
                <w:szCs w:val="18"/>
                <w:u w:val="none"/>
                <w:lang w:val="en-US" w:eastAsia="zh-CN" w:bidi="ar"/>
              </w:rPr>
              <w:t>更好地保障</w:t>
            </w:r>
            <w:r>
              <w:rPr>
                <w:rFonts w:hint="eastAsia" w:ascii="宋体" w:hAnsi="宋体" w:eastAsia="宋体" w:cs="宋体"/>
                <w:i w:val="0"/>
                <w:iCs w:val="0"/>
                <w:color w:val="000000"/>
                <w:kern w:val="0"/>
                <w:sz w:val="18"/>
                <w:szCs w:val="18"/>
                <w:u w:val="none"/>
                <w:lang w:val="en-US" w:eastAsia="zh-CN" w:bidi="ar"/>
              </w:rPr>
              <w:t>全区适龄少年儿童接受学前教育，以及幼儿人数逐年增加，财政应</w:t>
            </w:r>
            <w:r>
              <w:rPr>
                <w:rFonts w:hint="eastAsia" w:ascii="宋体" w:hAnsi="宋体" w:cs="宋体"/>
                <w:i w:val="0"/>
                <w:iCs w:val="0"/>
                <w:color w:val="000000"/>
                <w:kern w:val="0"/>
                <w:sz w:val="18"/>
                <w:szCs w:val="18"/>
                <w:u w:val="none"/>
                <w:lang w:val="en-US" w:eastAsia="zh-CN" w:bidi="ar"/>
              </w:rPr>
              <w:t>更好地保障</w:t>
            </w:r>
            <w:r>
              <w:rPr>
                <w:rFonts w:hint="eastAsia" w:ascii="宋体" w:hAnsi="宋体" w:eastAsia="宋体" w:cs="宋体"/>
                <w:i w:val="0"/>
                <w:iCs w:val="0"/>
                <w:color w:val="000000"/>
                <w:kern w:val="0"/>
                <w:sz w:val="18"/>
                <w:szCs w:val="18"/>
                <w:u w:val="none"/>
                <w:lang w:val="en-US" w:eastAsia="zh-CN" w:bidi="ar"/>
              </w:rPr>
              <w:t>资金投入，提高资助标准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bl>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bookmarkStart w:id="124" w:name="_GoBack"/>
      <w:bookmarkEnd w:id="124"/>
    </w:p>
    <w:p>
      <w:pPr>
        <w:pStyle w:val="5"/>
        <w:spacing w:before="93"/>
        <w:rPr>
          <w:rFonts w:hAnsi="Calibri" w:cs="仿宋"/>
          <w:sz w:val="32"/>
          <w:szCs w:val="32"/>
        </w:rPr>
      </w:pPr>
    </w:p>
    <w:p>
      <w:pPr>
        <w:pStyle w:val="5"/>
        <w:spacing w:before="93"/>
        <w:rPr>
          <w:rFonts w:hAnsi="Calibri" w:cs="仿宋"/>
          <w:sz w:val="32"/>
          <w:szCs w:val="32"/>
        </w:rPr>
      </w:pPr>
    </w:p>
    <w:p>
      <w:pPr>
        <w:spacing w:line="600" w:lineRule="exact"/>
        <w:jc w:val="center"/>
        <w:outlineLvl w:val="0"/>
        <w:rPr>
          <w:rFonts w:ascii="仿宋" w:hAnsi="仿宋" w:eastAsia="仿宋"/>
        </w:rPr>
      </w:pPr>
      <w:bookmarkStart w:id="97" w:name="_Toc145506468"/>
      <w:r>
        <w:rPr>
          <w:rFonts w:hint="eastAsia" w:ascii="黑体" w:hAnsi="黑体" w:eastAsia="黑体"/>
          <w:sz w:val="44"/>
          <w:szCs w:val="44"/>
        </w:rPr>
        <w:t>第</w:t>
      </w:r>
      <w:r>
        <w:rPr>
          <w:rStyle w:val="24"/>
          <w:rFonts w:hint="eastAsia" w:ascii="黑体" w:hAnsi="黑体" w:eastAsia="黑体"/>
          <w:b w:val="0"/>
        </w:rPr>
        <w:t>五部分 附表</w:t>
      </w:r>
      <w:bookmarkEnd w:id="93"/>
      <w:bookmarkEnd w:id="96"/>
      <w:bookmarkEnd w:id="97"/>
      <w:bookmarkStart w:id="98" w:name="_Toc15396619"/>
    </w:p>
    <w:p>
      <w:pPr>
        <w:pStyle w:val="3"/>
        <w:rPr>
          <w:rFonts w:ascii="仿宋" w:hAnsi="仿宋" w:eastAsia="仿宋"/>
        </w:rPr>
      </w:pPr>
      <w:bookmarkStart w:id="99" w:name="_Toc145506469"/>
      <w:r>
        <w:rPr>
          <w:rFonts w:hint="eastAsia" w:ascii="仿宋" w:hAnsi="仿宋" w:eastAsia="仿宋"/>
          <w:b w:val="0"/>
        </w:rPr>
        <w:t>一、收</w:t>
      </w:r>
      <w:r>
        <w:rPr>
          <w:rStyle w:val="25"/>
          <w:rFonts w:hint="eastAsia" w:ascii="仿宋" w:hAnsi="仿宋" w:eastAsia="仿宋"/>
          <w:b w:val="0"/>
          <w:bCs w:val="0"/>
        </w:rPr>
        <w:t>入支出决算总表</w:t>
      </w:r>
      <w:bookmarkEnd w:id="98"/>
      <w:bookmarkEnd w:id="99"/>
    </w:p>
    <w:p>
      <w:pPr>
        <w:pStyle w:val="3"/>
        <w:rPr>
          <w:rFonts w:ascii="仿宋" w:hAnsi="仿宋" w:eastAsia="仿宋"/>
        </w:rPr>
      </w:pPr>
      <w:bookmarkStart w:id="100" w:name="_Toc145506470"/>
      <w:bookmarkStart w:id="101" w:name="_Toc15396620"/>
      <w:r>
        <w:rPr>
          <w:rFonts w:hint="eastAsia" w:ascii="仿宋" w:hAnsi="仿宋" w:eastAsia="仿宋"/>
          <w:b w:val="0"/>
        </w:rPr>
        <w:t>二、收</w:t>
      </w:r>
      <w:r>
        <w:rPr>
          <w:rStyle w:val="25"/>
          <w:rFonts w:hint="eastAsia" w:ascii="仿宋" w:hAnsi="仿宋" w:eastAsia="仿宋"/>
          <w:b w:val="0"/>
          <w:bCs w:val="0"/>
        </w:rPr>
        <w:t>入决算表</w:t>
      </w:r>
      <w:bookmarkEnd w:id="100"/>
      <w:bookmarkEnd w:id="101"/>
    </w:p>
    <w:p>
      <w:pPr>
        <w:pStyle w:val="3"/>
        <w:rPr>
          <w:rFonts w:ascii="仿宋" w:hAnsi="仿宋" w:eastAsia="仿宋"/>
        </w:rPr>
      </w:pPr>
      <w:bookmarkStart w:id="102" w:name="_Toc15396621"/>
      <w:bookmarkStart w:id="103" w:name="_Toc14550647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102"/>
      <w:bookmarkEnd w:id="103"/>
    </w:p>
    <w:p>
      <w:pPr>
        <w:pStyle w:val="3"/>
        <w:rPr>
          <w:rFonts w:ascii="仿宋" w:hAnsi="仿宋" w:eastAsia="仿宋"/>
          <w:b w:val="0"/>
        </w:rPr>
      </w:pPr>
      <w:bookmarkStart w:id="104" w:name="_Toc145506472"/>
      <w:bookmarkStart w:id="105"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104"/>
      <w:bookmarkEnd w:id="105"/>
    </w:p>
    <w:p>
      <w:pPr>
        <w:pStyle w:val="3"/>
        <w:rPr>
          <w:rStyle w:val="25"/>
          <w:rFonts w:ascii="仿宋" w:hAnsi="仿宋" w:eastAsia="仿宋"/>
          <w:b w:val="0"/>
          <w:bCs w:val="0"/>
        </w:rPr>
      </w:pPr>
      <w:bookmarkStart w:id="106" w:name="_Toc145506473"/>
      <w:bookmarkStart w:id="107"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106"/>
      <w:bookmarkEnd w:id="107"/>
      <w:bookmarkStart w:id="108" w:name="_Toc15396624"/>
    </w:p>
    <w:p>
      <w:pPr>
        <w:pStyle w:val="3"/>
        <w:rPr>
          <w:rFonts w:ascii="仿宋" w:hAnsi="仿宋" w:eastAsia="仿宋"/>
        </w:rPr>
      </w:pPr>
      <w:bookmarkStart w:id="109" w:name="_Toc145506474"/>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108"/>
      <w:bookmarkEnd w:id="109"/>
    </w:p>
    <w:p>
      <w:pPr>
        <w:pStyle w:val="3"/>
        <w:rPr>
          <w:rFonts w:ascii="仿宋" w:hAnsi="仿宋" w:eastAsia="仿宋"/>
        </w:rPr>
      </w:pPr>
      <w:bookmarkStart w:id="110" w:name="_Toc145506475"/>
      <w:bookmarkStart w:id="111"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110"/>
      <w:bookmarkEnd w:id="111"/>
    </w:p>
    <w:p>
      <w:pPr>
        <w:pStyle w:val="3"/>
        <w:rPr>
          <w:rFonts w:ascii="仿宋" w:hAnsi="仿宋" w:eastAsia="仿宋"/>
        </w:rPr>
      </w:pPr>
      <w:bookmarkStart w:id="112" w:name="_Toc145506476"/>
      <w:bookmarkStart w:id="113"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112"/>
      <w:bookmarkEnd w:id="113"/>
    </w:p>
    <w:p>
      <w:pPr>
        <w:pStyle w:val="3"/>
        <w:rPr>
          <w:rFonts w:ascii="仿宋" w:hAnsi="仿宋" w:eastAsia="仿宋"/>
        </w:rPr>
      </w:pPr>
      <w:bookmarkStart w:id="114" w:name="_Toc15396627"/>
      <w:bookmarkStart w:id="115" w:name="_Toc14550647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114"/>
      <w:bookmarkEnd w:id="115"/>
    </w:p>
    <w:p>
      <w:pPr>
        <w:pStyle w:val="3"/>
        <w:rPr>
          <w:rFonts w:ascii="仿宋" w:hAnsi="仿宋" w:eastAsia="仿宋"/>
        </w:rPr>
      </w:pPr>
      <w:bookmarkStart w:id="116" w:name="_Toc15396628"/>
      <w:bookmarkStart w:id="117" w:name="_Toc145506478"/>
      <w:r>
        <w:rPr>
          <w:rStyle w:val="25"/>
          <w:rFonts w:hint="eastAsia" w:ascii="仿宋" w:hAnsi="仿宋" w:eastAsia="仿宋"/>
          <w:b w:val="0"/>
          <w:bCs w:val="0"/>
        </w:rPr>
        <w:t>十、</w:t>
      </w:r>
      <w:bookmarkEnd w:id="116"/>
      <w:r>
        <w:rPr>
          <w:rFonts w:hint="eastAsia" w:ascii="仿宋" w:hAnsi="仿宋" w:eastAsia="仿宋"/>
          <w:b w:val="0"/>
        </w:rPr>
        <w:t>政</w:t>
      </w:r>
      <w:r>
        <w:rPr>
          <w:rStyle w:val="25"/>
          <w:rFonts w:hint="eastAsia" w:ascii="仿宋" w:hAnsi="仿宋" w:eastAsia="仿宋"/>
          <w:b w:val="0"/>
          <w:bCs w:val="0"/>
        </w:rPr>
        <w:t>府性基金预算财政拨款收入支出决算表</w:t>
      </w:r>
      <w:bookmarkEnd w:id="117"/>
    </w:p>
    <w:p>
      <w:pPr>
        <w:pStyle w:val="3"/>
        <w:rPr>
          <w:rFonts w:ascii="仿宋" w:hAnsi="仿宋" w:eastAsia="仿宋"/>
        </w:rPr>
      </w:pPr>
      <w:bookmarkStart w:id="118" w:name="_Toc15396629"/>
      <w:bookmarkStart w:id="119" w:name="_Toc145506479"/>
      <w:r>
        <w:rPr>
          <w:rStyle w:val="25"/>
          <w:rFonts w:hint="eastAsia" w:ascii="仿宋" w:hAnsi="仿宋" w:eastAsia="仿宋"/>
          <w:b w:val="0"/>
          <w:bCs w:val="0"/>
        </w:rPr>
        <w:t>十一、</w:t>
      </w:r>
      <w:bookmarkEnd w:id="118"/>
      <w:r>
        <w:rPr>
          <w:rFonts w:hint="eastAsia" w:ascii="仿宋" w:hAnsi="仿宋" w:eastAsia="仿宋"/>
          <w:b w:val="0"/>
        </w:rPr>
        <w:t>国</w:t>
      </w:r>
      <w:r>
        <w:rPr>
          <w:rStyle w:val="25"/>
          <w:rFonts w:hint="eastAsia" w:ascii="仿宋" w:hAnsi="仿宋" w:eastAsia="仿宋"/>
          <w:b w:val="0"/>
          <w:bCs w:val="0"/>
        </w:rPr>
        <w:t>有资本经营预算财政拨款收入支出决算表</w:t>
      </w:r>
      <w:bookmarkEnd w:id="119"/>
    </w:p>
    <w:p>
      <w:pPr>
        <w:pStyle w:val="3"/>
        <w:rPr>
          <w:rFonts w:ascii="仿宋" w:hAnsi="仿宋" w:eastAsia="仿宋"/>
        </w:rPr>
      </w:pPr>
      <w:bookmarkStart w:id="120" w:name="_Toc15396630"/>
      <w:bookmarkStart w:id="121" w:name="_Toc145506480"/>
      <w:r>
        <w:rPr>
          <w:rStyle w:val="25"/>
          <w:rFonts w:hint="eastAsia" w:ascii="仿宋" w:hAnsi="仿宋" w:eastAsia="仿宋"/>
          <w:b w:val="0"/>
          <w:bCs w:val="0"/>
        </w:rPr>
        <w:t>十二、</w:t>
      </w:r>
      <w:bookmarkEnd w:id="120"/>
      <w:r>
        <w:rPr>
          <w:rStyle w:val="25"/>
          <w:rFonts w:hint="eastAsia" w:ascii="仿宋" w:hAnsi="仿宋" w:eastAsia="仿宋"/>
          <w:b w:val="0"/>
          <w:bCs w:val="0"/>
        </w:rPr>
        <w:t>国有资本经营预算财政拨款支出决算表</w:t>
      </w:r>
      <w:bookmarkEnd w:id="121"/>
    </w:p>
    <w:p>
      <w:pPr>
        <w:pStyle w:val="3"/>
        <w:rPr>
          <w:rFonts w:eastAsia="仿宋"/>
        </w:rPr>
      </w:pPr>
      <w:bookmarkStart w:id="122" w:name="_Toc15396631"/>
      <w:bookmarkStart w:id="123" w:name="_Toc145506481"/>
      <w:r>
        <w:rPr>
          <w:rStyle w:val="25"/>
          <w:rFonts w:hint="eastAsia" w:ascii="仿宋" w:hAnsi="仿宋" w:eastAsia="仿宋"/>
          <w:b w:val="0"/>
          <w:bCs w:val="0"/>
        </w:rPr>
        <w:t>十三、</w:t>
      </w:r>
      <w:bookmarkEnd w:id="122"/>
      <w:r>
        <w:rPr>
          <w:rStyle w:val="25"/>
          <w:rFonts w:hint="eastAsia" w:ascii="仿宋" w:hAnsi="仿宋" w:eastAsia="仿宋"/>
          <w:b w:val="0"/>
          <w:bCs w:val="0"/>
        </w:rPr>
        <w:t>财政拨款“三公”经费支出决算表</w:t>
      </w:r>
      <w:bookmarkEnd w:id="123"/>
    </w:p>
    <w:sectPr>
      <w:footerReference r:id="rId8" w:type="first"/>
      <w:headerReference r:id="rId6" w:type="default"/>
      <w:footerReference r:id="rId7" w:type="default"/>
      <w:pgSz w:w="11906" w:h="16838"/>
      <w:pgMar w:top="2098" w:right="1531" w:bottom="1985" w:left="1531"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w:pict>
        <v:shape id="文本框 3"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文本框 2"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10</w:t>
        </w:r>
        <w:r>
          <w:fldChar w:fldCharType="end"/>
        </w:r>
      </w:p>
    </w:sdtContent>
  </w:sdt>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5953770"/>
      <w:docPartObj>
        <w:docPartGallery w:val="autotext"/>
      </w:docPartObj>
    </w:sdtPr>
    <w:sdtContent>
      <w:p>
        <w:pPr>
          <w:pStyle w:val="8"/>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097629E5"/>
    <w:multiLevelType w:val="multilevel"/>
    <w:tmpl w:val="097629E5"/>
    <w:lvl w:ilvl="0" w:tentative="0">
      <w:start w:val="1"/>
      <w:numFmt w:val="japaneseCounting"/>
      <w:lvlText w:val="（%1）"/>
      <w:lvlJc w:val="left"/>
      <w:pPr>
        <w:ind w:left="1500" w:hanging="108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lang w:val="en-US"/>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k3NTM3NGMzYzk5OWQ0YzYwMmE4NTI3ODY2ODYxZm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10A8"/>
    <w:rsid w:val="000E6613"/>
    <w:rsid w:val="000E7119"/>
    <w:rsid w:val="00114E9B"/>
    <w:rsid w:val="00124C27"/>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7941"/>
    <w:rsid w:val="00220536"/>
    <w:rsid w:val="002245B8"/>
    <w:rsid w:val="00233EB7"/>
    <w:rsid w:val="00235629"/>
    <w:rsid w:val="002357EA"/>
    <w:rsid w:val="00255635"/>
    <w:rsid w:val="00260C38"/>
    <w:rsid w:val="002616C0"/>
    <w:rsid w:val="00265372"/>
    <w:rsid w:val="002662AA"/>
    <w:rsid w:val="00280496"/>
    <w:rsid w:val="00294DC9"/>
    <w:rsid w:val="00295495"/>
    <w:rsid w:val="002A31DE"/>
    <w:rsid w:val="002B2613"/>
    <w:rsid w:val="002B495A"/>
    <w:rsid w:val="002C15DD"/>
    <w:rsid w:val="002D6D05"/>
    <w:rsid w:val="002F1818"/>
    <w:rsid w:val="002F567B"/>
    <w:rsid w:val="00302BE0"/>
    <w:rsid w:val="003216A9"/>
    <w:rsid w:val="00335A74"/>
    <w:rsid w:val="003504BA"/>
    <w:rsid w:val="00353D6A"/>
    <w:rsid w:val="0036561B"/>
    <w:rsid w:val="0037013F"/>
    <w:rsid w:val="00370E0A"/>
    <w:rsid w:val="00380C92"/>
    <w:rsid w:val="00392AD1"/>
    <w:rsid w:val="003A484F"/>
    <w:rsid w:val="003A4883"/>
    <w:rsid w:val="003B0BE0"/>
    <w:rsid w:val="003B0C1B"/>
    <w:rsid w:val="003B688C"/>
    <w:rsid w:val="003B72EA"/>
    <w:rsid w:val="003C0291"/>
    <w:rsid w:val="003C39AE"/>
    <w:rsid w:val="003C7B60"/>
    <w:rsid w:val="003D0C0F"/>
    <w:rsid w:val="003D1FB2"/>
    <w:rsid w:val="003D24FE"/>
    <w:rsid w:val="003D66DA"/>
    <w:rsid w:val="003E1310"/>
    <w:rsid w:val="003E6F55"/>
    <w:rsid w:val="003F4DEA"/>
    <w:rsid w:val="0040202D"/>
    <w:rsid w:val="00406254"/>
    <w:rsid w:val="004223DE"/>
    <w:rsid w:val="00434489"/>
    <w:rsid w:val="00437085"/>
    <w:rsid w:val="0044379C"/>
    <w:rsid w:val="00443880"/>
    <w:rsid w:val="004464F4"/>
    <w:rsid w:val="00471401"/>
    <w:rsid w:val="00473F31"/>
    <w:rsid w:val="0048263A"/>
    <w:rsid w:val="00483BC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0BE4"/>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A69A8"/>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B6AAE"/>
    <w:rsid w:val="007D1682"/>
    <w:rsid w:val="007D312A"/>
    <w:rsid w:val="007D3F19"/>
    <w:rsid w:val="007E23B0"/>
    <w:rsid w:val="007E23E5"/>
    <w:rsid w:val="007F1991"/>
    <w:rsid w:val="007F2C2F"/>
    <w:rsid w:val="007F55FC"/>
    <w:rsid w:val="007F5665"/>
    <w:rsid w:val="00800112"/>
    <w:rsid w:val="00813348"/>
    <w:rsid w:val="008253BB"/>
    <w:rsid w:val="00830A12"/>
    <w:rsid w:val="0083706E"/>
    <w:rsid w:val="008408F6"/>
    <w:rsid w:val="008423A5"/>
    <w:rsid w:val="00850625"/>
    <w:rsid w:val="00853718"/>
    <w:rsid w:val="00855221"/>
    <w:rsid w:val="00860645"/>
    <w:rsid w:val="00863F19"/>
    <w:rsid w:val="00871F71"/>
    <w:rsid w:val="00872FD8"/>
    <w:rsid w:val="00874C44"/>
    <w:rsid w:val="00885AF4"/>
    <w:rsid w:val="008939CD"/>
    <w:rsid w:val="008B768C"/>
    <w:rsid w:val="008C4DB1"/>
    <w:rsid w:val="008C4EAF"/>
    <w:rsid w:val="008C5176"/>
    <w:rsid w:val="008C7FD0"/>
    <w:rsid w:val="008D4317"/>
    <w:rsid w:val="008E1DE7"/>
    <w:rsid w:val="008E707C"/>
    <w:rsid w:val="00900B08"/>
    <w:rsid w:val="00902155"/>
    <w:rsid w:val="00902FA3"/>
    <w:rsid w:val="00923564"/>
    <w:rsid w:val="0092392E"/>
    <w:rsid w:val="009315F9"/>
    <w:rsid w:val="00933499"/>
    <w:rsid w:val="00935C98"/>
    <w:rsid w:val="00944B50"/>
    <w:rsid w:val="00946945"/>
    <w:rsid w:val="00951248"/>
    <w:rsid w:val="0095152F"/>
    <w:rsid w:val="00954C49"/>
    <w:rsid w:val="00955E37"/>
    <w:rsid w:val="0097099F"/>
    <w:rsid w:val="00971997"/>
    <w:rsid w:val="00971FFC"/>
    <w:rsid w:val="0098660A"/>
    <w:rsid w:val="009931C3"/>
    <w:rsid w:val="009A5D76"/>
    <w:rsid w:val="009B2C43"/>
    <w:rsid w:val="009B4EAE"/>
    <w:rsid w:val="009B7573"/>
    <w:rsid w:val="009C22F4"/>
    <w:rsid w:val="009C2A4B"/>
    <w:rsid w:val="009C2E98"/>
    <w:rsid w:val="009C32BA"/>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4847"/>
    <w:rsid w:val="00B35F3F"/>
    <w:rsid w:val="00B36CBB"/>
    <w:rsid w:val="00B425E0"/>
    <w:rsid w:val="00B440AA"/>
    <w:rsid w:val="00B44B70"/>
    <w:rsid w:val="00B53C56"/>
    <w:rsid w:val="00B54A06"/>
    <w:rsid w:val="00B55C6F"/>
    <w:rsid w:val="00B57DAF"/>
    <w:rsid w:val="00B67F73"/>
    <w:rsid w:val="00B70422"/>
    <w:rsid w:val="00B77EA6"/>
    <w:rsid w:val="00B81598"/>
    <w:rsid w:val="00B841F1"/>
    <w:rsid w:val="00B944D6"/>
    <w:rsid w:val="00BB4DF0"/>
    <w:rsid w:val="00BC289F"/>
    <w:rsid w:val="00BC2D50"/>
    <w:rsid w:val="00BC5361"/>
    <w:rsid w:val="00BC5460"/>
    <w:rsid w:val="00BC6B50"/>
    <w:rsid w:val="00BD0E25"/>
    <w:rsid w:val="00BF5BD6"/>
    <w:rsid w:val="00C03E31"/>
    <w:rsid w:val="00C276C0"/>
    <w:rsid w:val="00C33E72"/>
    <w:rsid w:val="00C344BC"/>
    <w:rsid w:val="00C354B2"/>
    <w:rsid w:val="00C35554"/>
    <w:rsid w:val="00C42709"/>
    <w:rsid w:val="00C533CC"/>
    <w:rsid w:val="00C5751C"/>
    <w:rsid w:val="00C60A5D"/>
    <w:rsid w:val="00C61BFC"/>
    <w:rsid w:val="00C62B85"/>
    <w:rsid w:val="00C65438"/>
    <w:rsid w:val="00C87FD8"/>
    <w:rsid w:val="00C91381"/>
    <w:rsid w:val="00C91CBB"/>
    <w:rsid w:val="00CB4E70"/>
    <w:rsid w:val="00CC09B6"/>
    <w:rsid w:val="00CC666F"/>
    <w:rsid w:val="00CD1E3F"/>
    <w:rsid w:val="00CD3858"/>
    <w:rsid w:val="00CD6C55"/>
    <w:rsid w:val="00CE44F6"/>
    <w:rsid w:val="00CE49DA"/>
    <w:rsid w:val="00CE7B61"/>
    <w:rsid w:val="00CF64EC"/>
    <w:rsid w:val="00D00095"/>
    <w:rsid w:val="00D114F0"/>
    <w:rsid w:val="00D20620"/>
    <w:rsid w:val="00D254F7"/>
    <w:rsid w:val="00D26091"/>
    <w:rsid w:val="00D2685C"/>
    <w:rsid w:val="00D34E7C"/>
    <w:rsid w:val="00D35489"/>
    <w:rsid w:val="00D36AFE"/>
    <w:rsid w:val="00D37C4C"/>
    <w:rsid w:val="00D40D4D"/>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B558D"/>
    <w:rsid w:val="00ED1B63"/>
    <w:rsid w:val="00ED3C1F"/>
    <w:rsid w:val="00ED3FB6"/>
    <w:rsid w:val="00ED4085"/>
    <w:rsid w:val="00ED420E"/>
    <w:rsid w:val="00ED6FBE"/>
    <w:rsid w:val="00EE2F57"/>
    <w:rsid w:val="00EF4C34"/>
    <w:rsid w:val="00EF77C6"/>
    <w:rsid w:val="00F05438"/>
    <w:rsid w:val="00F1361C"/>
    <w:rsid w:val="00F156F0"/>
    <w:rsid w:val="00F160C7"/>
    <w:rsid w:val="00F2408F"/>
    <w:rsid w:val="00F240E9"/>
    <w:rsid w:val="00F31714"/>
    <w:rsid w:val="00F36D8F"/>
    <w:rsid w:val="00F417B1"/>
    <w:rsid w:val="00F4237B"/>
    <w:rsid w:val="00F45853"/>
    <w:rsid w:val="00F602DF"/>
    <w:rsid w:val="00F70D95"/>
    <w:rsid w:val="00F754A1"/>
    <w:rsid w:val="00F81FD9"/>
    <w:rsid w:val="00F841AA"/>
    <w:rsid w:val="00F84249"/>
    <w:rsid w:val="00F84A94"/>
    <w:rsid w:val="00F87E96"/>
    <w:rsid w:val="00FA23E8"/>
    <w:rsid w:val="00FA5A93"/>
    <w:rsid w:val="00FB7EBB"/>
    <w:rsid w:val="00FD3CC1"/>
    <w:rsid w:val="00FF1E02"/>
    <w:rsid w:val="00FF30B4"/>
    <w:rsid w:val="053A62B5"/>
    <w:rsid w:val="0A2032A3"/>
    <w:rsid w:val="0B8A37D8"/>
    <w:rsid w:val="10335097"/>
    <w:rsid w:val="10C055FF"/>
    <w:rsid w:val="118107EC"/>
    <w:rsid w:val="11DD6519"/>
    <w:rsid w:val="121A3D4A"/>
    <w:rsid w:val="16BB723D"/>
    <w:rsid w:val="18015F3F"/>
    <w:rsid w:val="1BE8440E"/>
    <w:rsid w:val="1D155CEE"/>
    <w:rsid w:val="20F57F95"/>
    <w:rsid w:val="223A37A7"/>
    <w:rsid w:val="240371BF"/>
    <w:rsid w:val="25155C26"/>
    <w:rsid w:val="25711CC6"/>
    <w:rsid w:val="25C741E6"/>
    <w:rsid w:val="27842671"/>
    <w:rsid w:val="29FD04D3"/>
    <w:rsid w:val="2ABE7A3E"/>
    <w:rsid w:val="2CA234A8"/>
    <w:rsid w:val="2EFA178C"/>
    <w:rsid w:val="30B46D73"/>
    <w:rsid w:val="319F7F4E"/>
    <w:rsid w:val="383D272C"/>
    <w:rsid w:val="39AE70AB"/>
    <w:rsid w:val="3C0C0783"/>
    <w:rsid w:val="3F9F3A96"/>
    <w:rsid w:val="48BF60AB"/>
    <w:rsid w:val="493C27E9"/>
    <w:rsid w:val="496F39ED"/>
    <w:rsid w:val="49FF41D3"/>
    <w:rsid w:val="4B3A009C"/>
    <w:rsid w:val="4BE068DB"/>
    <w:rsid w:val="4BF6002B"/>
    <w:rsid w:val="4ECE2238"/>
    <w:rsid w:val="51DB4B86"/>
    <w:rsid w:val="55333C3E"/>
    <w:rsid w:val="5964501A"/>
    <w:rsid w:val="5E63181C"/>
    <w:rsid w:val="60531F28"/>
    <w:rsid w:val="64CA39A1"/>
    <w:rsid w:val="67490265"/>
    <w:rsid w:val="684B5968"/>
    <w:rsid w:val="69630ADE"/>
    <w:rsid w:val="6AA638F9"/>
    <w:rsid w:val="6B851EFD"/>
    <w:rsid w:val="6C4A05C8"/>
    <w:rsid w:val="6D3B1A89"/>
    <w:rsid w:val="71BF4EC2"/>
    <w:rsid w:val="72734D90"/>
    <w:rsid w:val="7412278C"/>
    <w:rsid w:val="79E7B28D"/>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08-&#31532;&#19968;&#24188;&#20799;&#22253;2023&#24180;&#20915;&#31639;&#20844;&#24320;\&#22270;&#24418;&#21270;&#40857;&#20964;&#24188;&#20799;&#2225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08-&#31532;&#19968;&#24188;&#20799;&#22253;2023&#24180;&#20915;&#31639;&#20844;&#24320;\&#22270;&#24418;&#21270;&#40857;&#20964;&#24188;&#20799;&#2225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08-&#31532;&#19968;&#24188;&#20799;&#22253;2023&#24180;&#20915;&#31639;&#20844;&#24320;\&#22270;&#24418;&#21270;&#40857;&#20964;&#24188;&#20799;&#2225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6032;&#24314;&#25991;&#20214;&#22841;\&#36930;&#23425;&#24066;&#33337;&#23665;&#21306;&#31532;&#19968;&#24188;&#20799;&#22253;\&#22270;&#24418;&#2127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08-&#31532;&#19968;&#24188;&#20799;&#22253;2023&#24180;&#20915;&#31639;&#20844;&#24320;\&#22270;&#24418;&#21270;&#40857;&#20964;&#24188;&#20799;&#2225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08-&#31532;&#19968;&#24188;&#20799;&#22253;2023&#24180;&#20915;&#31639;&#20844;&#24320;\&#22270;&#24418;&#21270;&#40857;&#20964;&#24188;&#20799;&#22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[图形化龙凤幼儿园.xlsx]Sheet1!$B$1</c:f>
              <c:strCache>
                <c:ptCount val="1"/>
                <c:pt idx="0">
                  <c:v>收入支出总体情况表  （单位：万元）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[图形化龙凤幼儿园.xlsx]Sheet1!$A$2:$A$3</c:f>
              <c:strCache>
                <c:ptCount val="2"/>
                <c:pt idx="0">
                  <c:v>2022年</c:v>
                </c:pt>
                <c:pt idx="1">
                  <c:v>2023年</c:v>
                </c:pt>
              </c:strCache>
            </c:strRef>
          </c:cat>
          <c:val>
            <c:numRef>
              <c:f>[图形化龙凤幼儿园.xlsx]Sheet1!$B$2:$B$3</c:f>
              <c:numCache>
                <c:formatCode>General</c:formatCode>
                <c:ptCount val="2"/>
                <c:pt idx="0">
                  <c:v>349.45</c:v>
                </c:pt>
                <c:pt idx="1">
                  <c:v>288.22</c:v>
                </c:pt>
              </c:numCache>
            </c:numRef>
          </c:val>
        </c:ser>
        <c:dLbls>
          <c:showLegendKey val="0"/>
          <c:showVal val="1"/>
          <c:showCatName val="0"/>
          <c:showSerName val="0"/>
          <c:showPercent val="0"/>
          <c:showBubbleSize val="0"/>
        </c:dLbls>
        <c:gapWidth val="150"/>
        <c:axId val="24361216"/>
        <c:axId val="24707072"/>
      </c:barChart>
      <c:catAx>
        <c:axId val="2436121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707072"/>
        <c:crosses val="autoZero"/>
        <c:auto val="1"/>
        <c:lblAlgn val="ctr"/>
        <c:lblOffset val="100"/>
        <c:noMultiLvlLbl val="0"/>
      </c:catAx>
      <c:valAx>
        <c:axId val="2470707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361216"/>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11733931240658"/>
          <c:y val="0.00694444444444444"/>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[图形化龙凤幼儿园.xlsx]Sheet1!$E$1</c:f>
              <c:strCache>
                <c:ptCount val="1"/>
                <c:pt idx="0">
                  <c:v>二、 收入决算情况(万元)</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[图形化龙凤幼儿园.xlsx]Sheet1!$D$2:$D$4</c:f>
              <c:strCache>
                <c:ptCount val="3"/>
                <c:pt idx="0">
                  <c:v>一般公共预算财政拨款收入</c:v>
                </c:pt>
                <c:pt idx="1">
                  <c:v>其他收入</c:v>
                </c:pt>
              </c:strCache>
            </c:strRef>
          </c:cat>
          <c:val>
            <c:numRef>
              <c:f>[图形化龙凤幼儿园.xlsx]Sheet1!$E$2:$E$4</c:f>
              <c:numCache>
                <c:formatCode>General</c:formatCode>
                <c:ptCount val="3"/>
                <c:pt idx="0">
                  <c:v>243.83</c:v>
                </c:pt>
                <c:pt idx="1">
                  <c:v>33.81</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[图形化龙凤幼儿园.xlsx]Sheet1!$I$1</c:f>
              <c:strCache>
                <c:ptCount val="1"/>
                <c:pt idx="0">
                  <c:v>三、 支出决算情况(万元)</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[图形化龙凤幼儿园.xlsx]Sheet1!$H$2:$H$3</c:f>
              <c:strCache>
                <c:ptCount val="2"/>
                <c:pt idx="0">
                  <c:v>基本支出</c:v>
                </c:pt>
                <c:pt idx="1">
                  <c:v>项目支出</c:v>
                </c:pt>
              </c:strCache>
            </c:strRef>
          </c:cat>
          <c:val>
            <c:numRef>
              <c:f>[图形化龙凤幼儿园.xlsx]Sheet1!$I$2:$I$3</c:f>
              <c:numCache>
                <c:formatCode>0.00_ </c:formatCode>
                <c:ptCount val="2"/>
                <c:pt idx="0">
                  <c:v>167.2</c:v>
                </c:pt>
                <c:pt idx="1" c:formatCode="General">
                  <c:v>105.76</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800" b="1" i="0" u="none" strike="noStrike" baseline="0"/>
              <a:t>财政拨款收入支出决算总体情况</a:t>
            </a:r>
            <a:endParaRPr lang="zh-CN" altLang="en-US"/>
          </a:p>
        </c:rich>
      </c:tx>
      <c:layout/>
      <c:overlay val="0"/>
    </c:title>
    <c:autoTitleDeleted val="0"/>
    <c:plotArea>
      <c:layout/>
      <c:barChart>
        <c:barDir val="col"/>
        <c:grouping val="clustered"/>
        <c:varyColors val="0"/>
        <c:ser>
          <c:idx val="1"/>
          <c:order val="1"/>
          <c:tx>
            <c:strRef>
              <c:f>Sheet1!$M$1</c:f>
              <c:strCache>
                <c:ptCount val="1"/>
                <c:pt idx="0">
                  <c:v/>
                </c:pt>
              </c:strCache>
            </c:strRef>
          </c:tx>
          <c:invertIfNegative val="0"/>
          <c:dLbls>
            <c:delete val="1"/>
          </c:dLbls>
          <c:cat>
            <c:strRef>
              <c:f>Sheet1!$L$2:$L$3</c:f>
              <c:strCache>
                <c:ptCount val="2"/>
                <c:pt idx="0">
                  <c:v>2021年</c:v>
                </c:pt>
                <c:pt idx="1">
                  <c:v>2022年</c:v>
                </c:pt>
              </c:strCache>
            </c:strRef>
          </c:cat>
          <c:val>
            <c:numRef>
              <c:f>Sheet1!$M$2:$M$3</c:f>
            </c:numRef>
          </c:val>
        </c:ser>
        <c:ser>
          <c:idx val="0"/>
          <c:order val="0"/>
          <c:tx>
            <c:strRef>
              <c:f>[图形化1.xlsx]Sheet1!$M$1</c:f>
              <c:strCache>
                <c:ptCount val="1"/>
                <c:pt idx="0">
                  <c:v>四、财政拨款收、支决算总计变动情况 （单位：万元）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[图形化1.xlsx]Sheet1!$L$2:$L$3</c:f>
              <c:strCache>
                <c:ptCount val="2"/>
                <c:pt idx="0">
                  <c:v>2021年</c:v>
                </c:pt>
                <c:pt idx="1">
                  <c:v>2022年</c:v>
                </c:pt>
              </c:strCache>
            </c:strRef>
          </c:cat>
          <c:val>
            <c:numRef>
              <c:f>[图形化1.xlsx]Sheet1!$M$2:$M$3</c:f>
              <c:numCache>
                <c:formatCode>General</c:formatCode>
                <c:ptCount val="2"/>
                <c:pt idx="0">
                  <c:v>205.3</c:v>
                </c:pt>
                <c:pt idx="1" c:formatCode="#,##0.00">
                  <c:v>317.14</c:v>
                </c:pt>
              </c:numCache>
            </c:numRef>
          </c:val>
        </c:ser>
        <c:dLbls>
          <c:showLegendKey val="0"/>
          <c:showVal val="0"/>
          <c:showCatName val="0"/>
          <c:showSerName val="0"/>
          <c:showPercent val="0"/>
          <c:showBubbleSize val="0"/>
        </c:dLbls>
        <c:gapWidth val="150"/>
        <c:axId val="190716928"/>
        <c:axId val="190874368"/>
      </c:barChart>
      <c:catAx>
        <c:axId val="19071692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874368"/>
        <c:crosses val="autoZero"/>
        <c:auto val="1"/>
        <c:lblAlgn val="ctr"/>
        <c:lblOffset val="100"/>
        <c:noMultiLvlLbl val="0"/>
      </c:catAx>
      <c:valAx>
        <c:axId val="19087436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716928"/>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zh-CN" altLang="en-US" sz="1200"/>
              <a:t>五、一般公共预算财政拨款支出（万元）</a:t>
            </a:r>
            <a:endParaRPr lang="zh-CN" altLang="en-US" sz="1200"/>
          </a:p>
        </c:rich>
      </c:tx>
      <c:layout>
        <c:manualLayout>
          <c:xMode val="edge"/>
          <c:yMode val="edge"/>
          <c:x val="0.192253670387933"/>
          <c:y val="0.0332357192468698"/>
        </c:manualLayout>
      </c:layout>
      <c:overlay val="0"/>
    </c:title>
    <c:autoTitleDeleted val="0"/>
    <c:plotArea>
      <c:layout>
        <c:manualLayout>
          <c:layoutTarget val="inner"/>
          <c:xMode val="edge"/>
          <c:yMode val="edge"/>
          <c:x val="0.10439076018575"/>
          <c:y val="0.138401349447186"/>
          <c:w val="0.867295222977443"/>
          <c:h val="0.585335840402905"/>
        </c:manualLayout>
      </c:layout>
      <c:barChart>
        <c:barDir val="col"/>
        <c:grouping val="clustered"/>
        <c:varyColors val="0"/>
        <c:ser>
          <c:idx val="0"/>
          <c:order val="0"/>
          <c:tx>
            <c:strRef>
              <c:f>[图形化龙凤幼儿园.xlsx]Sheet1!$B$20</c:f>
              <c:strCache>
                <c:ptCount val="1"/>
                <c:pt idx="0">
                  <c:v>五、一般公共预算财政拨款支出情况（万元）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[图形化龙凤幼儿园.xlsx]Sheet1!$A$21:$A$22</c:f>
              <c:strCache>
                <c:ptCount val="2"/>
                <c:pt idx="0">
                  <c:v>2022年</c:v>
                </c:pt>
                <c:pt idx="1">
                  <c:v>2023年</c:v>
                </c:pt>
              </c:strCache>
            </c:strRef>
          </c:cat>
          <c:val>
            <c:numRef>
              <c:f>[图形化龙凤幼儿园.xlsx]Sheet1!$B$21:$B$22</c:f>
              <c:numCache>
                <c:formatCode>General</c:formatCode>
                <c:ptCount val="2"/>
                <c:pt idx="0">
                  <c:v>217.14</c:v>
                </c:pt>
                <c:pt idx="1">
                  <c:v>243.83</c:v>
                </c:pt>
              </c:numCache>
            </c:numRef>
          </c:val>
        </c:ser>
        <c:dLbls>
          <c:showLegendKey val="0"/>
          <c:showVal val="1"/>
          <c:showCatName val="0"/>
          <c:showSerName val="0"/>
          <c:showPercent val="0"/>
          <c:showBubbleSize val="0"/>
        </c:dLbls>
        <c:gapWidth val="150"/>
        <c:axId val="24927232"/>
        <c:axId val="24961792"/>
      </c:barChart>
      <c:catAx>
        <c:axId val="2492723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961792"/>
        <c:crosses val="autoZero"/>
        <c:auto val="1"/>
        <c:lblAlgn val="ctr"/>
        <c:lblOffset val="100"/>
        <c:noMultiLvlLbl val="0"/>
      </c:catAx>
      <c:valAx>
        <c:axId val="2496179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927232"/>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[图形化龙凤幼儿园.xlsx]Sheet1!$B$47</c:f>
              <c:strCache>
                <c:ptCount val="1"/>
                <c:pt idx="0">
                  <c:v>六、一般公共预算财政拨款支出决算(万元)</c:v>
                </c:pt>
              </c:strCache>
            </c:strRef>
          </c:tx>
          <c:explosion val="14"/>
          <c:dPt>
            <c:idx val="0"/>
            <c:bubble3D val="0"/>
          </c:dPt>
          <c:dPt>
            <c:idx val="1"/>
            <c:bubble3D val="0"/>
          </c:dPt>
          <c:dPt>
            <c:idx val="2"/>
            <c:bubble3D val="0"/>
          </c:dPt>
          <c:dPt>
            <c:idx val="3"/>
            <c:bubble3D val="0"/>
          </c:dPt>
          <c:dLbls>
            <c:dLbl>
              <c:idx val="2"/>
              <c:layout>
                <c:manualLayout>
                  <c:x val="0.00292041178219568"/>
                  <c:y val="-0.05492136115824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752392944974418"/>
                  <c:y val="-0.018186396310592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[图形化龙凤幼儿园.xlsx]Sheet1!$A$48:$A$51</c:f>
              <c:strCache>
                <c:ptCount val="4"/>
                <c:pt idx="0">
                  <c:v>教育支出</c:v>
                </c:pt>
                <c:pt idx="1">
                  <c:v>社会保障和就业支出</c:v>
                </c:pt>
                <c:pt idx="2">
                  <c:v>卫生健康支出</c:v>
                </c:pt>
                <c:pt idx="3">
                  <c:v>住房保障支出</c:v>
                </c:pt>
              </c:strCache>
            </c:strRef>
          </c:cat>
          <c:val>
            <c:numRef>
              <c:f>[图形化龙凤幼儿园.xlsx]Sheet1!$B$48:$B$51</c:f>
              <c:numCache>
                <c:formatCode>0.00_ </c:formatCode>
                <c:ptCount val="4"/>
                <c:pt idx="0">
                  <c:v>222.96</c:v>
                </c:pt>
                <c:pt idx="1">
                  <c:v>9.13</c:v>
                </c:pt>
                <c:pt idx="2">
                  <c:v>4.27</c:v>
                </c:pt>
                <c:pt idx="3">
                  <c:v>7.47</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591709755030621"/>
          <c:y val="0.461732283464567"/>
          <c:w val="0.363845800524934"/>
          <c:h val="0.334868766404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7"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B8A22C-2480-4BF8-9029-FE36F49E87AF}">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17</Pages>
  <Words>5052</Words>
  <Characters>5514</Characters>
  <Lines>52</Lines>
  <Paragraphs>14</Paragraphs>
  <TotalTime>15</TotalTime>
  <ScaleCrop>false</ScaleCrop>
  <LinksUpToDate>false</LinksUpToDate>
  <CharactersWithSpaces>5627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lenovo</cp:lastModifiedBy>
  <cp:lastPrinted>2023-07-31T02:35:00Z</cp:lastPrinted>
  <dcterms:modified xsi:type="dcterms:W3CDTF">2024-09-18T09:57:18Z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23CB80F33B974B75A4DD3E2B610D25F0_12</vt:lpwstr>
  </property>
</Properties>
</file>