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方正小标宋简体" w:hAnsi="宋体" w:eastAsia="方正小标宋简体"/>
          <w:szCs w:val="21"/>
        </w:rPr>
      </w:pPr>
      <w:bookmarkStart w:id="0"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48"/>
          <w:szCs w:val="48"/>
        </w:rPr>
      </w:pPr>
      <w:bookmarkStart w:id="1" w:name="_Toc15378441"/>
      <w:bookmarkStart w:id="2" w:name="_Toc15396475"/>
      <w:bookmarkStart w:id="3" w:name="_Toc24295"/>
      <w:bookmarkStart w:id="4" w:name="_Toc17014"/>
      <w:bookmarkStart w:id="5" w:name="_Toc15377193"/>
      <w:bookmarkStart w:id="6" w:name="_Toc15396597"/>
      <w:bookmarkStart w:id="7" w:name="_Toc15377425"/>
      <w:r>
        <w:rPr>
          <w:rFonts w:hint="eastAsia" w:ascii="方正小标宋简体" w:hAnsi="方正小标宋简体" w:eastAsia="方正小标宋简体" w:cs="方正小标宋简体"/>
          <w:sz w:val="48"/>
          <w:szCs w:val="48"/>
        </w:rPr>
        <w:t>202</w:t>
      </w:r>
      <w:r>
        <w:rPr>
          <w:rFonts w:hint="eastAsia" w:ascii="方正小标宋简体" w:hAnsi="方正小标宋简体" w:eastAsia="方正小标宋简体" w:cs="方正小标宋简体"/>
          <w:sz w:val="48"/>
          <w:szCs w:val="48"/>
          <w:lang w:val="en-US" w:eastAsia="zh-CN"/>
        </w:rPr>
        <w:t>3</w:t>
      </w:r>
      <w:r>
        <w:rPr>
          <w:rFonts w:hint="eastAsia" w:ascii="方正小标宋简体" w:hAnsi="方正小标宋简体" w:eastAsia="方正小标宋简体" w:cs="方正小标宋简体"/>
          <w:sz w:val="48"/>
          <w:szCs w:val="48"/>
        </w:rPr>
        <w:t>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48"/>
          <w:szCs w:val="48"/>
        </w:rPr>
      </w:pPr>
      <w:bookmarkStart w:id="8" w:name="_Toc3969"/>
      <w:bookmarkStart w:id="9" w:name="_Toc13827"/>
      <w:bookmarkStart w:id="10" w:name="_Toc15396598"/>
      <w:bookmarkStart w:id="11" w:name="_Toc15377194"/>
      <w:bookmarkStart w:id="12" w:name="_Toc15377426"/>
      <w:bookmarkStart w:id="13" w:name="_Toc15396476"/>
      <w:bookmarkStart w:id="14" w:name="_Toc15378442"/>
      <w:r>
        <w:rPr>
          <w:rFonts w:hint="eastAsia" w:ascii="方正小标宋简体" w:hAnsi="方正小标宋简体" w:eastAsia="方正小标宋简体" w:cs="方正小标宋简体"/>
          <w:sz w:val="48"/>
          <w:szCs w:val="48"/>
        </w:rPr>
        <w:t>四川省</w:t>
      </w:r>
      <w:bookmarkEnd w:id="0"/>
      <w:bookmarkStart w:id="15" w:name="_Toc15306268"/>
      <w:r>
        <w:rPr>
          <w:rFonts w:hint="eastAsia" w:ascii="方正小标宋简体" w:hAnsi="方正小标宋简体" w:eastAsia="方正小标宋简体" w:cs="方正小标宋简体"/>
          <w:sz w:val="48"/>
          <w:szCs w:val="48"/>
        </w:rPr>
        <w:t>遂宁市船山区</w:t>
      </w:r>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22401"/>
      <w:bookmarkStart w:id="17" w:name="_Toc16230"/>
      <w:r>
        <w:rPr>
          <w:rFonts w:hint="eastAsia" w:ascii="方正小标宋简体" w:hAnsi="方正小标宋简体" w:eastAsia="方正小标宋简体" w:cs="方正小标宋简体"/>
          <w:sz w:val="48"/>
          <w:szCs w:val="48"/>
        </w:rPr>
        <w:t>新盐市街小学校单位决算</w:t>
      </w:r>
      <w:bookmarkEnd w:id="10"/>
      <w:bookmarkEnd w:id="11"/>
      <w:bookmarkEnd w:id="12"/>
      <w:bookmarkEnd w:id="13"/>
      <w:bookmarkEnd w:id="14"/>
      <w:bookmarkEnd w:id="15"/>
      <w:bookmarkEnd w:id="16"/>
      <w:bookmarkEnd w:id="17"/>
    </w:p>
    <w:p>
      <w:pPr>
        <w:widowControl/>
        <w:jc w:val="center"/>
        <w:rPr>
          <w:rFonts w:ascii="黑体" w:hAnsi="黑体" w:eastAsia="黑体"/>
          <w:sz w:val="48"/>
          <w:szCs w:val="48"/>
        </w:rPr>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
      <w:pPr>
        <w:jc w:val="center"/>
        <w:rPr>
          <w:rFonts w:hint="default" w:eastAsia="宋体"/>
          <w:lang w:val="en-US" w:eastAsia="zh-CN"/>
        </w:rPr>
      </w:pPr>
      <w:bookmarkStart w:id="18" w:name="OLE_LINK2"/>
      <w:r>
        <w:rPr>
          <w:rFonts w:hint="eastAsia" w:ascii="仿宋_GB2312" w:eastAsia="仿宋_GB2312" w:cs="Times New Roman"/>
          <w:color w:val="auto"/>
          <w:sz w:val="32"/>
          <w:szCs w:val="32"/>
          <w:highlight w:val="none"/>
          <w:lang w:val="en-US" w:eastAsia="zh-CN"/>
        </w:rPr>
        <w:t>公开时间：2024年9月11日</w:t>
      </w:r>
      <w:bookmarkEnd w:id="18"/>
    </w:p>
    <w:p>
      <w:pPr>
        <w:jc w:val="center"/>
      </w:pPr>
      <w:bookmarkStart w:id="19" w:name="_Toc15377196"/>
      <w:bookmarkStart w:id="20" w:name="_Toc15396599"/>
      <w:r>
        <w:fldChar w:fldCharType="begin"/>
      </w:r>
      <w:r>
        <w:instrText xml:space="preserve">TOC \o "1-3" \h \u </w:instrText>
      </w:r>
      <w:r>
        <w:fldChar w:fldCharType="separate"/>
      </w:r>
    </w:p>
    <w:p>
      <w:pPr>
        <w:pStyle w:val="10"/>
        <w:tabs>
          <w:tab w:val="right" w:leader="dot" w:pos="8306"/>
          <w:tab w:val="clear" w:pos="8296"/>
        </w:tabs>
        <w:jc w:val="both"/>
      </w:pPr>
      <w:r>
        <w:fldChar w:fldCharType="begin"/>
      </w:r>
      <w:r>
        <w:instrText xml:space="preserve"> HYPERLINK \l "_Toc10026" </w:instrText>
      </w:r>
      <w:r>
        <w:fldChar w:fldCharType="separate"/>
      </w:r>
      <w:r>
        <w:rPr>
          <w:rFonts w:hint="eastAsia" w:ascii="黑体" w:hAnsi="黑体" w:eastAsia="黑体"/>
        </w:rPr>
        <w:t>第一部分 单位概况</w:t>
      </w:r>
      <w:r>
        <w:tab/>
      </w:r>
      <w:r>
        <w:fldChar w:fldCharType="begin"/>
      </w:r>
      <w:r>
        <w:instrText xml:space="preserve"> PAGEREF _Toc10026 \h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"_Toc31556" </w:instrText>
      </w:r>
      <w:r>
        <w:fldChar w:fldCharType="separate"/>
      </w:r>
      <w:r>
        <w:rPr>
          <w:rFonts w:hint="eastAsia" w:ascii="黑体" w:hAnsi="黑体" w:eastAsia="黑体"/>
        </w:rPr>
        <w:t>一、主要职责</w:t>
      </w:r>
      <w:r>
        <w:tab/>
      </w:r>
      <w:r>
        <w:fldChar w:fldCharType="begin"/>
      </w:r>
      <w:r>
        <w:instrText xml:space="preserve"> PAGEREF _Toc31556 \h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"_Toc30776" </w:instrText>
      </w:r>
      <w:r>
        <w:fldChar w:fldCharType="separate"/>
      </w:r>
      <w:r>
        <w:rPr>
          <w:rFonts w:hint="eastAsia" w:ascii="黑体" w:hAnsi="黑体" w:eastAsia="黑体"/>
        </w:rPr>
        <w:t>二、机构设置</w:t>
      </w:r>
      <w:r>
        <w:tab/>
      </w:r>
      <w:r>
        <w:fldChar w:fldCharType="begin"/>
      </w:r>
      <w:r>
        <w:instrText xml:space="preserve"> PAGEREF _Toc30776 \h </w:instrText>
      </w:r>
      <w:r>
        <w:fldChar w:fldCharType="separate"/>
      </w:r>
      <w:r>
        <w:t>1</w:t>
      </w:r>
      <w:r>
        <w:fldChar w:fldCharType="end"/>
      </w:r>
      <w:r>
        <w:fldChar w:fldCharType="end"/>
      </w:r>
    </w:p>
    <w:p>
      <w:pPr>
        <w:pStyle w:val="10"/>
        <w:tabs>
          <w:tab w:val="right" w:leader="dot" w:pos="8306"/>
          <w:tab w:val="clear" w:pos="8296"/>
        </w:tabs>
      </w:pPr>
      <w:r>
        <w:fldChar w:fldCharType="begin"/>
      </w:r>
      <w:r>
        <w:instrText xml:space="preserve"> HYPERLINK \l "_Toc1676" </w:instrText>
      </w:r>
      <w:r>
        <w:fldChar w:fldCharType="separate"/>
      </w:r>
      <w:r>
        <w:rPr>
          <w:rFonts w:hint="eastAsia" w:ascii="黑体" w:hAnsi="黑体" w:eastAsia="黑体"/>
          <w:bCs/>
        </w:rPr>
        <w:t>第二部分 202</w:t>
      </w:r>
      <w:r>
        <w:rPr>
          <w:rFonts w:hint="eastAsia" w:ascii="黑体" w:hAnsi="黑体" w:eastAsia="黑体"/>
          <w:bCs/>
          <w:lang w:val="en-US" w:eastAsia="zh-CN"/>
        </w:rPr>
        <w:t>3</w:t>
      </w:r>
      <w:r>
        <w:rPr>
          <w:rFonts w:hint="eastAsia" w:ascii="黑体" w:hAnsi="黑体" w:eastAsia="黑体"/>
          <w:bCs/>
        </w:rPr>
        <w:t>年度单位决算情况说明</w:t>
      </w:r>
      <w:r>
        <w:tab/>
      </w:r>
      <w:r>
        <w:fldChar w:fldCharType="begin"/>
      </w:r>
      <w:r>
        <w:instrText xml:space="preserve"> PAGEREF _Toc1676 \h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"_Toc6102"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_Toc6102 \h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"_Toc28945"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_Toc28945 \h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"_Toc15207" </w:instrText>
      </w:r>
      <w:r>
        <w:fldChar w:fldCharType="separate"/>
      </w:r>
      <w:r>
        <w:rPr>
          <w:rFonts w:ascii="黑体" w:hAnsi="黑体" w:eastAsia="黑体"/>
        </w:rPr>
        <w:t>三、</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_Toc15207 \h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"_Toc25564"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_Toc25564 \h </w:instrText>
      </w:r>
      <w:r>
        <w:fldChar w:fldCharType="separate"/>
      </w:r>
      <w:r>
        <w:t>4</w:t>
      </w:r>
      <w:r>
        <w:fldChar w:fldCharType="end"/>
      </w:r>
      <w:r>
        <w:fldChar w:fldCharType="end"/>
      </w:r>
    </w:p>
    <w:p>
      <w:pPr>
        <w:pStyle w:val="11"/>
        <w:tabs>
          <w:tab w:val="right" w:leader="dot" w:pos="8306"/>
          <w:tab w:val="clear" w:pos="8296"/>
        </w:tabs>
      </w:pPr>
      <w:r>
        <w:fldChar w:fldCharType="begin"/>
      </w:r>
      <w:r>
        <w:instrText xml:space="preserve"> HYPERLINK \l "_Toc29205"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_Toc29205 \h </w:instrText>
      </w:r>
      <w:r>
        <w:fldChar w:fldCharType="separate"/>
      </w:r>
      <w:r>
        <w:t>5</w:t>
      </w:r>
      <w:r>
        <w:fldChar w:fldCharType="end"/>
      </w:r>
      <w:r>
        <w:fldChar w:fldCharType="end"/>
      </w:r>
    </w:p>
    <w:p>
      <w:pPr>
        <w:pStyle w:val="11"/>
        <w:tabs>
          <w:tab w:val="right" w:leader="dot" w:pos="8306"/>
          <w:tab w:val="clear" w:pos="8296"/>
        </w:tabs>
      </w:pPr>
      <w:r>
        <w:fldChar w:fldCharType="begin"/>
      </w:r>
      <w:r>
        <w:instrText xml:space="preserve"> HYPERLINK \l "_Toc15409"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_Toc15409 \h </w:instrText>
      </w:r>
      <w:r>
        <w:fldChar w:fldCharType="separate"/>
      </w:r>
      <w:r>
        <w:t>7</w:t>
      </w:r>
      <w:r>
        <w:fldChar w:fldCharType="end"/>
      </w:r>
      <w:r>
        <w:fldChar w:fldCharType="end"/>
      </w:r>
    </w:p>
    <w:p>
      <w:pPr>
        <w:pStyle w:val="11"/>
        <w:tabs>
          <w:tab w:val="right" w:leader="dot" w:pos="8306"/>
          <w:tab w:val="clear" w:pos="8296"/>
        </w:tabs>
      </w:pPr>
      <w:r>
        <w:fldChar w:fldCharType="begin"/>
      </w:r>
      <w:r>
        <w:instrText xml:space="preserve"> HYPERLINK \l "_Toc16551"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_Toc16551 \h </w:instrText>
      </w:r>
      <w:r>
        <w:fldChar w:fldCharType="separate"/>
      </w:r>
      <w:r>
        <w:t>7</w:t>
      </w:r>
      <w:r>
        <w:fldChar w:fldCharType="end"/>
      </w:r>
      <w:r>
        <w:fldChar w:fldCharType="end"/>
      </w:r>
    </w:p>
    <w:p>
      <w:pPr>
        <w:pStyle w:val="11"/>
        <w:tabs>
          <w:tab w:val="right" w:leader="dot" w:pos="8306"/>
          <w:tab w:val="clear" w:pos="8296"/>
        </w:tabs>
      </w:pPr>
      <w:r>
        <w:fldChar w:fldCharType="begin"/>
      </w:r>
      <w:r>
        <w:instrText xml:space="preserve"> HYPERLINK \l "_Toc11356"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_Toc11356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"_Toc19834" </w:instrText>
      </w:r>
      <w:r>
        <w:fldChar w:fldCharType="separate"/>
      </w:r>
      <w:r>
        <w:rPr>
          <w:rFonts w:hint="eastAsia" w:ascii="黑体" w:hAnsi="黑体" w:eastAsia="黑体"/>
        </w:rPr>
        <w:t>九、 国有资本经营预算支出决算情况说明</w:t>
      </w:r>
      <w:r>
        <w:tab/>
      </w:r>
      <w:r>
        <w:fldChar w:fldCharType="begin"/>
      </w:r>
      <w:r>
        <w:instrText xml:space="preserve"> PAGEREF _Toc19834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"_Toc11618" </w:instrText>
      </w:r>
      <w:r>
        <w:fldChar w:fldCharType="separate"/>
      </w:r>
      <w:r>
        <w:rPr>
          <w:rFonts w:hint="eastAsia" w:ascii="黑体" w:hAnsi="黑体" w:eastAsia="黑体"/>
        </w:rPr>
        <w:t>十、 其他重要事项的情况说明</w:t>
      </w:r>
      <w:r>
        <w:tab/>
      </w:r>
      <w:r>
        <w:fldChar w:fldCharType="begin"/>
      </w:r>
      <w:r>
        <w:instrText xml:space="preserve"> PAGEREF _Toc11618 \h </w:instrText>
      </w:r>
      <w:r>
        <w:fldChar w:fldCharType="separate"/>
      </w:r>
      <w:r>
        <w:t>9</w:t>
      </w:r>
      <w:r>
        <w:fldChar w:fldCharType="end"/>
      </w:r>
      <w:r>
        <w:fldChar w:fldCharType="end"/>
      </w:r>
    </w:p>
    <w:p>
      <w:pPr>
        <w:pStyle w:val="10"/>
        <w:tabs>
          <w:tab w:val="right" w:leader="dot" w:pos="8306"/>
          <w:tab w:val="clear" w:pos="8296"/>
        </w:tabs>
      </w:pPr>
      <w:r>
        <w:fldChar w:fldCharType="begin"/>
      </w:r>
      <w:r>
        <w:instrText xml:space="preserve"> HYPERLINK \l "_Toc26267"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_Toc26267 \h </w:instrText>
      </w:r>
      <w:r>
        <w:fldChar w:fldCharType="separate"/>
      </w:r>
      <w:r>
        <w:t>11</w:t>
      </w:r>
      <w:r>
        <w:fldChar w:fldCharType="end"/>
      </w:r>
      <w:r>
        <w:fldChar w:fldCharType="end"/>
      </w:r>
    </w:p>
    <w:p>
      <w:pPr>
        <w:pStyle w:val="10"/>
        <w:tabs>
          <w:tab w:val="right" w:leader="dot" w:pos="8306"/>
          <w:tab w:val="clear" w:pos="8296"/>
        </w:tabs>
      </w:pPr>
      <w:r>
        <w:fldChar w:fldCharType="begin"/>
      </w:r>
      <w:r>
        <w:instrText xml:space="preserve"> HYPERLINK \l "_Toc19015"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_Toc19015 \h </w:instrText>
      </w:r>
      <w:r>
        <w:fldChar w:fldCharType="separate"/>
      </w:r>
      <w:r>
        <w:t>13</w:t>
      </w:r>
      <w:r>
        <w:fldChar w:fldCharType="end"/>
      </w:r>
      <w:r>
        <w:fldChar w:fldCharType="end"/>
      </w:r>
    </w:p>
    <w:p>
      <w:pPr>
        <w:pStyle w:val="10"/>
        <w:bidi w:val="0"/>
        <w:rPr>
          <w:rFonts w:hint="eastAsia" w:eastAsia="仿宋"/>
          <w:lang w:val="en-US" w:eastAsia="zh-CN"/>
        </w:rPr>
      </w:pPr>
      <w:r>
        <w:fldChar w:fldCharType="begin"/>
      </w:r>
      <w:r>
        <w:instrText xml:space="preserve"> HYPERLINK \l "_Toc26330" </w:instrText>
      </w:r>
      <w:r>
        <w:fldChar w:fldCharType="separate"/>
      </w:r>
      <w:r>
        <w:rPr>
          <w:rFonts w:hint="eastAsia" w:ascii="黑体" w:hAnsi="黑体" w:eastAsia="黑体"/>
          <w:szCs w:val="44"/>
        </w:rPr>
        <w:t>第</w:t>
      </w:r>
      <w:r>
        <w:rPr>
          <w:rFonts w:hint="eastAsia" w:ascii="黑体" w:hAnsi="黑体" w:eastAsia="黑体"/>
        </w:rPr>
        <w:t>五部分 附表</w:t>
      </w:r>
      <w:r>
        <w:tab/>
      </w:r>
      <w:r>
        <w:rPr>
          <w:rFonts w:hint="eastAsia"/>
          <w:lang w:val="en-US" w:eastAsia="zh-CN"/>
        </w:rPr>
        <w:t>1</w:t>
      </w:r>
      <w:r>
        <w:fldChar w:fldCharType="end"/>
      </w:r>
      <w:r>
        <w:rPr>
          <w:rFonts w:hint="eastAsia"/>
          <w:lang w:val="en-US" w:eastAsia="zh-CN"/>
        </w:rPr>
        <w:t>5</w:t>
      </w:r>
    </w:p>
    <w:p>
      <w:pPr>
        <w:pStyle w:val="11"/>
        <w:tabs>
          <w:tab w:val="right" w:leader="dot" w:pos="8306"/>
          <w:tab w:val="clear" w:pos="8296"/>
        </w:tabs>
      </w:pPr>
      <w:r>
        <w:fldChar w:fldCharType="begin"/>
      </w:r>
      <w:r>
        <w:instrText xml:space="preserve"> HYPERLINK \l "_Toc24780" </w:instrText>
      </w:r>
      <w:r>
        <w:fldChar w:fldCharType="separate"/>
      </w:r>
      <w:r>
        <w:rPr>
          <w:rFonts w:hint="eastAsia" w:ascii="仿宋" w:hAnsi="仿宋" w:eastAsia="仿宋"/>
        </w:rPr>
        <w:t>一、收入支出决算总表</w:t>
      </w:r>
      <w:r>
        <w:tab/>
      </w:r>
      <w:r>
        <w:fldChar w:fldCharType="begin"/>
      </w:r>
      <w:r>
        <w:instrText xml:space="preserve"> PAGEREF _Toc24780 \h </w:instrText>
      </w:r>
      <w:r>
        <w:fldChar w:fldCharType="separate"/>
      </w:r>
      <w:r>
        <w:t>15</w:t>
      </w:r>
      <w:r>
        <w:fldChar w:fldCharType="end"/>
      </w:r>
      <w:r>
        <w:fldChar w:fldCharType="end"/>
      </w:r>
    </w:p>
    <w:p>
      <w:pPr>
        <w:pStyle w:val="11"/>
        <w:tabs>
          <w:tab w:val="right" w:leader="dot" w:pos="8306"/>
          <w:tab w:val="clear" w:pos="8296"/>
        </w:tabs>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pPr>
    </w:p>
    <w:p>
      <w:pPr>
        <w:pStyle w:val="11"/>
        <w:tabs>
          <w:tab w:val="right" w:leader="dot" w:pos="8306"/>
          <w:tab w:val="clear" w:pos="8296"/>
        </w:tabs>
      </w:pPr>
      <w:r>
        <w:fldChar w:fldCharType="begin"/>
      </w:r>
      <w:r>
        <w:instrText xml:space="preserve"> HYPERLINK \l "_Toc20644" </w:instrText>
      </w:r>
      <w:r>
        <w:fldChar w:fldCharType="separate"/>
      </w:r>
      <w:r>
        <w:rPr>
          <w:rFonts w:hint="eastAsia" w:ascii="仿宋" w:hAnsi="仿宋" w:eastAsia="仿宋"/>
        </w:rPr>
        <w:t>二、收入决算表</w:t>
      </w:r>
      <w:r>
        <w:tab/>
      </w:r>
      <w:r>
        <w:fldChar w:fldCharType="begin"/>
      </w:r>
      <w:r>
        <w:instrText xml:space="preserve"> PAGEREF _Toc20644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"_Toc16898" </w:instrText>
      </w:r>
      <w:r>
        <w:fldChar w:fldCharType="separate"/>
      </w:r>
      <w:r>
        <w:rPr>
          <w:rFonts w:hint="eastAsia" w:ascii="仿宋" w:hAnsi="仿宋" w:eastAsia="仿宋"/>
        </w:rPr>
        <w:t>三、支出决算表</w:t>
      </w:r>
      <w:r>
        <w:tab/>
      </w:r>
      <w:r>
        <w:fldChar w:fldCharType="begin"/>
      </w:r>
      <w:r>
        <w:instrText xml:space="preserve"> PAGEREF _Toc16898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"_Toc23910" </w:instrText>
      </w:r>
      <w:r>
        <w:fldChar w:fldCharType="separate"/>
      </w:r>
      <w:r>
        <w:rPr>
          <w:rFonts w:hint="eastAsia" w:ascii="仿宋" w:hAnsi="仿宋" w:eastAsia="仿宋"/>
        </w:rPr>
        <w:t>四、财政拨款收入支出决算总表</w:t>
      </w:r>
      <w:r>
        <w:tab/>
      </w:r>
      <w:r>
        <w:fldChar w:fldCharType="begin"/>
      </w:r>
      <w:r>
        <w:instrText xml:space="preserve"> PAGEREF _Toc23910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"_Toc26166" </w:instrText>
      </w:r>
      <w:r>
        <w:fldChar w:fldCharType="separate"/>
      </w:r>
      <w:r>
        <w:rPr>
          <w:rFonts w:hint="eastAsia" w:ascii="仿宋" w:hAnsi="仿宋" w:eastAsia="仿宋"/>
        </w:rPr>
        <w:t>五、财政拨款支出决算明细表</w:t>
      </w:r>
      <w:r>
        <w:tab/>
      </w:r>
      <w:r>
        <w:fldChar w:fldCharType="begin"/>
      </w:r>
      <w:r>
        <w:instrText xml:space="preserve"> PAGEREF _Toc26166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"_Toc32382" </w:instrText>
      </w:r>
      <w:r>
        <w:fldChar w:fldCharType="separate"/>
      </w:r>
      <w:r>
        <w:rPr>
          <w:rFonts w:hint="eastAsia" w:ascii="仿宋" w:hAnsi="仿宋" w:eastAsia="仿宋"/>
        </w:rPr>
        <w:t>六、一般公共预算财政拨款支出决算表</w:t>
      </w:r>
      <w:r>
        <w:tab/>
      </w:r>
      <w:r>
        <w:fldChar w:fldCharType="begin"/>
      </w:r>
      <w:r>
        <w:instrText xml:space="preserve"> PAGEREF _Toc32382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"_Toc4715" </w:instrText>
      </w:r>
      <w:r>
        <w:fldChar w:fldCharType="separate"/>
      </w:r>
      <w:r>
        <w:rPr>
          <w:rFonts w:hint="eastAsia" w:ascii="仿宋" w:hAnsi="仿宋" w:eastAsia="仿宋"/>
        </w:rPr>
        <w:t>七、一般公共预算财政拨款支出决算明细表</w:t>
      </w:r>
      <w:r>
        <w:tab/>
      </w:r>
      <w:r>
        <w:fldChar w:fldCharType="begin"/>
      </w:r>
      <w:r>
        <w:instrText xml:space="preserve"> PAGEREF _Toc4715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"_Toc8577" </w:instrText>
      </w:r>
      <w:r>
        <w:fldChar w:fldCharType="separate"/>
      </w:r>
      <w:r>
        <w:rPr>
          <w:rFonts w:hint="eastAsia" w:ascii="仿宋" w:hAnsi="仿宋" w:eastAsia="仿宋"/>
        </w:rPr>
        <w:t>八、一般公共预算财政拨款基本支出决算表</w:t>
      </w:r>
      <w:r>
        <w:tab/>
      </w:r>
      <w:r>
        <w:fldChar w:fldCharType="begin"/>
      </w:r>
      <w:r>
        <w:instrText xml:space="preserve"> PAGEREF _Toc8577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"_Toc12315" </w:instrText>
      </w:r>
      <w:r>
        <w:fldChar w:fldCharType="separate"/>
      </w:r>
      <w:r>
        <w:rPr>
          <w:rFonts w:hint="eastAsia" w:ascii="仿宋" w:hAnsi="仿宋" w:eastAsia="仿宋"/>
        </w:rPr>
        <w:t>九、一般公共预算财政拨款项目支出决算表</w:t>
      </w:r>
      <w:r>
        <w:tab/>
      </w:r>
      <w:r>
        <w:fldChar w:fldCharType="begin"/>
      </w:r>
      <w:r>
        <w:instrText xml:space="preserve"> PAGEREF _Toc12315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"_Toc15211" </w:instrText>
      </w:r>
      <w:r>
        <w:fldChar w:fldCharType="separate"/>
      </w:r>
      <w:r>
        <w:rPr>
          <w:rFonts w:hint="eastAsia" w:ascii="仿宋" w:hAnsi="仿宋" w:eastAsia="仿宋"/>
        </w:rPr>
        <w:t>十、政府性基金预算财政拨款收入支出决算表</w:t>
      </w:r>
      <w:r>
        <w:tab/>
      </w:r>
      <w:r>
        <w:fldChar w:fldCharType="begin"/>
      </w:r>
      <w:r>
        <w:instrText xml:space="preserve"> PAGEREF _Toc15211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"_Toc29710" </w:instrText>
      </w:r>
      <w:r>
        <w:fldChar w:fldCharType="separate"/>
      </w:r>
      <w:r>
        <w:rPr>
          <w:rFonts w:hint="eastAsia" w:ascii="仿宋" w:hAnsi="仿宋" w:eastAsia="仿宋"/>
        </w:rPr>
        <w:t>十一、国有资本经营预算财政拨款收入支出决算表</w:t>
      </w:r>
      <w:r>
        <w:tab/>
      </w:r>
      <w:r>
        <w:fldChar w:fldCharType="begin"/>
      </w:r>
      <w:r>
        <w:instrText xml:space="preserve"> PAGEREF _Toc29710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"_Toc31392" </w:instrText>
      </w:r>
      <w:r>
        <w:fldChar w:fldCharType="separate"/>
      </w:r>
      <w:r>
        <w:rPr>
          <w:rFonts w:hint="eastAsia" w:ascii="仿宋" w:hAnsi="仿宋" w:eastAsia="仿宋"/>
        </w:rPr>
        <w:t>十二、国有资本经营预算财政拨款支出决算表</w:t>
      </w:r>
      <w:r>
        <w:tab/>
      </w:r>
      <w:r>
        <w:fldChar w:fldCharType="begin"/>
      </w:r>
      <w:r>
        <w:instrText xml:space="preserve"> PAGEREF _Toc31392 \h </w:instrText>
      </w:r>
      <w:r>
        <w:fldChar w:fldCharType="separate"/>
      </w:r>
      <w:r>
        <w:t>15</w:t>
      </w:r>
      <w:r>
        <w:fldChar w:fldCharType="end"/>
      </w:r>
      <w:r>
        <w:fldChar w:fldCharType="end"/>
      </w:r>
    </w:p>
    <w:p>
      <w:pPr>
        <w:pStyle w:val="11"/>
        <w:tabs>
          <w:tab w:val="right" w:leader="dot" w:pos="8306"/>
          <w:tab w:val="clear" w:pos="8296"/>
        </w:tabs>
      </w:pPr>
      <w:r>
        <w:fldChar w:fldCharType="begin"/>
      </w:r>
      <w:r>
        <w:instrText xml:space="preserve"> HYPERLINK \l "_Toc21741" </w:instrText>
      </w:r>
      <w:r>
        <w:fldChar w:fldCharType="separate"/>
      </w:r>
      <w:r>
        <w:rPr>
          <w:rFonts w:hint="eastAsia" w:ascii="仿宋" w:hAnsi="仿宋" w:eastAsia="仿宋"/>
        </w:rPr>
        <w:t>十三、财政拨款“三公”经费支出决算表</w:t>
      </w:r>
      <w:r>
        <w:tab/>
      </w:r>
      <w:r>
        <w:fldChar w:fldCharType="begin"/>
      </w:r>
      <w:r>
        <w:instrText xml:space="preserve"> PAGEREF _Toc21741 \h </w:instrText>
      </w:r>
      <w:r>
        <w:fldChar w:fldCharType="separate"/>
      </w:r>
      <w:r>
        <w:t>15</w:t>
      </w:r>
      <w:r>
        <w:fldChar w:fldCharType="end"/>
      </w:r>
      <w:r>
        <w:fldChar w:fldCharType="end"/>
      </w:r>
    </w:p>
    <w:p>
      <w:pPr>
        <w:rPr>
          <w:b/>
        </w:rPr>
        <w:sectPr>
          <w:footerReference r:id="rId10" w:type="first"/>
          <w:footerReference r:id="rId9" w:type="default"/>
          <w:pgSz w:w="11906" w:h="16838"/>
          <w:pgMar w:top="1440" w:right="1800" w:bottom="1440" w:left="1800" w:header="851" w:footer="992" w:gutter="0"/>
          <w:pgNumType w:start="1"/>
          <w:cols w:space="425" w:num="1"/>
          <w:titlePg/>
          <w:docGrid w:type="lines" w:linePitch="312" w:charSpace="0"/>
        </w:sectPr>
      </w:pPr>
      <w:r>
        <w:fldChar w:fldCharType="end"/>
      </w:r>
    </w:p>
    <w:p>
      <w:pPr>
        <w:pStyle w:val="2"/>
        <w:jc w:val="center"/>
        <w:rPr>
          <w:rFonts w:ascii="黑体" w:eastAsia="黑体"/>
          <w:sz w:val="32"/>
          <w:szCs w:val="32"/>
        </w:rPr>
      </w:pPr>
      <w:bookmarkStart w:id="21" w:name="_Toc31855"/>
      <w:bookmarkStart w:id="22" w:name="_Toc10026"/>
      <w:r>
        <w:rPr>
          <w:rFonts w:hint="eastAsia" w:ascii="黑体" w:hAnsi="黑体" w:eastAsia="黑体"/>
          <w:b w:val="0"/>
        </w:rPr>
        <w:t>第一部分 单位</w:t>
      </w:r>
      <w:r>
        <w:rPr>
          <w:rStyle w:val="24"/>
          <w:rFonts w:hint="eastAsia" w:ascii="黑体" w:hAnsi="黑体" w:eastAsia="黑体"/>
          <w:b w:val="0"/>
          <w:bCs w:val="0"/>
        </w:rPr>
        <w:t>概况</w:t>
      </w:r>
      <w:bookmarkEnd w:id="19"/>
      <w:bookmarkEnd w:id="20"/>
      <w:bookmarkEnd w:id="21"/>
      <w:bookmarkEnd w:id="22"/>
    </w:p>
    <w:p>
      <w:pPr>
        <w:pStyle w:val="3"/>
        <w:numPr>
          <w:ilvl w:val="0"/>
          <w:numId w:val="1"/>
        </w:numPr>
        <w:rPr>
          <w:rStyle w:val="25"/>
          <w:rFonts w:ascii="黑体" w:hAnsi="黑体" w:eastAsia="黑体"/>
          <w:b w:val="0"/>
          <w:bCs w:val="0"/>
        </w:rPr>
      </w:pPr>
      <w:bookmarkStart w:id="23" w:name="_Toc3489"/>
      <w:bookmarkStart w:id="24" w:name="_Toc31556"/>
      <w:bookmarkStart w:id="25" w:name="_Toc15377197"/>
      <w:bookmarkStart w:id="26" w:name="_Toc15396600"/>
      <w:r>
        <w:rPr>
          <w:rStyle w:val="25"/>
          <w:rFonts w:hint="eastAsia" w:ascii="黑体" w:hAnsi="黑体" w:eastAsia="黑体"/>
          <w:b w:val="0"/>
          <w:bCs w:val="0"/>
        </w:rPr>
        <w:t>主要职责</w:t>
      </w:r>
      <w:bookmarkEnd w:id="23"/>
      <w:bookmarkEnd w:id="24"/>
    </w:p>
    <w:p>
      <w:pPr>
        <w:snapToGrid w:val="0"/>
        <w:spacing w:line="520" w:lineRule="exact"/>
        <w:ind w:firstLine="640" w:firstLineChars="200"/>
        <w:rPr>
          <w:rFonts w:ascii="仿宋_GB2312" w:hAnsi="仿宋" w:eastAsia="仿宋_GB2312" w:cs="仿宋_GB2312"/>
          <w:sz w:val="32"/>
          <w:szCs w:val="32"/>
        </w:rPr>
      </w:pPr>
      <w:bookmarkStart w:id="27" w:name="_Toc32188"/>
      <w:bookmarkStart w:id="28" w:name="_Toc30776"/>
      <w:r>
        <w:rPr>
          <w:rFonts w:hint="eastAsia" w:ascii="仿宋_GB2312" w:hAnsi="仿宋" w:eastAsia="仿宋_GB2312" w:cs="仿宋_GB2312"/>
          <w:sz w:val="32"/>
          <w:szCs w:val="32"/>
        </w:rPr>
        <w:t>①负责贯彻党的教育方针，正确执行上级主管部门的决议和指示，全面实施素质教育，培养德、智、体、美等方面全面发展的社会主义事业的建设者和接班人。</w:t>
      </w:r>
    </w:p>
    <w:p>
      <w:pPr>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②根据教育规律、社会要求和学校实际，组织制定学校发展的远景规划、近期目标、学年和学期各项工作计划以及各项工作指标并组织实施。</w:t>
      </w:r>
    </w:p>
    <w:p>
      <w:pPr>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③负责领导和组织学校的教学工作，坚持以教学为中心，保证教学计划的贯彻执行。大力推进学校改革，加强科研工作的组织领导。</w:t>
      </w:r>
    </w:p>
    <w:p>
      <w:pPr>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④加强学校的科学化管理，制定和健全各项规章制度，规范办学行为，培养良好校风，逐步实现管理决策的科学化，管理方法的定量化和管理手段的现代化。</w:t>
      </w:r>
    </w:p>
    <w:p>
      <w:pPr>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⑤负责教师队伍建设工作，制定教师队伍建设计划，不断提高他们的政治素质、文化业务水平和科研水平。</w:t>
      </w:r>
    </w:p>
    <w:p>
      <w:pPr>
        <w:snapToGrid w:val="0"/>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⑥领导和组织学校的思想政治工作，把德育放在首位。教育全体教职工做到教书育人、管理育人、服务育人、搞好学校、社会、家庭三结合教育。</w:t>
      </w:r>
    </w:p>
    <w:p>
      <w:pPr>
        <w:widowControl/>
        <w:spacing w:line="560" w:lineRule="atLeast"/>
        <w:ind w:firstLine="579" w:firstLineChars="181"/>
        <w:jc w:val="left"/>
        <w:rPr>
          <w:rFonts w:ascii="仿宋_GB2312" w:hAnsi="仿宋" w:eastAsia="仿宋_GB2312" w:cs="仿宋_GB2312"/>
          <w:sz w:val="32"/>
          <w:szCs w:val="32"/>
        </w:rPr>
      </w:pPr>
      <w:r>
        <w:rPr>
          <w:rFonts w:hint="eastAsia" w:ascii="仿宋_GB2312" w:hAnsi="仿宋" w:eastAsia="仿宋_GB2312" w:cs="仿宋_GB2312"/>
          <w:sz w:val="32"/>
          <w:szCs w:val="32"/>
        </w:rPr>
        <w:t>⑦组织制定和实施校舍建设和校园建设规划，加强对财务工作的领导，正确使用各项经费，不断改善办学条件，强化安全管理</w:t>
      </w:r>
      <w:r>
        <w:rPr>
          <w:rFonts w:hint="eastAsia" w:ascii="仿宋_GB2312" w:hAnsi="仿宋" w:eastAsia="仿宋_GB2312" w:cs="仿宋_GB2312"/>
          <w:sz w:val="32"/>
          <w:szCs w:val="32"/>
          <w:lang w:eastAsia="zh-CN"/>
        </w:rPr>
        <w:t>工作</w:t>
      </w:r>
      <w:r>
        <w:rPr>
          <w:rFonts w:hint="eastAsia" w:ascii="仿宋_GB2312" w:hAnsi="仿宋" w:eastAsia="仿宋_GB2312" w:cs="仿宋_GB2312"/>
          <w:sz w:val="32"/>
          <w:szCs w:val="32"/>
        </w:rPr>
        <w:t>及安全保卫工作，创造良好的育人环境。</w:t>
      </w:r>
    </w:p>
    <w:p>
      <w:pPr>
        <w:pStyle w:val="5"/>
        <w:adjustRightInd w:val="0"/>
        <w:snapToGrid w:val="0"/>
        <w:spacing w:before="93" w:line="600" w:lineRule="exact"/>
        <w:ind w:firstLine="640" w:firstLineChars="200"/>
        <w:outlineLvl w:val="2"/>
        <w:rPr>
          <w:rFonts w:hint="eastAsia" w:hAnsi="仿宋" w:cs="仿宋_GB2312"/>
          <w:sz w:val="32"/>
          <w:szCs w:val="32"/>
        </w:rPr>
      </w:pPr>
      <w:bookmarkStart w:id="29" w:name="_Toc5818"/>
      <w:r>
        <w:rPr>
          <w:rFonts w:hint="eastAsia" w:hAnsi="仿宋" w:cs="仿宋_GB2312"/>
          <w:sz w:val="32"/>
          <w:szCs w:val="32"/>
        </w:rPr>
        <w:t>⑧遂宁市船山区新盐市街小学校是一所事业单位，服务育才路办事处等辖区义务教育工作，隶属遂宁市船山区教育</w:t>
      </w:r>
      <w:r>
        <w:rPr>
          <w:rFonts w:hint="eastAsia" w:hAnsi="仿宋" w:cs="仿宋_GB2312"/>
          <w:sz w:val="32"/>
          <w:szCs w:val="32"/>
          <w:lang w:val="en-US" w:eastAsia="zh-CN"/>
        </w:rPr>
        <w:t>和</w:t>
      </w:r>
      <w:r>
        <w:rPr>
          <w:rFonts w:hint="eastAsia" w:hAnsi="仿宋" w:cs="仿宋_GB2312"/>
          <w:sz w:val="32"/>
          <w:szCs w:val="32"/>
        </w:rPr>
        <w:t>体育局。学校财务由区财政统一预算，纳入国库集中支付管理范围，实行区财政核算中心教育分中心统一核算。</w:t>
      </w:r>
      <w:bookmarkEnd w:id="29"/>
    </w:p>
    <w:p>
      <w:pPr>
        <w:pStyle w:val="5"/>
        <w:adjustRightInd w:val="0"/>
        <w:snapToGrid w:val="0"/>
        <w:spacing w:before="93" w:line="600" w:lineRule="exact"/>
        <w:ind w:firstLine="640" w:firstLineChars="200"/>
        <w:outlineLvl w:val="2"/>
        <w:rPr>
          <w:rFonts w:hint="eastAsia" w:hAnsi="仿宋" w:cs="仿宋_GB2312"/>
          <w:sz w:val="32"/>
          <w:szCs w:val="32"/>
        </w:rPr>
      </w:pPr>
    </w:p>
    <w:p>
      <w:pPr>
        <w:pStyle w:val="3"/>
        <w:rPr>
          <w:rFonts w:ascii="黑体" w:hAnsi="黑体" w:eastAsia="黑体"/>
          <w:b w:val="0"/>
        </w:rPr>
      </w:pPr>
      <w:r>
        <w:rPr>
          <w:rFonts w:hint="eastAsia" w:ascii="黑体" w:hAnsi="黑体" w:eastAsia="黑体"/>
          <w:b w:val="0"/>
        </w:rPr>
        <w:t>二、机构设置</w:t>
      </w:r>
      <w:bookmarkEnd w:id="27"/>
      <w:bookmarkEnd w:id="28"/>
    </w:p>
    <w:bookmarkEnd w:id="25"/>
    <w:bookmarkEnd w:id="26"/>
    <w:p>
      <w:pPr>
        <w:widowControl/>
        <w:spacing w:line="560" w:lineRule="atLeast"/>
        <w:ind w:firstLine="579" w:firstLineChars="181"/>
        <w:jc w:val="left"/>
        <w:rPr>
          <w:rFonts w:ascii="仿宋_GB2312" w:hAnsi="仿宋" w:eastAsia="仿宋_GB2312"/>
          <w:sz w:val="32"/>
          <w:szCs w:val="32"/>
        </w:rPr>
      </w:pPr>
      <w:r>
        <w:rPr>
          <w:rFonts w:hint="eastAsia" w:ascii="仿宋_GB2312" w:hAnsi="仿宋" w:eastAsia="仿宋_GB2312" w:cs="仿宋_GB2312"/>
          <w:sz w:val="32"/>
          <w:szCs w:val="32"/>
        </w:rPr>
        <w:t>遂宁市船山区新盐市街小学校</w:t>
      </w:r>
      <w:r>
        <w:rPr>
          <w:rFonts w:hint="eastAsia" w:ascii="仿宋_GB2312" w:hAnsi="仿宋" w:eastAsia="仿宋_GB2312" w:cs="仿宋_GB2312"/>
          <w:sz w:val="32"/>
          <w:szCs w:val="32"/>
          <w:lang w:val="en-US" w:eastAsia="zh-CN"/>
        </w:rPr>
        <w:t>为</w:t>
      </w:r>
      <w:r>
        <w:rPr>
          <w:rFonts w:hint="eastAsia" w:ascii="仿宋" w:hAnsi="仿宋" w:eastAsia="仿宋"/>
          <w:sz w:val="32"/>
          <w:szCs w:val="32"/>
        </w:rPr>
        <w:t>区教育</w:t>
      </w:r>
      <w:r>
        <w:rPr>
          <w:rFonts w:hint="eastAsia" w:ascii="仿宋" w:hAnsi="仿宋" w:eastAsia="仿宋"/>
          <w:sz w:val="32"/>
          <w:szCs w:val="32"/>
          <w:lang w:val="en-US" w:eastAsia="zh-CN"/>
        </w:rPr>
        <w:t>和</w:t>
      </w:r>
      <w:r>
        <w:rPr>
          <w:rFonts w:hint="eastAsia" w:ascii="仿宋" w:hAnsi="仿宋" w:eastAsia="仿宋"/>
          <w:sz w:val="32"/>
          <w:szCs w:val="32"/>
        </w:rPr>
        <w:t>体育局</w:t>
      </w:r>
      <w:r>
        <w:rPr>
          <w:rFonts w:ascii="仿宋" w:hAnsi="仿宋" w:eastAsia="仿宋"/>
          <w:sz w:val="32"/>
          <w:szCs w:val="32"/>
        </w:rPr>
        <w:t>下属二级预算单位</w:t>
      </w:r>
      <w:r>
        <w:rPr>
          <w:rFonts w:hint="eastAsia" w:ascii="仿宋" w:hAnsi="仿宋" w:eastAsia="仿宋"/>
          <w:sz w:val="32"/>
          <w:szCs w:val="32"/>
        </w:rPr>
        <w:t>，本单位无下属预算单位。</w:t>
      </w:r>
    </w:p>
    <w:p>
      <w:pPr>
        <w:widowControl/>
        <w:ind w:firstLine="640"/>
        <w:jc w:val="left"/>
        <w:rPr>
          <w:rFonts w:ascii="仿宋" w:hAnsi="仿宋" w:eastAsia="仿宋"/>
          <w:kern w:val="0"/>
          <w:sz w:val="32"/>
          <w:szCs w:val="32"/>
        </w:rPr>
      </w:pPr>
      <w:r>
        <w:rPr>
          <w:rFonts w:ascii="仿宋" w:hAnsi="仿宋" w:eastAsia="仿宋"/>
          <w:sz w:val="32"/>
          <w:szCs w:val="32"/>
        </w:rPr>
        <w:br w:type="page"/>
      </w:r>
    </w:p>
    <w:p>
      <w:pPr>
        <w:pStyle w:val="2"/>
        <w:ind w:right="440"/>
        <w:jc w:val="center"/>
        <w:rPr>
          <w:rStyle w:val="24"/>
          <w:rFonts w:ascii="黑体" w:hAnsi="黑体" w:eastAsia="黑体"/>
          <w:b w:val="0"/>
          <w:bCs/>
        </w:rPr>
      </w:pPr>
      <w:bookmarkStart w:id="30" w:name="_Toc1676"/>
      <w:bookmarkStart w:id="31" w:name="_Toc15396602"/>
      <w:bookmarkStart w:id="32" w:name="_Toc15377204"/>
      <w:bookmarkStart w:id="33" w:name="_Toc27397"/>
      <w:r>
        <w:rPr>
          <w:rFonts w:hint="eastAsia" w:ascii="黑体" w:hAnsi="黑体" w:eastAsia="黑体"/>
          <w:b w:val="0"/>
        </w:rPr>
        <w:t>第二部分 202</w:t>
      </w:r>
      <w:r>
        <w:rPr>
          <w:rFonts w:hint="eastAsia" w:ascii="黑体" w:hAnsi="黑体" w:eastAsia="黑体"/>
          <w:b w:val="0"/>
          <w:lang w:val="en-US" w:eastAsia="zh-CN"/>
        </w:rPr>
        <w:t>3</w:t>
      </w:r>
      <w:r>
        <w:rPr>
          <w:rFonts w:hint="eastAsia" w:ascii="黑体" w:hAnsi="黑体" w:eastAsia="黑体"/>
          <w:b w:val="0"/>
        </w:rPr>
        <w:t>年度</w:t>
      </w:r>
      <w:r>
        <w:rPr>
          <w:rStyle w:val="24"/>
          <w:rFonts w:hint="eastAsia" w:ascii="黑体" w:hAnsi="黑体" w:eastAsia="黑体"/>
          <w:b w:val="0"/>
          <w:bCs/>
        </w:rPr>
        <w:t>单位决算情况说明</w:t>
      </w:r>
      <w:bookmarkEnd w:id="30"/>
      <w:bookmarkEnd w:id="31"/>
      <w:bookmarkEnd w:id="32"/>
      <w:bookmarkEnd w:id="33"/>
    </w:p>
    <w:p/>
    <w:p>
      <w:pPr>
        <w:pStyle w:val="23"/>
        <w:numPr>
          <w:ilvl w:val="0"/>
          <w:numId w:val="2"/>
        </w:numPr>
        <w:spacing w:line="600" w:lineRule="exact"/>
        <w:ind w:firstLineChars="0"/>
        <w:outlineLvl w:val="1"/>
        <w:rPr>
          <w:rStyle w:val="25"/>
          <w:rFonts w:ascii="黑体" w:hAnsi="黑体" w:eastAsia="黑体"/>
          <w:b w:val="0"/>
        </w:rPr>
      </w:pPr>
      <w:bookmarkStart w:id="34" w:name="_Toc15377205"/>
      <w:bookmarkStart w:id="35" w:name="_Toc6102"/>
      <w:bookmarkStart w:id="36" w:name="_Toc15396603"/>
      <w:bookmarkStart w:id="37" w:name="_Toc12369"/>
      <w:r>
        <w:rPr>
          <w:rFonts w:hint="eastAsia" w:ascii="黑体" w:hAnsi="黑体" w:eastAsia="黑体"/>
          <w:sz w:val="32"/>
          <w:szCs w:val="32"/>
        </w:rPr>
        <w:t>收</w:t>
      </w:r>
      <w:r>
        <w:rPr>
          <w:rStyle w:val="25"/>
          <w:rFonts w:hint="eastAsia" w:ascii="黑体" w:hAnsi="黑体" w:eastAsia="黑体"/>
          <w:b w:val="0"/>
        </w:rPr>
        <w:t>入支出决算总体情况说明</w:t>
      </w:r>
      <w:bookmarkEnd w:id="34"/>
      <w:bookmarkEnd w:id="35"/>
      <w:bookmarkEnd w:id="36"/>
      <w:bookmarkEnd w:id="37"/>
    </w:p>
    <w:p>
      <w:pPr>
        <w:spacing w:line="600" w:lineRule="exact"/>
        <w:ind w:firstLine="960" w:firstLineChars="3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年度收、支总计1,271.85万元。与202</w:t>
      </w:r>
      <w:r>
        <w:rPr>
          <w:rFonts w:hint="eastAsia" w:ascii="仿宋" w:hAnsi="仿宋" w:eastAsia="仿宋"/>
          <w:sz w:val="32"/>
          <w:szCs w:val="32"/>
          <w:lang w:val="en-US" w:eastAsia="zh-CN"/>
        </w:rPr>
        <w:t>2</w:t>
      </w:r>
      <w:r>
        <w:rPr>
          <w:rFonts w:hint="eastAsia" w:ascii="仿宋" w:hAnsi="仿宋" w:eastAsia="仿宋"/>
          <w:sz w:val="32"/>
          <w:szCs w:val="32"/>
        </w:rPr>
        <w:t>年相比，收、支总计各增加</w:t>
      </w:r>
      <w:r>
        <w:rPr>
          <w:rFonts w:hint="eastAsia" w:ascii="仿宋" w:hAnsi="仿宋" w:eastAsia="仿宋"/>
          <w:sz w:val="32"/>
          <w:szCs w:val="32"/>
          <w:lang w:val="en-US" w:eastAsia="zh-CN"/>
        </w:rPr>
        <w:t>96.53</w:t>
      </w:r>
      <w:r>
        <w:rPr>
          <w:rFonts w:hint="eastAsia" w:ascii="仿宋" w:hAnsi="仿宋" w:eastAsia="仿宋"/>
          <w:sz w:val="32"/>
          <w:szCs w:val="32"/>
        </w:rPr>
        <w:t>万元，增长</w:t>
      </w:r>
      <w:r>
        <w:rPr>
          <w:rFonts w:hint="eastAsia" w:ascii="仿宋" w:hAnsi="仿宋" w:eastAsia="仿宋"/>
          <w:sz w:val="32"/>
          <w:szCs w:val="32"/>
          <w:lang w:val="en-US" w:eastAsia="zh-CN"/>
        </w:rPr>
        <w:t>7.59</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rPr>
        <w:t>本年其他收入增加</w:t>
      </w:r>
      <w:r>
        <w:rPr>
          <w:rFonts w:hint="eastAsia" w:ascii="仿宋" w:hAnsi="仿宋" w:eastAsia="仿宋"/>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61312" behindDoc="0" locked="0" layoutInCell="1" allowOverlap="1">
            <wp:simplePos x="0" y="0"/>
            <wp:positionH relativeFrom="column">
              <wp:posOffset>512445</wp:posOffset>
            </wp:positionH>
            <wp:positionV relativeFrom="paragraph">
              <wp:posOffset>17145</wp:posOffset>
            </wp:positionV>
            <wp:extent cx="3534410" cy="1893570"/>
            <wp:effectExtent l="4445" t="4445" r="12065" b="6985"/>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rPr>
          <w:rFonts w:ascii="仿宋" w:hAnsi="仿宋" w:eastAsia="仿宋"/>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38" w:name="_Toc10027"/>
      <w:bookmarkStart w:id="39" w:name="_Toc15377206"/>
      <w:bookmarkStart w:id="40" w:name="_Toc15396604"/>
      <w:bookmarkStart w:id="41" w:name="_Toc28945"/>
      <w:r>
        <w:rPr>
          <w:rFonts w:hint="eastAsia" w:ascii="黑体" w:hAnsi="黑体" w:eastAsia="黑体"/>
          <w:sz w:val="32"/>
          <w:szCs w:val="32"/>
        </w:rPr>
        <w:t>收</w:t>
      </w:r>
      <w:r>
        <w:rPr>
          <w:rStyle w:val="25"/>
          <w:rFonts w:hint="eastAsia" w:ascii="黑体" w:hAnsi="黑体" w:eastAsia="黑体"/>
          <w:b w:val="0"/>
        </w:rPr>
        <w:t>入决算情况说明</w:t>
      </w:r>
      <w:bookmarkEnd w:id="38"/>
      <w:bookmarkEnd w:id="39"/>
      <w:bookmarkEnd w:id="40"/>
      <w:bookmarkEnd w:id="41"/>
    </w:p>
    <w:p>
      <w:pPr>
        <w:spacing w:line="600" w:lineRule="exact"/>
        <w:ind w:firstLine="640" w:firstLineChars="200"/>
        <w:outlineLvl w:val="1"/>
        <w:rPr>
          <w:rFonts w:hint="eastAsia" w:ascii="仿宋" w:hAnsi="仿宋" w:eastAsia="仿宋"/>
          <w:sz w:val="32"/>
          <w:szCs w:val="32"/>
          <w:lang w:eastAsia="zh-CN"/>
        </w:rPr>
      </w:pPr>
      <w:bookmarkStart w:id="42" w:name="_Toc14406"/>
      <w:bookmarkStart w:id="43" w:name="_Toc25552"/>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本年收入合计</w:t>
      </w:r>
      <w:r>
        <w:rPr>
          <w:rFonts w:hint="eastAsia" w:ascii="仿宋" w:hAnsi="仿宋" w:eastAsia="仿宋"/>
          <w:sz w:val="32"/>
          <w:szCs w:val="32"/>
          <w:lang w:val="en-US" w:eastAsia="zh-CN"/>
        </w:rPr>
        <w:t>1240.39</w:t>
      </w:r>
      <w:r>
        <w:rPr>
          <w:rFonts w:hint="eastAsia" w:ascii="仿宋" w:hAnsi="仿宋" w:eastAsia="仿宋"/>
          <w:sz w:val="32"/>
          <w:szCs w:val="32"/>
        </w:rPr>
        <w:t>万元，其中：一般公共预算财政拨款收入1,016.86万元，占</w:t>
      </w:r>
      <w:r>
        <w:rPr>
          <w:rFonts w:hint="eastAsia" w:ascii="仿宋" w:hAnsi="仿宋" w:eastAsia="仿宋"/>
          <w:sz w:val="32"/>
          <w:szCs w:val="32"/>
          <w:lang w:val="en-US" w:eastAsia="zh-CN"/>
        </w:rPr>
        <w:t>81.98</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223.53</w:t>
      </w:r>
      <w:r>
        <w:rPr>
          <w:rFonts w:hint="eastAsia" w:ascii="仿宋" w:hAnsi="仿宋" w:eastAsia="仿宋"/>
          <w:sz w:val="32"/>
          <w:szCs w:val="32"/>
        </w:rPr>
        <w:t>万元，占</w:t>
      </w:r>
      <w:r>
        <w:rPr>
          <w:rFonts w:hint="eastAsia" w:ascii="仿宋" w:hAnsi="仿宋" w:eastAsia="仿宋"/>
          <w:sz w:val="32"/>
          <w:szCs w:val="32"/>
          <w:lang w:val="en-US" w:eastAsia="zh-CN"/>
        </w:rPr>
        <w:t>18.02</w:t>
      </w:r>
      <w:r>
        <w:rPr>
          <w:rFonts w:ascii="仿宋" w:hAnsi="仿宋" w:eastAsia="仿宋"/>
          <w:sz w:val="32"/>
          <w:szCs w:val="32"/>
        </w:rPr>
        <w:t>%</w:t>
      </w:r>
      <w:bookmarkEnd w:id="42"/>
      <w:bookmarkEnd w:id="43"/>
      <w:r>
        <w:rPr>
          <w:rFonts w:hint="eastAsia" w:ascii="仿宋" w:hAnsi="仿宋" w:eastAsia="仿宋"/>
          <w:sz w:val="32"/>
          <w:szCs w:val="32"/>
          <w:lang w:eastAsia="zh-CN"/>
        </w:rPr>
        <w:t>。</w:t>
      </w:r>
    </w:p>
    <w:p>
      <w:pPr>
        <w:spacing w:line="600" w:lineRule="exact"/>
        <w:ind w:firstLine="420" w:firstLineChars="200"/>
        <w:rPr>
          <w:rFonts w:ascii="仿宋" w:hAnsi="仿宋" w:eastAsia="仿宋"/>
          <w:sz w:val="32"/>
          <w:szCs w:val="32"/>
        </w:rPr>
      </w:pPr>
      <w:r>
        <w:drawing>
          <wp:anchor distT="0" distB="0" distL="114300" distR="114300" simplePos="0" relativeHeight="251666432" behindDoc="0" locked="0" layoutInCell="1" allowOverlap="1">
            <wp:simplePos x="0" y="0"/>
            <wp:positionH relativeFrom="column">
              <wp:posOffset>446405</wp:posOffset>
            </wp:positionH>
            <wp:positionV relativeFrom="paragraph">
              <wp:posOffset>57785</wp:posOffset>
            </wp:positionV>
            <wp:extent cx="4385945" cy="2055495"/>
            <wp:effectExtent l="4445" t="4445" r="13970" b="12700"/>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1920" w:firstLineChars="600"/>
        <w:rPr>
          <w:rFonts w:ascii="仿宋_GB2312" w:eastAsia="仿宋_GB2312"/>
          <w:sz w:val="32"/>
          <w:szCs w:val="32"/>
        </w:rPr>
      </w:pPr>
      <w:r>
        <w:rPr>
          <w:rFonts w:hint="eastAsia" w:ascii="仿宋" w:hAnsi="仿宋" w:eastAsia="仿宋"/>
          <w:sz w:val="32"/>
          <w:szCs w:val="32"/>
        </w:rPr>
        <w:t>（图2：收入决算结构图）（饼状图）</w:t>
      </w:r>
    </w:p>
    <w:p>
      <w:pPr>
        <w:pStyle w:val="23"/>
        <w:numPr>
          <w:ilvl w:val="0"/>
          <w:numId w:val="2"/>
        </w:numPr>
        <w:spacing w:line="600" w:lineRule="exact"/>
        <w:ind w:firstLineChars="0"/>
        <w:outlineLvl w:val="1"/>
        <w:rPr>
          <w:rStyle w:val="25"/>
          <w:rFonts w:ascii="黑体" w:hAnsi="黑体" w:eastAsia="黑体"/>
          <w:b w:val="0"/>
        </w:rPr>
      </w:pPr>
      <w:bookmarkStart w:id="44" w:name="_Toc15207"/>
      <w:bookmarkStart w:id="45" w:name="_Toc15377207"/>
      <w:bookmarkStart w:id="46" w:name="_Toc10741"/>
      <w:bookmarkStart w:id="47" w:name="_Toc15396605"/>
      <w:r>
        <w:rPr>
          <w:rFonts w:hint="eastAsia" w:ascii="黑体" w:hAnsi="黑体" w:eastAsia="黑体"/>
          <w:sz w:val="32"/>
          <w:szCs w:val="32"/>
        </w:rPr>
        <w:t>支</w:t>
      </w:r>
      <w:r>
        <w:rPr>
          <w:rStyle w:val="25"/>
          <w:rFonts w:hint="eastAsia" w:ascii="黑体" w:hAnsi="黑体" w:eastAsia="黑体"/>
          <w:b w:val="0"/>
        </w:rPr>
        <w:t>出决算情况说明</w:t>
      </w:r>
      <w:bookmarkEnd w:id="44"/>
      <w:bookmarkEnd w:id="45"/>
      <w:bookmarkEnd w:id="46"/>
      <w:bookmarkEnd w:id="47"/>
    </w:p>
    <w:p>
      <w:pPr>
        <w:spacing w:line="600" w:lineRule="exact"/>
        <w:ind w:firstLine="640" w:firstLineChars="200"/>
        <w:outlineLvl w:val="1"/>
        <w:rPr>
          <w:rFonts w:ascii="仿宋" w:hAnsi="仿宋" w:eastAsia="仿宋"/>
          <w:sz w:val="32"/>
          <w:szCs w:val="32"/>
        </w:rPr>
      </w:pPr>
      <w:bookmarkStart w:id="48" w:name="_Toc29560"/>
      <w:bookmarkStart w:id="49" w:name="_Toc1082"/>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本年支出合计1,206.49万元，其中：基本支出896.05万元，占</w:t>
      </w:r>
      <w:r>
        <w:rPr>
          <w:rFonts w:hint="eastAsia" w:ascii="仿宋" w:hAnsi="仿宋" w:eastAsia="仿宋"/>
          <w:sz w:val="32"/>
          <w:szCs w:val="32"/>
          <w:lang w:val="en-US" w:eastAsia="zh-CN"/>
        </w:rPr>
        <w:t>74.27</w:t>
      </w:r>
      <w:r>
        <w:rPr>
          <w:rFonts w:ascii="仿宋" w:hAnsi="仿宋" w:eastAsia="仿宋"/>
          <w:sz w:val="32"/>
          <w:szCs w:val="32"/>
        </w:rPr>
        <w:t>%</w:t>
      </w:r>
      <w:r>
        <w:rPr>
          <w:rFonts w:hint="eastAsia" w:ascii="仿宋" w:hAnsi="仿宋" w:eastAsia="仿宋"/>
          <w:sz w:val="32"/>
          <w:szCs w:val="32"/>
        </w:rPr>
        <w:t>；项目支出310.44万元，占</w:t>
      </w:r>
      <w:r>
        <w:rPr>
          <w:rFonts w:hint="eastAsia" w:ascii="仿宋" w:hAnsi="仿宋" w:eastAsia="仿宋"/>
          <w:sz w:val="32"/>
          <w:szCs w:val="32"/>
          <w:lang w:val="en-US" w:eastAsia="zh-CN"/>
        </w:rPr>
        <w:t>25.73</w:t>
      </w:r>
      <w:r>
        <w:rPr>
          <w:rFonts w:ascii="仿宋" w:hAnsi="仿宋" w:eastAsia="仿宋"/>
          <w:sz w:val="32"/>
          <w:szCs w:val="32"/>
        </w:rPr>
        <w:t>%</w:t>
      </w:r>
      <w:r>
        <w:rPr>
          <w:rFonts w:hint="eastAsia" w:ascii="仿宋" w:hAnsi="仿宋" w:eastAsia="仿宋"/>
          <w:sz w:val="32"/>
          <w:szCs w:val="32"/>
        </w:rPr>
        <w:t>。</w:t>
      </w:r>
      <w:bookmarkEnd w:id="48"/>
      <w:bookmarkEnd w:id="49"/>
    </w:p>
    <w:p>
      <w:pPr>
        <w:spacing w:line="600" w:lineRule="exact"/>
        <w:ind w:firstLine="640"/>
        <w:rPr>
          <w:rFonts w:ascii="仿宋" w:hAnsi="仿宋" w:eastAsia="仿宋"/>
          <w:sz w:val="32"/>
          <w:szCs w:val="32"/>
          <w:shd w:val="pct10" w:color="auto" w:fill="FFFFFF"/>
        </w:rPr>
      </w:pPr>
      <w:r>
        <w:drawing>
          <wp:anchor distT="0" distB="0" distL="114300" distR="114300" simplePos="0" relativeHeight="251662336" behindDoc="0" locked="0" layoutInCell="1" allowOverlap="1">
            <wp:simplePos x="0" y="0"/>
            <wp:positionH relativeFrom="column">
              <wp:posOffset>1148080</wp:posOffset>
            </wp:positionH>
            <wp:positionV relativeFrom="paragraph">
              <wp:posOffset>52705</wp:posOffset>
            </wp:positionV>
            <wp:extent cx="2735580" cy="1807845"/>
            <wp:effectExtent l="4445" t="4445" r="18415" b="1651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1920" w:firstLineChars="6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50" w:name="_Toc19580"/>
      <w:bookmarkStart w:id="51" w:name="_Toc15377208"/>
      <w:bookmarkStart w:id="52" w:name="_Toc15396606"/>
      <w:bookmarkStart w:id="53" w:name="_Toc25564"/>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50"/>
      <w:bookmarkEnd w:id="51"/>
      <w:bookmarkEnd w:id="52"/>
      <w:bookmarkEnd w:id="53"/>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财政拨款收、支总计1,016.86万元。与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年相比，财政拨款收、支总计各</w:t>
      </w:r>
      <w:r>
        <w:rPr>
          <w:rFonts w:hint="eastAsia" w:ascii="仿宋" w:hAnsi="仿宋" w:eastAsia="仿宋"/>
          <w:sz w:val="32"/>
          <w:szCs w:val="32"/>
          <w:lang w:val="en-US" w:eastAsia="zh-CN"/>
        </w:rPr>
        <w:t>减少57.09</w:t>
      </w:r>
      <w:r>
        <w:rPr>
          <w:rFonts w:hint="eastAsia" w:ascii="仿宋" w:hAnsi="仿宋" w:eastAsia="仿宋"/>
          <w:sz w:val="32"/>
          <w:szCs w:val="32"/>
        </w:rPr>
        <w:t>万元，</w:t>
      </w:r>
      <w:r>
        <w:rPr>
          <w:rFonts w:hint="eastAsia" w:ascii="仿宋" w:hAnsi="仿宋" w:eastAsia="仿宋"/>
          <w:sz w:val="32"/>
          <w:szCs w:val="32"/>
          <w:lang w:val="en-US" w:eastAsia="zh-CN"/>
        </w:rPr>
        <w:t>减少5.61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主要变动原因</w:t>
      </w:r>
      <w:r>
        <w:rPr>
          <w:rFonts w:hint="eastAsia" w:ascii="仿宋" w:hAnsi="仿宋" w:eastAsia="仿宋"/>
          <w:color w:val="000000"/>
          <w:sz w:val="32"/>
          <w:szCs w:val="32"/>
          <w:highlight w:val="none"/>
        </w:rPr>
        <w:t>是本年</w:t>
      </w:r>
      <w:r>
        <w:rPr>
          <w:rFonts w:hint="eastAsia" w:ascii="仿宋" w:hAnsi="仿宋" w:eastAsia="仿宋"/>
          <w:color w:val="000000"/>
          <w:sz w:val="32"/>
          <w:szCs w:val="32"/>
          <w:highlight w:val="none"/>
          <w:lang w:val="en-US" w:eastAsia="zh-CN"/>
        </w:rPr>
        <w:t>度</w:t>
      </w:r>
      <w:r>
        <w:rPr>
          <w:rFonts w:hint="eastAsia" w:ascii="仿宋" w:hAnsi="仿宋" w:eastAsia="仿宋"/>
          <w:color w:val="000000"/>
          <w:sz w:val="32"/>
          <w:szCs w:val="32"/>
          <w:highlight w:val="none"/>
        </w:rPr>
        <w:t>人员经费</w:t>
      </w:r>
      <w:r>
        <w:rPr>
          <w:rFonts w:hint="eastAsia" w:ascii="仿宋" w:hAnsi="仿宋" w:eastAsia="仿宋"/>
          <w:color w:val="000000"/>
          <w:sz w:val="32"/>
          <w:szCs w:val="32"/>
          <w:highlight w:val="none"/>
          <w:lang w:val="en-US" w:eastAsia="zh-CN"/>
        </w:rPr>
        <w:t>中对个人和家庭的补助中的抚恤金和其他对个人和家庭的补助减少</w:t>
      </w:r>
      <w:r>
        <w:rPr>
          <w:rFonts w:hint="eastAsia" w:ascii="仿宋" w:hAnsi="仿宋" w:eastAsia="仿宋"/>
          <w:color w:val="000000"/>
          <w:sz w:val="32"/>
          <w:szCs w:val="32"/>
          <w:highlight w:val="none"/>
        </w:rPr>
        <w:t>。</w:t>
      </w:r>
    </w:p>
    <w:p>
      <w:pPr>
        <w:spacing w:line="600" w:lineRule="exact"/>
      </w:pPr>
      <w:r>
        <w:drawing>
          <wp:anchor distT="0" distB="0" distL="114300" distR="114300" simplePos="0" relativeHeight="251663360" behindDoc="0" locked="0" layoutInCell="1" allowOverlap="1">
            <wp:simplePos x="0" y="0"/>
            <wp:positionH relativeFrom="column">
              <wp:posOffset>988695</wp:posOffset>
            </wp:positionH>
            <wp:positionV relativeFrom="paragraph">
              <wp:posOffset>143510</wp:posOffset>
            </wp:positionV>
            <wp:extent cx="4088765" cy="2022475"/>
            <wp:effectExtent l="4445" t="4445" r="6350" b="15240"/>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54" w:name="_Toc29205"/>
      <w:bookmarkStart w:id="55" w:name="_Toc15396607"/>
      <w:bookmarkStart w:id="56" w:name="_Toc15377209"/>
      <w:bookmarkStart w:id="57" w:name="_Toc587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54"/>
      <w:bookmarkEnd w:id="55"/>
      <w:bookmarkEnd w:id="56"/>
      <w:bookmarkEnd w:id="57"/>
    </w:p>
    <w:p>
      <w:pPr>
        <w:spacing w:line="600" w:lineRule="exact"/>
        <w:ind w:firstLine="643" w:firstLineChars="200"/>
        <w:outlineLvl w:val="2"/>
        <w:rPr>
          <w:rFonts w:ascii="仿宋" w:hAnsi="仿宋" w:eastAsia="仿宋"/>
          <w:b/>
          <w:sz w:val="32"/>
          <w:szCs w:val="32"/>
        </w:rPr>
      </w:pPr>
      <w:bookmarkStart w:id="58" w:name="_Toc15377210"/>
      <w:bookmarkStart w:id="59" w:name="_Toc28072"/>
      <w:r>
        <w:rPr>
          <w:rFonts w:hint="eastAsia" w:ascii="仿宋" w:hAnsi="仿宋" w:eastAsia="仿宋"/>
          <w:b/>
          <w:sz w:val="32"/>
          <w:szCs w:val="32"/>
        </w:rPr>
        <w:t>（一）一般公共预算财政拨款支出决算总体情况</w:t>
      </w:r>
      <w:bookmarkEnd w:id="58"/>
      <w:bookmarkEnd w:id="59"/>
    </w:p>
    <w:p>
      <w:pPr>
        <w:spacing w:line="600" w:lineRule="exact"/>
        <w:ind w:firstLine="640" w:firstLineChars="200"/>
        <w:rPr>
          <w:rFonts w:ascii="仿宋" w:hAnsi="仿宋" w:eastAsia="仿宋"/>
          <w:color w:val="000000"/>
          <w:sz w:val="32"/>
          <w:szCs w:val="32"/>
          <w:highlight w:val="yellow"/>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一般公共预算财政拨款支出</w:t>
      </w:r>
      <w:r>
        <w:rPr>
          <w:rFonts w:hint="eastAsia" w:ascii="仿宋" w:hAnsi="仿宋" w:eastAsia="仿宋"/>
          <w:sz w:val="32"/>
          <w:szCs w:val="32"/>
          <w:lang w:val="en-US" w:eastAsia="zh-CN"/>
        </w:rPr>
        <w:t>1016.86</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相比，一般公共预算财政拨款支出</w:t>
      </w:r>
      <w:r>
        <w:rPr>
          <w:rFonts w:hint="eastAsia" w:ascii="仿宋" w:hAnsi="仿宋" w:eastAsia="仿宋"/>
          <w:sz w:val="32"/>
          <w:szCs w:val="32"/>
          <w:lang w:val="en-US" w:eastAsia="zh-CN"/>
        </w:rPr>
        <w:t>减少57.09</w:t>
      </w:r>
      <w:r>
        <w:rPr>
          <w:rFonts w:hint="eastAsia" w:ascii="仿宋" w:hAnsi="仿宋" w:eastAsia="仿宋"/>
          <w:sz w:val="32"/>
          <w:szCs w:val="32"/>
        </w:rPr>
        <w:t>万元，</w:t>
      </w:r>
      <w:r>
        <w:rPr>
          <w:rFonts w:hint="eastAsia" w:ascii="仿宋" w:hAnsi="仿宋" w:eastAsia="仿宋"/>
          <w:sz w:val="32"/>
          <w:szCs w:val="32"/>
          <w:lang w:val="en-US" w:eastAsia="zh-CN"/>
        </w:rPr>
        <w:t>减少5.61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主要变动原因是</w:t>
      </w:r>
      <w:r>
        <w:rPr>
          <w:rFonts w:hint="eastAsia" w:ascii="仿宋" w:hAnsi="仿宋" w:eastAsia="仿宋"/>
          <w:color w:val="000000"/>
          <w:sz w:val="32"/>
          <w:szCs w:val="32"/>
          <w:highlight w:val="none"/>
        </w:rPr>
        <w:t>人员经费</w:t>
      </w:r>
      <w:r>
        <w:rPr>
          <w:rFonts w:hint="eastAsia" w:ascii="仿宋" w:hAnsi="仿宋" w:eastAsia="仿宋"/>
          <w:color w:val="000000"/>
          <w:sz w:val="32"/>
          <w:szCs w:val="32"/>
          <w:highlight w:val="none"/>
          <w:lang w:val="en-US" w:eastAsia="zh-CN"/>
        </w:rPr>
        <w:t>减少</w:t>
      </w:r>
      <w:r>
        <w:rPr>
          <w:rFonts w:hint="eastAsia" w:ascii="仿宋" w:hAnsi="仿宋" w:eastAsia="仿宋"/>
          <w:color w:val="000000"/>
          <w:sz w:val="32"/>
          <w:szCs w:val="32"/>
          <w:highlight w:val="none"/>
        </w:rPr>
        <w:t>。</w:t>
      </w:r>
    </w:p>
    <w:p>
      <w:pPr>
        <w:spacing w:line="600" w:lineRule="exact"/>
        <w:ind w:firstLine="420" w:firstLineChars="200"/>
        <w:rPr>
          <w:rFonts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575310</wp:posOffset>
            </wp:positionH>
            <wp:positionV relativeFrom="paragraph">
              <wp:posOffset>80010</wp:posOffset>
            </wp:positionV>
            <wp:extent cx="3450590" cy="1732280"/>
            <wp:effectExtent l="4445" t="4445" r="19685" b="15875"/>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sz w:val="32"/>
          <w:szCs w:val="32"/>
        </w:rPr>
      </w:pPr>
    </w:p>
    <w:p>
      <w:pPr>
        <w:spacing w:line="600" w:lineRule="exact"/>
        <w:ind w:firstLine="320" w:firstLineChars="1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60" w:name="_Toc31465"/>
      <w:bookmarkStart w:id="61" w:name="_Toc15377211"/>
      <w:r>
        <w:rPr>
          <w:rFonts w:hint="eastAsia" w:ascii="仿宋" w:hAnsi="仿宋" w:eastAsia="仿宋"/>
          <w:b/>
          <w:sz w:val="32"/>
          <w:szCs w:val="32"/>
        </w:rPr>
        <w:t>（二）一般公共预算财政拨款支出决算结构情况</w:t>
      </w:r>
      <w:bookmarkEnd w:id="60"/>
      <w:bookmarkEnd w:id="6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一般公共预算财政拨款支出</w:t>
      </w:r>
      <w:r>
        <w:rPr>
          <w:rFonts w:hint="eastAsia" w:ascii="仿宋" w:hAnsi="仿宋" w:eastAsia="仿宋"/>
          <w:sz w:val="32"/>
          <w:szCs w:val="32"/>
          <w:lang w:val="en-US" w:eastAsia="zh-CN"/>
        </w:rPr>
        <w:t>1016.86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799.34万元，占</w:t>
      </w:r>
      <w:r>
        <w:rPr>
          <w:rFonts w:hint="eastAsia" w:ascii="仿宋" w:hAnsi="仿宋" w:eastAsia="仿宋"/>
          <w:sz w:val="32"/>
          <w:szCs w:val="32"/>
          <w:lang w:val="en-US" w:eastAsia="zh-CN"/>
        </w:rPr>
        <w:t>78.61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106.83万元，占</w:t>
      </w:r>
      <w:r>
        <w:rPr>
          <w:rFonts w:hint="eastAsia" w:ascii="仿宋" w:hAnsi="仿宋" w:eastAsia="仿宋"/>
          <w:sz w:val="32"/>
          <w:szCs w:val="32"/>
          <w:lang w:val="en-US" w:eastAsia="zh-CN"/>
        </w:rPr>
        <w:t>10.51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44.29万元，占4.</w:t>
      </w:r>
      <w:r>
        <w:rPr>
          <w:rFonts w:hint="eastAsia" w:ascii="仿宋" w:hAnsi="仿宋" w:eastAsia="仿宋"/>
          <w:sz w:val="32"/>
          <w:szCs w:val="32"/>
          <w:lang w:val="en-US" w:eastAsia="zh-CN"/>
        </w:rPr>
        <w:t>36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66.40万元，占</w:t>
      </w:r>
      <w:r>
        <w:rPr>
          <w:rFonts w:hint="eastAsia" w:ascii="仿宋" w:hAnsi="仿宋" w:eastAsia="仿宋"/>
          <w:sz w:val="32"/>
          <w:szCs w:val="32"/>
          <w:lang w:val="en-US" w:eastAsia="zh-CN"/>
        </w:rPr>
        <w:t>6.53</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drawing>
          <wp:anchor distT="0" distB="0" distL="114300" distR="114300" simplePos="0" relativeHeight="251665408" behindDoc="0" locked="0" layoutInCell="1" allowOverlap="1">
            <wp:simplePos x="0" y="0"/>
            <wp:positionH relativeFrom="column">
              <wp:posOffset>647065</wp:posOffset>
            </wp:positionH>
            <wp:positionV relativeFrom="paragraph">
              <wp:posOffset>141605</wp:posOffset>
            </wp:positionV>
            <wp:extent cx="3909060" cy="1811655"/>
            <wp:effectExtent l="4445" t="4445" r="18415" b="1270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640"/>
        <w:rPr>
          <w:rFonts w:ascii="仿宋" w:hAnsi="仿宋" w:eastAsia="仿宋"/>
          <w:sz w:val="32"/>
          <w:szCs w:val="32"/>
        </w:rPr>
      </w:pPr>
    </w:p>
    <w:p>
      <w:pPr>
        <w:spacing w:line="600" w:lineRule="exact"/>
        <w:ind w:firstLine="320" w:firstLineChars="100"/>
        <w:rPr>
          <w:rFonts w:ascii="仿宋" w:hAnsi="仿宋" w:eastAsia="仿宋"/>
          <w:sz w:val="32"/>
          <w:szCs w:val="32"/>
        </w:rPr>
      </w:pPr>
      <w:r>
        <w:rPr>
          <w:rFonts w:hint="eastAsia" w:ascii="仿宋" w:hAnsi="仿宋" w:eastAsia="仿宋"/>
          <w:sz w:val="32"/>
          <w:szCs w:val="32"/>
        </w:rPr>
        <w:t>（图6：一般公共预算财政拨款支出决算结构）（饼状图）</w:t>
      </w:r>
      <w:bookmarkStart w:id="62" w:name="_Toc15377212"/>
    </w:p>
    <w:p>
      <w:pPr>
        <w:spacing w:line="600" w:lineRule="exact"/>
        <w:ind w:firstLine="320" w:firstLineChars="1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63" w:name="_Toc15147"/>
      <w:r>
        <w:rPr>
          <w:rFonts w:hint="eastAsia" w:ascii="仿宋" w:hAnsi="仿宋" w:eastAsia="仿宋"/>
          <w:b/>
          <w:sz w:val="32"/>
          <w:szCs w:val="32"/>
        </w:rPr>
        <w:t>（三）一般公共预算财政拨款支出决算具体情况</w:t>
      </w:r>
      <w:bookmarkEnd w:id="62"/>
      <w:bookmarkEnd w:id="63"/>
    </w:p>
    <w:p>
      <w:pPr>
        <w:spacing w:line="600" w:lineRule="exact"/>
        <w:ind w:firstLine="643" w:firstLineChars="200"/>
        <w:outlineLvl w:val="1"/>
        <w:rPr>
          <w:rFonts w:ascii="仿宋" w:hAnsi="仿宋" w:eastAsia="仿宋"/>
          <w:sz w:val="32"/>
          <w:szCs w:val="32"/>
        </w:rPr>
      </w:pPr>
      <w:bookmarkStart w:id="64" w:name="_Toc15377213"/>
      <w:bookmarkStart w:id="65" w:name="_Toc15377444"/>
      <w:bookmarkStart w:id="66" w:name="_Toc15378460"/>
      <w:bookmarkStart w:id="67" w:name="_Toc5231"/>
      <w:bookmarkStart w:id="68" w:name="_Toc19080"/>
      <w:r>
        <w:rPr>
          <w:rFonts w:hint="eastAsia"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w:t>
      </w:r>
      <w:r>
        <w:rPr>
          <w:rFonts w:hint="eastAsia" w:ascii="仿宋" w:hAnsi="仿宋" w:eastAsia="仿宋"/>
          <w:b/>
          <w:sz w:val="32"/>
          <w:szCs w:val="32"/>
          <w:lang w:val="en-US" w:eastAsia="zh-CN"/>
        </w:rPr>
        <w:t>度</w:t>
      </w:r>
      <w:r>
        <w:rPr>
          <w:rFonts w:hint="eastAsia" w:ascii="仿宋" w:hAnsi="仿宋" w:eastAsia="仿宋"/>
          <w:b/>
          <w:sz w:val="32"/>
          <w:szCs w:val="32"/>
        </w:rPr>
        <w:t>一般公共预算支出决算数为</w:t>
      </w:r>
      <w:r>
        <w:rPr>
          <w:rFonts w:hint="eastAsia" w:ascii="仿宋" w:hAnsi="仿宋" w:eastAsia="仿宋"/>
          <w:b/>
          <w:sz w:val="32"/>
          <w:szCs w:val="32"/>
          <w:lang w:val="en-US" w:eastAsia="zh-CN"/>
        </w:rPr>
        <w:t>1016.86</w:t>
      </w:r>
      <w:r>
        <w:rPr>
          <w:rFonts w:hint="eastAsia" w:ascii="仿宋" w:hAnsi="仿宋" w:eastAsia="仿宋"/>
          <w:sz w:val="32"/>
          <w:szCs w:val="32"/>
        </w:rPr>
        <w:t>，</w:t>
      </w:r>
      <w:r>
        <w:rPr>
          <w:rStyle w:val="14"/>
          <w:rFonts w:hint="eastAsia" w:ascii="仿宋" w:hAnsi="仿宋" w:eastAsia="仿宋"/>
          <w:bCs/>
          <w:sz w:val="32"/>
          <w:szCs w:val="32"/>
        </w:rPr>
        <w:t>完成预算100</w:t>
      </w:r>
      <w:r>
        <w:rPr>
          <w:rStyle w:val="14"/>
          <w:rFonts w:ascii="仿宋" w:hAnsi="仿宋" w:eastAsia="仿宋"/>
          <w:bCs/>
          <w:sz w:val="32"/>
          <w:szCs w:val="32"/>
        </w:rPr>
        <w:t>%</w:t>
      </w:r>
      <w:r>
        <w:rPr>
          <w:rStyle w:val="14"/>
          <w:rFonts w:hint="eastAsia" w:ascii="仿宋" w:hAnsi="仿宋" w:eastAsia="仿宋"/>
          <w:bCs/>
          <w:sz w:val="32"/>
          <w:szCs w:val="32"/>
        </w:rPr>
        <w:t>。其中：</w:t>
      </w:r>
      <w:bookmarkEnd w:id="64"/>
      <w:bookmarkEnd w:id="65"/>
      <w:bookmarkEnd w:id="66"/>
      <w:bookmarkEnd w:id="67"/>
      <w:bookmarkEnd w:id="68"/>
    </w:p>
    <w:p>
      <w:pPr>
        <w:spacing w:line="600" w:lineRule="exact"/>
        <w:ind w:firstLine="643" w:firstLineChars="200"/>
        <w:outlineLvl w:val="2"/>
        <w:rPr>
          <w:rStyle w:val="14"/>
          <w:rFonts w:ascii="仿宋" w:hAnsi="仿宋" w:eastAsia="仿宋"/>
          <w:b w:val="0"/>
          <w:bCs/>
          <w:sz w:val="32"/>
          <w:szCs w:val="32"/>
        </w:rPr>
      </w:pPr>
      <w:bookmarkStart w:id="69" w:name="_Toc21368"/>
      <w:r>
        <w:rPr>
          <w:rFonts w:hint="eastAsia" w:ascii="仿宋_GB2312" w:hAnsi="仿宋" w:eastAsia="仿宋_GB2312"/>
          <w:b/>
          <w:sz w:val="32"/>
          <w:szCs w:val="32"/>
        </w:rPr>
        <w:t>1、教育支出（类）普通教育（款）小学教育（项）：</w:t>
      </w:r>
      <w:r>
        <w:rPr>
          <w:rStyle w:val="14"/>
          <w:rFonts w:hint="eastAsia" w:ascii="仿宋" w:hAnsi="仿宋" w:eastAsia="仿宋"/>
          <w:b w:val="0"/>
          <w:bCs/>
          <w:sz w:val="32"/>
          <w:szCs w:val="32"/>
        </w:rPr>
        <w:t>支出决算为799.34万元，完成预算100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bookmarkEnd w:id="69"/>
    </w:p>
    <w:p>
      <w:pPr>
        <w:spacing w:line="600" w:lineRule="exact"/>
        <w:ind w:firstLine="643" w:firstLineChars="200"/>
        <w:outlineLvl w:val="2"/>
        <w:rPr>
          <w:rStyle w:val="14"/>
          <w:rFonts w:ascii="仿宋" w:hAnsi="仿宋" w:eastAsia="仿宋"/>
          <w:b w:val="0"/>
          <w:bCs/>
          <w:sz w:val="32"/>
          <w:szCs w:val="32"/>
        </w:rPr>
      </w:pPr>
      <w:bookmarkStart w:id="70" w:name="_Toc13565"/>
      <w:r>
        <w:rPr>
          <w:rFonts w:hint="eastAsia" w:ascii="仿宋_GB2312" w:hAnsi="仿宋" w:eastAsia="仿宋_GB2312"/>
          <w:b/>
          <w:sz w:val="32"/>
          <w:szCs w:val="32"/>
          <w:lang w:val="en-US" w:eastAsia="zh-CN"/>
        </w:rPr>
        <w:t>2</w:t>
      </w:r>
      <w:r>
        <w:rPr>
          <w:rFonts w:hint="eastAsia" w:ascii="仿宋_GB2312" w:hAnsi="仿宋" w:eastAsia="仿宋_GB2312"/>
          <w:b/>
          <w:sz w:val="32"/>
          <w:szCs w:val="32"/>
        </w:rPr>
        <w:t>、社会保障和就业支出（类）行政事业单位养老支出（款）  行政单位离退休（项）：</w:t>
      </w:r>
      <w:r>
        <w:rPr>
          <w:rStyle w:val="14"/>
          <w:rFonts w:hint="eastAsia" w:ascii="仿宋" w:hAnsi="仿宋" w:eastAsia="仿宋"/>
          <w:b w:val="0"/>
          <w:bCs/>
          <w:sz w:val="32"/>
          <w:szCs w:val="32"/>
        </w:rPr>
        <w:t>支出决算为3.</w:t>
      </w:r>
      <w:r>
        <w:rPr>
          <w:rStyle w:val="14"/>
          <w:rFonts w:hint="eastAsia" w:ascii="仿宋" w:hAnsi="仿宋" w:eastAsia="仿宋"/>
          <w:b w:val="0"/>
          <w:bCs/>
          <w:sz w:val="32"/>
          <w:szCs w:val="32"/>
          <w:lang w:val="en-US" w:eastAsia="zh-CN"/>
        </w:rPr>
        <w:t>47</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bookmarkEnd w:id="70"/>
    </w:p>
    <w:p>
      <w:pPr>
        <w:spacing w:line="600" w:lineRule="exact"/>
        <w:ind w:firstLine="643" w:firstLineChars="200"/>
        <w:outlineLvl w:val="2"/>
        <w:rPr>
          <w:rStyle w:val="14"/>
          <w:rFonts w:ascii="仿宋" w:hAnsi="仿宋" w:eastAsia="仿宋"/>
          <w:b w:val="0"/>
          <w:bCs/>
          <w:sz w:val="32"/>
          <w:szCs w:val="32"/>
        </w:rPr>
      </w:pPr>
      <w:bookmarkStart w:id="71" w:name="_Toc26029"/>
      <w:r>
        <w:rPr>
          <w:rFonts w:hint="eastAsia" w:ascii="仿宋_GB2312" w:hAnsi="仿宋" w:eastAsia="仿宋_GB2312"/>
          <w:b/>
          <w:sz w:val="32"/>
          <w:szCs w:val="32"/>
          <w:lang w:val="en-US" w:eastAsia="zh-CN"/>
        </w:rPr>
        <w:t>3</w:t>
      </w:r>
      <w:r>
        <w:rPr>
          <w:rFonts w:hint="eastAsia" w:ascii="仿宋_GB2312" w:hAnsi="仿宋" w:eastAsia="仿宋_GB2312"/>
          <w:b/>
          <w:sz w:val="32"/>
          <w:szCs w:val="32"/>
        </w:rPr>
        <w:t>、社会保障和就业支出（类）行政事业单位养老支出（款）机关事业单位基本养老保险缴费支出（项）：</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80.74</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bookmarkEnd w:id="71"/>
    </w:p>
    <w:p>
      <w:pPr>
        <w:spacing w:line="600" w:lineRule="exact"/>
        <w:ind w:firstLine="643" w:firstLineChars="200"/>
        <w:outlineLvl w:val="2"/>
        <w:rPr>
          <w:rStyle w:val="14"/>
          <w:rFonts w:ascii="仿宋" w:hAnsi="仿宋" w:eastAsia="仿宋"/>
          <w:b w:val="0"/>
          <w:bCs/>
          <w:sz w:val="32"/>
          <w:szCs w:val="32"/>
        </w:rPr>
      </w:pPr>
      <w:bookmarkStart w:id="72" w:name="_Toc9848"/>
      <w:r>
        <w:rPr>
          <w:rFonts w:hint="eastAsia" w:ascii="仿宋_GB2312" w:hAnsi="仿宋" w:eastAsia="仿宋_GB2312"/>
          <w:b/>
          <w:sz w:val="32"/>
          <w:szCs w:val="32"/>
          <w:lang w:val="en-US" w:eastAsia="zh-CN"/>
        </w:rPr>
        <w:t>4</w:t>
      </w:r>
      <w:r>
        <w:rPr>
          <w:rFonts w:hint="eastAsia" w:ascii="仿宋_GB2312" w:hAnsi="仿宋" w:eastAsia="仿宋_GB2312"/>
          <w:b/>
          <w:sz w:val="32"/>
          <w:szCs w:val="32"/>
        </w:rPr>
        <w:t>、社会保障和就业支出（类）行政事业单位养老支出（款）机关事业单位职业年金缴费支出（项）：</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12.62</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bookmarkEnd w:id="72"/>
    </w:p>
    <w:p>
      <w:pPr>
        <w:snapToGrid w:val="0"/>
        <w:spacing w:line="520" w:lineRule="exact"/>
        <w:ind w:firstLine="643" w:firstLineChars="200"/>
        <w:rPr>
          <w:rStyle w:val="14"/>
          <w:rFonts w:ascii="仿宋" w:hAnsi="仿宋" w:eastAsia="仿宋"/>
          <w:b w:val="0"/>
          <w:bCs/>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、社会保障和就业支出（类）残疾人事业（款）残疾人就业（项）：</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6.77</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napToGrid w:val="0"/>
        <w:spacing w:line="520" w:lineRule="exact"/>
        <w:ind w:firstLine="643" w:firstLineChars="200"/>
        <w:rPr>
          <w:rStyle w:val="14"/>
          <w:rFonts w:ascii="仿宋" w:hAnsi="仿宋" w:eastAsia="仿宋"/>
          <w:b w:val="0"/>
          <w:bCs/>
          <w:sz w:val="32"/>
          <w:szCs w:val="32"/>
        </w:rPr>
      </w:pPr>
      <w:r>
        <w:rPr>
          <w:rFonts w:hint="eastAsia" w:ascii="仿宋_GB2312" w:hAnsi="仿宋" w:eastAsia="仿宋_GB2312"/>
          <w:b/>
          <w:sz w:val="32"/>
          <w:szCs w:val="32"/>
          <w:lang w:val="en-US" w:eastAsia="zh-CN"/>
        </w:rPr>
        <w:t>6</w:t>
      </w:r>
      <w:r>
        <w:rPr>
          <w:rFonts w:hint="eastAsia" w:ascii="仿宋_GB2312" w:hAnsi="仿宋" w:eastAsia="仿宋_GB2312"/>
          <w:b/>
          <w:sz w:val="32"/>
          <w:szCs w:val="32"/>
        </w:rPr>
        <w:t>、社会保障和就业支出（类）其他社会保障和就业支出（款）其他社会保障和就业支出（项）：</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3.23</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napToGrid w:val="0"/>
        <w:spacing w:line="520" w:lineRule="exact"/>
        <w:ind w:firstLine="643" w:firstLineChars="200"/>
        <w:rPr>
          <w:rStyle w:val="14"/>
          <w:rFonts w:ascii="仿宋" w:hAnsi="仿宋" w:eastAsia="仿宋"/>
          <w:b w:val="0"/>
          <w:bCs/>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、卫生健康支出（类）行政事业单位医疗（</w:t>
      </w:r>
      <w:r>
        <w:rPr>
          <w:rFonts w:hint="eastAsia" w:ascii="仿宋_GB2312" w:hAnsi="仿宋" w:eastAsia="仿宋_GB2312"/>
          <w:b/>
          <w:sz w:val="32"/>
          <w:szCs w:val="32"/>
        </w:rPr>
        <w:t>款</w:t>
      </w:r>
      <w:r>
        <w:rPr>
          <w:rFonts w:hint="eastAsia" w:ascii="仿宋" w:hAnsi="仿宋" w:eastAsia="仿宋"/>
          <w:b/>
          <w:sz w:val="32"/>
          <w:szCs w:val="32"/>
        </w:rPr>
        <w:t>）事业单位医疗（项）</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30.46</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napToGrid w:val="0"/>
        <w:spacing w:line="520" w:lineRule="exact"/>
        <w:ind w:firstLine="643" w:firstLineChars="200"/>
        <w:rPr>
          <w:rStyle w:val="14"/>
          <w:rFonts w:ascii="仿宋" w:hAnsi="仿宋" w:eastAsia="仿宋"/>
          <w:b w:val="0"/>
          <w:bCs/>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、卫生健康支出（类）行政事业单位医疗（款）公务员医疗补助（项）</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13.82</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napToGrid w:val="0"/>
        <w:spacing w:line="520"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、住房保障支出（类）住房改革支出（款）住房公积金（项）</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66.40</w:t>
      </w:r>
      <w:r>
        <w:rPr>
          <w:rStyle w:val="14"/>
          <w:rFonts w:hint="eastAsia" w:ascii="仿宋" w:hAnsi="仿宋" w:eastAsia="仿宋"/>
          <w:b w:val="0"/>
          <w:bCs/>
          <w:sz w:val="32"/>
          <w:szCs w:val="32"/>
        </w:rPr>
        <w:t>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tabs>
          <w:tab w:val="right" w:pos="8306"/>
        </w:tabs>
        <w:spacing w:line="600" w:lineRule="exact"/>
        <w:ind w:firstLine="640"/>
        <w:rPr>
          <w:rFonts w:ascii="黑体" w:eastAsia="黑体"/>
          <w:sz w:val="32"/>
          <w:szCs w:val="32"/>
        </w:rPr>
      </w:pPr>
      <w:bookmarkStart w:id="73" w:name="_Toc15377214"/>
      <w:bookmarkStart w:id="74" w:name="_Toc15396608"/>
    </w:p>
    <w:p>
      <w:pPr>
        <w:tabs>
          <w:tab w:val="right" w:pos="8306"/>
        </w:tabs>
        <w:spacing w:line="600" w:lineRule="exact"/>
        <w:ind w:firstLine="640"/>
        <w:outlineLvl w:val="1"/>
        <w:rPr>
          <w:rStyle w:val="25"/>
        </w:rPr>
      </w:pPr>
      <w:bookmarkStart w:id="75" w:name="_Toc15409"/>
      <w:bookmarkStart w:id="76" w:name="_Toc2898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73"/>
      <w:bookmarkEnd w:id="74"/>
      <w:bookmarkEnd w:id="75"/>
      <w:bookmarkEnd w:id="76"/>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一般公共预算财政拨款基本支出896.05万元，其中：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862.80万元，主要包括：基本工资、津贴补贴、绩效工资、机关事业单位基本养老保险缴费、职业年金缴费、职工基本医疗保险缴费、公务员医疗补助缴费、其他社会保障缴费、住房公积金、其他工资福利支出、对个人和家庭的补助、其他对个人和家庭的补助。</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33.26</w:t>
      </w:r>
      <w:r>
        <w:rPr>
          <w:rFonts w:hint="eastAsia" w:ascii="仿宋" w:hAnsi="仿宋" w:eastAsia="仿宋"/>
          <w:sz w:val="32"/>
          <w:szCs w:val="32"/>
        </w:rPr>
        <w:t>万元，主要包括：办公费、专用材料费、劳务费、福利费、其他商品和服务支出。</w:t>
      </w:r>
    </w:p>
    <w:p>
      <w:pPr>
        <w:spacing w:line="600" w:lineRule="exact"/>
        <w:ind w:firstLine="640"/>
        <w:rPr>
          <w:rFonts w:ascii="黑体" w:eastAsia="黑体"/>
          <w:sz w:val="32"/>
          <w:szCs w:val="32"/>
        </w:rPr>
      </w:pPr>
      <w:bookmarkStart w:id="77" w:name="_Toc15377215"/>
      <w:bookmarkStart w:id="78" w:name="_Toc15396609"/>
    </w:p>
    <w:p>
      <w:pPr>
        <w:spacing w:line="600" w:lineRule="exact"/>
        <w:ind w:firstLine="640"/>
        <w:outlineLvl w:val="1"/>
        <w:rPr>
          <w:rStyle w:val="25"/>
          <w:rFonts w:ascii="黑体" w:hAnsi="黑体" w:eastAsia="黑体"/>
          <w:b w:val="0"/>
        </w:rPr>
      </w:pPr>
      <w:bookmarkStart w:id="79" w:name="_Toc22394"/>
      <w:bookmarkStart w:id="80" w:name="_Toc16551"/>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77"/>
      <w:bookmarkEnd w:id="78"/>
      <w:bookmarkEnd w:id="79"/>
      <w:bookmarkEnd w:id="80"/>
    </w:p>
    <w:p>
      <w:pPr>
        <w:spacing w:line="600" w:lineRule="exact"/>
        <w:ind w:firstLine="640"/>
        <w:outlineLvl w:val="2"/>
        <w:rPr>
          <w:rFonts w:ascii="仿宋" w:hAnsi="仿宋" w:eastAsia="仿宋"/>
          <w:b/>
          <w:sz w:val="32"/>
          <w:szCs w:val="32"/>
        </w:rPr>
      </w:pPr>
      <w:bookmarkStart w:id="81" w:name="_Toc15377216"/>
      <w:bookmarkStart w:id="82" w:name="_Toc14484"/>
      <w:r>
        <w:rPr>
          <w:rFonts w:hint="eastAsia" w:ascii="仿宋" w:hAnsi="仿宋" w:eastAsia="仿宋"/>
          <w:b/>
          <w:sz w:val="32"/>
          <w:szCs w:val="32"/>
        </w:rPr>
        <w:t>（一）“三公”经费财政拨款支出决算总体情况说明</w:t>
      </w:r>
      <w:bookmarkEnd w:id="81"/>
      <w:bookmarkEnd w:id="8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“三公”经费财政拨款支出决算为0万元，决算数预算数持平。本年度无预算。</w:t>
      </w:r>
    </w:p>
    <w:p>
      <w:pPr>
        <w:spacing w:line="600" w:lineRule="exact"/>
        <w:ind w:firstLine="640"/>
        <w:outlineLvl w:val="2"/>
        <w:rPr>
          <w:rFonts w:ascii="仿宋" w:hAnsi="仿宋" w:eastAsia="仿宋"/>
          <w:b/>
          <w:sz w:val="32"/>
          <w:szCs w:val="32"/>
        </w:rPr>
      </w:pPr>
      <w:bookmarkStart w:id="83" w:name="_Toc32331"/>
      <w:bookmarkStart w:id="84" w:name="_Toc15377217"/>
      <w:r>
        <w:rPr>
          <w:rFonts w:hint="eastAsia" w:ascii="仿宋" w:hAnsi="仿宋" w:eastAsia="仿宋"/>
          <w:b/>
          <w:sz w:val="32"/>
          <w:szCs w:val="32"/>
        </w:rPr>
        <w:t>（二）“三公”经费财政拨款支出决算具体情况说明</w:t>
      </w:r>
      <w:bookmarkEnd w:id="83"/>
      <w:bookmarkEnd w:id="8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“三公”经费财政拨款支出决算中，因公出国（境）费支出决算0万元；公务用车购置及运行维护费支出决算0万元；公务接待费支出决算0万元。本年度无预算。</w:t>
      </w:r>
    </w:p>
    <w:p>
      <w:pPr>
        <w:spacing w:line="600" w:lineRule="exact"/>
        <w:ind w:firstLine="640"/>
        <w:rPr>
          <w:rFonts w:ascii="仿宋" w:hAnsi="仿宋" w:eastAsia="仿宋"/>
          <w:sz w:val="32"/>
          <w:szCs w:val="32"/>
        </w:rPr>
      </w:pP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bookmarkStart w:id="85" w:name="_Toc15396610"/>
      <w:bookmarkStart w:id="86" w:name="_Toc15377218"/>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 w:hAnsi="仿宋" w:eastAsia="仿宋"/>
          <w:sz w:val="32"/>
          <w:szCs w:val="32"/>
          <w:lang w:val="en-US" w:eastAsia="zh-CN"/>
        </w:rPr>
        <w:t>度</w:t>
      </w:r>
      <w:r>
        <w:rPr>
          <w:rFonts w:hint="eastAsia" w:ascii="仿宋_GB2312" w:eastAsia="仿宋_GB2312"/>
          <w:sz w:val="32"/>
          <w:szCs w:val="32"/>
        </w:rPr>
        <w:t>持平。未安排公派出国。</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 w:hAnsi="仿宋" w:eastAsia="仿宋"/>
          <w:sz w:val="32"/>
          <w:szCs w:val="32"/>
          <w:lang w:val="en-US" w:eastAsia="zh-CN"/>
        </w:rPr>
        <w:t>度</w:t>
      </w:r>
      <w:r>
        <w:rPr>
          <w:rFonts w:hint="eastAsia" w:ascii="仿宋_GB2312" w:eastAsia="仿宋_GB2312"/>
          <w:sz w:val="32"/>
          <w:szCs w:val="32"/>
        </w:rPr>
        <w:t>持平。无公务用车。</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4"/>
          <w:rFonts w:hint="eastAsia" w:ascii="仿宋" w:hAnsi="仿宋" w:eastAsia="仿宋"/>
          <w:b w:val="0"/>
          <w:bCs/>
          <w:sz w:val="32"/>
          <w:szCs w:val="32"/>
        </w:rPr>
        <w:t>。</w:t>
      </w:r>
      <w:r>
        <w:rPr>
          <w:rFonts w:hint="eastAsia" w:ascii="仿宋_GB2312" w:eastAsia="仿宋_GB2312"/>
          <w:sz w:val="32"/>
          <w:szCs w:val="32"/>
        </w:rPr>
        <w:t>公务接待费支出决算与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 w:hAnsi="仿宋" w:eastAsia="仿宋"/>
          <w:sz w:val="32"/>
          <w:szCs w:val="32"/>
          <w:lang w:val="en-US" w:eastAsia="zh-CN"/>
        </w:rPr>
        <w:t>度</w:t>
      </w:r>
      <w:r>
        <w:rPr>
          <w:rFonts w:hint="eastAsia" w:ascii="仿宋_GB2312" w:eastAsia="仿宋_GB2312"/>
          <w:sz w:val="32"/>
          <w:szCs w:val="32"/>
        </w:rPr>
        <w:t>持平。未安排公务接待。</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万元。国内公务接待0批次，0人次（不包括陪同人员），共计支出0万元。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pPr>
        <w:spacing w:line="600" w:lineRule="exact"/>
        <w:ind w:firstLine="640"/>
        <w:rPr>
          <w:rFonts w:ascii="黑体" w:eastAsia="黑体"/>
          <w:sz w:val="32"/>
          <w:szCs w:val="32"/>
        </w:rPr>
      </w:pPr>
    </w:p>
    <w:p>
      <w:pPr>
        <w:spacing w:line="600" w:lineRule="exact"/>
        <w:ind w:firstLine="640"/>
        <w:outlineLvl w:val="1"/>
        <w:rPr>
          <w:rStyle w:val="25"/>
          <w:rFonts w:ascii="黑体" w:hAnsi="黑体" w:eastAsia="黑体"/>
        </w:rPr>
      </w:pPr>
      <w:bookmarkStart w:id="87" w:name="_Toc31313"/>
      <w:bookmarkStart w:id="88" w:name="_Toc11356"/>
      <w:r>
        <w:rPr>
          <w:rFonts w:hint="eastAsia" w:ascii="黑体" w:eastAsia="黑体"/>
          <w:sz w:val="32"/>
          <w:szCs w:val="32"/>
        </w:rPr>
        <w:t>八、</w:t>
      </w:r>
      <w:r>
        <w:rPr>
          <w:rStyle w:val="25"/>
          <w:rFonts w:hint="eastAsia" w:ascii="黑体" w:hAnsi="黑体" w:eastAsia="黑体"/>
          <w:b w:val="0"/>
        </w:rPr>
        <w:t>政府性基金预算支出决算情况说明</w:t>
      </w:r>
      <w:bookmarkEnd w:id="85"/>
      <w:bookmarkEnd w:id="86"/>
      <w:bookmarkEnd w:id="87"/>
      <w:bookmarkEnd w:id="8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 w:hAnsi="仿宋" w:eastAsia="仿宋"/>
          <w:sz w:val="32"/>
          <w:szCs w:val="32"/>
          <w:lang w:val="en-US" w:eastAsia="zh-CN"/>
        </w:rPr>
        <w:t>度</w:t>
      </w:r>
      <w:r>
        <w:rPr>
          <w:rFonts w:hint="eastAsia" w:ascii="仿宋_GB2312" w:eastAsia="仿宋_GB2312"/>
          <w:sz w:val="32"/>
          <w:szCs w:val="32"/>
        </w:rPr>
        <w:t>政府性基金预算财政拨款支出0万元。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89" w:name="_Toc28328"/>
      <w:bookmarkStart w:id="90" w:name="_Toc15396611"/>
      <w:bookmarkStart w:id="91" w:name="_Toc19834"/>
      <w:bookmarkStart w:id="92" w:name="_Toc15377219"/>
      <w:r>
        <w:rPr>
          <w:rStyle w:val="25"/>
          <w:rFonts w:hint="eastAsia" w:ascii="黑体" w:hAnsi="黑体" w:eastAsia="黑体"/>
          <w:b w:val="0"/>
        </w:rPr>
        <w:t>国有资本经营预算支出决算情况说明</w:t>
      </w:r>
      <w:bookmarkEnd w:id="89"/>
      <w:bookmarkEnd w:id="90"/>
      <w:bookmarkEnd w:id="91"/>
      <w:bookmarkEnd w:id="9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 w:hAnsi="仿宋" w:eastAsia="仿宋"/>
          <w:sz w:val="32"/>
          <w:szCs w:val="32"/>
          <w:lang w:val="en-US" w:eastAsia="zh-CN"/>
        </w:rPr>
        <w:t>度</w:t>
      </w:r>
      <w:r>
        <w:rPr>
          <w:rFonts w:hint="eastAsia" w:ascii="仿宋_GB2312" w:eastAsia="仿宋_GB2312"/>
          <w:sz w:val="32"/>
          <w:szCs w:val="32"/>
        </w:rPr>
        <w:t>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93" w:name="_Toc8700"/>
      <w:bookmarkStart w:id="94" w:name="_Toc11618"/>
      <w:bookmarkStart w:id="95" w:name="_Toc15396612"/>
      <w:bookmarkStart w:id="96" w:name="_Toc15377221"/>
      <w:r>
        <w:rPr>
          <w:rStyle w:val="25"/>
          <w:rFonts w:hint="eastAsia" w:ascii="黑体" w:hAnsi="黑体" w:eastAsia="黑体"/>
          <w:b w:val="0"/>
        </w:rPr>
        <w:t>其他重要事项的情况说明</w:t>
      </w:r>
      <w:bookmarkEnd w:id="93"/>
      <w:bookmarkEnd w:id="94"/>
      <w:bookmarkEnd w:id="95"/>
      <w:bookmarkEnd w:id="96"/>
    </w:p>
    <w:p>
      <w:pPr>
        <w:spacing w:line="600" w:lineRule="exact"/>
        <w:ind w:firstLine="643" w:firstLineChars="200"/>
        <w:outlineLvl w:val="2"/>
        <w:rPr>
          <w:rFonts w:ascii="仿宋" w:hAnsi="仿宋" w:eastAsia="仿宋"/>
          <w:sz w:val="32"/>
          <w:szCs w:val="32"/>
        </w:rPr>
      </w:pPr>
      <w:bookmarkStart w:id="97" w:name="_Toc15377222"/>
      <w:bookmarkStart w:id="98" w:name="_Toc13398"/>
      <w:r>
        <w:rPr>
          <w:rFonts w:hint="eastAsia" w:ascii="仿宋" w:hAnsi="仿宋" w:eastAsia="仿宋"/>
          <w:b/>
          <w:sz w:val="32"/>
          <w:szCs w:val="32"/>
        </w:rPr>
        <w:t>（一）机关运行经费支出情况</w:t>
      </w:r>
      <w:bookmarkEnd w:id="97"/>
      <w:bookmarkEnd w:id="98"/>
    </w:p>
    <w:p>
      <w:pPr>
        <w:ind w:firstLine="640" w:firstLineChars="200"/>
        <w:rPr>
          <w:rFonts w:ascii="仿宋_GB2312" w:eastAsia="仿宋_GB2312"/>
          <w:sz w:val="32"/>
          <w:szCs w:val="32"/>
        </w:rPr>
      </w:pPr>
      <w:bookmarkStart w:id="99" w:name="_Toc6694"/>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 w:hAnsi="仿宋" w:eastAsia="仿宋"/>
          <w:sz w:val="32"/>
          <w:szCs w:val="32"/>
          <w:lang w:val="en-US" w:eastAsia="zh-CN"/>
        </w:rPr>
        <w:t>度</w:t>
      </w:r>
      <w:r>
        <w:rPr>
          <w:rFonts w:hint="eastAsia" w:ascii="仿宋" w:hAnsi="仿宋" w:eastAsia="仿宋"/>
          <w:sz w:val="32"/>
          <w:szCs w:val="32"/>
        </w:rPr>
        <w:t>，</w:t>
      </w:r>
      <w:r>
        <w:rPr>
          <w:rFonts w:hint="eastAsia" w:ascii="仿宋_GB2312" w:eastAsia="仿宋_GB2312"/>
          <w:sz w:val="32"/>
          <w:szCs w:val="32"/>
        </w:rPr>
        <w:t>机关运行经费支出0万元，</w:t>
      </w:r>
      <w:bookmarkStart w:id="100" w:name="OLE_LINK1"/>
      <w:r>
        <w:rPr>
          <w:rFonts w:hint="eastAsia" w:ascii="仿宋_GB2312" w:eastAsia="仿宋_GB2312" w:cs="Times New Roman"/>
          <w:color w:val="auto"/>
          <w:sz w:val="32"/>
          <w:szCs w:val="32"/>
          <w:highlight w:val="none"/>
          <w:lang w:val="en-US" w:eastAsia="zh-CN"/>
        </w:rPr>
        <w:t>本单位是全额拨款事业单位，没有预算机关运行经费</w:t>
      </w:r>
      <w:bookmarkEnd w:id="100"/>
      <w:r>
        <w:rPr>
          <w:rFonts w:hint="eastAsia" w:ascii="仿宋_GB2312" w:eastAsia="仿宋_GB2312"/>
          <w:sz w:val="32"/>
          <w:szCs w:val="32"/>
        </w:rPr>
        <w:t>。</w:t>
      </w:r>
      <w:bookmarkEnd w:id="99"/>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1" w:name="_Toc27808"/>
      <w:bookmarkStart w:id="102" w:name="_Toc15377223"/>
      <w:r>
        <w:rPr>
          <w:rFonts w:hint="eastAsia" w:ascii="仿宋" w:hAnsi="仿宋" w:eastAsia="仿宋"/>
          <w:b/>
          <w:sz w:val="32"/>
          <w:szCs w:val="32"/>
        </w:rPr>
        <w:t>（二）政府采购支出情况</w:t>
      </w:r>
      <w:bookmarkEnd w:id="101"/>
      <w:bookmarkEnd w:id="10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 w:hAnsi="仿宋" w:eastAsia="仿宋"/>
          <w:sz w:val="32"/>
          <w:szCs w:val="32"/>
          <w:lang w:val="en-US" w:eastAsia="zh-CN"/>
        </w:rPr>
        <w:t>度</w:t>
      </w:r>
      <w:r>
        <w:rPr>
          <w:rFonts w:hint="eastAsia" w:ascii="仿宋_GB2312" w:eastAsia="仿宋_GB2312"/>
          <w:sz w:val="32"/>
          <w:szCs w:val="32"/>
        </w:rPr>
        <w:t>，</w:t>
      </w:r>
      <w:r>
        <w:rPr>
          <w:rFonts w:hint="eastAsia" w:ascii="仿宋" w:hAnsi="仿宋" w:eastAsia="仿宋"/>
          <w:sz w:val="32"/>
          <w:szCs w:val="32"/>
        </w:rPr>
        <w:t>遂宁市船山区新盐市街小学校</w:t>
      </w:r>
      <w:r>
        <w:rPr>
          <w:rFonts w:hint="eastAsia" w:ascii="仿宋_GB2312" w:eastAsia="仿宋_GB2312"/>
          <w:sz w:val="32"/>
          <w:szCs w:val="32"/>
        </w:rPr>
        <w:t>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3" w:name="_Toc19873"/>
      <w:bookmarkStart w:id="104" w:name="_Toc15377224"/>
      <w:r>
        <w:rPr>
          <w:rFonts w:hint="eastAsia" w:ascii="仿宋" w:hAnsi="仿宋" w:eastAsia="仿宋"/>
          <w:b/>
          <w:sz w:val="32"/>
          <w:szCs w:val="32"/>
        </w:rPr>
        <w:t>（三）国有资产占有使用情况</w:t>
      </w:r>
      <w:bookmarkEnd w:id="103"/>
      <w:bookmarkEnd w:id="10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5" w:name="_Toc13507"/>
      <w:r>
        <w:rPr>
          <w:rFonts w:hint="eastAsia" w:ascii="仿宋" w:hAnsi="仿宋" w:eastAsia="仿宋"/>
          <w:b/>
          <w:sz w:val="32"/>
          <w:szCs w:val="32"/>
        </w:rPr>
        <w:t>（四）预算绩效管理情况</w:t>
      </w:r>
      <w:bookmarkEnd w:id="105"/>
    </w:p>
    <w:p>
      <w:pPr>
        <w:pStyle w:val="5"/>
        <w:spacing w:before="93"/>
        <w:ind w:firstLine="640" w:firstLineChars="200"/>
        <w:rPr>
          <w:rFonts w:hAnsi="仿宋_GB2312" w:cs="仿宋_GB2312"/>
          <w:sz w:val="32"/>
          <w:szCs w:val="32"/>
        </w:rPr>
      </w:pPr>
      <w:r>
        <w:rPr>
          <w:rFonts w:hint="eastAsia" w:hAnsi="仿宋_GB2312" w:cs="仿宋_GB2312"/>
          <w:sz w:val="32"/>
          <w:szCs w:val="32"/>
        </w:rPr>
        <w:t>根据预算绩效管理要求，本单位在202</w:t>
      </w:r>
      <w:r>
        <w:rPr>
          <w:rFonts w:hint="eastAsia" w:hAnsi="仿宋_GB2312" w:cs="仿宋_GB2312"/>
          <w:sz w:val="32"/>
          <w:szCs w:val="32"/>
          <w:lang w:val="en-US" w:eastAsia="zh-CN"/>
        </w:rPr>
        <w:t>3</w:t>
      </w:r>
      <w:r>
        <w:rPr>
          <w:rFonts w:hint="eastAsia" w:hAnsi="仿宋_GB2312" w:cs="仿宋_GB2312"/>
          <w:sz w:val="32"/>
          <w:szCs w:val="32"/>
        </w:rPr>
        <w:t>年度预算编制阶段没有需要开展事前绩效评估的项目，故未开展预算</w:t>
      </w:r>
      <w:r>
        <w:rPr>
          <w:rFonts w:hint="eastAsia" w:hAnsi="仿宋_GB2312" w:cs="仿宋_GB2312"/>
          <w:sz w:val="32"/>
          <w:szCs w:val="32"/>
          <w:lang w:val="en-US" w:eastAsia="zh-CN"/>
        </w:rPr>
        <w:t>绩效</w:t>
      </w:r>
      <w:r>
        <w:rPr>
          <w:rFonts w:hint="eastAsia" w:hAnsi="仿宋_GB2312" w:cs="仿宋_GB2312"/>
          <w:sz w:val="32"/>
          <w:szCs w:val="32"/>
        </w:rPr>
        <w:t>评估，组织对人员类、运转类、特定目标类等</w:t>
      </w:r>
      <w:r>
        <w:rPr>
          <w:rFonts w:hint="eastAsia" w:hAnsi="仿宋_GB2312" w:cs="仿宋_GB2312"/>
          <w:sz w:val="32"/>
          <w:szCs w:val="32"/>
          <w:lang w:val="en-US" w:eastAsia="zh-CN"/>
        </w:rPr>
        <w:t>33</w:t>
      </w:r>
      <w:r>
        <w:rPr>
          <w:rFonts w:hint="eastAsia" w:hAnsi="仿宋_GB2312" w:cs="仿宋_GB2312"/>
          <w:sz w:val="32"/>
          <w:szCs w:val="32"/>
        </w:rPr>
        <w:t>个项目编制了绩效目标，预算执行过程中，选取1个项目开展绩效监控，组织对1个项目开展绩效自评，绩效自评表详见第四部分附件。</w:t>
      </w:r>
    </w:p>
    <w:p>
      <w:pPr>
        <w:pStyle w:val="5"/>
        <w:spacing w:before="93"/>
        <w:ind w:firstLine="640" w:firstLineChars="200"/>
        <w:rPr>
          <w:rFonts w:hint="eastAsia" w:hAnsi="仿宋_GB2312" w:cs="仿宋_GB2312"/>
          <w:sz w:val="32"/>
          <w:szCs w:val="32"/>
          <w:highlight w:val="yellow"/>
        </w:rPr>
      </w:pPr>
    </w:p>
    <w:p>
      <w:pPr>
        <w:pStyle w:val="5"/>
        <w:spacing w:before="93"/>
        <w:ind w:firstLine="640" w:firstLineChars="200"/>
        <w:rPr>
          <w:rFonts w:hint="eastAsia" w:hAnsi="仿宋_GB2312" w:cs="仿宋_GB2312"/>
          <w:sz w:val="32"/>
          <w:szCs w:val="32"/>
          <w:highlight w:val="yellow"/>
        </w:rPr>
      </w:pPr>
    </w:p>
    <w:p>
      <w:pPr>
        <w:pStyle w:val="5"/>
        <w:spacing w:before="93"/>
        <w:ind w:firstLine="640" w:firstLineChars="200"/>
        <w:rPr>
          <w:rFonts w:hAnsi="仿宋_GB2312" w:cs="仿宋_GB2312"/>
          <w:sz w:val="32"/>
          <w:szCs w:val="32"/>
          <w:highlight w:val="yellow"/>
        </w:rPr>
      </w:pPr>
    </w:p>
    <w:p>
      <w:pPr>
        <w:pStyle w:val="5"/>
        <w:spacing w:before="93"/>
        <w:ind w:firstLine="640" w:firstLineChars="200"/>
        <w:rPr>
          <w:rFonts w:hAnsi="仿宋_GB2312" w:cs="仿宋_GB2312"/>
          <w:sz w:val="32"/>
          <w:szCs w:val="32"/>
          <w:highlight w:val="yellow"/>
        </w:rPr>
      </w:pPr>
    </w:p>
    <w:p>
      <w:pPr>
        <w:pStyle w:val="5"/>
        <w:spacing w:before="93"/>
        <w:ind w:firstLine="640" w:firstLineChars="200"/>
        <w:rPr>
          <w:rFonts w:hAnsi="仿宋_GB2312" w:cs="仿宋_GB2312"/>
          <w:sz w:val="32"/>
          <w:szCs w:val="32"/>
          <w:highlight w:val="yellow"/>
        </w:rPr>
      </w:pPr>
    </w:p>
    <w:p>
      <w:pPr>
        <w:pStyle w:val="5"/>
        <w:spacing w:before="93"/>
        <w:ind w:firstLine="640" w:firstLineChars="200"/>
        <w:rPr>
          <w:rFonts w:hAnsi="仿宋_GB2312" w:cs="仿宋_GB2312"/>
          <w:sz w:val="32"/>
          <w:szCs w:val="32"/>
          <w:highlight w:val="yellow"/>
        </w:rPr>
      </w:pPr>
    </w:p>
    <w:p>
      <w:pPr>
        <w:pStyle w:val="5"/>
        <w:spacing w:before="93"/>
        <w:ind w:firstLine="640" w:firstLineChars="200"/>
        <w:rPr>
          <w:rFonts w:hAnsi="仿宋_GB2312" w:cs="仿宋_GB2312"/>
          <w:sz w:val="32"/>
          <w:szCs w:val="32"/>
          <w:highlight w:val="yellow"/>
        </w:rPr>
      </w:pPr>
    </w:p>
    <w:p>
      <w:pPr>
        <w:pStyle w:val="5"/>
        <w:spacing w:before="93"/>
        <w:ind w:firstLine="640" w:firstLineChars="200"/>
        <w:rPr>
          <w:rFonts w:hAnsi="仿宋_GB2312" w:cs="仿宋_GB2312"/>
          <w:sz w:val="32"/>
          <w:szCs w:val="32"/>
          <w:highlight w:val="yellow"/>
        </w:rPr>
      </w:pPr>
    </w:p>
    <w:p>
      <w:pPr>
        <w:numPr>
          <w:ilvl w:val="0"/>
          <w:numId w:val="4"/>
        </w:numPr>
        <w:spacing w:line="600" w:lineRule="exact"/>
        <w:ind w:firstLine="660" w:firstLineChars="150"/>
        <w:jc w:val="center"/>
        <w:outlineLvl w:val="0"/>
        <w:rPr>
          <w:rStyle w:val="24"/>
          <w:rFonts w:ascii="黑体" w:hAnsi="黑体" w:eastAsia="黑体"/>
          <w:b w:val="0"/>
        </w:rPr>
      </w:pPr>
      <w:bookmarkStart w:id="106" w:name="_Toc15396613"/>
      <w:bookmarkStart w:id="107" w:name="_Toc8743"/>
      <w:bookmarkStart w:id="108" w:name="_Toc15377225"/>
      <w:bookmarkStart w:id="109" w:name="_Toc26267"/>
      <w:r>
        <w:rPr>
          <w:rFonts w:hint="eastAsia" w:ascii="黑体" w:hAnsi="黑体" w:eastAsia="黑体"/>
          <w:sz w:val="44"/>
          <w:szCs w:val="44"/>
        </w:rPr>
        <w:t>名</w:t>
      </w:r>
      <w:r>
        <w:rPr>
          <w:rStyle w:val="24"/>
          <w:rFonts w:hint="eastAsia" w:ascii="黑体" w:hAnsi="黑体" w:eastAsia="黑体"/>
          <w:b w:val="0"/>
        </w:rPr>
        <w:t>词解释</w:t>
      </w:r>
      <w:bookmarkEnd w:id="106"/>
      <w:bookmarkEnd w:id="107"/>
      <w:bookmarkEnd w:id="108"/>
      <w:bookmarkEnd w:id="109"/>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其他收入：指单位取得的除上述收入以外的各项收入。主要是代管费收入等。</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2"/>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.一般公共预算拨款收入：指</w:t>
      </w:r>
      <w:r>
        <w:rPr>
          <w:rFonts w:hint="eastAsia" w:ascii="仿宋_GB2312" w:eastAsia="仿宋_GB2312"/>
          <w:sz w:val="32"/>
          <w:szCs w:val="32"/>
        </w:rPr>
        <w:t>区本</w:t>
      </w:r>
      <w:r>
        <w:rPr>
          <w:rFonts w:ascii="仿宋_GB2312" w:eastAsia="仿宋_GB2312"/>
          <w:sz w:val="32"/>
          <w:szCs w:val="32"/>
        </w:rPr>
        <w:t>级财政当年拨付的资金。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 xml:space="preserve"> 教育支出（类）普通教育（款）小学教育（项）：指用于小学教育工资福利支出、商品服务支出、资助支出。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.社会保障和就业</w:t>
      </w:r>
      <w:r>
        <w:rPr>
          <w:rFonts w:hint="eastAsia" w:ascii="仿宋_GB2312" w:eastAsia="仿宋_GB2312"/>
          <w:sz w:val="32"/>
          <w:szCs w:val="32"/>
        </w:rPr>
        <w:t>支出</w:t>
      </w:r>
      <w:r>
        <w:rPr>
          <w:rFonts w:ascii="仿宋_GB2312" w:eastAsia="仿宋_GB2312"/>
          <w:sz w:val="32"/>
          <w:szCs w:val="32"/>
        </w:rPr>
        <w:t>（类）行政事业单位离退休（款）机关事业单位基本养老保险缴费支出（项）：指部门实施养老保险制度由单位缴纳的养老保险费的支出。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.社会保障和就业</w:t>
      </w:r>
      <w:r>
        <w:rPr>
          <w:rFonts w:hint="eastAsia" w:ascii="仿宋_GB2312" w:eastAsia="仿宋_GB2312"/>
          <w:sz w:val="32"/>
          <w:szCs w:val="32"/>
        </w:rPr>
        <w:t>支出</w:t>
      </w:r>
      <w:r>
        <w:rPr>
          <w:rFonts w:ascii="仿宋_GB2312" w:eastAsia="仿宋_GB2312"/>
          <w:sz w:val="32"/>
          <w:szCs w:val="32"/>
        </w:rPr>
        <w:t>（类）行政事业单位离退休（款）机关事业单位职业年金缴费支出（项）：指部门实施养老保险制度由单位缴纳的职业年金的支出。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.社会保障和就业</w:t>
      </w:r>
      <w:r>
        <w:rPr>
          <w:rFonts w:hint="eastAsia" w:ascii="仿宋_GB2312" w:eastAsia="仿宋_GB2312"/>
          <w:sz w:val="32"/>
          <w:szCs w:val="32"/>
        </w:rPr>
        <w:t>支出</w:t>
      </w:r>
      <w:r>
        <w:rPr>
          <w:rFonts w:ascii="仿宋_GB2312" w:eastAsia="仿宋_GB2312"/>
          <w:sz w:val="32"/>
          <w:szCs w:val="32"/>
        </w:rPr>
        <w:t>（类）其他社会保障和就业（款）其他社会保障和就业支出（项）：指除上述项目外，其他用于行政事业单位离退休方面的支出。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9.卫生健康支出（类）行政事业单位医疗（款）事业单位医疗（项）：指事业单位基本医疗保险缴费支出。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10.卫生健康支出（类）行政事业单位医疗（款）公务员医疗补助（项）：指事业单位集中缴纳公务员医疗补助支出。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（类）住房改革支出（款）住房公积金（项）：指按照《住房公积金管理条例》的规定，由单位及其在职职工缴存的长期住房储金。</w:t>
      </w:r>
    </w:p>
    <w:p>
      <w:pPr>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4"/>
          <w:rFonts w:hint="eastAsia" w:ascii="黑体" w:hAnsi="黑体" w:eastAsia="黑体"/>
          <w:b w:val="0"/>
        </w:rPr>
      </w:pPr>
      <w:bookmarkStart w:id="110" w:name="_Toc15377226"/>
      <w:r>
        <w:rPr>
          <w:rFonts w:ascii="宋体"/>
          <w:b/>
          <w:sz w:val="44"/>
          <w:szCs w:val="44"/>
        </w:rPr>
        <w:br w:type="page"/>
      </w:r>
      <w:bookmarkStart w:id="111" w:name="_Toc19015"/>
      <w:bookmarkStart w:id="112" w:name="_Toc15396614"/>
      <w:bookmarkStart w:id="113" w:name="_Toc12710"/>
      <w:r>
        <w:rPr>
          <w:rFonts w:hint="eastAsia" w:ascii="黑体" w:hAnsi="黑体" w:eastAsia="黑体"/>
          <w:sz w:val="44"/>
          <w:szCs w:val="44"/>
        </w:rPr>
        <w:t>第</w:t>
      </w:r>
      <w:r>
        <w:rPr>
          <w:rStyle w:val="24"/>
          <w:rFonts w:hint="eastAsia" w:ascii="黑体" w:hAnsi="黑体" w:eastAsia="黑体"/>
          <w:b w:val="0"/>
        </w:rPr>
        <w:t>四部分 附件</w:t>
      </w:r>
      <w:bookmarkEnd w:id="111"/>
      <w:bookmarkEnd w:id="112"/>
      <w:bookmarkEnd w:id="113"/>
      <w:bookmarkStart w:id="114" w:name="_Toc15396618"/>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6"/>
        <w:gridCol w:w="925"/>
        <w:gridCol w:w="1223"/>
        <w:gridCol w:w="396"/>
        <w:gridCol w:w="872"/>
        <w:gridCol w:w="396"/>
        <w:gridCol w:w="756"/>
        <w:gridCol w:w="486"/>
        <w:gridCol w:w="396"/>
        <w:gridCol w:w="1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115" w:name="_Toc30676"/>
            <w:bookmarkStart w:id="116" w:name="_Toc26330"/>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51090323T000008239682-四类学生课后服务保障经费（城市）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387"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四川省遂宁市船山区新盐市街小学校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项目目标</w:t>
            </w:r>
          </w:p>
        </w:tc>
        <w:tc>
          <w:tcPr>
            <w:tcW w:w="16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为四类学生课后服务提供保障经费，减免四类学生课后服务费，保障课后服务顺利开展</w:t>
            </w:r>
          </w:p>
        </w:tc>
        <w:tc>
          <w:tcPr>
            <w:tcW w:w="16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有效地保障了四类学生课后服务的顺利开展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该资金全部用于保障四类学生课后服务活动的正常开展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8.33</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1"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5"/>
                <w:szCs w:val="15"/>
                <w:u w:val="none"/>
                <w:lang w:val="en-US" w:eastAsia="zh-CN" w:bidi="ar"/>
              </w:rPr>
              <w:t>1、预算执行率为31.33%，原因为我校在2023年7月,据实据效安排使用的资金26083.39元，剩余资金暂未使用，我校2023年下期工作结束时间为2024年1月，学期工作未结束前，该资金未结算，在年底被财政收回，并于2024年1月核算后返回一体化平台，并在2024年1月进行结算，该资金全部用于保障四类学生课后服务开展，未做他用。2、年中预算调整原因为其中调整数3.13万元为2022年清算四类学生经费返回2.54万元，清算2023年四类学生经费追加0.59万元，年初预算为5.20万元，调整后预算为8.33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8.33</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31.33%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1"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免除34名学生全年课后服务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完成效果</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5"/>
                <w:szCs w:val="15"/>
                <w:u w:val="none"/>
                <w:lang w:val="en-US" w:eastAsia="zh-CN" w:bidi="ar"/>
              </w:rPr>
              <w:t>年末存在资金收回，24年1月期末工作结束后完成清算工作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持续影响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成本标准</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9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根据资金使用率及使用成果自评得分93分，同时为了管好用好项目资金，我校完善的财务管理制度，区教育体育局出台了《关于印发&lt;关于进一步加强教育经费管理的实施意见&gt;的通知》（遂船教体发[2022]21号），学校将项目资金全部用于四类学生课后服务开展，未截留或挪作他用，并严格执行政府会计制度和各单位</w:t>
            </w:r>
            <w:bookmarkStart w:id="156" w:name="_GoBack"/>
            <w:bookmarkEnd w:id="156"/>
            <w:r>
              <w:rPr>
                <w:rFonts w:hint="eastAsia" w:ascii="微软雅黑" w:hAnsi="微软雅黑" w:eastAsia="微软雅黑" w:cs="微软雅黑"/>
                <w:i/>
                <w:iCs/>
                <w:color w:val="000000"/>
                <w:kern w:val="0"/>
                <w:sz w:val="16"/>
                <w:szCs w:val="16"/>
                <w:u w:val="none"/>
                <w:lang w:val="en-US" w:eastAsia="zh-CN" w:bidi="ar"/>
              </w:rPr>
              <w:t>内部控制制度，账务处理相对及时，会计核算非常规范。通过政府预算的四类学生课后服务保障经费，有效地解决了四类学生课后服务开展的问题，让每一个学生都能在学校安心学习，保证了学生的身心健康。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学校工作存在跨年度结束工作，未及时在2023年末清算，导致年末财政收回，致使使用率为31.33%，在2024年1月财政清算返回后才清算使用。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及时在当年度做好资金清算使用，避免出现跨年度使用。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项目负责人：胡婧</w:t>
            </w:r>
          </w:p>
        </w:tc>
        <w:tc>
          <w:tcPr>
            <w:tcW w:w="24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财务负责人：王泽华</w:t>
            </w:r>
          </w:p>
        </w:tc>
      </w:tr>
    </w:tbl>
    <w:p>
      <w:pPr>
        <w:spacing w:line="600" w:lineRule="exact"/>
        <w:jc w:val="center"/>
        <w:outlineLvl w:val="0"/>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110"/>
      <w:bookmarkEnd w:id="114"/>
      <w:bookmarkEnd w:id="115"/>
      <w:bookmarkEnd w:id="116"/>
      <w:bookmarkStart w:id="117" w:name="_Toc15396619"/>
    </w:p>
    <w:p>
      <w:pPr>
        <w:pStyle w:val="3"/>
        <w:rPr>
          <w:rFonts w:ascii="仿宋" w:hAnsi="仿宋" w:eastAsia="仿宋"/>
        </w:rPr>
      </w:pPr>
      <w:bookmarkStart w:id="118" w:name="_Toc6456"/>
      <w:bookmarkStart w:id="119" w:name="_Toc24780"/>
      <w:r>
        <w:rPr>
          <w:rFonts w:hint="eastAsia" w:ascii="仿宋" w:hAnsi="仿宋" w:eastAsia="仿宋"/>
          <w:b w:val="0"/>
        </w:rPr>
        <w:t>一、收</w:t>
      </w:r>
      <w:r>
        <w:rPr>
          <w:rStyle w:val="25"/>
          <w:rFonts w:hint="eastAsia" w:ascii="仿宋" w:hAnsi="仿宋" w:eastAsia="仿宋"/>
          <w:b w:val="0"/>
          <w:bCs w:val="0"/>
        </w:rPr>
        <w:t>入支出决算总表</w:t>
      </w:r>
      <w:bookmarkEnd w:id="117"/>
      <w:bookmarkEnd w:id="118"/>
      <w:bookmarkEnd w:id="119"/>
    </w:p>
    <w:p>
      <w:pPr>
        <w:pStyle w:val="3"/>
        <w:rPr>
          <w:rFonts w:ascii="仿宋" w:hAnsi="仿宋" w:eastAsia="仿宋"/>
        </w:rPr>
      </w:pPr>
      <w:bookmarkStart w:id="120" w:name="_Toc15396620"/>
      <w:bookmarkStart w:id="121" w:name="_Toc9078"/>
      <w:bookmarkStart w:id="122" w:name="_Toc20644"/>
      <w:r>
        <w:rPr>
          <w:rFonts w:hint="eastAsia" w:ascii="仿宋" w:hAnsi="仿宋" w:eastAsia="仿宋"/>
          <w:b w:val="0"/>
        </w:rPr>
        <w:t>二、收</w:t>
      </w:r>
      <w:r>
        <w:rPr>
          <w:rStyle w:val="25"/>
          <w:rFonts w:hint="eastAsia" w:ascii="仿宋" w:hAnsi="仿宋" w:eastAsia="仿宋"/>
          <w:b w:val="0"/>
          <w:bCs w:val="0"/>
        </w:rPr>
        <w:t>入决算表</w:t>
      </w:r>
      <w:bookmarkEnd w:id="120"/>
      <w:bookmarkEnd w:id="121"/>
      <w:bookmarkEnd w:id="122"/>
    </w:p>
    <w:p>
      <w:pPr>
        <w:pStyle w:val="3"/>
        <w:rPr>
          <w:rFonts w:ascii="仿宋" w:hAnsi="仿宋" w:eastAsia="仿宋"/>
        </w:rPr>
      </w:pPr>
      <w:bookmarkStart w:id="123" w:name="_Toc6896"/>
      <w:bookmarkStart w:id="124" w:name="_Toc16898"/>
      <w:bookmarkStart w:id="125"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123"/>
      <w:bookmarkEnd w:id="124"/>
      <w:bookmarkEnd w:id="125"/>
    </w:p>
    <w:p>
      <w:pPr>
        <w:pStyle w:val="3"/>
        <w:rPr>
          <w:rFonts w:ascii="仿宋" w:hAnsi="仿宋" w:eastAsia="仿宋"/>
          <w:b w:val="0"/>
        </w:rPr>
      </w:pPr>
      <w:bookmarkStart w:id="126" w:name="_Toc3480"/>
      <w:bookmarkStart w:id="127" w:name="_Toc23910"/>
      <w:bookmarkStart w:id="128"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126"/>
      <w:bookmarkEnd w:id="127"/>
      <w:bookmarkEnd w:id="128"/>
    </w:p>
    <w:p>
      <w:pPr>
        <w:pStyle w:val="3"/>
        <w:rPr>
          <w:rStyle w:val="25"/>
          <w:rFonts w:ascii="仿宋" w:hAnsi="仿宋" w:eastAsia="仿宋"/>
          <w:b w:val="0"/>
          <w:bCs w:val="0"/>
        </w:rPr>
      </w:pPr>
      <w:bookmarkStart w:id="129" w:name="_Toc15396623"/>
      <w:bookmarkStart w:id="130" w:name="_Toc5963"/>
      <w:bookmarkStart w:id="131" w:name="_Toc26166"/>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129"/>
      <w:bookmarkEnd w:id="130"/>
      <w:bookmarkEnd w:id="131"/>
      <w:bookmarkStart w:id="132" w:name="_Toc15396624"/>
    </w:p>
    <w:p>
      <w:pPr>
        <w:pStyle w:val="3"/>
        <w:rPr>
          <w:rFonts w:ascii="仿宋" w:hAnsi="仿宋" w:eastAsia="仿宋"/>
        </w:rPr>
      </w:pPr>
      <w:bookmarkStart w:id="133" w:name="_Toc20061"/>
      <w:bookmarkStart w:id="134" w:name="_Toc32382"/>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132"/>
      <w:bookmarkEnd w:id="133"/>
      <w:bookmarkEnd w:id="134"/>
    </w:p>
    <w:p>
      <w:pPr>
        <w:pStyle w:val="3"/>
        <w:rPr>
          <w:rFonts w:ascii="仿宋" w:hAnsi="仿宋" w:eastAsia="仿宋"/>
        </w:rPr>
      </w:pPr>
      <w:bookmarkStart w:id="135" w:name="_Toc15396625"/>
      <w:bookmarkStart w:id="136" w:name="_Toc281"/>
      <w:bookmarkStart w:id="137" w:name="_Toc471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135"/>
      <w:bookmarkEnd w:id="136"/>
      <w:bookmarkEnd w:id="137"/>
    </w:p>
    <w:p>
      <w:pPr>
        <w:pStyle w:val="3"/>
        <w:rPr>
          <w:rFonts w:ascii="仿宋" w:hAnsi="仿宋" w:eastAsia="仿宋"/>
        </w:rPr>
      </w:pPr>
      <w:bookmarkStart w:id="138" w:name="_Toc9153"/>
      <w:bookmarkStart w:id="139" w:name="_Toc15396626"/>
      <w:bookmarkStart w:id="140" w:name="_Toc8577"/>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138"/>
      <w:bookmarkEnd w:id="139"/>
      <w:bookmarkEnd w:id="140"/>
    </w:p>
    <w:p>
      <w:pPr>
        <w:pStyle w:val="3"/>
        <w:rPr>
          <w:rFonts w:ascii="仿宋" w:hAnsi="仿宋" w:eastAsia="仿宋"/>
        </w:rPr>
      </w:pPr>
      <w:bookmarkStart w:id="141" w:name="_Toc800"/>
      <w:bookmarkStart w:id="142" w:name="_Toc12315"/>
      <w:bookmarkStart w:id="143"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141"/>
      <w:bookmarkEnd w:id="142"/>
      <w:bookmarkEnd w:id="143"/>
    </w:p>
    <w:p>
      <w:pPr>
        <w:pStyle w:val="3"/>
        <w:rPr>
          <w:rFonts w:ascii="仿宋" w:hAnsi="仿宋" w:eastAsia="仿宋"/>
        </w:rPr>
      </w:pPr>
      <w:bookmarkStart w:id="144" w:name="_Toc15396628"/>
      <w:bookmarkStart w:id="145" w:name="_Toc26411"/>
      <w:bookmarkStart w:id="146" w:name="_Toc15211"/>
      <w:r>
        <w:rPr>
          <w:rStyle w:val="25"/>
          <w:rFonts w:hint="eastAsia" w:ascii="仿宋" w:hAnsi="仿宋" w:eastAsia="仿宋"/>
          <w:b w:val="0"/>
          <w:bCs w:val="0"/>
        </w:rPr>
        <w:t>十、</w:t>
      </w:r>
      <w:bookmarkEnd w:id="144"/>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145"/>
      <w:bookmarkEnd w:id="146"/>
    </w:p>
    <w:p>
      <w:pPr>
        <w:pStyle w:val="3"/>
        <w:rPr>
          <w:rFonts w:ascii="仿宋" w:hAnsi="仿宋" w:eastAsia="仿宋"/>
        </w:rPr>
      </w:pPr>
      <w:bookmarkStart w:id="147" w:name="_Toc15396629"/>
      <w:bookmarkStart w:id="148" w:name="_Toc29710"/>
      <w:bookmarkStart w:id="149" w:name="_Toc27653"/>
      <w:r>
        <w:rPr>
          <w:rStyle w:val="25"/>
          <w:rFonts w:hint="eastAsia" w:ascii="仿宋" w:hAnsi="仿宋" w:eastAsia="仿宋"/>
          <w:b w:val="0"/>
          <w:bCs w:val="0"/>
        </w:rPr>
        <w:t>十一、</w:t>
      </w:r>
      <w:bookmarkEnd w:id="147"/>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148"/>
      <w:bookmarkEnd w:id="149"/>
    </w:p>
    <w:p>
      <w:pPr>
        <w:pStyle w:val="3"/>
        <w:rPr>
          <w:rFonts w:ascii="仿宋" w:hAnsi="仿宋" w:eastAsia="仿宋"/>
        </w:rPr>
      </w:pPr>
      <w:bookmarkStart w:id="150" w:name="_Toc15396630"/>
      <w:bookmarkStart w:id="151" w:name="_Toc25654"/>
      <w:bookmarkStart w:id="152" w:name="_Toc31392"/>
      <w:r>
        <w:rPr>
          <w:rStyle w:val="25"/>
          <w:rFonts w:hint="eastAsia" w:ascii="仿宋" w:hAnsi="仿宋" w:eastAsia="仿宋"/>
          <w:b w:val="0"/>
          <w:bCs w:val="0"/>
        </w:rPr>
        <w:t>十二、</w:t>
      </w:r>
      <w:bookmarkEnd w:id="150"/>
      <w:r>
        <w:rPr>
          <w:rStyle w:val="25"/>
          <w:rFonts w:hint="eastAsia" w:ascii="仿宋" w:hAnsi="仿宋" w:eastAsia="仿宋"/>
          <w:b w:val="0"/>
          <w:bCs w:val="0"/>
        </w:rPr>
        <w:t>国有资本经营预算财政拨款支出决算表</w:t>
      </w:r>
      <w:bookmarkEnd w:id="151"/>
      <w:bookmarkEnd w:id="152"/>
    </w:p>
    <w:p>
      <w:pPr>
        <w:pStyle w:val="3"/>
        <w:rPr>
          <w:rFonts w:eastAsia="仿宋"/>
        </w:rPr>
      </w:pPr>
      <w:bookmarkStart w:id="153" w:name="_Toc15396631"/>
      <w:bookmarkStart w:id="154" w:name="_Toc23123"/>
      <w:bookmarkStart w:id="155" w:name="_Toc21741"/>
      <w:r>
        <w:rPr>
          <w:rStyle w:val="25"/>
          <w:rFonts w:hint="eastAsia" w:ascii="仿宋" w:hAnsi="仿宋" w:eastAsia="仿宋"/>
          <w:b w:val="0"/>
          <w:bCs w:val="0"/>
        </w:rPr>
        <w:t>十三、</w:t>
      </w:r>
      <w:bookmarkEnd w:id="153"/>
      <w:r>
        <w:rPr>
          <w:rStyle w:val="25"/>
          <w:rFonts w:hint="eastAsia" w:ascii="仿宋" w:hAnsi="仿宋" w:eastAsia="仿宋"/>
          <w:b w:val="0"/>
          <w:bCs w:val="0"/>
        </w:rPr>
        <w:t>财政拨款“三公”经费支出决算表</w:t>
      </w:r>
      <w:bookmarkEnd w:id="154"/>
      <w:bookmarkEnd w:id="155"/>
    </w:p>
    <w:sectPr>
      <w:footerReference r:id="rId12" w:type="first"/>
      <w:footerReference r:id="rId11"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8</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12</w:t>
                    </w:r>
                    <w:r>
                      <w:fldChar w:fldCharType="end"/>
                    </w:r>
                  </w:p>
                </w:sdtContent>
              </w:sdt>
              <w:p/>
            </w:txbxContent>
          </v:textbox>
        </v:shape>
      </w:pict>
    </w:r>
  </w:p>
  <w:p>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k3NTM3NGMzYzk5OWQ0YzYwMmE4NTI3ODY2ODYxZm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8F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2023"/>
    <w:rsid w:val="004E0A2D"/>
    <w:rsid w:val="004E206B"/>
    <w:rsid w:val="004E6DF7"/>
    <w:rsid w:val="004F0FBD"/>
    <w:rsid w:val="00505A47"/>
    <w:rsid w:val="00512FDA"/>
    <w:rsid w:val="00520DA0"/>
    <w:rsid w:val="005664BB"/>
    <w:rsid w:val="00566FFA"/>
    <w:rsid w:val="0057481D"/>
    <w:rsid w:val="00577319"/>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6A53"/>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7E30"/>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03FF"/>
    <w:rsid w:val="009625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05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36015"/>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24C2"/>
    <w:rsid w:val="00F841AA"/>
    <w:rsid w:val="00F84A94"/>
    <w:rsid w:val="00F87E96"/>
    <w:rsid w:val="00FA23E8"/>
    <w:rsid w:val="00FD3CC1"/>
    <w:rsid w:val="00FF1E02"/>
    <w:rsid w:val="00FF30B4"/>
    <w:rsid w:val="017E682C"/>
    <w:rsid w:val="01CE2AE8"/>
    <w:rsid w:val="01E4322D"/>
    <w:rsid w:val="01F76329"/>
    <w:rsid w:val="029A1B3E"/>
    <w:rsid w:val="029C3B08"/>
    <w:rsid w:val="03157416"/>
    <w:rsid w:val="034F2928"/>
    <w:rsid w:val="042913CB"/>
    <w:rsid w:val="044B6171"/>
    <w:rsid w:val="045B65F3"/>
    <w:rsid w:val="047649DE"/>
    <w:rsid w:val="04B43AF7"/>
    <w:rsid w:val="04C47895"/>
    <w:rsid w:val="052374D4"/>
    <w:rsid w:val="053A62B5"/>
    <w:rsid w:val="054A2927"/>
    <w:rsid w:val="05542478"/>
    <w:rsid w:val="0636392C"/>
    <w:rsid w:val="06A64F55"/>
    <w:rsid w:val="07350D21"/>
    <w:rsid w:val="08BC62FE"/>
    <w:rsid w:val="08C46E0A"/>
    <w:rsid w:val="09A13D71"/>
    <w:rsid w:val="09A769E1"/>
    <w:rsid w:val="09D31321"/>
    <w:rsid w:val="0A075BF1"/>
    <w:rsid w:val="0A2032A3"/>
    <w:rsid w:val="0B8A37D8"/>
    <w:rsid w:val="0BDF3774"/>
    <w:rsid w:val="0BE61950"/>
    <w:rsid w:val="0BEB6171"/>
    <w:rsid w:val="0CF229F3"/>
    <w:rsid w:val="0D5154EF"/>
    <w:rsid w:val="0D690A8B"/>
    <w:rsid w:val="0E490557"/>
    <w:rsid w:val="0E687CDB"/>
    <w:rsid w:val="0EC73CBB"/>
    <w:rsid w:val="0F4E7F38"/>
    <w:rsid w:val="0F7B4AA5"/>
    <w:rsid w:val="108E4F2E"/>
    <w:rsid w:val="10C055FF"/>
    <w:rsid w:val="10EF12A7"/>
    <w:rsid w:val="113106E6"/>
    <w:rsid w:val="118107EC"/>
    <w:rsid w:val="11AC0F46"/>
    <w:rsid w:val="11BF59BB"/>
    <w:rsid w:val="11DD6519"/>
    <w:rsid w:val="12080872"/>
    <w:rsid w:val="120C3937"/>
    <w:rsid w:val="12170AB5"/>
    <w:rsid w:val="12CE603E"/>
    <w:rsid w:val="12E56D91"/>
    <w:rsid w:val="13FF7A53"/>
    <w:rsid w:val="14142F75"/>
    <w:rsid w:val="15277D36"/>
    <w:rsid w:val="152A0E2F"/>
    <w:rsid w:val="15B648C8"/>
    <w:rsid w:val="15F04A59"/>
    <w:rsid w:val="16730284"/>
    <w:rsid w:val="16BB723D"/>
    <w:rsid w:val="17BD045A"/>
    <w:rsid w:val="18015F3F"/>
    <w:rsid w:val="1816769B"/>
    <w:rsid w:val="18E824D5"/>
    <w:rsid w:val="190A1374"/>
    <w:rsid w:val="19265A82"/>
    <w:rsid w:val="19AB17F4"/>
    <w:rsid w:val="1AE2657A"/>
    <w:rsid w:val="1B1272D3"/>
    <w:rsid w:val="1B925A1C"/>
    <w:rsid w:val="1BE8440E"/>
    <w:rsid w:val="1C913B5A"/>
    <w:rsid w:val="1D155CEE"/>
    <w:rsid w:val="1DAD0520"/>
    <w:rsid w:val="1DBC69B5"/>
    <w:rsid w:val="1DEC46DC"/>
    <w:rsid w:val="1E115849"/>
    <w:rsid w:val="1E641526"/>
    <w:rsid w:val="1ED5336F"/>
    <w:rsid w:val="1F01213D"/>
    <w:rsid w:val="1F1712DB"/>
    <w:rsid w:val="1F5D09CD"/>
    <w:rsid w:val="1FCB6363"/>
    <w:rsid w:val="200A3228"/>
    <w:rsid w:val="20765541"/>
    <w:rsid w:val="20954FD7"/>
    <w:rsid w:val="20F57F95"/>
    <w:rsid w:val="216C24A0"/>
    <w:rsid w:val="21C967FC"/>
    <w:rsid w:val="21F1523E"/>
    <w:rsid w:val="220F3557"/>
    <w:rsid w:val="22717D6E"/>
    <w:rsid w:val="233139A1"/>
    <w:rsid w:val="23C45BC3"/>
    <w:rsid w:val="23CF7104"/>
    <w:rsid w:val="240371BF"/>
    <w:rsid w:val="24AC2947"/>
    <w:rsid w:val="24CD2F93"/>
    <w:rsid w:val="250731D0"/>
    <w:rsid w:val="250E44D1"/>
    <w:rsid w:val="252E5396"/>
    <w:rsid w:val="25711CC6"/>
    <w:rsid w:val="25C741E6"/>
    <w:rsid w:val="2627274E"/>
    <w:rsid w:val="269566AD"/>
    <w:rsid w:val="26AD6AA5"/>
    <w:rsid w:val="26C77082"/>
    <w:rsid w:val="27715CCC"/>
    <w:rsid w:val="27842671"/>
    <w:rsid w:val="27D065FB"/>
    <w:rsid w:val="27DB3EDB"/>
    <w:rsid w:val="28156AE2"/>
    <w:rsid w:val="28DE7321"/>
    <w:rsid w:val="28F15BC1"/>
    <w:rsid w:val="2928376B"/>
    <w:rsid w:val="29FD04D3"/>
    <w:rsid w:val="2A707DA2"/>
    <w:rsid w:val="2A8E3EC5"/>
    <w:rsid w:val="2ABE7A3E"/>
    <w:rsid w:val="2B234681"/>
    <w:rsid w:val="2B911481"/>
    <w:rsid w:val="2B9C4442"/>
    <w:rsid w:val="2CA234A8"/>
    <w:rsid w:val="2D83304B"/>
    <w:rsid w:val="2DF00EEA"/>
    <w:rsid w:val="2E552C39"/>
    <w:rsid w:val="2E9C6FC9"/>
    <w:rsid w:val="2EBA2A9C"/>
    <w:rsid w:val="2EFA178C"/>
    <w:rsid w:val="2F5C22A0"/>
    <w:rsid w:val="305458A3"/>
    <w:rsid w:val="30556F21"/>
    <w:rsid w:val="30A66A87"/>
    <w:rsid w:val="30B46D73"/>
    <w:rsid w:val="31002774"/>
    <w:rsid w:val="319F7F4E"/>
    <w:rsid w:val="31BF6D6E"/>
    <w:rsid w:val="31E762BB"/>
    <w:rsid w:val="32141978"/>
    <w:rsid w:val="32AF59E7"/>
    <w:rsid w:val="32CE1057"/>
    <w:rsid w:val="33272CFD"/>
    <w:rsid w:val="335118FB"/>
    <w:rsid w:val="33B0446E"/>
    <w:rsid w:val="344E177E"/>
    <w:rsid w:val="346C777D"/>
    <w:rsid w:val="35132F06"/>
    <w:rsid w:val="354D4E59"/>
    <w:rsid w:val="35887E2F"/>
    <w:rsid w:val="35DC3BA1"/>
    <w:rsid w:val="362D4E42"/>
    <w:rsid w:val="365E2D8E"/>
    <w:rsid w:val="365F32F3"/>
    <w:rsid w:val="37A2315F"/>
    <w:rsid w:val="37B671A6"/>
    <w:rsid w:val="37C20FCD"/>
    <w:rsid w:val="383D272C"/>
    <w:rsid w:val="393F6449"/>
    <w:rsid w:val="39AE70AB"/>
    <w:rsid w:val="39DC2EF6"/>
    <w:rsid w:val="3A141A86"/>
    <w:rsid w:val="3AB900AC"/>
    <w:rsid w:val="3ADD5BD7"/>
    <w:rsid w:val="3C0C0783"/>
    <w:rsid w:val="3C327705"/>
    <w:rsid w:val="3CFC3141"/>
    <w:rsid w:val="3D2F2412"/>
    <w:rsid w:val="3D403010"/>
    <w:rsid w:val="3D605157"/>
    <w:rsid w:val="3D9A4122"/>
    <w:rsid w:val="3DBC3878"/>
    <w:rsid w:val="3E5E1F2E"/>
    <w:rsid w:val="3EB17B1F"/>
    <w:rsid w:val="3F366CAD"/>
    <w:rsid w:val="3F696A4B"/>
    <w:rsid w:val="3F9240AD"/>
    <w:rsid w:val="3F9F3A96"/>
    <w:rsid w:val="3FAC6431"/>
    <w:rsid w:val="40864ED4"/>
    <w:rsid w:val="41734589"/>
    <w:rsid w:val="41E07D3E"/>
    <w:rsid w:val="425A7BFB"/>
    <w:rsid w:val="42B71375"/>
    <w:rsid w:val="42C10446"/>
    <w:rsid w:val="42CF6863"/>
    <w:rsid w:val="42D24E37"/>
    <w:rsid w:val="430246E5"/>
    <w:rsid w:val="43062B1F"/>
    <w:rsid w:val="438306F7"/>
    <w:rsid w:val="440A0005"/>
    <w:rsid w:val="44B41888"/>
    <w:rsid w:val="451B0679"/>
    <w:rsid w:val="456D692D"/>
    <w:rsid w:val="456F5F37"/>
    <w:rsid w:val="466E4440"/>
    <w:rsid w:val="469C1173"/>
    <w:rsid w:val="46CC5A5D"/>
    <w:rsid w:val="476240E0"/>
    <w:rsid w:val="47A60EA3"/>
    <w:rsid w:val="481B05F8"/>
    <w:rsid w:val="48357EB5"/>
    <w:rsid w:val="48BF60AB"/>
    <w:rsid w:val="493C27E9"/>
    <w:rsid w:val="496F39ED"/>
    <w:rsid w:val="49FF41D3"/>
    <w:rsid w:val="4A1C1F96"/>
    <w:rsid w:val="4A7A7858"/>
    <w:rsid w:val="4A883EE7"/>
    <w:rsid w:val="4A995804"/>
    <w:rsid w:val="4AA92A46"/>
    <w:rsid w:val="4ADA7EAE"/>
    <w:rsid w:val="4B424154"/>
    <w:rsid w:val="4BE068DB"/>
    <w:rsid w:val="4BF6002B"/>
    <w:rsid w:val="4CA17BB8"/>
    <w:rsid w:val="4CC670C2"/>
    <w:rsid w:val="4CE6466D"/>
    <w:rsid w:val="4D2E0486"/>
    <w:rsid w:val="4D6614CB"/>
    <w:rsid w:val="4DEB2F41"/>
    <w:rsid w:val="4E17716C"/>
    <w:rsid w:val="4ECE2238"/>
    <w:rsid w:val="4F2B762F"/>
    <w:rsid w:val="4FAC78DD"/>
    <w:rsid w:val="4FE75C69"/>
    <w:rsid w:val="50C00528"/>
    <w:rsid w:val="50C431DE"/>
    <w:rsid w:val="50CE3876"/>
    <w:rsid w:val="50CF0C9C"/>
    <w:rsid w:val="50FE57E0"/>
    <w:rsid w:val="514631FE"/>
    <w:rsid w:val="515D53E3"/>
    <w:rsid w:val="51623047"/>
    <w:rsid w:val="51DB4B86"/>
    <w:rsid w:val="51E77260"/>
    <w:rsid w:val="53AB4A90"/>
    <w:rsid w:val="549A4653"/>
    <w:rsid w:val="54CF419B"/>
    <w:rsid w:val="55333C3E"/>
    <w:rsid w:val="556C1E5F"/>
    <w:rsid w:val="556F5ADF"/>
    <w:rsid w:val="55B54C32"/>
    <w:rsid w:val="55D77C78"/>
    <w:rsid w:val="56091300"/>
    <w:rsid w:val="57FB6223"/>
    <w:rsid w:val="57FF139C"/>
    <w:rsid w:val="58243DBC"/>
    <w:rsid w:val="585D4D1D"/>
    <w:rsid w:val="596815F8"/>
    <w:rsid w:val="5A3D0306"/>
    <w:rsid w:val="5AC541F4"/>
    <w:rsid w:val="5B776210"/>
    <w:rsid w:val="5B7D3110"/>
    <w:rsid w:val="5B835589"/>
    <w:rsid w:val="5B9606E0"/>
    <w:rsid w:val="5BBC4626"/>
    <w:rsid w:val="5C235F50"/>
    <w:rsid w:val="5C3B671B"/>
    <w:rsid w:val="5C4779B3"/>
    <w:rsid w:val="5C5242AB"/>
    <w:rsid w:val="5D0A3D1C"/>
    <w:rsid w:val="5D573A29"/>
    <w:rsid w:val="5D5F28DD"/>
    <w:rsid w:val="5DA53CB2"/>
    <w:rsid w:val="5EAA7B88"/>
    <w:rsid w:val="5F187968"/>
    <w:rsid w:val="5F1E4D57"/>
    <w:rsid w:val="5F4D50E3"/>
    <w:rsid w:val="5FD4160F"/>
    <w:rsid w:val="60060726"/>
    <w:rsid w:val="607B5C80"/>
    <w:rsid w:val="60883247"/>
    <w:rsid w:val="60BB26AF"/>
    <w:rsid w:val="60DA29A7"/>
    <w:rsid w:val="60F872D1"/>
    <w:rsid w:val="61035BDA"/>
    <w:rsid w:val="611A2DA3"/>
    <w:rsid w:val="616E6A18"/>
    <w:rsid w:val="62AD1323"/>
    <w:rsid w:val="62EC0DA3"/>
    <w:rsid w:val="637B6481"/>
    <w:rsid w:val="63AB1A62"/>
    <w:rsid w:val="63F63C2D"/>
    <w:rsid w:val="64CA39A1"/>
    <w:rsid w:val="64EF6909"/>
    <w:rsid w:val="654F3237"/>
    <w:rsid w:val="657333CA"/>
    <w:rsid w:val="65AE6FB6"/>
    <w:rsid w:val="65C2695D"/>
    <w:rsid w:val="6673092F"/>
    <w:rsid w:val="6779459B"/>
    <w:rsid w:val="67CE0D8B"/>
    <w:rsid w:val="68792AA5"/>
    <w:rsid w:val="688E25CD"/>
    <w:rsid w:val="68C36307"/>
    <w:rsid w:val="68DB3760"/>
    <w:rsid w:val="69630ADE"/>
    <w:rsid w:val="699B2EEF"/>
    <w:rsid w:val="69A94CB8"/>
    <w:rsid w:val="69C26788"/>
    <w:rsid w:val="6A335EA2"/>
    <w:rsid w:val="6A452A79"/>
    <w:rsid w:val="6A611A43"/>
    <w:rsid w:val="6AA63AB2"/>
    <w:rsid w:val="6AA732A6"/>
    <w:rsid w:val="6AE4035F"/>
    <w:rsid w:val="6AFC176B"/>
    <w:rsid w:val="6B2E0380"/>
    <w:rsid w:val="6B542573"/>
    <w:rsid w:val="6BDD334B"/>
    <w:rsid w:val="6C4A05C8"/>
    <w:rsid w:val="6CA9147F"/>
    <w:rsid w:val="6CC35B2A"/>
    <w:rsid w:val="6D3B1A89"/>
    <w:rsid w:val="6D7C522C"/>
    <w:rsid w:val="6DA63D56"/>
    <w:rsid w:val="6E166FE8"/>
    <w:rsid w:val="6E625D89"/>
    <w:rsid w:val="6EB81E4D"/>
    <w:rsid w:val="70535386"/>
    <w:rsid w:val="70DC0075"/>
    <w:rsid w:val="716D65F4"/>
    <w:rsid w:val="7174674D"/>
    <w:rsid w:val="71BF4EC2"/>
    <w:rsid w:val="722331C9"/>
    <w:rsid w:val="72354609"/>
    <w:rsid w:val="72734D90"/>
    <w:rsid w:val="72846D84"/>
    <w:rsid w:val="736301DA"/>
    <w:rsid w:val="7412278C"/>
    <w:rsid w:val="74E12CBB"/>
    <w:rsid w:val="750901E1"/>
    <w:rsid w:val="755C5E7E"/>
    <w:rsid w:val="75735762"/>
    <w:rsid w:val="75BA6AE3"/>
    <w:rsid w:val="75CA2B92"/>
    <w:rsid w:val="764346F2"/>
    <w:rsid w:val="76E16901"/>
    <w:rsid w:val="76EA3491"/>
    <w:rsid w:val="77195678"/>
    <w:rsid w:val="774E6946"/>
    <w:rsid w:val="77877F55"/>
    <w:rsid w:val="783863BB"/>
    <w:rsid w:val="784F41F7"/>
    <w:rsid w:val="78AF6EF2"/>
    <w:rsid w:val="78B858CB"/>
    <w:rsid w:val="78D70769"/>
    <w:rsid w:val="792410CB"/>
    <w:rsid w:val="79E7B28D"/>
    <w:rsid w:val="7A2E1215"/>
    <w:rsid w:val="7A6C39F7"/>
    <w:rsid w:val="7A9861CB"/>
    <w:rsid w:val="7BC55222"/>
    <w:rsid w:val="7C1A5EF5"/>
    <w:rsid w:val="7C556F2D"/>
    <w:rsid w:val="7CBD259D"/>
    <w:rsid w:val="7CC66D6F"/>
    <w:rsid w:val="7D3D1E9B"/>
    <w:rsid w:val="7D5947DF"/>
    <w:rsid w:val="7D5B4A17"/>
    <w:rsid w:val="7DAA5057"/>
    <w:rsid w:val="7DBE16B8"/>
    <w:rsid w:val="7DF734C2"/>
    <w:rsid w:val="7E556D0F"/>
    <w:rsid w:val="7E7E09BD"/>
    <w:rsid w:val="7EAC24A4"/>
    <w:rsid w:val="7EC3792E"/>
    <w:rsid w:val="7F0321A5"/>
    <w:rsid w:val="7F222D4E"/>
    <w:rsid w:val="7F237A27"/>
    <w:rsid w:val="7F9F20EE"/>
    <w:rsid w:val="7FA2248A"/>
    <w:rsid w:val="7FB977D3"/>
    <w:rsid w:val="7FDA7E75"/>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360CloudEnterprise\Cache\3279359688\16097426912402697\4&#39044;&#20915;&#31639;\&#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360CloudEnterprise\Cache\3279359688\16097426912402697\4&#39044;&#20915;&#31639;\&#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360CloudEnterprise\Cache\3279359688\16097426912402697\4&#39044;&#20915;&#31639;\&#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360CloudEnterprise\Cache\3279359688\16097426912402697\4&#39044;&#20915;&#31639;\&#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360CloudEnterprise\Cache\3279359688\16097426912402697\4&#39044;&#20915;&#31639;\&#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360CloudEnterprise\Cache\3279359688\16097426912402697\4&#39044;&#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[图表.xlsx]Sheet1!$A$4:$A$5</c:f>
              <c:strCache>
                <c:ptCount val="2"/>
                <c:pt idx="0">
                  <c:v>2022年收、支决算</c:v>
                </c:pt>
                <c:pt idx="1">
                  <c:v>2023年收、支决算</c:v>
                </c:pt>
              </c:strCache>
            </c:strRef>
          </c:cat>
          <c:val>
            <c:numRef>
              <c:f>[图表.xlsx]Sheet1!$B$4:$B$5</c:f>
              <c:numCache>
                <c:formatCode>#,##0.00</c:formatCode>
                <c:ptCount val="2"/>
                <c:pt idx="0">
                  <c:v>1175.32</c:v>
                </c:pt>
                <c:pt idx="1">
                  <c:v>1271.85</c:v>
                </c:pt>
              </c:numCache>
            </c:numRef>
          </c:val>
        </c:ser>
        <c:dLbls>
          <c:showLegendKey val="0"/>
          <c:showVal val="1"/>
          <c:showCatName val="0"/>
          <c:showSerName val="0"/>
          <c:showPercent val="0"/>
          <c:showBubbleSize val="0"/>
        </c:dLbls>
        <c:gapWidth val="219"/>
        <c:overlap val="-27"/>
        <c:axId val="297112799"/>
        <c:axId val="843793812"/>
      </c:barChart>
      <c:catAx>
        <c:axId val="2971127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793812"/>
        <c:crosses val="autoZero"/>
        <c:auto val="1"/>
        <c:lblAlgn val="ctr"/>
        <c:lblOffset val="100"/>
        <c:noMultiLvlLbl val="0"/>
      </c:catAx>
      <c:valAx>
        <c:axId val="8437938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71127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237253086644039"/>
                  <c:y val="-0.12258113543487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84575948078755"/>
                  <c:y val="0.08051398264718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21863511799619"/>
                  <c:y val="-0.0063452451854500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33459896833565"/>
                  <c:y val="0.001659892694345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[图表.xlsx]Sheet1!$A$15:$A$18</c:f>
              <c:strCache>
                <c:ptCount val="4"/>
                <c:pt idx="0">
                  <c:v>一般公共预算财政拨款收入</c:v>
                </c:pt>
                <c:pt idx="1">
                  <c:v>政府性基金预算财政拨款</c:v>
                </c:pt>
                <c:pt idx="2">
                  <c:v>事业收入</c:v>
                </c:pt>
                <c:pt idx="3">
                  <c:v>其他收入</c:v>
                </c:pt>
              </c:strCache>
            </c:strRef>
          </c:cat>
          <c:val>
            <c:numRef>
              <c:f>[图表.xlsx]Sheet1!$B$15:$B$18</c:f>
              <c:numCache>
                <c:formatCode>#,##0.00</c:formatCode>
                <c:ptCount val="4"/>
                <c:pt idx="0">
                  <c:v>1016.86</c:v>
                </c:pt>
                <c:pt idx="1">
                  <c:v>0</c:v>
                </c:pt>
                <c:pt idx="2">
                  <c:v>0</c:v>
                </c:pt>
                <c:pt idx="3">
                  <c:v>223.53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7267530116747"/>
                  <c:y val="-0.1590880647594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31539072331852"/>
                  <c:y val="0.1339834674156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[图表.xlsx]Sheet1!$A$31:$B$31</c:f>
              <c:strCache>
                <c:ptCount val="2"/>
                <c:pt idx="0">
                  <c:v>基本支出</c:v>
                </c:pt>
                <c:pt idx="1">
                  <c:v>项目支出</c:v>
                </c:pt>
              </c:strCache>
            </c:strRef>
          </c:cat>
          <c:val>
            <c:numRef>
              <c:f>[图表.xlsx]Sheet1!$A$32:$B$32</c:f>
              <c:numCache>
                <c:formatCode>#,##0.00</c:formatCode>
                <c:ptCount val="2"/>
                <c:pt idx="0">
                  <c:v>896.05</c:v>
                </c:pt>
                <c:pt idx="1">
                  <c:v>310.44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384143500543563"/>
          <c:y val="0.034536891679748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[图表.xlsx]Sheet1!$A$45:$A$46</c:f>
              <c:strCache>
                <c:ptCount val="2"/>
                <c:pt idx="0">
                  <c:v>2022年收、支决算</c:v>
                </c:pt>
                <c:pt idx="1">
                  <c:v>2023年收、支决算</c:v>
                </c:pt>
              </c:strCache>
            </c:strRef>
          </c:cat>
          <c:val>
            <c:numRef>
              <c:f>[图表.xlsx]Sheet1!$B$45:$B$46</c:f>
              <c:numCache>
                <c:formatCode>#,##0.00</c:formatCode>
                <c:ptCount val="2"/>
                <c:pt idx="0">
                  <c:v>1073.95</c:v>
                </c:pt>
                <c:pt idx="1">
                  <c:v>1016.86</c:v>
                </c:pt>
              </c:numCache>
            </c:numRef>
          </c:val>
        </c:ser>
        <c:dLbls>
          <c:showLegendKey val="0"/>
          <c:showVal val="1"/>
          <c:showCatName val="0"/>
          <c:showSerName val="0"/>
          <c:showPercent val="0"/>
          <c:showBubbleSize val="0"/>
        </c:dLbls>
        <c:gapWidth val="219"/>
        <c:overlap val="-27"/>
        <c:axId val="576782678"/>
        <c:axId val="85901569"/>
      </c:barChart>
      <c:catAx>
        <c:axId val="5767826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901569"/>
        <c:crosses val="autoZero"/>
        <c:auto val="1"/>
        <c:lblAlgn val="ctr"/>
        <c:lblOffset val="100"/>
        <c:noMultiLvlLbl val="0"/>
      </c:catAx>
      <c:valAx>
        <c:axId val="8590156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78267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单位：万元</a:t>
            </a:r>
            <a:endParaRPr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[图表.xlsx]Sheet1!$A$59:$A$60</c:f>
              <c:strCache>
                <c:ptCount val="2"/>
                <c:pt idx="0">
                  <c:v>2022年</c:v>
                </c:pt>
                <c:pt idx="1">
                  <c:v>2023年</c:v>
                </c:pt>
              </c:strCache>
            </c:strRef>
          </c:cat>
          <c:val>
            <c:numRef>
              <c:f>[图表.xlsx]Sheet1!$B$59:$B$60</c:f>
              <c:numCache>
                <c:formatCode>General</c:formatCode>
                <c:ptCount val="2"/>
                <c:pt idx="0">
                  <c:v>1073.95</c:v>
                </c:pt>
                <c:pt idx="1" c:formatCode="#,##0.00">
                  <c:v>1016.86</c:v>
                </c:pt>
              </c:numCache>
            </c:numRef>
          </c:val>
        </c:ser>
        <c:dLbls>
          <c:showLegendKey val="0"/>
          <c:showVal val="1"/>
          <c:showCatName val="0"/>
          <c:showSerName val="0"/>
          <c:showPercent val="0"/>
          <c:showBubbleSize val="0"/>
        </c:dLbls>
        <c:gapWidth val="219"/>
        <c:overlap val="-27"/>
        <c:axId val="941656073"/>
        <c:axId val="563187504"/>
      </c:barChart>
      <c:catAx>
        <c:axId val="9416560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3187504"/>
        <c:crosses val="autoZero"/>
        <c:auto val="1"/>
        <c:lblAlgn val="ctr"/>
        <c:lblOffset val="100"/>
        <c:noMultiLvlLbl val="0"/>
      </c:catAx>
      <c:valAx>
        <c:axId val="563187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6560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[图表.xlsx]Sheet1!$A$76:$A$79</c:f>
              <c:strCache>
                <c:ptCount val="4"/>
                <c:pt idx="0">
                  <c:v>教育支出</c:v>
                </c:pt>
                <c:pt idx="1">
                  <c:v>社会保障和就业支出</c:v>
                </c:pt>
                <c:pt idx="2">
                  <c:v>卫生健康支出</c:v>
                </c:pt>
                <c:pt idx="3">
                  <c:v>住房保障支出</c:v>
                </c:pt>
              </c:strCache>
            </c:strRef>
          </c:cat>
          <c:val>
            <c:numRef>
              <c:f>[图表.xlsx]Sheet1!$B$76:$B$79</c:f>
              <c:numCache>
                <c:formatCode>#,##0.00</c:formatCode>
                <c:ptCount val="4"/>
                <c:pt idx="0">
                  <c:v>799.34</c:v>
                </c:pt>
                <c:pt idx="1">
                  <c:v>106.83</c:v>
                </c:pt>
                <c:pt idx="2">
                  <c:v>44.29</c:v>
                </c:pt>
                <c:pt idx="3">
                  <c:v>66.4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5679</Words>
  <Characters>6215</Characters>
  <Lines>58</Lines>
  <Paragraphs>16</Paragraphs>
  <TotalTime>9</TotalTime>
  <ScaleCrop>false</ScaleCrop>
  <LinksUpToDate>false</LinksUpToDate>
  <CharactersWithSpaces>6271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2024-09-18T03:29:35Z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C3047D56C94D4DC0903A1E664CED247E_12</vt:lpwstr>
  </property>
</Properties>
</file>