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425"/>
      <w:bookmarkStart w:id="3" w:name="_Toc15377193"/>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426"/>
      <w:bookmarkStart w:id="7" w:name="_Toc15378442"/>
      <w:bookmarkStart w:id="8" w:name="_Toc15396476"/>
      <w:bookmarkStart w:id="9" w:name="_Toc15377194"/>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遂宁市船山区仁里镇人民政府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rPr>
          <w:rFonts w:eastAsia="仿宋_GB2312" w:cs="仿宋"/>
          <w:bCs/>
          <w:sz w:val="32"/>
          <w:szCs w:val="32"/>
        </w:rPr>
      </w:pPr>
    </w:p>
    <w:p>
      <w:pPr>
        <w:pStyle w:val="13"/>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第一部分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部门概况</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一、部门职责</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二、机构设置</w:t>
      </w:r>
    </w:p>
    <w:p>
      <w:pPr>
        <w:pStyle w:val="13"/>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 xml:space="preserve">第二部分 </w:t>
      </w:r>
      <w:r>
        <w:rPr>
          <w:rFonts w:hint="eastAsia" w:ascii="Times New Roman" w:hAnsi="Times New Roman" w:eastAsia="仿宋_GB2312" w:cs="仿宋"/>
          <w:bCs/>
          <w:sz w:val="32"/>
          <w:szCs w:val="32"/>
          <w:lang w:eastAsia="zh-CN"/>
        </w:rPr>
        <w:t>2023</w:t>
      </w:r>
      <w:r>
        <w:rPr>
          <w:rFonts w:hint="eastAsia" w:ascii="Times New Roman" w:hAnsi="Times New Roman" w:eastAsia="仿宋_GB2312" w:cs="仿宋"/>
          <w:bCs/>
          <w:sz w:val="32"/>
          <w:szCs w:val="32"/>
        </w:rPr>
        <w:t>年度部门决算情况说明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一、收入支出决算总体情况说明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二、收入决算情况说明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三、支出决算情况说明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四、财政拨款收入支出决算总体情况说明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五、一般公共预算财政拨款支出决算情况说明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六、一般公共预算财政拨款基本支出决算情况说明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七、财政拨款“三公”经费支出决算情况说明</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八、政府性基金预算支出决算情况说明</w:t>
      </w:r>
    </w:p>
    <w:p>
      <w:pPr>
        <w:pStyle w:val="14"/>
        <w:adjustRightInd w:val="0"/>
        <w:snapToGrid w:val="0"/>
        <w:spacing w:line="440" w:lineRule="exact"/>
        <w:ind w:leftChars="0"/>
        <w:jc w:val="left"/>
        <w:rPr>
          <w:rFonts w:eastAsia="仿宋_GB2312" w:cs="仿宋"/>
          <w:bCs/>
          <w:sz w:val="32"/>
          <w:szCs w:val="32"/>
        </w:rPr>
      </w:pPr>
      <w:r>
        <w:rPr>
          <w:rFonts w:hint="eastAsia" w:eastAsia="仿宋_GB2312" w:cs="仿宋"/>
          <w:bCs/>
          <w:sz w:val="32"/>
          <w:szCs w:val="32"/>
        </w:rPr>
        <w:t>九、国有资本经营预算支出决算情况说明</w:t>
      </w:r>
    </w:p>
    <w:p>
      <w:pPr>
        <w:adjustRightInd w:val="0"/>
        <w:snapToGrid w:val="0"/>
        <w:spacing w:line="440" w:lineRule="exact"/>
        <w:ind w:firstLine="560" w:firstLineChars="175"/>
        <w:jc w:val="left"/>
        <w:rPr>
          <w:rFonts w:eastAsia="仿宋_GB2312" w:cs="仿宋"/>
          <w:bCs/>
          <w:sz w:val="32"/>
          <w:szCs w:val="32"/>
        </w:rPr>
      </w:pPr>
      <w:r>
        <w:rPr>
          <w:rFonts w:hint="eastAsia" w:eastAsia="仿宋_GB2312" w:cs="仿宋"/>
          <w:bCs/>
          <w:sz w:val="32"/>
          <w:szCs w:val="32"/>
        </w:rPr>
        <w:t>十、其他重要事项的情况说明</w:t>
      </w:r>
      <w:r>
        <w:rPr>
          <w:rFonts w:hint="eastAsia" w:eastAsia="仿宋_GB2312" w:cs="仿宋"/>
          <w:bCs/>
          <w:sz w:val="32"/>
          <w:szCs w:val="32"/>
        </w:rPr>
        <w:tab/>
      </w:r>
    </w:p>
    <w:p>
      <w:pPr>
        <w:pStyle w:val="13"/>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第三部分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名词解释</w:t>
      </w:r>
    </w:p>
    <w:p>
      <w:pPr>
        <w:pStyle w:val="13"/>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第四部分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附件</w:t>
      </w:r>
    </w:p>
    <w:p>
      <w:pPr>
        <w:pStyle w:val="13"/>
        <w:adjustRightInd w:val="0"/>
        <w:snapToGrid w:val="0"/>
        <w:spacing w:before="0" w:line="440" w:lineRule="exact"/>
        <w:jc w:val="left"/>
        <w:rPr>
          <w:rFonts w:ascii="Times New Roman" w:hAnsi="Times New Roman" w:eastAsia="仿宋_GB2312" w:cs="仿宋"/>
          <w:bCs/>
          <w:sz w:val="32"/>
          <w:szCs w:val="32"/>
        </w:rPr>
      </w:pPr>
      <w:r>
        <w:rPr>
          <w:rFonts w:hint="eastAsia" w:ascii="Times New Roman" w:hAnsi="Times New Roman" w:eastAsia="仿宋_GB2312" w:cs="仿宋"/>
          <w:bCs/>
          <w:sz w:val="32"/>
          <w:szCs w:val="32"/>
        </w:rPr>
        <w:t>第五部分</w:t>
      </w:r>
      <w:r>
        <w:rPr>
          <w:rFonts w:ascii="Times New Roman" w:hAnsi="Times New Roman" w:eastAsia="仿宋_GB2312" w:cs="仿宋"/>
          <w:bCs/>
          <w:sz w:val="32"/>
          <w:szCs w:val="32"/>
        </w:rPr>
        <w:t xml:space="preserve"> </w:t>
      </w:r>
      <w:r>
        <w:rPr>
          <w:rFonts w:hint="eastAsia" w:ascii="Times New Roman" w:hAnsi="Times New Roman" w:eastAsia="仿宋_GB2312" w:cs="仿宋"/>
          <w:bCs/>
          <w:sz w:val="32"/>
          <w:szCs w:val="32"/>
        </w:rPr>
        <w:t>附表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一、收入支出决算总表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二、收入决算表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三、支出决算表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四、财政拨款收入支出决算总表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五、财政拨款支出决算明细表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六、一般公共预算财政拨款支出决算表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七、一般公共预算财政拨款支出决算明细表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八、一般公共预算财政拨款基本支出决算明细表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九、一般公共预算财政拨款项目支出决算表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十、政府性基金预算财政拨款收入支出决算表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十一、国有资本经营预算财政拨款收入支出决算表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十二、国有资本经营预算财政拨款支出决算表</w:t>
      </w:r>
    </w:p>
    <w:p>
      <w:pPr>
        <w:pStyle w:val="14"/>
        <w:adjustRightInd w:val="0"/>
        <w:snapToGrid w:val="0"/>
        <w:spacing w:line="440" w:lineRule="exact"/>
        <w:jc w:val="left"/>
        <w:rPr>
          <w:rFonts w:eastAsia="仿宋_GB2312" w:cs="仿宋"/>
          <w:bCs/>
          <w:sz w:val="32"/>
          <w:szCs w:val="32"/>
        </w:rPr>
      </w:pPr>
      <w:r>
        <w:rPr>
          <w:rFonts w:hint="eastAsia" w:eastAsia="仿宋_GB2312" w:cs="仿宋"/>
          <w:bCs/>
          <w:sz w:val="32"/>
          <w:szCs w:val="32"/>
        </w:rPr>
        <w:t>十三、财政拨款“三公”经费支出决算表</w:t>
      </w:r>
    </w:p>
    <w:p>
      <w:pPr>
        <w:widowControl/>
        <w:adjustRightInd w:val="0"/>
        <w:snapToGrid w:val="0"/>
        <w:spacing w:line="440" w:lineRule="exact"/>
        <w:ind w:firstLine="1760" w:firstLineChars="550"/>
        <w:jc w:val="left"/>
        <w:rPr>
          <w:rFonts w:eastAsia="仿宋_GB2312" w:cs="仿宋"/>
          <w:bCs/>
          <w:sz w:val="32"/>
          <w:szCs w:val="32"/>
        </w:rPr>
      </w:pPr>
      <w:r>
        <w:rPr>
          <w:rFonts w:eastAsia="仿宋_GB2312" w:cs="仿宋"/>
          <w:bCs/>
          <w:sz w:val="32"/>
          <w:szCs w:val="32"/>
        </w:rPr>
        <w:t>(注：</w:t>
      </w:r>
      <w:r>
        <w:rPr>
          <w:rFonts w:hint="eastAsia" w:eastAsia="仿宋_GB2312" w:cs="仿宋"/>
          <w:bCs/>
          <w:sz w:val="32"/>
          <w:szCs w:val="32"/>
        </w:rPr>
        <w:t>请部门根据实际注明页码</w:t>
      </w:r>
      <w:r>
        <w:rPr>
          <w:rFonts w:eastAsia="仿宋_GB2312" w:cs="仿宋"/>
          <w:bCs/>
          <w:sz w:val="32"/>
          <w:szCs w:val="32"/>
        </w:rPr>
        <w:t>)</w:t>
      </w:r>
    </w:p>
    <w:p>
      <w:pPr>
        <w:widowControl/>
        <w:spacing w:line="440" w:lineRule="exact"/>
        <w:jc w:val="left"/>
        <w:rPr>
          <w:rFonts w:eastAsia="仿宋_GB2312" w:cs="仿宋"/>
          <w:bCs/>
          <w:sz w:val="32"/>
          <w:szCs w:val="32"/>
        </w:rPr>
      </w:pPr>
      <w:bookmarkStart w:id="12" w:name="_Toc15377196"/>
      <w:bookmarkStart w:id="13" w:name="_Toc15396599"/>
      <w:r>
        <w:rPr>
          <w:rFonts w:eastAsia="仿宋_GB2312" w:cs="仿宋"/>
          <w:bCs/>
          <w:sz w:val="32"/>
          <w:szCs w:val="32"/>
        </w:rPr>
        <w:br w:type="page"/>
      </w:r>
    </w:p>
    <w:p>
      <w:pPr>
        <w:pStyle w:val="3"/>
        <w:jc w:val="center"/>
        <w:rPr>
          <w:rFonts w:ascii="黑体" w:hAnsi="黑体" w:eastAsia="黑体"/>
          <w:bCs w:val="0"/>
        </w:rPr>
      </w:pPr>
      <w:r>
        <w:rPr>
          <w:rFonts w:hint="eastAsia" w:ascii="黑体" w:hAnsi="黑体" w:eastAsia="黑体"/>
          <w:b w:val="0"/>
        </w:rPr>
        <w:t xml:space="preserve">第一部分 </w:t>
      </w:r>
      <w:r>
        <w:rPr>
          <w:rStyle w:val="22"/>
          <w:rFonts w:hint="eastAsia" w:ascii="黑体" w:hAnsi="黑体" w:eastAsia="黑体"/>
          <w:b w:val="0"/>
          <w:bCs w:val="0"/>
        </w:rPr>
        <w:t>部门概况</w:t>
      </w:r>
      <w:bookmarkEnd w:id="12"/>
      <w:bookmarkEnd w:id="13"/>
    </w:p>
    <w:p>
      <w:pPr>
        <w:pStyle w:val="2"/>
        <w:numPr>
          <w:ilvl w:val="0"/>
          <w:numId w:val="1"/>
        </w:numPr>
        <w:rPr>
          <w:rFonts w:ascii="黑体" w:hAnsi="黑体" w:eastAsia="黑体"/>
          <w:b w:val="0"/>
        </w:rPr>
      </w:pPr>
      <w:r>
        <w:rPr>
          <w:rFonts w:hint="eastAsia" w:ascii="黑体" w:hAnsi="黑体" w:eastAsia="黑体"/>
          <w:b w:val="0"/>
        </w:rPr>
        <w:t>部门职责</w:t>
      </w:r>
    </w:p>
    <w:p>
      <w:pPr>
        <w:adjustRightInd w:val="0"/>
        <w:snapToGrid w:val="0"/>
        <w:spacing w:line="336" w:lineRule="auto"/>
        <w:ind w:firstLine="420" w:firstLineChars="200"/>
        <w:rPr>
          <w:rFonts w:eastAsia="仿宋_GB2312" w:cs="仿宋"/>
          <w:bCs/>
          <w:color w:val="auto"/>
          <w:sz w:val="32"/>
          <w:szCs w:val="32"/>
        </w:rPr>
      </w:pPr>
      <w:r>
        <w:rPr>
          <w:rFonts w:hint="eastAsia"/>
          <w:color w:val="auto"/>
        </w:rPr>
        <w:t xml:space="preserve">  </w:t>
      </w:r>
      <w:r>
        <w:rPr>
          <w:rFonts w:hint="eastAsia" w:eastAsia="仿宋_GB2312"/>
          <w:color w:val="auto"/>
          <w:sz w:val="32"/>
        </w:rPr>
        <w:t xml:space="preserve"> </w:t>
      </w:r>
      <w:r>
        <w:rPr>
          <w:rFonts w:hint="eastAsia" w:eastAsia="仿宋_GB2312" w:cs="仿宋"/>
          <w:bCs/>
          <w:color w:val="auto"/>
          <w:sz w:val="32"/>
          <w:szCs w:val="32"/>
        </w:rPr>
        <w:t>1、负责执行本级人民代表大会的决议和船山区人民政府的决定和命令，发布决定和命令；对本级人民代表大会和船山区人民政府负责并报告工作。</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2、贯彻执行党和国家的各项方针、政策及法律、法规，依法制定行政措施和实施方案。</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3、研究制定、执行本乡经济建设和社会发展规划、政策，执行本行政区域内的经济和社会发展计划、预算。</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求助，及时向上级党委、政府反映社情民意，进一步密切党群关系，负责执法服务。</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5、负责本行政区域内的科技、教育、文化、体育事业发展工作，搞好农村的医疗卫生保健服务工作；负责本行政区域内的计划生育工作及流动人口的管理，严格控制人口增长，提高人口素质；加强对本级财政、税收和工商管理工作的监督指导，负责工商、税收法规、政策的宣传贯彻和财经纪律执行情况的监督检查工作，积极培育市场、发展市场经济，保护经营者之间平等竞争；负责本行政区域内的民族宗教、民政工作，做好救灾救济和社会保障等工作。</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6、负责本行政区域内的公安、司法行政管理工作，搞好社会治安综合治理</w:t>
      </w:r>
      <w:r>
        <w:rPr>
          <w:rFonts w:hint="eastAsia" w:ascii="仿宋" w:hAnsi="仿宋" w:eastAsia="仿宋" w:cs="仿宋"/>
          <w:color w:val="auto"/>
          <w:sz w:val="32"/>
          <w:szCs w:val="32"/>
        </w:rPr>
        <w:t>，维护社会秩序，保障公民的人身权利、民主权利和其他权利；保护国有财产、劳动群众集体所有财产和公民私人所有的合法财产，保护各种经济组织</w:t>
      </w:r>
      <w:r>
        <w:rPr>
          <w:rFonts w:hint="eastAsia" w:eastAsia="仿宋_GB2312" w:cs="仿宋"/>
          <w:bCs/>
          <w:color w:val="auto"/>
          <w:sz w:val="32"/>
          <w:szCs w:val="32"/>
        </w:rPr>
        <w:t>的合法权益；协助相关部门做好村道路、交通运输、消防、危险化学物品、矿山资源、农机、电网等安全监督管理工作，抓好本行政区域内的事故抢救、善后和调查工作，做好安全生产统计工作，定期分析上报安全生产</w:t>
      </w:r>
      <w:r>
        <w:rPr>
          <w:rFonts w:hint="eastAsia" w:eastAsia="仿宋_GB2312" w:cs="仿宋"/>
          <w:bCs/>
          <w:color w:val="auto"/>
          <w:sz w:val="32"/>
          <w:szCs w:val="32"/>
          <w:lang w:eastAsia="zh-CN"/>
        </w:rPr>
        <w:t>形势</w:t>
      </w:r>
      <w:r>
        <w:rPr>
          <w:rFonts w:hint="eastAsia" w:eastAsia="仿宋_GB2312" w:cs="仿宋"/>
          <w:bCs/>
          <w:color w:val="auto"/>
          <w:sz w:val="32"/>
          <w:szCs w:val="32"/>
        </w:rPr>
        <w:t>，及时公布安全生产情况，负责维护稳定。</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7、协助镇党委抓好公务员和下属事业单位工作人员的教育、监督和管理工作，负责监督管理下属事业单位的国有资产、监督下属事业单位贯彻执行政策情况。</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8、保障少数民族的权利和尊重少数民族的风俗习惯。</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9、保障宪法和法律赋予妇女的男女平等、同工同</w:t>
      </w:r>
      <w:r>
        <w:rPr>
          <w:rFonts w:hint="eastAsia" w:eastAsia="仿宋_GB2312" w:cs="仿宋"/>
          <w:bCs/>
          <w:color w:val="auto"/>
          <w:sz w:val="32"/>
          <w:szCs w:val="32"/>
          <w:lang w:eastAsia="zh-CN"/>
        </w:rPr>
        <w:t>酬</w:t>
      </w:r>
      <w:r>
        <w:rPr>
          <w:rFonts w:hint="eastAsia" w:eastAsia="仿宋_GB2312" w:cs="仿宋"/>
          <w:bCs/>
          <w:color w:val="auto"/>
          <w:sz w:val="32"/>
          <w:szCs w:val="32"/>
        </w:rPr>
        <w:t>和婚姻自由等各项权利。</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10、根据《四川省行政机构设置与编制管理办法》的规定，向船山区人民政府呈报仁里镇人民政府各工作部门的设置方案。领导和协助管理中央、省、市、区驻本镇机关和企事业单位。</w:t>
      </w:r>
    </w:p>
    <w:p>
      <w:pPr>
        <w:adjustRightInd w:val="0"/>
        <w:snapToGrid w:val="0"/>
        <w:spacing w:line="336" w:lineRule="auto"/>
        <w:ind w:firstLine="640" w:firstLineChars="200"/>
        <w:rPr>
          <w:rFonts w:eastAsia="仿宋_GB2312" w:cs="仿宋"/>
          <w:bCs/>
          <w:color w:val="auto"/>
          <w:sz w:val="32"/>
          <w:szCs w:val="32"/>
        </w:rPr>
      </w:pPr>
      <w:r>
        <w:rPr>
          <w:rFonts w:hint="eastAsia" w:eastAsia="仿宋_GB2312" w:cs="仿宋"/>
          <w:bCs/>
          <w:color w:val="auto"/>
          <w:sz w:val="32"/>
          <w:szCs w:val="32"/>
        </w:rPr>
        <w:t>11、负责办理人大代表、政协委员提出的与本镇有关的提案、意见、建议、批评等事项。</w:t>
      </w:r>
    </w:p>
    <w:p>
      <w:pPr>
        <w:adjustRightInd w:val="0"/>
        <w:snapToGrid w:val="0"/>
        <w:spacing w:line="336" w:lineRule="auto"/>
        <w:ind w:firstLine="640" w:firstLineChars="200"/>
        <w:rPr>
          <w:rFonts w:eastAsia="仿宋_GB2312" w:cs="仿宋"/>
          <w:bCs/>
          <w:color w:val="9BBB59" w:themeColor="accent3"/>
          <w:sz w:val="32"/>
          <w:szCs w:val="32"/>
        </w:rPr>
      </w:pPr>
      <w:r>
        <w:rPr>
          <w:rFonts w:hint="eastAsia" w:eastAsia="仿宋_GB2312" w:cs="仿宋"/>
          <w:bCs/>
          <w:color w:val="auto"/>
          <w:sz w:val="32"/>
          <w:szCs w:val="32"/>
        </w:rPr>
        <w:t>12、负责办理船山区人民政府交办的其他事务</w:t>
      </w:r>
      <w:r>
        <w:rPr>
          <w:rFonts w:hint="eastAsia" w:eastAsia="仿宋_GB2312" w:cs="仿宋"/>
          <w:bCs/>
          <w:color w:val="9BBB59" w:themeColor="accent3"/>
          <w:sz w:val="32"/>
          <w:szCs w:val="32"/>
        </w:rPr>
        <w:t>。</w:t>
      </w:r>
    </w:p>
    <w:p>
      <w:pPr>
        <w:pStyle w:val="2"/>
        <w:rPr>
          <w:rStyle w:val="23"/>
          <w:b w:val="0"/>
          <w:bCs w:val="0"/>
          <w:color w:val="auto"/>
        </w:rPr>
      </w:pPr>
      <w:bookmarkStart w:id="14" w:name="_Toc15377200"/>
      <w:bookmarkStart w:id="15" w:name="_Toc15396601"/>
      <w:r>
        <w:rPr>
          <w:rFonts w:hint="eastAsia" w:ascii="黑体" w:eastAsia="黑体"/>
          <w:b w:val="0"/>
          <w:color w:val="auto"/>
        </w:rPr>
        <w:t>二、</w:t>
      </w:r>
      <w:r>
        <w:rPr>
          <w:rFonts w:hint="eastAsia" w:ascii="黑体" w:hAnsi="黑体" w:eastAsia="黑体"/>
          <w:b w:val="0"/>
          <w:color w:val="auto"/>
        </w:rPr>
        <w:t>机</w:t>
      </w:r>
      <w:r>
        <w:rPr>
          <w:rStyle w:val="23"/>
          <w:rFonts w:hint="eastAsia" w:ascii="黑体" w:hAnsi="黑体" w:eastAsia="黑体"/>
          <w:b w:val="0"/>
          <w:bCs w:val="0"/>
          <w:color w:val="auto"/>
        </w:rPr>
        <w:t>构设置</w:t>
      </w:r>
      <w:bookmarkEnd w:id="14"/>
      <w:bookmarkEnd w:id="15"/>
    </w:p>
    <w:p>
      <w:pPr>
        <w:pStyle w:val="33"/>
        <w:widowControl/>
        <w:numPr>
          <w:ilvl w:val="0"/>
          <w:numId w:val="2"/>
        </w:numPr>
        <w:adjustRightInd w:val="0"/>
        <w:snapToGrid w:val="0"/>
        <w:spacing w:line="560" w:lineRule="exact"/>
        <w:ind w:firstLineChars="0"/>
        <w:contextualSpacing/>
        <w:jc w:val="left"/>
        <w:rPr>
          <w:rFonts w:ascii="楷体_GB2312" w:hAnsi="楷体_GB2312" w:eastAsia="楷体_GB2312" w:cs="楷体_GB2312"/>
          <w:b/>
          <w:bCs/>
          <w:color w:val="auto"/>
          <w:kern w:val="0"/>
          <w:sz w:val="32"/>
          <w:szCs w:val="32"/>
          <w:shd w:val="clear" w:color="auto" w:fill="FFFFFF"/>
          <w:lang w:val="zh-CN"/>
        </w:rPr>
      </w:pPr>
      <w:bookmarkStart w:id="16" w:name="_Toc15396602"/>
      <w:bookmarkStart w:id="17" w:name="_Toc15377204"/>
      <w:r>
        <w:rPr>
          <w:rFonts w:hint="eastAsia" w:ascii="楷体_GB2312" w:hAnsi="楷体_GB2312" w:eastAsia="楷体_GB2312" w:cs="楷体_GB2312"/>
          <w:b/>
          <w:bCs/>
          <w:color w:val="auto"/>
          <w:kern w:val="0"/>
          <w:sz w:val="32"/>
          <w:szCs w:val="32"/>
          <w:shd w:val="clear" w:color="auto" w:fill="FFFFFF"/>
          <w:lang w:val="zh-CN"/>
        </w:rPr>
        <w:t>机构组成。</w:t>
      </w:r>
    </w:p>
    <w:p>
      <w:pPr>
        <w:spacing w:line="600" w:lineRule="exact"/>
        <w:ind w:firstLine="640" w:firstLineChars="200"/>
        <w:rPr>
          <w:rFonts w:eastAsia="仿宋_GB2312"/>
          <w:color w:val="auto"/>
          <w:sz w:val="32"/>
          <w:lang w:val="zh-CN"/>
        </w:rPr>
      </w:pPr>
      <w:r>
        <w:rPr>
          <w:rFonts w:hint="eastAsia" w:ascii="仿宋" w:hAnsi="仿宋" w:eastAsia="仿宋" w:cs="仿宋"/>
          <w:color w:val="auto"/>
          <w:sz w:val="32"/>
          <w:szCs w:val="32"/>
        </w:rPr>
        <w:t>仁里镇人民政府未设下属二级预算单位，设有党政办、社会治理与应急管理办、社会事务办、农服中心、便民服务中心、乡村振兴办、党建办、宣传文化中心、农民工服务中心、财政办等科室。</w:t>
      </w:r>
    </w:p>
    <w:p>
      <w:pPr>
        <w:widowControl/>
        <w:adjustRightInd w:val="0"/>
        <w:snapToGrid w:val="0"/>
        <w:spacing w:line="560" w:lineRule="exact"/>
        <w:ind w:firstLine="643" w:firstLineChars="200"/>
        <w:contextualSpacing/>
        <w:jc w:val="left"/>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（二）机构职能和人员概况。</w:t>
      </w:r>
    </w:p>
    <w:p>
      <w:pPr>
        <w:snapToGrid w:val="0"/>
        <w:spacing w:line="588" w:lineRule="exact"/>
        <w:ind w:firstLine="640" w:firstLineChars="200"/>
        <w:rPr>
          <w:rFonts w:eastAsia="仿宋"/>
          <w:color w:val="auto"/>
          <w:sz w:val="32"/>
          <w:szCs w:val="32"/>
        </w:rPr>
      </w:pPr>
      <w:r>
        <w:rPr>
          <w:rFonts w:eastAsia="仿宋"/>
          <w:color w:val="auto"/>
          <w:sz w:val="32"/>
          <w:szCs w:val="32"/>
        </w:rPr>
        <w:t xml:space="preserve"> 镇党委：（1）保证党的路线、方针、政策的坚决贯彻执行，领导和监督同级人大、政府落实上级安排的各项工作任务，教育和管理全镇各级干部群众，抓好经济建设，维护社会稳定。（2）负责抓好本镇党建工作、群团工作、新闻宣传工作，抓好精神文明建设，丰富群众文化生活，提倡移风易俗，反对封建迷信，破除陈规陋习，树立社会主义新风尚。（3）完成区委、区政府交给的其他工作任务。</w:t>
      </w:r>
    </w:p>
    <w:p>
      <w:pPr>
        <w:snapToGrid w:val="0"/>
        <w:spacing w:line="588" w:lineRule="exact"/>
        <w:ind w:firstLine="640" w:firstLineChars="200"/>
        <w:rPr>
          <w:rFonts w:eastAsia="仿宋"/>
          <w:color w:val="auto"/>
          <w:sz w:val="32"/>
          <w:szCs w:val="32"/>
        </w:rPr>
      </w:pPr>
      <w:r>
        <w:rPr>
          <w:rFonts w:eastAsia="仿宋"/>
          <w:color w:val="auto"/>
          <w:sz w:val="32"/>
          <w:szCs w:val="32"/>
        </w:rPr>
        <w:t>镇政府：（1）执行本级党委和人民代表大会的决议及上级国家行政机关的决定和命令，发布决定和命令。（2）执行本行政区域内的经济和社会发展计划、预算，管理本行政区域内的经济、教育、科学、文化、卫生、体育事业和财政、民政、公安、司法行政、计划生育等行政工作，取缔非法经济活动，调解和处理民事纠纷，打击刑事犯罪，维护社会稳定。（3）办理上级人民政府交办的其</w:t>
      </w:r>
      <w:r>
        <w:rPr>
          <w:rFonts w:hint="eastAsia" w:eastAsia="仿宋"/>
          <w:color w:val="auto"/>
          <w:sz w:val="32"/>
          <w:szCs w:val="32"/>
          <w:lang w:eastAsia="zh-CN"/>
        </w:rPr>
        <w:t>他</w:t>
      </w:r>
      <w:r>
        <w:rPr>
          <w:rFonts w:eastAsia="仿宋"/>
          <w:color w:val="auto"/>
          <w:sz w:val="32"/>
          <w:szCs w:val="32"/>
        </w:rPr>
        <w:t>事项。</w:t>
      </w:r>
    </w:p>
    <w:p>
      <w:pPr>
        <w:snapToGrid w:val="0"/>
        <w:spacing w:line="588" w:lineRule="exact"/>
        <w:ind w:firstLine="640" w:firstLineChars="200"/>
        <w:outlineLvl w:val="0"/>
        <w:rPr>
          <w:rFonts w:eastAsia="仿宋"/>
          <w:color w:val="auto"/>
          <w:sz w:val="32"/>
          <w:szCs w:val="32"/>
        </w:rPr>
      </w:pPr>
      <w:r>
        <w:rPr>
          <w:rFonts w:eastAsia="仿宋"/>
          <w:color w:val="auto"/>
          <w:sz w:val="32"/>
          <w:szCs w:val="32"/>
        </w:rPr>
        <w:t>在区委区府及财政局的指导监督下，一是提高了专款专用能力，各种资金有专门</w:t>
      </w:r>
      <w:r>
        <w:rPr>
          <w:rFonts w:hint="eastAsia" w:eastAsia="仿宋"/>
          <w:color w:val="auto"/>
          <w:sz w:val="32"/>
          <w:szCs w:val="32"/>
          <w:lang w:eastAsia="zh-CN"/>
        </w:rPr>
        <w:t>用途</w:t>
      </w:r>
      <w:r>
        <w:rPr>
          <w:rFonts w:eastAsia="仿宋"/>
          <w:color w:val="auto"/>
          <w:sz w:val="32"/>
          <w:szCs w:val="32"/>
        </w:rPr>
        <w:t>，减少了资金的中转环节，避免了中途的截留挪用。镇财务管理得到了进一步的规范。二是约束了非正常性开支。三是规范了会计核算程序，确保会计信息质量。四是规范会计核算程序，统一口径。五是严格控制非必要性支出，集中财力办大事。按时开展财务公开，大大提高农民群众的满意度。</w:t>
      </w:r>
    </w:p>
    <w:p>
      <w:pPr>
        <w:snapToGrid w:val="0"/>
        <w:spacing w:line="588" w:lineRule="exact"/>
        <w:ind w:firstLine="640" w:firstLineChars="200"/>
        <w:outlineLvl w:val="0"/>
        <w:rPr>
          <w:rFonts w:eastAsia="仿宋"/>
          <w:color w:val="auto"/>
          <w:sz w:val="32"/>
          <w:szCs w:val="32"/>
        </w:rPr>
      </w:pPr>
      <w:r>
        <w:rPr>
          <w:rFonts w:eastAsia="仿宋"/>
          <w:color w:val="auto"/>
          <w:sz w:val="32"/>
          <w:szCs w:val="32"/>
        </w:rPr>
        <w:t>总之，我单位牢固树立“保稳定，促发展”的意识，确保机关、事业单位人员工资、维稳经费、民政定补对象的正常发放和机关正常运转，有效</w:t>
      </w:r>
      <w:r>
        <w:rPr>
          <w:rFonts w:hint="eastAsia" w:eastAsia="仿宋"/>
          <w:color w:val="auto"/>
          <w:sz w:val="32"/>
          <w:szCs w:val="32"/>
          <w:lang w:eastAsia="zh-CN"/>
        </w:rPr>
        <w:t>地</w:t>
      </w:r>
      <w:r>
        <w:rPr>
          <w:rFonts w:eastAsia="仿宋"/>
          <w:color w:val="auto"/>
          <w:sz w:val="32"/>
          <w:szCs w:val="32"/>
        </w:rPr>
        <w:t>调动了全镇各级干部的积极性,全面完成今年区委、区政府提出的各项目标任务的积极性，推动各项工作和社会事业更好地向前发展。</w:t>
      </w:r>
    </w:p>
    <w:p>
      <w:pPr>
        <w:spacing w:line="600" w:lineRule="exact"/>
        <w:ind w:firstLine="640" w:firstLineChars="200"/>
        <w:rPr>
          <w:rFonts w:eastAsia="仿宋_GB2312"/>
          <w:color w:val="9BBB59" w:themeColor="accent3"/>
          <w:sz w:val="32"/>
        </w:rPr>
      </w:pPr>
      <w:r>
        <w:rPr>
          <w:rFonts w:hint="eastAsia" w:eastAsia="仿宋_GB2312"/>
          <w:color w:val="auto"/>
          <w:sz w:val="32"/>
        </w:rPr>
        <w:t>仁里镇政府</w:t>
      </w:r>
      <w:r>
        <w:rPr>
          <w:rFonts w:hint="eastAsia" w:eastAsia="仿宋_GB2312"/>
          <w:color w:val="auto"/>
          <w:sz w:val="32"/>
          <w:lang w:val="en-US" w:eastAsia="zh-CN"/>
        </w:rPr>
        <w:t>2023年年末</w:t>
      </w:r>
      <w:r>
        <w:rPr>
          <w:rFonts w:hint="eastAsia" w:eastAsia="仿宋_GB2312"/>
          <w:color w:val="auto"/>
          <w:sz w:val="32"/>
        </w:rPr>
        <w:t>编制</w:t>
      </w:r>
      <w:r>
        <w:rPr>
          <w:rFonts w:hint="eastAsia" w:eastAsia="仿宋_GB2312"/>
          <w:color w:val="auto"/>
          <w:sz w:val="32"/>
          <w:lang w:eastAsia="zh-CN"/>
        </w:rPr>
        <w:t>人数</w:t>
      </w:r>
      <w:r>
        <w:rPr>
          <w:rFonts w:hint="eastAsia" w:eastAsia="仿宋_GB2312"/>
          <w:color w:val="auto"/>
          <w:sz w:val="32"/>
        </w:rPr>
        <w:t>51人，其中行政编制</w:t>
      </w:r>
      <w:r>
        <w:rPr>
          <w:rFonts w:hint="eastAsia" w:eastAsia="仿宋_GB2312"/>
          <w:color w:val="auto"/>
          <w:sz w:val="32"/>
          <w:lang w:val="en-US" w:eastAsia="zh-CN"/>
        </w:rPr>
        <w:t>2</w:t>
      </w:r>
      <w:r>
        <w:rPr>
          <w:rFonts w:hint="eastAsia" w:eastAsia="仿宋_GB2312"/>
          <w:color w:val="auto"/>
          <w:sz w:val="32"/>
        </w:rPr>
        <w:t>4人，</w:t>
      </w:r>
      <w:r>
        <w:rPr>
          <w:rFonts w:hint="eastAsia" w:eastAsia="仿宋_GB2312"/>
          <w:color w:val="auto"/>
          <w:sz w:val="32"/>
          <w:lang w:eastAsia="zh-CN"/>
        </w:rPr>
        <w:t>工勤编制</w:t>
      </w:r>
      <w:r>
        <w:rPr>
          <w:rFonts w:hint="eastAsia" w:eastAsia="仿宋_GB2312"/>
          <w:color w:val="auto"/>
          <w:sz w:val="32"/>
          <w:lang w:val="en-US" w:eastAsia="zh-CN"/>
        </w:rPr>
        <w:t>13人，</w:t>
      </w:r>
      <w:r>
        <w:rPr>
          <w:rFonts w:hint="eastAsia" w:eastAsia="仿宋_GB2312"/>
          <w:color w:val="auto"/>
          <w:sz w:val="32"/>
        </w:rPr>
        <w:t>事业编制</w:t>
      </w:r>
      <w:r>
        <w:rPr>
          <w:rFonts w:hint="eastAsia" w:eastAsia="仿宋_GB2312"/>
          <w:color w:val="auto"/>
          <w:sz w:val="32"/>
          <w:lang w:val="en-US" w:eastAsia="zh-CN"/>
        </w:rPr>
        <w:t>14</w:t>
      </w:r>
      <w:r>
        <w:rPr>
          <w:rFonts w:hint="eastAsia" w:eastAsia="仿宋_GB2312"/>
          <w:color w:val="auto"/>
          <w:sz w:val="32"/>
        </w:rPr>
        <w:t>人。</w:t>
      </w:r>
    </w:p>
    <w:p>
      <w:pPr>
        <w:pStyle w:val="3"/>
        <w:ind w:right="440"/>
        <w:jc w:val="center"/>
        <w:rPr>
          <w:rFonts w:ascii="黑体" w:hAnsi="黑体" w:eastAsia="黑体"/>
          <w:b w:val="0"/>
        </w:rPr>
      </w:pPr>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2"/>
          <w:rFonts w:hint="eastAsia" w:ascii="黑体" w:hAnsi="黑体" w:eastAsia="黑体"/>
          <w:b w:val="0"/>
          <w:bCs/>
        </w:rPr>
        <w:t>部门决算情况说明</w:t>
      </w:r>
      <w:bookmarkEnd w:id="16"/>
      <w:bookmarkEnd w:id="17"/>
    </w:p>
    <w:p>
      <w:pPr>
        <w:pStyle w:val="33"/>
        <w:numPr>
          <w:ilvl w:val="0"/>
          <w:numId w:val="3"/>
        </w:numPr>
        <w:spacing w:line="600" w:lineRule="exact"/>
        <w:ind w:firstLineChars="0"/>
        <w:outlineLvl w:val="1"/>
        <w:rPr>
          <w:rStyle w:val="23"/>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3"/>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年度收、支总计4867.44万元。与</w:t>
      </w:r>
      <w:r>
        <w:rPr>
          <w:rFonts w:hint="eastAsia" w:ascii="仿宋" w:hAnsi="仿宋" w:eastAsia="仿宋"/>
          <w:sz w:val="32"/>
          <w:szCs w:val="32"/>
          <w:lang w:eastAsia="zh-CN"/>
        </w:rPr>
        <w:t>2022</w:t>
      </w:r>
      <w:r>
        <w:rPr>
          <w:rFonts w:hint="eastAsia" w:ascii="仿宋" w:hAnsi="仿宋" w:eastAsia="仿宋"/>
          <w:sz w:val="32"/>
          <w:szCs w:val="32"/>
        </w:rPr>
        <w:t>年相比，收、支总计</w:t>
      </w:r>
      <w:r>
        <w:rPr>
          <w:rFonts w:hint="eastAsia" w:ascii="仿宋" w:hAnsi="仿宋" w:eastAsia="仿宋"/>
          <w:sz w:val="32"/>
          <w:szCs w:val="32"/>
          <w:lang w:eastAsia="zh-CN"/>
        </w:rPr>
        <w:t>减少</w:t>
      </w:r>
      <w:r>
        <w:rPr>
          <w:rFonts w:hint="eastAsia" w:ascii="仿宋" w:hAnsi="仿宋" w:eastAsia="仿宋"/>
          <w:sz w:val="32"/>
          <w:szCs w:val="32"/>
          <w:lang w:val="en-US" w:eastAsia="zh-CN"/>
        </w:rPr>
        <w:t>2537.5</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34.27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本年度非财政项目资金支出减少</w:t>
      </w:r>
      <w:r>
        <w:rPr>
          <w:rFonts w:hint="eastAsia" w:ascii="仿宋" w:hAnsi="仿宋" w:eastAsia="仿宋"/>
          <w:sz w:val="32"/>
          <w:szCs w:val="32"/>
        </w:rPr>
        <w:t>。</w:t>
      </w:r>
    </w:p>
    <w:tbl>
      <w:tblPr>
        <w:tblStyle w:val="17"/>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526" w:type="dxa"/>
          </w:tcPr>
          <w:p>
            <w:pPr>
              <w:pStyle w:val="6"/>
              <w:spacing w:before="93"/>
            </w:pPr>
            <w:r>
              <w:drawing>
                <wp:inline distT="0" distB="0" distL="0" distR="0">
                  <wp:extent cx="5274310" cy="2000250"/>
                  <wp:effectExtent l="5080" t="4445" r="1651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pPr>
        <w:pStyle w:val="6"/>
        <w:spacing w:before="93"/>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3"/>
        <w:numPr>
          <w:ilvl w:val="0"/>
          <w:numId w:val="3"/>
        </w:numPr>
        <w:spacing w:line="600" w:lineRule="exact"/>
        <w:ind w:firstLineChars="0"/>
        <w:outlineLvl w:val="1"/>
        <w:rPr>
          <w:rStyle w:val="23"/>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3"/>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年本年收入合计</w:t>
      </w:r>
      <w:r>
        <w:rPr>
          <w:rFonts w:hint="eastAsia" w:ascii="仿宋" w:hAnsi="仿宋" w:eastAsia="仿宋"/>
          <w:sz w:val="32"/>
          <w:szCs w:val="32"/>
          <w:lang w:val="en-US" w:eastAsia="zh-CN"/>
        </w:rPr>
        <w:t>2849.75</w:t>
      </w:r>
      <w:r>
        <w:rPr>
          <w:rFonts w:hint="eastAsia" w:ascii="仿宋" w:hAnsi="仿宋" w:eastAsia="仿宋"/>
          <w:sz w:val="32"/>
          <w:szCs w:val="32"/>
        </w:rPr>
        <w:t>万元，其中：一般公共预算财政拨款收入1423.26万元，占</w:t>
      </w:r>
      <w:r>
        <w:rPr>
          <w:rFonts w:hint="eastAsia" w:ascii="仿宋" w:hAnsi="仿宋" w:eastAsia="仿宋"/>
          <w:sz w:val="32"/>
          <w:szCs w:val="32"/>
          <w:lang w:val="en-US" w:eastAsia="zh-CN"/>
        </w:rPr>
        <w:t>49.94</w:t>
      </w:r>
      <w:r>
        <w:rPr>
          <w:rFonts w:ascii="仿宋" w:hAnsi="仿宋" w:eastAsia="仿宋"/>
          <w:sz w:val="32"/>
          <w:szCs w:val="32"/>
        </w:rPr>
        <w:t>%</w:t>
      </w:r>
      <w:r>
        <w:rPr>
          <w:rFonts w:hint="eastAsia" w:ascii="仿宋" w:hAnsi="仿宋" w:eastAsia="仿宋"/>
          <w:sz w:val="32"/>
          <w:szCs w:val="32"/>
        </w:rPr>
        <w:t>；政府性基金预算财政拨款收入10.98万元，占0.</w:t>
      </w:r>
      <w:r>
        <w:rPr>
          <w:rFonts w:hint="eastAsia" w:ascii="仿宋" w:hAnsi="仿宋" w:eastAsia="仿宋"/>
          <w:sz w:val="32"/>
          <w:szCs w:val="32"/>
          <w:lang w:val="en-US" w:eastAsia="zh-CN"/>
        </w:rPr>
        <w:t>39</w:t>
      </w:r>
      <w:r>
        <w:rPr>
          <w:rFonts w:ascii="仿宋" w:hAnsi="仿宋" w:eastAsia="仿宋"/>
          <w:sz w:val="32"/>
          <w:szCs w:val="32"/>
        </w:rPr>
        <w:t>%</w:t>
      </w:r>
      <w:r>
        <w:rPr>
          <w:rFonts w:hint="eastAsia" w:ascii="仿宋" w:hAnsi="仿宋" w:eastAsia="仿宋"/>
          <w:sz w:val="32"/>
          <w:szCs w:val="32"/>
        </w:rPr>
        <w:t>；国有资本经营预算财政拨款收入0.00万元，占0.00</w:t>
      </w:r>
      <w:r>
        <w:rPr>
          <w:rFonts w:ascii="仿宋" w:hAnsi="仿宋" w:eastAsia="仿宋"/>
          <w:sz w:val="32"/>
          <w:szCs w:val="32"/>
        </w:rPr>
        <w:t>%</w:t>
      </w:r>
      <w:r>
        <w:rPr>
          <w:rFonts w:hint="eastAsia" w:ascii="仿宋" w:hAnsi="仿宋" w:eastAsia="仿宋"/>
          <w:sz w:val="32"/>
          <w:szCs w:val="32"/>
        </w:rPr>
        <w:t>；上级补助收入0.00万元，占0.00</w:t>
      </w:r>
      <w:r>
        <w:rPr>
          <w:rFonts w:ascii="仿宋" w:hAnsi="仿宋" w:eastAsia="仿宋"/>
          <w:sz w:val="32"/>
          <w:szCs w:val="32"/>
        </w:rPr>
        <w:t>%</w:t>
      </w:r>
      <w:r>
        <w:rPr>
          <w:rFonts w:hint="eastAsia" w:ascii="仿宋" w:hAnsi="仿宋" w:eastAsia="仿宋"/>
          <w:sz w:val="32"/>
          <w:szCs w:val="32"/>
        </w:rPr>
        <w:t>；事业收入0.00万元，占0.00</w:t>
      </w:r>
      <w:r>
        <w:rPr>
          <w:rFonts w:ascii="仿宋" w:hAnsi="仿宋" w:eastAsia="仿宋"/>
          <w:sz w:val="32"/>
          <w:szCs w:val="32"/>
        </w:rPr>
        <w:t>%</w:t>
      </w:r>
      <w:r>
        <w:rPr>
          <w:rFonts w:hint="eastAsia" w:ascii="仿宋" w:hAnsi="仿宋" w:eastAsia="仿宋"/>
          <w:sz w:val="32"/>
          <w:szCs w:val="32"/>
        </w:rPr>
        <w:t>；经营收入0.00万元，占0.00</w:t>
      </w:r>
      <w:r>
        <w:rPr>
          <w:rFonts w:ascii="仿宋" w:hAnsi="仿宋" w:eastAsia="仿宋"/>
          <w:sz w:val="32"/>
          <w:szCs w:val="32"/>
        </w:rPr>
        <w:t>%</w:t>
      </w:r>
      <w:r>
        <w:rPr>
          <w:rFonts w:hint="eastAsia" w:ascii="仿宋" w:hAnsi="仿宋" w:eastAsia="仿宋"/>
          <w:sz w:val="32"/>
          <w:szCs w:val="32"/>
        </w:rPr>
        <w:t>；附属单位上缴收入0.00万元，占0.00</w:t>
      </w:r>
      <w:r>
        <w:rPr>
          <w:rFonts w:ascii="仿宋" w:hAnsi="仿宋" w:eastAsia="仿宋"/>
          <w:sz w:val="32"/>
          <w:szCs w:val="32"/>
        </w:rPr>
        <w:t>%</w:t>
      </w:r>
      <w:r>
        <w:rPr>
          <w:rFonts w:hint="eastAsia" w:ascii="仿宋" w:hAnsi="仿宋" w:eastAsia="仿宋"/>
          <w:sz w:val="32"/>
          <w:szCs w:val="32"/>
        </w:rPr>
        <w:t>；其他收入1415.51万元，占4</w:t>
      </w:r>
      <w:r>
        <w:rPr>
          <w:rFonts w:hint="eastAsia" w:ascii="仿宋" w:hAnsi="仿宋" w:eastAsia="仿宋"/>
          <w:sz w:val="32"/>
          <w:szCs w:val="32"/>
          <w:lang w:val="en-US" w:eastAsia="zh-CN"/>
        </w:rPr>
        <w:t>9.67</w:t>
      </w:r>
      <w:r>
        <w:rPr>
          <w:rFonts w:ascii="仿宋" w:hAnsi="仿宋" w:eastAsia="仿宋"/>
          <w:sz w:val="32"/>
          <w:szCs w:val="32"/>
        </w:rPr>
        <w:t>%</w:t>
      </w:r>
      <w:r>
        <w:rPr>
          <w:rFonts w:hint="eastAsia" w:ascii="仿宋" w:hAnsi="仿宋" w:eastAsia="仿宋"/>
          <w:sz w:val="32"/>
          <w:szCs w:val="32"/>
        </w:rPr>
        <w:t>。</w:t>
      </w:r>
    </w:p>
    <w:p>
      <w:pPr>
        <w:pStyle w:val="6"/>
        <w:spacing w:before="93"/>
      </w:pPr>
      <w:r>
        <w:drawing>
          <wp:inline distT="0" distB="0" distL="0" distR="0">
            <wp:extent cx="5274310" cy="2486025"/>
            <wp:effectExtent l="4445" t="4445" r="1714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pStyle w:val="33"/>
        <w:numPr>
          <w:ilvl w:val="0"/>
          <w:numId w:val="3"/>
        </w:numPr>
        <w:spacing w:line="600" w:lineRule="exact"/>
        <w:ind w:firstLineChars="0"/>
        <w:outlineLvl w:val="1"/>
        <w:rPr>
          <w:rStyle w:val="23"/>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3"/>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lang w:val="en-US" w:eastAsia="zh-CN"/>
        </w:rPr>
        <w:t>2743.84</w:t>
      </w:r>
      <w:r>
        <w:rPr>
          <w:rFonts w:hint="eastAsia" w:ascii="仿宋" w:hAnsi="仿宋" w:eastAsia="仿宋"/>
          <w:sz w:val="32"/>
          <w:szCs w:val="32"/>
        </w:rPr>
        <w:t>万元，其中：基本支出</w:t>
      </w:r>
      <w:r>
        <w:rPr>
          <w:rFonts w:hint="eastAsia" w:ascii="仿宋" w:hAnsi="仿宋" w:eastAsia="仿宋"/>
          <w:sz w:val="32"/>
          <w:szCs w:val="32"/>
          <w:lang w:val="en-US" w:eastAsia="zh-CN"/>
        </w:rPr>
        <w:t>1224.51</w:t>
      </w:r>
      <w:r>
        <w:rPr>
          <w:rFonts w:hint="eastAsia" w:ascii="仿宋" w:hAnsi="仿宋" w:eastAsia="仿宋"/>
          <w:sz w:val="32"/>
          <w:szCs w:val="32"/>
        </w:rPr>
        <w:t>万元，占</w:t>
      </w:r>
      <w:r>
        <w:rPr>
          <w:rFonts w:hint="eastAsia" w:ascii="仿宋" w:hAnsi="仿宋" w:eastAsia="仿宋"/>
          <w:sz w:val="32"/>
          <w:szCs w:val="32"/>
          <w:lang w:val="en-US" w:eastAsia="zh-CN"/>
        </w:rPr>
        <w:t>44.63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1519.33</w:t>
      </w:r>
      <w:r>
        <w:rPr>
          <w:rFonts w:hint="eastAsia" w:ascii="仿宋" w:hAnsi="仿宋" w:eastAsia="仿宋"/>
          <w:sz w:val="32"/>
          <w:szCs w:val="32"/>
        </w:rPr>
        <w:t>万元，占</w:t>
      </w:r>
      <w:r>
        <w:rPr>
          <w:rFonts w:hint="eastAsia" w:ascii="仿宋" w:hAnsi="仿宋" w:eastAsia="仿宋"/>
          <w:sz w:val="32"/>
          <w:szCs w:val="32"/>
          <w:lang w:val="en-US" w:eastAsia="zh-CN"/>
        </w:rPr>
        <w:t>55.37</w:t>
      </w:r>
      <w:r>
        <w:rPr>
          <w:rFonts w:ascii="仿宋" w:hAnsi="仿宋" w:eastAsia="仿宋"/>
          <w:sz w:val="32"/>
          <w:szCs w:val="32"/>
        </w:rPr>
        <w:t>%</w:t>
      </w:r>
      <w:r>
        <w:rPr>
          <w:rFonts w:hint="eastAsia" w:ascii="仿宋" w:hAnsi="仿宋" w:eastAsia="仿宋"/>
          <w:sz w:val="32"/>
          <w:szCs w:val="32"/>
        </w:rPr>
        <w:t>。</w:t>
      </w:r>
    </w:p>
    <w:p>
      <w:pPr>
        <w:pStyle w:val="6"/>
        <w:spacing w:before="93"/>
      </w:pPr>
      <w:r>
        <w:drawing>
          <wp:inline distT="0" distB="0" distL="0" distR="0">
            <wp:extent cx="5362575" cy="2076450"/>
            <wp:effectExtent l="19050" t="0" r="952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年财政拨款收入总计</w:t>
      </w:r>
      <w:r>
        <w:rPr>
          <w:rFonts w:hint="eastAsia" w:ascii="仿宋" w:hAnsi="仿宋" w:eastAsia="仿宋"/>
          <w:sz w:val="32"/>
          <w:szCs w:val="32"/>
          <w:lang w:val="en-US" w:eastAsia="zh-CN"/>
        </w:rPr>
        <w:t>1434.24</w:t>
      </w:r>
      <w:r>
        <w:rPr>
          <w:rFonts w:hint="eastAsia" w:ascii="仿宋" w:hAnsi="仿宋" w:eastAsia="仿宋"/>
          <w:sz w:val="32"/>
          <w:szCs w:val="32"/>
        </w:rPr>
        <w:t>万元。与</w:t>
      </w:r>
      <w:r>
        <w:rPr>
          <w:rFonts w:hint="eastAsia" w:ascii="仿宋" w:hAnsi="仿宋" w:eastAsia="仿宋"/>
          <w:sz w:val="32"/>
          <w:szCs w:val="32"/>
          <w:lang w:eastAsia="zh-CN"/>
        </w:rPr>
        <w:t>2022</w:t>
      </w:r>
      <w:r>
        <w:rPr>
          <w:rFonts w:hint="eastAsia" w:ascii="仿宋" w:hAnsi="仿宋" w:eastAsia="仿宋"/>
          <w:sz w:val="32"/>
          <w:szCs w:val="32"/>
        </w:rPr>
        <w:t>年相比，财政拨款收、支总计各减少</w:t>
      </w:r>
      <w:r>
        <w:rPr>
          <w:rFonts w:hint="eastAsia" w:ascii="仿宋" w:hAnsi="仿宋" w:eastAsia="仿宋"/>
          <w:sz w:val="32"/>
          <w:szCs w:val="32"/>
          <w:lang w:val="en-US" w:eastAsia="zh-CN"/>
        </w:rPr>
        <w:t>555.82</w:t>
      </w:r>
      <w:r>
        <w:rPr>
          <w:rFonts w:hint="eastAsia" w:ascii="仿宋" w:hAnsi="仿宋" w:eastAsia="仿宋"/>
          <w:sz w:val="32"/>
          <w:szCs w:val="32"/>
        </w:rPr>
        <w:t>万元，下降</w:t>
      </w:r>
      <w:r>
        <w:rPr>
          <w:rFonts w:hint="eastAsia" w:ascii="仿宋" w:hAnsi="仿宋" w:eastAsia="仿宋"/>
          <w:sz w:val="32"/>
          <w:szCs w:val="32"/>
          <w:lang w:val="en-US" w:eastAsia="zh-CN"/>
        </w:rPr>
        <w:t>27.93</w:t>
      </w:r>
      <w:r>
        <w:rPr>
          <w:rFonts w:ascii="仿宋" w:hAnsi="仿宋" w:eastAsia="仿宋"/>
          <w:sz w:val="32"/>
          <w:szCs w:val="32"/>
        </w:rPr>
        <w:t>%</w:t>
      </w:r>
      <w:r>
        <w:rPr>
          <w:rFonts w:hint="eastAsia" w:ascii="仿宋" w:hAnsi="仿宋" w:eastAsia="仿宋"/>
          <w:sz w:val="32"/>
          <w:szCs w:val="32"/>
        </w:rPr>
        <w:t>。主要变动原因是项目经费减少。</w:t>
      </w:r>
    </w:p>
    <w:p>
      <w:pPr>
        <w:pStyle w:val="6"/>
        <w:spacing w:before="93"/>
      </w:pPr>
      <w:r>
        <w:drawing>
          <wp:inline distT="0" distB="0" distL="0" distR="0">
            <wp:extent cx="5200650" cy="2190750"/>
            <wp:effectExtent l="4445" t="4445" r="1460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3"/>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1423.26</w:t>
      </w:r>
      <w:r>
        <w:rPr>
          <w:rFonts w:hint="eastAsia" w:ascii="仿宋" w:hAnsi="仿宋" w:eastAsia="仿宋"/>
          <w:sz w:val="32"/>
          <w:szCs w:val="32"/>
        </w:rPr>
        <w:t>万元，占本年支出合计的</w:t>
      </w:r>
      <w:r>
        <w:rPr>
          <w:rFonts w:hint="eastAsia" w:ascii="仿宋" w:hAnsi="仿宋" w:eastAsia="仿宋"/>
          <w:sz w:val="32"/>
          <w:szCs w:val="32"/>
          <w:lang w:val="en-US" w:eastAsia="zh-CN"/>
        </w:rPr>
        <w:t>51.87</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hint="eastAsia" w:ascii="仿宋" w:hAnsi="仿宋" w:eastAsia="仿宋"/>
          <w:sz w:val="32"/>
          <w:szCs w:val="32"/>
        </w:rPr>
        <w:t>年相比，一般公共预算财政拨款支出减少</w:t>
      </w:r>
      <w:r>
        <w:rPr>
          <w:rFonts w:hint="eastAsia" w:ascii="仿宋" w:hAnsi="仿宋" w:eastAsia="仿宋"/>
          <w:sz w:val="32"/>
          <w:szCs w:val="32"/>
          <w:lang w:val="en-US" w:eastAsia="zh-CN"/>
        </w:rPr>
        <w:t>565.7</w:t>
      </w:r>
      <w:r>
        <w:rPr>
          <w:rFonts w:hint="eastAsia" w:ascii="仿宋" w:hAnsi="仿宋" w:eastAsia="仿宋"/>
          <w:sz w:val="32"/>
          <w:szCs w:val="32"/>
        </w:rPr>
        <w:t>万元，下降</w:t>
      </w:r>
      <w:r>
        <w:rPr>
          <w:rFonts w:hint="eastAsia" w:ascii="仿宋" w:hAnsi="仿宋" w:eastAsia="仿宋"/>
          <w:sz w:val="32"/>
          <w:szCs w:val="32"/>
          <w:lang w:val="en-US" w:eastAsia="zh-CN"/>
        </w:rPr>
        <w:t>28.43</w:t>
      </w:r>
      <w:r>
        <w:rPr>
          <w:rFonts w:ascii="仿宋" w:hAnsi="仿宋" w:eastAsia="仿宋"/>
          <w:sz w:val="32"/>
          <w:szCs w:val="32"/>
        </w:rPr>
        <w:t>%</w:t>
      </w:r>
      <w:r>
        <w:rPr>
          <w:rFonts w:hint="eastAsia" w:ascii="仿宋" w:hAnsi="仿宋" w:eastAsia="仿宋"/>
          <w:sz w:val="32"/>
          <w:szCs w:val="32"/>
        </w:rPr>
        <w:t>。主要变动原因是特定项目减少。</w:t>
      </w:r>
    </w:p>
    <w:p>
      <w:pPr>
        <w:pStyle w:val="6"/>
        <w:spacing w:before="93"/>
      </w:pPr>
      <w:r>
        <w:drawing>
          <wp:inline distT="0" distB="0" distL="0" distR="0">
            <wp:extent cx="5362575" cy="2047875"/>
            <wp:effectExtent l="4445" t="4445" r="508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320" w:firstLineChars="100"/>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年一般公共预算财政拨款支出1423.26万元，主要用于以下方面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602.7</w:t>
      </w:r>
      <w:r>
        <w:rPr>
          <w:rFonts w:hint="eastAsia" w:ascii="仿宋" w:hAnsi="仿宋" w:eastAsia="仿宋"/>
          <w:sz w:val="32"/>
          <w:szCs w:val="32"/>
        </w:rPr>
        <w:t>万元，占</w:t>
      </w:r>
      <w:r>
        <w:rPr>
          <w:rFonts w:hint="eastAsia" w:ascii="仿宋" w:hAnsi="仿宋" w:eastAsia="仿宋"/>
          <w:sz w:val="32"/>
          <w:szCs w:val="32"/>
          <w:lang w:val="en-US" w:eastAsia="zh-CN"/>
        </w:rPr>
        <w:t>42.34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lang w:val="en-US" w:eastAsia="zh-CN"/>
        </w:rPr>
        <w:t>6万元，占0.42%；</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100.01</w:t>
      </w:r>
      <w:r>
        <w:rPr>
          <w:rFonts w:hint="eastAsia" w:ascii="仿宋" w:hAnsi="仿宋" w:eastAsia="仿宋"/>
          <w:sz w:val="32"/>
          <w:szCs w:val="32"/>
        </w:rPr>
        <w:t>万元，占</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48.58</w:t>
      </w:r>
      <w:r>
        <w:rPr>
          <w:rFonts w:hint="eastAsia" w:ascii="仿宋" w:hAnsi="仿宋" w:eastAsia="仿宋"/>
          <w:sz w:val="32"/>
          <w:szCs w:val="32"/>
        </w:rPr>
        <w:t>万元，占</w:t>
      </w:r>
      <w:r>
        <w:rPr>
          <w:rFonts w:hint="eastAsia" w:ascii="仿宋" w:hAnsi="仿宋" w:eastAsia="仿宋"/>
          <w:sz w:val="32"/>
          <w:szCs w:val="32"/>
          <w:lang w:val="en-US" w:eastAsia="zh-CN"/>
        </w:rPr>
        <w:t>3.41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w:t>
      </w:r>
      <w:r>
        <w:rPr>
          <w:rFonts w:hint="eastAsia" w:ascii="仿宋" w:hAnsi="仿宋" w:eastAsia="仿宋"/>
          <w:b/>
          <w:bCs/>
          <w:sz w:val="32"/>
          <w:szCs w:val="32"/>
        </w:rPr>
        <w:t>支出</w:t>
      </w:r>
      <w:r>
        <w:rPr>
          <w:rFonts w:hint="eastAsia" w:ascii="仿宋" w:hAnsi="仿宋" w:eastAsia="仿宋"/>
          <w:sz w:val="32"/>
          <w:szCs w:val="32"/>
          <w:lang w:val="en-US" w:eastAsia="zh-CN"/>
        </w:rPr>
        <w:t>600.42</w:t>
      </w:r>
      <w:r>
        <w:rPr>
          <w:rFonts w:hint="eastAsia" w:ascii="仿宋" w:hAnsi="仿宋" w:eastAsia="仿宋"/>
          <w:sz w:val="32"/>
          <w:szCs w:val="32"/>
        </w:rPr>
        <w:t>万元，占</w:t>
      </w:r>
      <w:r>
        <w:rPr>
          <w:rFonts w:hint="eastAsia" w:ascii="仿宋" w:hAnsi="仿宋" w:eastAsia="仿宋"/>
          <w:sz w:val="32"/>
          <w:szCs w:val="32"/>
          <w:lang w:val="en-US" w:eastAsia="zh-CN"/>
        </w:rPr>
        <w:t>42.19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65.56</w:t>
      </w:r>
      <w:r>
        <w:rPr>
          <w:rFonts w:hint="eastAsia" w:ascii="仿宋" w:hAnsi="仿宋" w:eastAsia="仿宋"/>
          <w:sz w:val="32"/>
          <w:szCs w:val="32"/>
        </w:rPr>
        <w:t>万元，占</w:t>
      </w:r>
      <w:r>
        <w:rPr>
          <w:rFonts w:hint="eastAsia" w:ascii="仿宋" w:hAnsi="仿宋" w:eastAsia="仿宋"/>
          <w:sz w:val="32"/>
          <w:szCs w:val="32"/>
          <w:lang w:val="en-US" w:eastAsia="zh-CN"/>
        </w:rPr>
        <w:t>4.61</w:t>
      </w:r>
      <w:r>
        <w:rPr>
          <w:rFonts w:ascii="仿宋" w:hAnsi="仿宋" w:eastAsia="仿宋"/>
          <w:sz w:val="32"/>
          <w:szCs w:val="32"/>
        </w:rPr>
        <w:t>%</w:t>
      </w:r>
      <w:r>
        <w:rPr>
          <w:rFonts w:hint="eastAsia" w:ascii="仿宋" w:hAnsi="仿宋" w:eastAsia="仿宋"/>
          <w:sz w:val="32"/>
          <w:szCs w:val="32"/>
        </w:rPr>
        <w:t>。</w:t>
      </w:r>
    </w:p>
    <w:p>
      <w:pPr>
        <w:pStyle w:val="6"/>
        <w:spacing w:before="93"/>
      </w:pPr>
      <w:r>
        <w:drawing>
          <wp:inline distT="0" distB="0" distL="0" distR="0">
            <wp:extent cx="5274310" cy="3076575"/>
            <wp:effectExtent l="19050" t="0" r="2159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1423.26万元</w:t>
      </w:r>
      <w:r>
        <w:rPr>
          <w:rFonts w:hint="eastAsia" w:ascii="仿宋" w:hAnsi="仿宋" w:eastAsia="仿宋"/>
          <w:sz w:val="32"/>
          <w:szCs w:val="32"/>
        </w:rPr>
        <w:t>，</w:t>
      </w:r>
      <w:r>
        <w:rPr>
          <w:rStyle w:val="19"/>
          <w:rFonts w:hint="eastAsia" w:ascii="仿宋" w:hAnsi="仿宋" w:eastAsia="仿宋"/>
          <w:bCs/>
          <w:sz w:val="32"/>
          <w:szCs w:val="32"/>
        </w:rPr>
        <w:t>完成预算100.00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.一般公共服务（201）政府办公厅（室）及相关机构事务（03）行政运行（01）</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561.48</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w:t>
      </w:r>
      <w:r>
        <w:rPr>
          <w:rStyle w:val="19"/>
          <w:rFonts w:hint="eastAsia" w:ascii="仿宋" w:hAnsi="仿宋" w:eastAsia="仿宋"/>
          <w:bCs/>
          <w:sz w:val="32"/>
          <w:szCs w:val="32"/>
        </w:rPr>
        <w:t>.一般公共服务（201）政府办公厅（室）及相关机构事务（03）一般行政管理事务（02）</w:t>
      </w:r>
      <w:r>
        <w:rPr>
          <w:rStyle w:val="19"/>
          <w:rFonts w:ascii="仿宋" w:hAnsi="仿宋" w:eastAsia="仿宋"/>
          <w:bCs/>
          <w:sz w:val="32"/>
          <w:szCs w:val="32"/>
        </w:rPr>
        <w:t>:</w:t>
      </w:r>
      <w:r>
        <w:rPr>
          <w:rStyle w:val="19"/>
          <w:rFonts w:hint="eastAsia" w:ascii="仿宋" w:hAnsi="仿宋" w:eastAsia="仿宋"/>
          <w:bCs/>
          <w:sz w:val="32"/>
          <w:szCs w:val="32"/>
        </w:rPr>
        <w:t>支出决算为41.21万元，完成预算100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.文化旅游体育与传媒支出（207）文化和旅游（01）其他文化和旅游支出（99）</w:t>
      </w:r>
      <w:r>
        <w:rPr>
          <w:rStyle w:val="19"/>
          <w:rFonts w:ascii="仿宋" w:hAnsi="仿宋" w:eastAsia="仿宋"/>
          <w:bCs/>
          <w:sz w:val="32"/>
          <w:szCs w:val="32"/>
        </w:rPr>
        <w:t>:</w:t>
      </w:r>
      <w:r>
        <w:rPr>
          <w:rStyle w:val="19"/>
          <w:rFonts w:hint="eastAsia" w:ascii="仿宋" w:hAnsi="仿宋" w:eastAsia="仿宋"/>
          <w:bCs/>
          <w:sz w:val="32"/>
          <w:szCs w:val="32"/>
        </w:rPr>
        <w:t>支出决算为5万元，完成预算100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.文化旅游体育与传媒支出（207）广播电视（08）其他广播电视支出（99）</w:t>
      </w:r>
      <w:r>
        <w:rPr>
          <w:rStyle w:val="19"/>
          <w:rFonts w:ascii="仿宋" w:hAnsi="仿宋" w:eastAsia="仿宋"/>
          <w:bCs/>
          <w:sz w:val="32"/>
          <w:szCs w:val="32"/>
        </w:rPr>
        <w:t>:</w:t>
      </w:r>
      <w:r>
        <w:rPr>
          <w:rStyle w:val="19"/>
          <w:rFonts w:hint="eastAsia" w:ascii="仿宋" w:hAnsi="仿宋" w:eastAsia="仿宋"/>
          <w:bCs/>
          <w:sz w:val="32"/>
          <w:szCs w:val="32"/>
        </w:rPr>
        <w:t>支出决算为1万元，完成预算100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 社会保障和就业支出（208）行政事业单位养老支出（05）机关事业单位基本养老保险缴费支出（05）</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77.14</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 社会保障和就业支出（208）行政事业单位养老支出（05）机关事业单位职业年金缴费支出（06）</w:t>
      </w:r>
      <w:r>
        <w:rPr>
          <w:rStyle w:val="19"/>
          <w:rFonts w:ascii="仿宋" w:hAnsi="仿宋" w:eastAsia="仿宋"/>
          <w:bCs/>
          <w:sz w:val="32"/>
          <w:szCs w:val="32"/>
        </w:rPr>
        <w:t>:</w:t>
      </w:r>
      <w:r>
        <w:rPr>
          <w:rStyle w:val="19"/>
          <w:rFonts w:hint="eastAsia" w:ascii="仿宋" w:hAnsi="仿宋" w:eastAsia="仿宋"/>
          <w:bCs/>
          <w:sz w:val="32"/>
          <w:szCs w:val="32"/>
        </w:rPr>
        <w:t>支出决算为4.76万元，完成预算100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Fonts w:ascii="仿宋" w:hAnsi="仿宋" w:eastAsia="仿宋"/>
          <w:bCs/>
          <w:sz w:val="32"/>
          <w:szCs w:val="32"/>
        </w:rPr>
      </w:pPr>
      <w:r>
        <w:rPr>
          <w:rStyle w:val="19"/>
          <w:rFonts w:hint="eastAsia" w:ascii="仿宋" w:hAnsi="仿宋" w:eastAsia="仿宋"/>
          <w:bCs/>
          <w:sz w:val="32"/>
          <w:szCs w:val="32"/>
        </w:rPr>
        <w:t>7. 社会保障和就业支出（208）残疾人事业（11）其他残疾人事业支出（99）</w:t>
      </w:r>
      <w:r>
        <w:rPr>
          <w:rStyle w:val="19"/>
          <w:rFonts w:ascii="仿宋" w:hAnsi="仿宋" w:eastAsia="仿宋"/>
          <w:bCs/>
          <w:sz w:val="32"/>
          <w:szCs w:val="32"/>
        </w:rPr>
        <w:t>:</w:t>
      </w:r>
      <w:r>
        <w:rPr>
          <w:rStyle w:val="19"/>
          <w:rFonts w:hint="eastAsia" w:ascii="仿宋" w:hAnsi="仿宋" w:eastAsia="仿宋"/>
          <w:bCs/>
          <w:sz w:val="32"/>
          <w:szCs w:val="32"/>
        </w:rPr>
        <w:t>支出决算为3.66万元，完成预算100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 社会保障和就业支出（208）临时救助（20）临时救助支出（01）</w:t>
      </w:r>
      <w:r>
        <w:rPr>
          <w:rStyle w:val="19"/>
          <w:rFonts w:ascii="仿宋" w:hAnsi="仿宋" w:eastAsia="仿宋"/>
          <w:bCs/>
          <w:sz w:val="32"/>
          <w:szCs w:val="32"/>
        </w:rPr>
        <w:t>:</w:t>
      </w:r>
      <w:r>
        <w:rPr>
          <w:rStyle w:val="19"/>
          <w:rFonts w:hint="eastAsia" w:ascii="仿宋" w:hAnsi="仿宋" w:eastAsia="仿宋"/>
          <w:bCs/>
          <w:sz w:val="32"/>
          <w:szCs w:val="32"/>
        </w:rPr>
        <w:t>支出决算为7.31万元，完成预算100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rPr>
        <w:t>9. 社会保障和就业支出（208）其他社会保障和就业支出（99）其他社会保障和就业支出（99）</w:t>
      </w:r>
      <w:r>
        <w:rPr>
          <w:rStyle w:val="19"/>
          <w:rFonts w:ascii="仿宋" w:hAnsi="仿宋" w:eastAsia="仿宋"/>
          <w:bCs/>
          <w:sz w:val="32"/>
          <w:szCs w:val="32"/>
        </w:rPr>
        <w:t>:</w:t>
      </w:r>
      <w:r>
        <w:rPr>
          <w:rStyle w:val="19"/>
          <w:rFonts w:hint="eastAsia" w:ascii="仿宋" w:hAnsi="仿宋" w:eastAsia="仿宋"/>
          <w:bCs/>
          <w:sz w:val="32"/>
          <w:szCs w:val="32"/>
        </w:rPr>
        <w:t>支出决算为7.13万元，完成预算100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Fonts w:ascii="仿宋" w:hAnsi="仿宋" w:eastAsia="仿宋"/>
          <w:b/>
          <w:bCs/>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 卫生健康支出（210）公共卫生（04）突发公共卫生事件应急处理（10）</w:t>
      </w:r>
      <w:r>
        <w:rPr>
          <w:rStyle w:val="19"/>
          <w:rFonts w:ascii="仿宋" w:hAnsi="仿宋" w:eastAsia="仿宋"/>
          <w:bCs/>
          <w:sz w:val="32"/>
          <w:szCs w:val="32"/>
        </w:rPr>
        <w:t>:</w:t>
      </w:r>
      <w:r>
        <w:rPr>
          <w:rStyle w:val="19"/>
          <w:rFonts w:hint="eastAsia" w:ascii="仿宋" w:hAnsi="仿宋" w:eastAsia="仿宋"/>
          <w:bCs/>
          <w:sz w:val="32"/>
          <w:szCs w:val="32"/>
        </w:rPr>
        <w:t>支出决算为10.77万元，完成预算100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1. 卫生健康支出（210）行政事业单位医疗（11）行政单位医疗（01）</w:t>
      </w:r>
      <w:r>
        <w:rPr>
          <w:rStyle w:val="19"/>
          <w:rFonts w:ascii="仿宋" w:hAnsi="仿宋" w:eastAsia="仿宋"/>
          <w:bCs/>
          <w:sz w:val="32"/>
          <w:szCs w:val="32"/>
        </w:rPr>
        <w:t>:</w:t>
      </w:r>
      <w:r>
        <w:rPr>
          <w:rStyle w:val="19"/>
          <w:rFonts w:hint="eastAsia" w:ascii="仿宋" w:hAnsi="仿宋" w:eastAsia="仿宋"/>
          <w:bCs/>
          <w:sz w:val="32"/>
          <w:szCs w:val="32"/>
        </w:rPr>
        <w:t>支出决算为19.35万元，完成预算100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 卫生健康支出（210）行政事业单位医疗（11）事业单位医疗（02）</w:t>
      </w:r>
      <w:r>
        <w:rPr>
          <w:rStyle w:val="19"/>
          <w:rFonts w:ascii="仿宋" w:hAnsi="仿宋" w:eastAsia="仿宋"/>
          <w:bCs/>
          <w:sz w:val="32"/>
          <w:szCs w:val="32"/>
        </w:rPr>
        <w:t>:</w:t>
      </w:r>
      <w:r>
        <w:rPr>
          <w:rStyle w:val="19"/>
          <w:rFonts w:hint="eastAsia" w:ascii="仿宋" w:hAnsi="仿宋" w:eastAsia="仿宋"/>
          <w:bCs/>
          <w:sz w:val="32"/>
          <w:szCs w:val="32"/>
        </w:rPr>
        <w:t>支出决算为7.95万元，完成预算100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3. 卫生健康支出（210）行政事业单位医疗（11）公务员医疗补助（03）</w:t>
      </w:r>
      <w:r>
        <w:rPr>
          <w:rStyle w:val="19"/>
          <w:rFonts w:ascii="仿宋" w:hAnsi="仿宋" w:eastAsia="仿宋"/>
          <w:bCs/>
          <w:sz w:val="32"/>
          <w:szCs w:val="32"/>
        </w:rPr>
        <w:t>:</w:t>
      </w:r>
      <w:r>
        <w:rPr>
          <w:rStyle w:val="19"/>
          <w:rFonts w:hint="eastAsia" w:ascii="仿宋" w:hAnsi="仿宋" w:eastAsia="仿宋"/>
          <w:bCs/>
          <w:sz w:val="32"/>
          <w:szCs w:val="32"/>
        </w:rPr>
        <w:t>支出决算为10.21万元，完成预算100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pPr>
      <w:r>
        <w:rPr>
          <w:rStyle w:val="19"/>
          <w:rFonts w:hint="eastAsia" w:ascii="仿宋" w:hAnsi="仿宋" w:eastAsia="仿宋"/>
          <w:bCs/>
          <w:sz w:val="32"/>
          <w:szCs w:val="32"/>
          <w:lang w:val="en-US" w:eastAsia="zh-CN"/>
        </w:rPr>
        <w:t>14</w:t>
      </w:r>
      <w:r>
        <w:rPr>
          <w:rStyle w:val="19"/>
          <w:rFonts w:hint="eastAsia" w:ascii="仿宋" w:hAnsi="仿宋" w:eastAsia="仿宋"/>
          <w:bCs/>
          <w:sz w:val="32"/>
          <w:szCs w:val="32"/>
        </w:rPr>
        <w:t>. 卫生健康支出（210）医疗保障管理事务（1</w:t>
      </w: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）其他医疗保障管理事务支出（</w:t>
      </w:r>
      <w:r>
        <w:rPr>
          <w:rStyle w:val="19"/>
          <w:rFonts w:hint="eastAsia" w:ascii="仿宋" w:hAnsi="仿宋" w:eastAsia="仿宋"/>
          <w:bCs/>
          <w:sz w:val="32"/>
          <w:szCs w:val="32"/>
          <w:lang w:val="en-US" w:eastAsia="zh-CN"/>
        </w:rPr>
        <w:t>99</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支出决算为0.29万元，完成预算100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15</w:t>
      </w:r>
      <w:r>
        <w:rPr>
          <w:rStyle w:val="19"/>
          <w:rFonts w:hint="eastAsia" w:ascii="仿宋" w:hAnsi="仿宋" w:eastAsia="仿宋"/>
          <w:bCs/>
          <w:sz w:val="32"/>
          <w:szCs w:val="32"/>
        </w:rPr>
        <w:t>. 农林水支出（213）农业农村（01）事业运行（04）</w:t>
      </w:r>
      <w:r>
        <w:rPr>
          <w:rStyle w:val="19"/>
          <w:rFonts w:ascii="仿宋" w:hAnsi="仿宋" w:eastAsia="仿宋"/>
          <w:bCs/>
          <w:sz w:val="32"/>
          <w:szCs w:val="32"/>
        </w:rPr>
        <w:t>:</w:t>
      </w:r>
      <w:r>
        <w:rPr>
          <w:rStyle w:val="19"/>
          <w:rFonts w:hint="eastAsia" w:ascii="仿宋" w:hAnsi="仿宋" w:eastAsia="仿宋"/>
          <w:bCs/>
          <w:sz w:val="32"/>
          <w:szCs w:val="32"/>
        </w:rPr>
        <w:t>支出决算为199.67万元，完成预算100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6. 农林水支出（213）农业农村（01）其他农业农村支出（99）</w:t>
      </w:r>
      <w:r>
        <w:rPr>
          <w:rStyle w:val="19"/>
          <w:rFonts w:ascii="仿宋" w:hAnsi="仿宋" w:eastAsia="仿宋"/>
          <w:bCs/>
          <w:sz w:val="32"/>
          <w:szCs w:val="32"/>
        </w:rPr>
        <w:t>:</w:t>
      </w:r>
      <w:r>
        <w:rPr>
          <w:rStyle w:val="19"/>
          <w:rFonts w:hint="eastAsia" w:ascii="仿宋" w:hAnsi="仿宋" w:eastAsia="仿宋"/>
          <w:bCs/>
          <w:sz w:val="32"/>
          <w:szCs w:val="32"/>
        </w:rPr>
        <w:t>支出决算为10万元，完成预算100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pPr>
      <w:r>
        <w:rPr>
          <w:rStyle w:val="19"/>
          <w:rFonts w:hint="eastAsia" w:ascii="仿宋" w:hAnsi="仿宋" w:eastAsia="仿宋"/>
          <w:bCs/>
          <w:sz w:val="32"/>
          <w:szCs w:val="32"/>
          <w:lang w:val="en-US" w:eastAsia="zh-CN"/>
        </w:rPr>
        <w:t>17</w:t>
      </w:r>
      <w:r>
        <w:rPr>
          <w:rStyle w:val="19"/>
          <w:rFonts w:hint="eastAsia" w:ascii="仿宋" w:hAnsi="仿宋" w:eastAsia="仿宋"/>
          <w:bCs/>
          <w:sz w:val="32"/>
          <w:szCs w:val="32"/>
        </w:rPr>
        <w:t>. 农林水支出（213）</w:t>
      </w:r>
      <w:r>
        <w:rPr>
          <w:rStyle w:val="19"/>
          <w:rFonts w:hint="eastAsia" w:ascii="仿宋" w:hAnsi="仿宋" w:eastAsia="仿宋"/>
          <w:bCs/>
          <w:sz w:val="32"/>
          <w:szCs w:val="32"/>
          <w:lang w:eastAsia="zh-CN"/>
        </w:rPr>
        <w:t>水利</w:t>
      </w:r>
      <w:r>
        <w:rPr>
          <w:rStyle w:val="19"/>
          <w:rFonts w:hint="eastAsia" w:ascii="仿宋" w:hAnsi="仿宋" w:eastAsia="仿宋"/>
          <w:bCs/>
          <w:sz w:val="32"/>
          <w:szCs w:val="32"/>
        </w:rPr>
        <w:t>（</w:t>
      </w:r>
      <w:r>
        <w:rPr>
          <w:rStyle w:val="19"/>
          <w:rFonts w:hint="eastAsia" w:ascii="仿宋" w:hAnsi="仿宋" w:eastAsia="仿宋"/>
          <w:bCs/>
          <w:sz w:val="32"/>
          <w:szCs w:val="32"/>
          <w:lang w:val="en-US" w:eastAsia="zh-CN"/>
        </w:rPr>
        <w:t>03</w:t>
      </w:r>
      <w:r>
        <w:rPr>
          <w:rStyle w:val="19"/>
          <w:rFonts w:hint="eastAsia" w:ascii="仿宋" w:hAnsi="仿宋" w:eastAsia="仿宋"/>
          <w:bCs/>
          <w:sz w:val="32"/>
          <w:szCs w:val="32"/>
        </w:rPr>
        <w:t>）</w:t>
      </w:r>
      <w:r>
        <w:rPr>
          <w:rStyle w:val="19"/>
          <w:rFonts w:hint="eastAsia" w:ascii="仿宋" w:hAnsi="仿宋" w:eastAsia="仿宋"/>
          <w:bCs/>
          <w:sz w:val="32"/>
          <w:szCs w:val="32"/>
          <w:lang w:eastAsia="zh-CN"/>
        </w:rPr>
        <w:t>农村水利</w:t>
      </w:r>
      <w:r>
        <w:rPr>
          <w:rStyle w:val="19"/>
          <w:rFonts w:hint="eastAsia" w:ascii="仿宋" w:hAnsi="仿宋" w:eastAsia="仿宋"/>
          <w:bCs/>
          <w:sz w:val="32"/>
          <w:szCs w:val="32"/>
        </w:rPr>
        <w:t>（</w:t>
      </w:r>
      <w:r>
        <w:rPr>
          <w:rStyle w:val="19"/>
          <w:rFonts w:hint="eastAsia" w:ascii="仿宋" w:hAnsi="仿宋" w:eastAsia="仿宋"/>
          <w:bCs/>
          <w:sz w:val="32"/>
          <w:szCs w:val="32"/>
          <w:lang w:val="en-US" w:eastAsia="zh-CN"/>
        </w:rPr>
        <w:t>16</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支出决算为21.96万元，完成预算100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18</w:t>
      </w:r>
      <w:r>
        <w:rPr>
          <w:rStyle w:val="19"/>
          <w:rFonts w:hint="eastAsia" w:ascii="仿宋" w:hAnsi="仿宋" w:eastAsia="仿宋"/>
          <w:bCs/>
          <w:sz w:val="32"/>
          <w:szCs w:val="32"/>
        </w:rPr>
        <w:t>. 农林水支出（213）巩固</w:t>
      </w:r>
      <w:r>
        <w:rPr>
          <w:rStyle w:val="19"/>
          <w:rFonts w:hint="eastAsia" w:ascii="仿宋" w:hAnsi="仿宋" w:eastAsia="仿宋"/>
          <w:bCs/>
          <w:sz w:val="32"/>
          <w:szCs w:val="32"/>
          <w:lang w:eastAsia="zh-CN"/>
        </w:rPr>
        <w:t>拓展</w:t>
      </w:r>
      <w:r>
        <w:rPr>
          <w:rStyle w:val="19"/>
          <w:rFonts w:hint="eastAsia" w:ascii="仿宋" w:hAnsi="仿宋" w:eastAsia="仿宋"/>
          <w:bCs/>
          <w:sz w:val="32"/>
          <w:szCs w:val="32"/>
        </w:rPr>
        <w:t>脱贫衔接乡村振兴（05）其他巩固</w:t>
      </w:r>
      <w:r>
        <w:rPr>
          <w:rStyle w:val="19"/>
          <w:rFonts w:hint="eastAsia" w:ascii="仿宋" w:hAnsi="仿宋" w:eastAsia="仿宋"/>
          <w:bCs/>
          <w:sz w:val="32"/>
          <w:szCs w:val="32"/>
          <w:lang w:eastAsia="zh-CN"/>
        </w:rPr>
        <w:t>拓展</w:t>
      </w:r>
      <w:r>
        <w:rPr>
          <w:rStyle w:val="19"/>
          <w:rFonts w:hint="eastAsia" w:ascii="仿宋" w:hAnsi="仿宋" w:eastAsia="仿宋"/>
          <w:bCs/>
          <w:sz w:val="32"/>
          <w:szCs w:val="32"/>
        </w:rPr>
        <w:t>脱贫衔接乡村振兴支出（99）</w:t>
      </w:r>
      <w:r>
        <w:rPr>
          <w:rStyle w:val="19"/>
          <w:rFonts w:ascii="仿宋" w:hAnsi="仿宋" w:eastAsia="仿宋"/>
          <w:bCs/>
          <w:sz w:val="32"/>
          <w:szCs w:val="32"/>
        </w:rPr>
        <w:t>:</w:t>
      </w:r>
      <w:r>
        <w:rPr>
          <w:rStyle w:val="19"/>
          <w:rFonts w:hint="eastAsia" w:ascii="仿宋" w:hAnsi="仿宋" w:eastAsia="仿宋"/>
          <w:bCs/>
          <w:sz w:val="32"/>
          <w:szCs w:val="32"/>
        </w:rPr>
        <w:t>支出决算为54.46万元，完成预算100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hint="eastAsia" w:ascii="仿宋" w:hAnsi="仿宋" w:eastAsia="仿宋"/>
          <w:bCs/>
          <w:sz w:val="32"/>
          <w:szCs w:val="32"/>
        </w:rPr>
      </w:pPr>
      <w:r>
        <w:rPr>
          <w:rStyle w:val="19"/>
          <w:rFonts w:hint="eastAsia" w:ascii="仿宋" w:hAnsi="仿宋" w:eastAsia="仿宋"/>
          <w:bCs/>
          <w:sz w:val="32"/>
          <w:szCs w:val="32"/>
          <w:lang w:val="en-US" w:eastAsia="zh-CN"/>
        </w:rPr>
        <w:t>19</w:t>
      </w:r>
      <w:r>
        <w:rPr>
          <w:rStyle w:val="19"/>
          <w:rFonts w:hint="eastAsia" w:ascii="仿宋" w:hAnsi="仿宋" w:eastAsia="仿宋"/>
          <w:bCs/>
          <w:sz w:val="32"/>
          <w:szCs w:val="32"/>
        </w:rPr>
        <w:t>. 农林水支出（213）农村综合改革（07）对村级公益事业建设的补助（0</w:t>
      </w: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w:t>
      </w:r>
      <w:r>
        <w:rPr>
          <w:rStyle w:val="19"/>
          <w:rFonts w:ascii="仿宋" w:hAnsi="仿宋" w:eastAsia="仿宋"/>
          <w:bCs/>
          <w:sz w:val="32"/>
          <w:szCs w:val="32"/>
        </w:rPr>
        <w:t>:</w:t>
      </w:r>
      <w:r>
        <w:rPr>
          <w:rStyle w:val="19"/>
          <w:rFonts w:hint="eastAsia" w:ascii="仿宋" w:hAnsi="仿宋" w:eastAsia="仿宋"/>
          <w:bCs/>
          <w:sz w:val="32"/>
          <w:szCs w:val="32"/>
        </w:rPr>
        <w:t>支出决算为</w:t>
      </w:r>
      <w:r>
        <w:rPr>
          <w:rStyle w:val="19"/>
          <w:rFonts w:hint="eastAsia" w:ascii="仿宋" w:hAnsi="仿宋" w:eastAsia="仿宋"/>
          <w:bCs/>
          <w:sz w:val="32"/>
          <w:szCs w:val="32"/>
          <w:lang w:val="en-US" w:eastAsia="zh-CN"/>
        </w:rPr>
        <w:t>39.61</w:t>
      </w:r>
      <w:r>
        <w:rPr>
          <w:rStyle w:val="19"/>
          <w:rFonts w:hint="eastAsia" w:ascii="仿宋" w:hAnsi="仿宋" w:eastAsia="仿宋"/>
          <w:bCs/>
          <w:sz w:val="32"/>
          <w:szCs w:val="32"/>
        </w:rPr>
        <w:t>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20</w:t>
      </w:r>
      <w:r>
        <w:rPr>
          <w:rStyle w:val="19"/>
          <w:rFonts w:hint="eastAsia" w:ascii="仿宋" w:hAnsi="仿宋" w:eastAsia="仿宋"/>
          <w:bCs/>
          <w:sz w:val="32"/>
          <w:szCs w:val="32"/>
        </w:rPr>
        <w:t>. 农林水支出（213）农村综合改革（07）对村民委员会和村党支部的补助（05）</w:t>
      </w:r>
      <w:r>
        <w:rPr>
          <w:rStyle w:val="19"/>
          <w:rFonts w:ascii="仿宋" w:hAnsi="仿宋" w:eastAsia="仿宋"/>
          <w:bCs/>
          <w:sz w:val="32"/>
          <w:szCs w:val="32"/>
        </w:rPr>
        <w:t>:</w:t>
      </w:r>
      <w:r>
        <w:rPr>
          <w:rStyle w:val="19"/>
          <w:rFonts w:hint="eastAsia" w:ascii="仿宋" w:hAnsi="仿宋" w:eastAsia="仿宋"/>
          <w:bCs/>
          <w:sz w:val="32"/>
          <w:szCs w:val="32"/>
        </w:rPr>
        <w:t>支出决算为296.68万元，完成预算100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spacing w:line="600" w:lineRule="exact"/>
        <w:ind w:firstLine="643"/>
        <w:rPr>
          <w:rStyle w:val="19"/>
          <w:rFonts w:ascii="仿宋" w:hAnsi="仿宋" w:eastAsia="仿宋"/>
          <w:bCs/>
          <w:sz w:val="32"/>
          <w:szCs w:val="32"/>
        </w:rPr>
      </w:pPr>
      <w:r>
        <w:rPr>
          <w:rStyle w:val="19"/>
          <w:rFonts w:hint="eastAsia" w:ascii="仿宋" w:hAnsi="仿宋" w:eastAsia="仿宋"/>
          <w:bCs/>
          <w:sz w:val="32"/>
          <w:szCs w:val="32"/>
          <w:lang w:val="en-US" w:eastAsia="zh-CN"/>
        </w:rPr>
        <w:t>21</w:t>
      </w:r>
      <w:r>
        <w:rPr>
          <w:rStyle w:val="19"/>
          <w:rFonts w:hint="eastAsia" w:ascii="仿宋" w:hAnsi="仿宋" w:eastAsia="仿宋"/>
          <w:bCs/>
          <w:sz w:val="32"/>
          <w:szCs w:val="32"/>
        </w:rPr>
        <w:t>. 住房保障支出（221）住房改革支出（02）住房公积金（01）</w:t>
      </w:r>
      <w:r>
        <w:rPr>
          <w:rStyle w:val="19"/>
          <w:rFonts w:ascii="仿宋" w:hAnsi="仿宋" w:eastAsia="仿宋"/>
          <w:bCs/>
          <w:sz w:val="32"/>
          <w:szCs w:val="32"/>
        </w:rPr>
        <w:t>:</w:t>
      </w:r>
      <w:r>
        <w:rPr>
          <w:rStyle w:val="19"/>
          <w:rFonts w:hint="eastAsia" w:ascii="仿宋" w:hAnsi="仿宋" w:eastAsia="仿宋"/>
          <w:bCs/>
          <w:sz w:val="32"/>
          <w:szCs w:val="32"/>
        </w:rPr>
        <w:t>支出决算为65.56万元，完成预算100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pPr>
        <w:tabs>
          <w:tab w:val="right" w:pos="8306"/>
        </w:tabs>
        <w:spacing w:line="600" w:lineRule="exact"/>
        <w:ind w:firstLine="640"/>
        <w:outlineLvl w:val="1"/>
        <w:rPr>
          <w:rStyle w:val="23"/>
          <w:color w:val="000000" w:themeColor="text1"/>
        </w:rPr>
      </w:pPr>
      <w:bookmarkStart w:id="34" w:name="_Toc15396608"/>
      <w:bookmarkStart w:id="35" w:name="_Toc15377214"/>
      <w:r>
        <w:rPr>
          <w:rFonts w:hint="eastAsia" w:ascii="黑体" w:eastAsia="黑体"/>
          <w:color w:val="000000" w:themeColor="text1"/>
          <w:sz w:val="32"/>
          <w:szCs w:val="32"/>
        </w:rPr>
        <w:t>六</w:t>
      </w:r>
      <w:r>
        <w:rPr>
          <w:rFonts w:hint="eastAsia" w:ascii="黑体" w:eastAsia="黑体"/>
          <w:b/>
          <w:color w:val="000000" w:themeColor="text1"/>
          <w:sz w:val="32"/>
          <w:szCs w:val="32"/>
        </w:rPr>
        <w:t>、</w:t>
      </w:r>
      <w:r>
        <w:rPr>
          <w:rFonts w:hint="eastAsia" w:ascii="黑体" w:hAnsi="黑体" w:eastAsia="黑体"/>
          <w:b/>
          <w:color w:val="000000" w:themeColor="text1"/>
          <w:sz w:val="32"/>
          <w:szCs w:val="32"/>
        </w:rPr>
        <w:t>一</w:t>
      </w:r>
      <w:r>
        <w:rPr>
          <w:rStyle w:val="23"/>
          <w:rFonts w:hint="eastAsia" w:ascii="黑体" w:hAnsi="黑体" w:eastAsia="黑体"/>
          <w:b w:val="0"/>
          <w:color w:val="000000" w:themeColor="text1"/>
        </w:rPr>
        <w:t>般公共预算财政拨款基本支出决算情况说明</w:t>
      </w:r>
      <w:bookmarkEnd w:id="34"/>
      <w:bookmarkEnd w:id="35"/>
      <w:r>
        <w:rPr>
          <w:rStyle w:val="23"/>
          <w:rFonts w:ascii="黑体" w:hAnsi="黑体" w:eastAsia="黑体"/>
          <w:b w:val="0"/>
          <w:color w:val="000000" w:themeColor="text1"/>
        </w:rPr>
        <w:tab/>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t>2023</w:t>
      </w:r>
      <w:r>
        <w:rPr>
          <w:rFonts w:hint="eastAsia" w:ascii="仿宋" w:hAnsi="仿宋" w:eastAsia="仿宋"/>
          <w:color w:val="000000" w:themeColor="text1"/>
          <w:sz w:val="32"/>
          <w:szCs w:val="32"/>
        </w:rPr>
        <w:t>年一般公共预算财政拨款基本支出</w:t>
      </w:r>
      <w:r>
        <w:rPr>
          <w:rFonts w:hint="eastAsia" w:ascii="仿宋" w:hAnsi="仿宋" w:eastAsia="仿宋"/>
          <w:color w:val="000000" w:themeColor="text1"/>
          <w:sz w:val="32"/>
          <w:szCs w:val="32"/>
          <w:lang w:val="en-US" w:eastAsia="zh-CN"/>
        </w:rPr>
        <w:t>1188.6</w:t>
      </w:r>
      <w:r>
        <w:rPr>
          <w:rFonts w:hint="eastAsia" w:ascii="仿宋" w:hAnsi="仿宋" w:eastAsia="仿宋"/>
          <w:color w:val="000000" w:themeColor="text1"/>
          <w:sz w:val="32"/>
          <w:szCs w:val="32"/>
        </w:rPr>
        <w:t>万元，其中：</w:t>
      </w:r>
    </w:p>
    <w:p>
      <w:pPr>
        <w:spacing w:line="600" w:lineRule="exact"/>
        <w:ind w:firstLine="645"/>
        <w:rPr>
          <w:rFonts w:hint="eastAsia" w:ascii="仿宋" w:hAnsi="仿宋" w:eastAsia="仿宋"/>
          <w:color w:val="000000" w:themeColor="text1"/>
          <w:sz w:val="32"/>
          <w:szCs w:val="32"/>
        </w:rPr>
      </w:pPr>
      <w:r>
        <w:rPr>
          <w:rFonts w:hint="eastAsia" w:ascii="仿宋" w:hAnsi="仿宋" w:eastAsia="仿宋"/>
          <w:color w:val="000000" w:themeColor="text1"/>
          <w:sz w:val="32"/>
          <w:szCs w:val="32"/>
        </w:rPr>
        <w:t>人员经费</w:t>
      </w:r>
      <w:r>
        <w:rPr>
          <w:rFonts w:hint="eastAsia" w:ascii="仿宋" w:hAnsi="仿宋" w:eastAsia="仿宋"/>
          <w:color w:val="000000" w:themeColor="text1"/>
          <w:sz w:val="32"/>
          <w:szCs w:val="32"/>
          <w:lang w:val="en-US" w:eastAsia="zh-CN"/>
        </w:rPr>
        <w:t>1053.38</w:t>
      </w:r>
      <w:r>
        <w:rPr>
          <w:rFonts w:hint="eastAsia" w:ascii="仿宋" w:hAnsi="仿宋" w:eastAsia="仿宋"/>
          <w:color w:val="000000" w:themeColor="text1"/>
          <w:sz w:val="32"/>
          <w:szCs w:val="32"/>
        </w:rPr>
        <w:t>万元，主要包括：基本工资、津贴补贴、奖金、伙食补助费、绩效工资、机关事业单位基本养老保险缴费、职业年金缴费、公务员医疗补助缴费</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其他社会保障缴费、住房公积金、其他工资福利支出、其他对个人和家庭的补助支出等。</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公用经费135.21万元，主要包括：办公费、印刷费、水费、电费、邮电费、差旅费、因公出国（境）费用、维修（护）费、租赁费、会议费、培训费、劳务费、福利费、其他交通费、税金及附加费用、其他商品和服务支出等。</w:t>
      </w:r>
    </w:p>
    <w:p>
      <w:pPr>
        <w:spacing w:line="600" w:lineRule="exact"/>
        <w:ind w:firstLine="640"/>
        <w:outlineLvl w:val="1"/>
        <w:rPr>
          <w:rStyle w:val="23"/>
          <w:rFonts w:ascii="黑体" w:hAnsi="黑体" w:eastAsia="黑体"/>
          <w:b w:val="0"/>
        </w:rPr>
      </w:pPr>
      <w:bookmarkStart w:id="36" w:name="_Toc15396609"/>
      <w:bookmarkStart w:id="37" w:name="_Toc15377215"/>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年“三公”经费财政拨款支出决算为0.00万元，完成预算0.00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与2022</w:t>
      </w:r>
      <w:r>
        <w:rPr>
          <w:rFonts w:hint="eastAsia" w:ascii="仿宋" w:hAnsi="仿宋" w:eastAsia="仿宋"/>
          <w:sz w:val="32"/>
          <w:szCs w:val="32"/>
        </w:rPr>
        <w:t>年持平。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年“三公”经费财政拨款支出决算中，因公出国（境）费支出决算0.00万元，占0.00</w:t>
      </w:r>
      <w:r>
        <w:rPr>
          <w:rFonts w:ascii="仿宋" w:hAnsi="仿宋" w:eastAsia="仿宋"/>
          <w:sz w:val="32"/>
          <w:szCs w:val="32"/>
        </w:rPr>
        <w:t>%</w:t>
      </w:r>
      <w:r>
        <w:rPr>
          <w:rFonts w:hint="eastAsia" w:ascii="仿宋" w:hAnsi="仿宋" w:eastAsia="仿宋"/>
          <w:sz w:val="32"/>
          <w:szCs w:val="32"/>
        </w:rPr>
        <w:t>；公务用车购置及运行维护费支出决算0.00万元，占0.00</w:t>
      </w:r>
      <w:r>
        <w:rPr>
          <w:rFonts w:ascii="仿宋" w:hAnsi="仿宋" w:eastAsia="仿宋"/>
          <w:sz w:val="32"/>
          <w:szCs w:val="32"/>
        </w:rPr>
        <w:t>%</w:t>
      </w:r>
      <w:r>
        <w:rPr>
          <w:rFonts w:hint="eastAsia" w:ascii="仿宋" w:hAnsi="仿宋" w:eastAsia="仿宋"/>
          <w:sz w:val="32"/>
          <w:szCs w:val="32"/>
        </w:rPr>
        <w:t>；公务接待费支出决算0.00万元，占0.00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9"/>
          <w:rFonts w:hint="eastAsia" w:ascii="仿宋" w:hAnsi="仿宋" w:eastAsia="仿宋"/>
          <w:b w:val="0"/>
          <w:bCs/>
          <w:sz w:val="32"/>
          <w:szCs w:val="32"/>
        </w:rPr>
        <w:t>完成预算0.00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hint="eastAsia" w:ascii="仿宋_GB2312" w:eastAsia="仿宋_GB2312"/>
          <w:sz w:val="32"/>
          <w:szCs w:val="32"/>
          <w:lang w:eastAsia="zh-CN"/>
        </w:rPr>
        <w:t>2022</w:t>
      </w:r>
      <w:r>
        <w:rPr>
          <w:rFonts w:hint="eastAsia" w:ascii="仿宋_GB2312" w:eastAsia="仿宋_GB2312"/>
          <w:sz w:val="32"/>
          <w:szCs w:val="32"/>
        </w:rPr>
        <w:t>年持平。主要原因是根据实际情况本单位无因公出国（境）安排。</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0.00万元,</w:t>
      </w:r>
      <w:r>
        <w:rPr>
          <w:rStyle w:val="19"/>
          <w:rFonts w:hint="eastAsia" w:ascii="仿宋" w:hAnsi="仿宋" w:eastAsia="仿宋"/>
          <w:b w:val="0"/>
          <w:bCs/>
          <w:sz w:val="32"/>
          <w:szCs w:val="32"/>
        </w:rPr>
        <w:t>完成预算100.00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2022</w:t>
      </w:r>
      <w:r>
        <w:rPr>
          <w:rFonts w:hint="eastAsia" w:ascii="仿宋_GB2312" w:eastAsia="仿宋_GB2312"/>
          <w:sz w:val="32"/>
          <w:szCs w:val="32"/>
        </w:rPr>
        <w:t>年持平。主要原因是本单位无公务用车支出。</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0.00万元。全年按规定更新购置公务用车0辆，其中：轿车0辆、金额0.00万元，越野车0辆、金额0.00万元，载客汽车0辆、金额0.00万元。截至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0.00万元。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0.00万元，</w:t>
      </w:r>
      <w:r>
        <w:rPr>
          <w:rStyle w:val="19"/>
          <w:rFonts w:hint="eastAsia" w:ascii="仿宋" w:hAnsi="仿宋" w:eastAsia="仿宋"/>
          <w:b w:val="0"/>
          <w:bCs/>
          <w:sz w:val="32"/>
          <w:szCs w:val="32"/>
        </w:rPr>
        <w:t>完成预算100.00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2022</w:t>
      </w:r>
      <w:r>
        <w:rPr>
          <w:rFonts w:hint="eastAsia" w:ascii="仿宋_GB2312" w:eastAsia="仿宋_GB2312"/>
          <w:sz w:val="32"/>
          <w:szCs w:val="32"/>
        </w:rPr>
        <w:t>年持平。其中：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0.00</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0.00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23"/>
          <w:rFonts w:ascii="黑体" w:hAnsi="黑体" w:eastAsia="黑体"/>
        </w:rPr>
      </w:pPr>
      <w:r>
        <w:rPr>
          <w:rFonts w:hint="eastAsia" w:ascii="黑体" w:eastAsia="黑体"/>
          <w:sz w:val="32"/>
          <w:szCs w:val="32"/>
        </w:rPr>
        <w:t>八、</w:t>
      </w:r>
      <w:r>
        <w:rPr>
          <w:rStyle w:val="23"/>
          <w:rFonts w:hint="eastAsia" w:ascii="黑体" w:hAnsi="黑体" w:eastAsia="黑体"/>
          <w:b w:val="0"/>
        </w:rPr>
        <w:t>政府性基金预算支出决算情况说明</w:t>
      </w:r>
      <w:bookmarkEnd w:id="40"/>
      <w:bookmarkEnd w:id="41"/>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2023</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10.98</w:t>
      </w:r>
      <w:r>
        <w:rPr>
          <w:rFonts w:hint="eastAsia" w:ascii="仿宋_GB2312" w:eastAsia="仿宋_GB2312"/>
          <w:sz w:val="32"/>
          <w:szCs w:val="32"/>
        </w:rPr>
        <w:t>万元</w:t>
      </w:r>
      <w:r>
        <w:rPr>
          <w:rFonts w:hint="eastAsia" w:ascii="仿宋_GB2312" w:eastAsia="仿宋_GB2312"/>
          <w:sz w:val="32"/>
          <w:szCs w:val="32"/>
          <w:lang w:eastAsia="zh-CN"/>
        </w:rPr>
        <w:t>，主要为社会福利的彩票公益金支出，用于春节慰问。</w:t>
      </w:r>
    </w:p>
    <w:p>
      <w:pPr>
        <w:numPr>
          <w:ilvl w:val="0"/>
          <w:numId w:val="4"/>
        </w:numPr>
        <w:spacing w:line="600" w:lineRule="exact"/>
        <w:ind w:firstLine="640"/>
        <w:outlineLvl w:val="1"/>
        <w:rPr>
          <w:rStyle w:val="23"/>
          <w:rFonts w:ascii="黑体" w:hAnsi="黑体" w:eastAsia="黑体"/>
          <w:b w:val="0"/>
        </w:rPr>
      </w:pPr>
      <w:bookmarkStart w:id="42" w:name="_Toc15396611"/>
      <w:bookmarkStart w:id="43" w:name="_Toc15377219"/>
      <w:r>
        <w:rPr>
          <w:rStyle w:val="23"/>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年国有资本经营预算财政拨款支出0.00万元。</w:t>
      </w:r>
    </w:p>
    <w:p>
      <w:pPr>
        <w:numPr>
          <w:ilvl w:val="0"/>
          <w:numId w:val="4"/>
        </w:numPr>
        <w:spacing w:line="600" w:lineRule="exact"/>
        <w:ind w:firstLine="640"/>
        <w:outlineLvl w:val="1"/>
        <w:rPr>
          <w:rStyle w:val="23"/>
          <w:rFonts w:ascii="黑体" w:hAnsi="黑体" w:eastAsia="黑体"/>
          <w:b w:val="0"/>
        </w:rPr>
      </w:pPr>
      <w:bookmarkStart w:id="44" w:name="_Toc15396612"/>
      <w:bookmarkStart w:id="45" w:name="_Toc15377221"/>
      <w:r>
        <w:rPr>
          <w:rStyle w:val="23"/>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年，仁里镇机关运行经费支出0.00万元，与</w:t>
      </w:r>
      <w:r>
        <w:rPr>
          <w:rFonts w:hint="eastAsia" w:ascii="仿宋_GB2312" w:eastAsia="仿宋_GB2312"/>
          <w:sz w:val="32"/>
          <w:szCs w:val="32"/>
          <w:lang w:eastAsia="zh-CN"/>
        </w:rPr>
        <w:t>2022</w:t>
      </w:r>
      <w:r>
        <w:rPr>
          <w:rFonts w:hint="eastAsia" w:ascii="仿宋_GB2312" w:eastAsia="仿宋_GB2312"/>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年，仁里镇政府采购支出总额0.00万元，其中：政府采购货物支出0.00万元、政府采购工程支出0.00万元、政府采购服务支出0.00万元。授予中小企业合同金额0.00万元，占政府采购支出总额的0.00</w:t>
      </w:r>
      <w:r>
        <w:rPr>
          <w:rFonts w:ascii="仿宋_GB2312" w:eastAsia="仿宋_GB2312"/>
          <w:sz w:val="32"/>
          <w:szCs w:val="32"/>
        </w:rPr>
        <w:t>%</w:t>
      </w:r>
      <w:r>
        <w:rPr>
          <w:rFonts w:hint="eastAsia" w:ascii="仿宋_GB2312" w:eastAsia="仿宋_GB2312"/>
          <w:sz w:val="32"/>
          <w:szCs w:val="32"/>
        </w:rPr>
        <w:t>，其中：授予小微企业合同金额0.00万元，占政府采购支出总额的0.00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日，仁里镇共有车辆0辆，其中：主要领导干部用车0辆、机要通信用车0辆、应急保障用车0辆、其他用车0辆，单价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年度预算编制阶段，组织对</w:t>
      </w:r>
      <w:r>
        <w:rPr>
          <w:rFonts w:hint="eastAsia" w:eastAsia="仿宋_GB2312" w:cs="仿宋_GB2312"/>
          <w:bCs/>
          <w:sz w:val="32"/>
          <w:szCs w:val="32"/>
          <w:lang w:eastAsia="zh-CN"/>
        </w:rPr>
        <w:t>基层组织活动和公共服务运行费</w:t>
      </w:r>
      <w:r>
        <w:rPr>
          <w:rFonts w:hint="eastAsia" w:eastAsia="仿宋_GB2312" w:cs="仿宋_GB2312"/>
          <w:bCs/>
          <w:sz w:val="32"/>
          <w:szCs w:val="32"/>
        </w:rPr>
        <w:t>、团委妇联工作经费、人大工作经费、武装工作经费、残联工作经费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个项目编制了绩效目标，预算执行过程中，对全部项目开展绩效监控。</w:t>
      </w:r>
    </w:p>
    <w:p>
      <w:pPr>
        <w:pStyle w:val="6"/>
      </w:pPr>
    </w:p>
    <w:p>
      <w:pPr>
        <w:numPr>
          <w:ilvl w:val="0"/>
          <w:numId w:val="5"/>
        </w:numPr>
        <w:spacing w:line="600" w:lineRule="exact"/>
        <w:ind w:firstLine="480" w:firstLineChars="150"/>
        <w:jc w:val="center"/>
        <w:outlineLvl w:val="0"/>
        <w:rPr>
          <w:rFonts w:ascii="仿宋_GB2312" w:eastAsia="仿宋_GB2312"/>
          <w:bCs/>
          <w:sz w:val="32"/>
          <w:szCs w:val="32"/>
        </w:rPr>
      </w:pPr>
      <w:bookmarkStart w:id="49" w:name="_Toc15377225"/>
      <w:bookmarkStart w:id="50" w:name="_Toc15396613"/>
      <w:r>
        <w:rPr>
          <w:rFonts w:hint="eastAsia" w:ascii="仿宋_GB2312" w:eastAsia="仿宋_GB2312"/>
          <w:sz w:val="32"/>
          <w:szCs w:val="32"/>
        </w:rPr>
        <w:t>名</w:t>
      </w:r>
      <w:r>
        <w:rPr>
          <w:rFonts w:hint="eastAsia" w:ascii="仿宋_GB2312" w:eastAsia="仿宋_GB2312"/>
          <w:bCs/>
          <w:sz w:val="32"/>
          <w:szCs w:val="32"/>
        </w:rPr>
        <w:t>词解释</w:t>
      </w:r>
      <w:bookmarkEnd w:id="49"/>
      <w:bookmarkEnd w:id="50"/>
    </w:p>
    <w:p>
      <w:pPr>
        <w:rPr>
          <w:rFonts w:ascii="仿宋_GB2312" w:eastAsia="仿宋_GB2312"/>
          <w:sz w:val="32"/>
          <w:szCs w:val="32"/>
        </w:rPr>
      </w:pPr>
      <w:bookmarkStart w:id="51" w:name="_Toc15377226"/>
    </w:p>
    <w:p>
      <w:pPr>
        <w:ind w:firstLine="640" w:firstLineChars="200"/>
        <w:rPr>
          <w:rFonts w:ascii="仿宋_GB2312" w:eastAsia="仿宋_GB2312"/>
          <w:sz w:val="32"/>
          <w:szCs w:val="32"/>
        </w:rPr>
      </w:pPr>
      <w:r>
        <w:rPr>
          <w:rFonts w:ascii="仿宋_GB2312" w:eastAsia="仿宋_GB2312"/>
          <w:sz w:val="32"/>
          <w:szCs w:val="32"/>
        </w:rPr>
        <w:t>1.一般公共预算拨款收入：指区级财政当年拨付的资金。</w:t>
      </w:r>
    </w:p>
    <w:p>
      <w:pPr>
        <w:ind w:firstLine="640" w:firstLineChars="200"/>
        <w:rPr>
          <w:rFonts w:ascii="仿宋_GB2312" w:eastAsia="仿宋_GB2312"/>
          <w:sz w:val="32"/>
          <w:szCs w:val="32"/>
        </w:rPr>
      </w:pPr>
      <w:r>
        <w:rPr>
          <w:rFonts w:ascii="仿宋_GB2312" w:eastAsia="仿宋_GB2312"/>
          <w:sz w:val="32"/>
          <w:szCs w:val="32"/>
        </w:rPr>
        <w:t>2.上年结转：指以前年度尚未完成，结转到本年仍按原规定用途继续使用的资金。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.一般公共服务（201）政府办公厅（室）及相关机构事务（03）行政运行（01）：指行政机关及参公管理事业单位用于保障机构正常运行、开展日常工作的基本支出。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.一般公共服务（201）政府办公厅（室）及相关机构事务（03）一般行政管理事务（02）：指行政机关及参公管理事业单位开展专项工作等未单独设置项级科目的专门性管理工作的项目支出。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文化旅游体育与传媒支出（207）文化和旅游（01）其他文化和旅游支出（99）</w:t>
      </w:r>
      <w:r>
        <w:rPr>
          <w:rFonts w:hint="eastAsia" w:ascii="仿宋_GB2312" w:eastAsia="仿宋_GB2312"/>
          <w:sz w:val="32"/>
          <w:szCs w:val="32"/>
          <w:lang w:eastAsia="zh-CN"/>
        </w:rPr>
        <w:t>：指未单独设置项级科目的其他用于文化和旅游方面的支出。</w:t>
      </w:r>
    </w:p>
    <w:p>
      <w:pPr>
        <w:ind w:firstLine="640" w:firstLineChars="200"/>
        <w:rPr>
          <w:rFonts w:hint="eastAsia"/>
          <w:lang w:eastAsia="zh-CN"/>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文化旅游体育与传媒支出（207）广播电视（08）其他广播电视支出（99）:</w:t>
      </w:r>
      <w:r>
        <w:rPr>
          <w:rFonts w:hint="eastAsia" w:ascii="仿宋_GB2312" w:eastAsia="仿宋_GB2312"/>
          <w:sz w:val="32"/>
          <w:szCs w:val="32"/>
          <w:lang w:eastAsia="zh-CN"/>
        </w:rPr>
        <w:t>指未单独设置项级科目的其他用于广播电视方面的支出。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.社会保障和就业（208）行政事业单位养老保险支出（05）机关事业单位基本养老保险缴费支出（05）：指部门实施养老保险制度由单位缴纳的养老保险费的支出。</w:t>
      </w:r>
    </w:p>
    <w:p>
      <w:pPr>
        <w:ind w:firstLine="640" w:firstLineChars="200"/>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社会保障和就业支出（208）行政事业单位养老支出（05）机关事业单位职业年金缴费支出（06）</w:t>
      </w:r>
      <w:r>
        <w:rPr>
          <w:rFonts w:ascii="仿宋_GB2312" w:eastAsia="仿宋_GB2312"/>
          <w:sz w:val="32"/>
          <w:szCs w:val="32"/>
        </w:rPr>
        <w:t>：指部门实施养老保险制度由单位缴纳的</w:t>
      </w:r>
      <w:r>
        <w:rPr>
          <w:rFonts w:hint="eastAsia" w:ascii="仿宋_GB2312" w:eastAsia="仿宋_GB2312"/>
          <w:sz w:val="32"/>
          <w:szCs w:val="32"/>
          <w:lang w:eastAsia="zh-CN"/>
        </w:rPr>
        <w:t>职业年金</w:t>
      </w:r>
      <w:r>
        <w:rPr>
          <w:rFonts w:ascii="仿宋_GB2312" w:eastAsia="仿宋_GB2312"/>
          <w:sz w:val="32"/>
          <w:szCs w:val="32"/>
        </w:rPr>
        <w:t>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.社会保障和就业（208）残疾人事业（11）其他残疾人事业支出（99）：指用于残疾人事业方面的支出。</w:t>
      </w:r>
    </w:p>
    <w:p>
      <w:pPr>
        <w:ind w:firstLine="640" w:firstLineChars="200"/>
        <w:rPr>
          <w:rFonts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10.</w:t>
      </w:r>
      <w:r>
        <w:rPr>
          <w:rFonts w:hint="eastAsia" w:ascii="仿宋_GB2312" w:hAnsi="Times New Roman" w:eastAsia="仿宋_GB2312" w:cs="Times New Roman"/>
          <w:kern w:val="2"/>
          <w:sz w:val="32"/>
          <w:szCs w:val="32"/>
          <w:lang w:val="en-US" w:eastAsia="zh-CN" w:bidi="ar-SA"/>
        </w:rPr>
        <w:t>社会保障和就业支出（208）临时救助（20）临时救助支出（01）</w:t>
      </w:r>
      <w:r>
        <w:rPr>
          <w:rFonts w:hint="eastAsia" w:ascii="仿宋_GB2312" w:eastAsia="仿宋_GB2312" w:cs="Times New Roman"/>
          <w:kern w:val="2"/>
          <w:sz w:val="32"/>
          <w:szCs w:val="32"/>
          <w:lang w:val="en-US" w:eastAsia="zh-CN" w:bidi="ar-SA"/>
        </w:rPr>
        <w:t>：用于城乡生活困难居民的临时救助支出。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.社会保障和就业（208）其他社会保障和就业（99）其他社会保障和就业支出（</w:t>
      </w:r>
      <w:r>
        <w:rPr>
          <w:rFonts w:hint="eastAsia" w:ascii="仿宋_GB2312" w:eastAsia="仿宋_GB2312"/>
          <w:sz w:val="32"/>
          <w:szCs w:val="32"/>
          <w:lang w:val="en-US" w:eastAsia="zh-CN"/>
        </w:rPr>
        <w:t>99</w:t>
      </w:r>
      <w:r>
        <w:rPr>
          <w:rFonts w:ascii="仿宋_GB2312" w:eastAsia="仿宋_GB2312"/>
          <w:sz w:val="32"/>
          <w:szCs w:val="32"/>
        </w:rPr>
        <w:t>）：指除上述项目外，其他用于</w:t>
      </w:r>
      <w:r>
        <w:rPr>
          <w:rFonts w:hint="eastAsia" w:ascii="仿宋_GB2312" w:eastAsia="仿宋_GB2312"/>
          <w:sz w:val="32"/>
          <w:szCs w:val="32"/>
          <w:lang w:eastAsia="zh-CN"/>
        </w:rPr>
        <w:t>社会保障和就业</w:t>
      </w:r>
      <w:r>
        <w:rPr>
          <w:rFonts w:ascii="仿宋_GB2312" w:eastAsia="仿宋_GB2312"/>
          <w:sz w:val="32"/>
          <w:szCs w:val="32"/>
        </w:rPr>
        <w:t>方面的支出。</w:t>
      </w:r>
    </w:p>
    <w:p>
      <w:pPr>
        <w:ind w:firstLine="640" w:firstLineChars="20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卫生健康支出（210）公共卫生（04）突发公共卫生事件应急处理（10）</w:t>
      </w:r>
      <w:r>
        <w:rPr>
          <w:rFonts w:hint="eastAsia" w:ascii="仿宋_GB2312" w:eastAsia="仿宋_GB2312"/>
          <w:sz w:val="32"/>
          <w:szCs w:val="32"/>
          <w:lang w:eastAsia="zh-CN"/>
        </w:rPr>
        <w:t>：用于突发公共卫生事件应急处理的支出。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.卫生健康支出（210）行政事业单位医疗（11）行政单位医疗（01）：指行政机关及参公管理事业单位用于缴纳单位基本医疗保险支出。</w:t>
      </w:r>
    </w:p>
    <w:p>
      <w:pPr>
        <w:ind w:firstLine="640" w:firstLineChars="200"/>
        <w:rPr>
          <w:rFonts w:ascii="仿宋_GB2312" w:eastAsia="仿宋_GB2312"/>
          <w:sz w:val="32"/>
          <w:szCs w:val="32"/>
        </w:rPr>
      </w:pPr>
      <w:r>
        <w:rPr>
          <w:rFonts w:ascii="仿宋_GB2312" w:eastAsia="仿宋_GB2312"/>
          <w:sz w:val="32"/>
          <w:szCs w:val="32"/>
        </w:rPr>
        <w:t>14.卫生健康支出（210）行政事业单位医疗（11）事业单位医疗（02）：指事业单位用于缴纳单位基本医疗保险支出。</w:t>
      </w:r>
    </w:p>
    <w:p>
      <w:pPr>
        <w:ind w:firstLine="640" w:firstLineChars="200"/>
        <w:rPr>
          <w:rFonts w:ascii="仿宋_GB2312" w:eastAsia="仿宋_GB2312"/>
          <w:sz w:val="32"/>
          <w:szCs w:val="32"/>
        </w:rPr>
      </w:pPr>
      <w:r>
        <w:rPr>
          <w:rFonts w:ascii="仿宋_GB2312" w:eastAsia="仿宋_GB2312"/>
          <w:sz w:val="32"/>
          <w:szCs w:val="32"/>
        </w:rPr>
        <w:t>15.卫生健康支出（210）行政事业单位医疗（11）公务员医疗补助（03）：指行政机关及参公管理事业单位用于集中缴纳公务员医疗补助支出。</w:t>
      </w:r>
    </w:p>
    <w:p>
      <w:pPr>
        <w:ind w:firstLine="640" w:firstLineChars="20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卫生健康支出（210）医疗保障管理事务（1</w:t>
      </w:r>
      <w:r>
        <w:rPr>
          <w:rFonts w:hint="eastAsia" w:ascii="仿宋_GB2312" w:eastAsia="仿宋_GB2312"/>
          <w:sz w:val="32"/>
          <w:szCs w:val="32"/>
          <w:lang w:val="en-US" w:eastAsia="zh-CN"/>
        </w:rPr>
        <w:t>5</w:t>
      </w:r>
      <w:r>
        <w:rPr>
          <w:rFonts w:hint="eastAsia" w:ascii="仿宋_GB2312" w:eastAsia="仿宋_GB2312"/>
          <w:sz w:val="32"/>
          <w:szCs w:val="32"/>
        </w:rPr>
        <w:t>）其他医疗保障管理事务支出（</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：指其他用于医疗保障管理事务方面的支出。</w:t>
      </w:r>
    </w:p>
    <w:p>
      <w:pPr>
        <w:ind w:firstLine="640" w:firstLineChars="200"/>
        <w:rPr>
          <w:rFonts w:ascii="仿宋_GB2312" w:eastAsia="仿宋_GB2312"/>
          <w:sz w:val="32"/>
          <w:szCs w:val="32"/>
        </w:rPr>
      </w:pPr>
      <w:r>
        <w:rPr>
          <w:rFonts w:ascii="仿宋_GB2312" w:eastAsia="仿宋_GB2312"/>
          <w:sz w:val="32"/>
          <w:szCs w:val="32"/>
        </w:rPr>
        <w:t>17.农林水支出（213）农业农村（01）事业运行（04）：指用于农业事业单位基本支出，事业单位设施、系统运行与资产维护等方面的支出。</w:t>
      </w:r>
    </w:p>
    <w:p>
      <w:pPr>
        <w:ind w:firstLine="640" w:firstLineChars="200"/>
        <w:rPr>
          <w:rStyle w:val="19"/>
          <w:rFonts w:hint="eastAsia" w:ascii="仿宋" w:hAnsi="仿宋" w:eastAsia="仿宋"/>
          <w:bCs/>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农林水支出（213）农业农村（01）其他农业农村支出（99）</w:t>
      </w:r>
      <w:r>
        <w:rPr>
          <w:rFonts w:ascii="仿宋_GB2312" w:eastAsia="仿宋_GB2312"/>
          <w:sz w:val="32"/>
          <w:szCs w:val="32"/>
        </w:rPr>
        <w:t>:</w:t>
      </w:r>
      <w:r>
        <w:rPr>
          <w:rFonts w:hint="eastAsia" w:ascii="仿宋_GB2312" w:eastAsia="仿宋_GB2312"/>
          <w:sz w:val="32"/>
          <w:szCs w:val="32"/>
          <w:lang w:eastAsia="zh-CN"/>
        </w:rPr>
        <w:t>指其他用于农业农村方面的支出。</w:t>
      </w:r>
      <w:r>
        <w:rPr>
          <w:rStyle w:val="19"/>
          <w:rFonts w:hint="eastAsia" w:ascii="仿宋" w:hAnsi="仿宋" w:eastAsia="仿宋"/>
          <w:bCs/>
          <w:sz w:val="32"/>
          <w:szCs w:val="32"/>
        </w:rPr>
        <w:t xml:space="preserve"> </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农林水支出（213）</w:t>
      </w:r>
      <w:r>
        <w:rPr>
          <w:rFonts w:hint="eastAsia" w:ascii="仿宋_GB2312" w:eastAsia="仿宋_GB2312"/>
          <w:sz w:val="32"/>
          <w:szCs w:val="32"/>
          <w:lang w:eastAsia="zh-CN"/>
        </w:rPr>
        <w:t>水利</w:t>
      </w:r>
      <w:r>
        <w:rPr>
          <w:rFonts w:hint="eastAsia" w:ascii="仿宋_GB2312" w:eastAsia="仿宋_GB2312"/>
          <w:sz w:val="32"/>
          <w:szCs w:val="32"/>
        </w:rPr>
        <w:t>（</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eastAsia="zh-CN"/>
        </w:rPr>
        <w:t>农村水利</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lang w:eastAsia="zh-CN"/>
        </w:rPr>
        <w:t>指国家对中型灌区节水配套改造、牧区水利建设、小型水源建设、农村河塘整治以及排灌站、小水电站补助等。</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农林水支出（213）巩固</w:t>
      </w:r>
      <w:r>
        <w:rPr>
          <w:rFonts w:hint="eastAsia" w:ascii="仿宋_GB2312" w:eastAsia="仿宋_GB2312"/>
          <w:sz w:val="32"/>
          <w:szCs w:val="32"/>
          <w:lang w:eastAsia="zh-CN"/>
        </w:rPr>
        <w:t>拓展</w:t>
      </w:r>
      <w:r>
        <w:rPr>
          <w:rFonts w:hint="eastAsia" w:ascii="仿宋_GB2312" w:eastAsia="仿宋_GB2312"/>
          <w:sz w:val="32"/>
          <w:szCs w:val="32"/>
        </w:rPr>
        <w:t>脱贫衔接乡村振兴（05）其他巩固</w:t>
      </w:r>
      <w:r>
        <w:rPr>
          <w:rFonts w:hint="eastAsia" w:ascii="仿宋_GB2312" w:eastAsia="仿宋_GB2312"/>
          <w:sz w:val="32"/>
          <w:szCs w:val="32"/>
          <w:lang w:eastAsia="zh-CN"/>
        </w:rPr>
        <w:t>拓展</w:t>
      </w:r>
      <w:r>
        <w:rPr>
          <w:rFonts w:hint="eastAsia" w:ascii="仿宋_GB2312" w:eastAsia="仿宋_GB2312"/>
          <w:sz w:val="32"/>
          <w:szCs w:val="32"/>
        </w:rPr>
        <w:t>脱贫衔接乡村振兴支出（99）</w:t>
      </w:r>
      <w:r>
        <w:rPr>
          <w:rFonts w:hint="eastAsia" w:ascii="仿宋_GB2312" w:eastAsia="仿宋_GB2312"/>
          <w:sz w:val="32"/>
          <w:szCs w:val="32"/>
          <w:lang w:eastAsia="zh-CN"/>
        </w:rPr>
        <w:t>：其他用于</w:t>
      </w:r>
      <w:r>
        <w:rPr>
          <w:rFonts w:hint="eastAsia" w:ascii="仿宋_GB2312" w:eastAsia="仿宋_GB2312"/>
          <w:sz w:val="32"/>
          <w:szCs w:val="32"/>
        </w:rPr>
        <w:t>巩固</w:t>
      </w:r>
      <w:r>
        <w:rPr>
          <w:rFonts w:hint="eastAsia" w:ascii="仿宋_GB2312" w:eastAsia="仿宋_GB2312"/>
          <w:sz w:val="32"/>
          <w:szCs w:val="32"/>
          <w:lang w:eastAsia="zh-CN"/>
        </w:rPr>
        <w:t>拓展</w:t>
      </w:r>
      <w:r>
        <w:rPr>
          <w:rFonts w:hint="eastAsia" w:ascii="仿宋_GB2312" w:eastAsia="仿宋_GB2312"/>
          <w:sz w:val="32"/>
          <w:szCs w:val="32"/>
        </w:rPr>
        <w:t>脱贫衔接乡村振兴</w:t>
      </w:r>
      <w:r>
        <w:rPr>
          <w:rFonts w:hint="eastAsia" w:ascii="仿宋_GB2312" w:eastAsia="仿宋_GB2312"/>
          <w:sz w:val="32"/>
          <w:szCs w:val="32"/>
          <w:lang w:eastAsia="zh-CN"/>
        </w:rPr>
        <w:t>方面的</w:t>
      </w:r>
      <w:r>
        <w:rPr>
          <w:rFonts w:hint="eastAsia" w:ascii="仿宋_GB2312" w:eastAsia="仿宋_GB2312"/>
          <w:sz w:val="32"/>
          <w:szCs w:val="32"/>
        </w:rPr>
        <w:t>支出</w:t>
      </w:r>
      <w:r>
        <w:rPr>
          <w:rFonts w:hint="eastAsia" w:ascii="仿宋_GB2312" w:eastAsia="仿宋_GB2312"/>
          <w:sz w:val="32"/>
          <w:szCs w:val="32"/>
          <w:lang w:eastAsia="zh-CN"/>
        </w:rPr>
        <w:t>。</w:t>
      </w:r>
    </w:p>
    <w:p>
      <w:pPr>
        <w:ind w:firstLine="640" w:firstLineChars="200"/>
        <w:rPr>
          <w:rFonts w:hint="eastAsia"/>
          <w:lang w:eastAsia="zh-CN"/>
        </w:rPr>
      </w:pPr>
      <w:r>
        <w:rPr>
          <w:rFonts w:hint="eastAsia" w:ascii="仿宋_GB2312" w:eastAsia="仿宋_GB2312"/>
          <w:sz w:val="32"/>
          <w:szCs w:val="32"/>
          <w:lang w:val="en-US" w:eastAsia="zh-CN"/>
        </w:rPr>
        <w:t>21</w:t>
      </w:r>
      <w:r>
        <w:rPr>
          <w:rFonts w:ascii="仿宋_GB2312" w:eastAsia="仿宋_GB2312"/>
          <w:sz w:val="32"/>
          <w:szCs w:val="32"/>
        </w:rPr>
        <w:t>.农林水支出（213）农村综合改革（07）</w:t>
      </w:r>
      <w:r>
        <w:rPr>
          <w:rFonts w:hint="eastAsia" w:ascii="仿宋_GB2312" w:eastAsia="仿宋_GB2312"/>
          <w:sz w:val="32"/>
          <w:szCs w:val="32"/>
        </w:rPr>
        <w:t>对村级公益事业建设的补助</w:t>
      </w:r>
      <w:r>
        <w:rPr>
          <w:rFonts w:ascii="仿宋_GB2312" w:eastAsia="仿宋_GB2312"/>
          <w:sz w:val="32"/>
          <w:szCs w:val="32"/>
        </w:rPr>
        <w:t>（0</w:t>
      </w:r>
      <w:r>
        <w:rPr>
          <w:rFonts w:hint="eastAsia" w:ascii="仿宋_GB2312" w:eastAsia="仿宋_GB2312"/>
          <w:sz w:val="32"/>
          <w:szCs w:val="32"/>
          <w:lang w:val="en-US" w:eastAsia="zh-CN"/>
        </w:rPr>
        <w:t>1</w:t>
      </w:r>
      <w:r>
        <w:rPr>
          <w:rFonts w:ascii="仿宋_GB2312" w:eastAsia="仿宋_GB2312"/>
          <w:sz w:val="32"/>
          <w:szCs w:val="32"/>
        </w:rPr>
        <w:t>）：指</w:t>
      </w:r>
      <w:r>
        <w:rPr>
          <w:rFonts w:hint="eastAsia" w:ascii="仿宋_GB2312" w:eastAsia="仿宋_GB2312"/>
          <w:sz w:val="32"/>
          <w:szCs w:val="32"/>
          <w:lang w:eastAsia="zh-CN"/>
        </w:rPr>
        <w:t>农村税费改革后</w:t>
      </w:r>
      <w:r>
        <w:rPr>
          <w:rFonts w:hint="eastAsia" w:ascii="仿宋_GB2312" w:eastAsia="仿宋_GB2312"/>
          <w:sz w:val="32"/>
          <w:szCs w:val="32"/>
        </w:rPr>
        <w:t>对村级公益事业建设的补助</w:t>
      </w:r>
      <w:r>
        <w:rPr>
          <w:rFonts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.农林水支出（213）农村综合改革（07）对村民委员会和党支部的补助（05）：指各级财政对村民委员会和村党支部的补助支出，以及支出建立县级基本财力保障机制安排的村级组织运转奖补资金。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.住房保障（221）住房改革支出（02）住房公积金（01）：指按照《住房公积金管理条例》的规定，由单位及其在职职工缴存的长期住房储金。</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.基本支出：指为保证机构正常运转，完成日常工作任务而发生的人员支出和公用支出。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.机关运行经费：为保障行政单位（包含参照公务员法管理的事业单位）运行用于购买货物和服务的各项资金。包括办公及印刷费、邮电费、差旅费、会议费一般设备购置费等费用开支。</w:t>
      </w:r>
    </w:p>
    <w:p>
      <w:pPr>
        <w:spacing w:line="600" w:lineRule="exact"/>
        <w:jc w:val="center"/>
        <w:outlineLvl w:val="0"/>
        <w:rPr>
          <w:rFonts w:ascii="方正小标宋简体" w:hAnsi="方正小标宋简体" w:eastAsia="方正小标宋简体" w:cs="方正小标宋简体"/>
          <w:color w:val="0000FF"/>
          <w:sz w:val="44"/>
          <w:szCs w:val="44"/>
        </w:rPr>
      </w:pPr>
      <w:r>
        <w:rPr>
          <w:rFonts w:ascii="宋体"/>
          <w:b/>
          <w:sz w:val="44"/>
          <w:szCs w:val="44"/>
        </w:rPr>
        <w:br w:type="page"/>
      </w:r>
      <w:bookmarkStart w:id="52" w:name="_Toc15396614"/>
      <w:r>
        <w:rPr>
          <w:rFonts w:hint="eastAsia" w:ascii="黑体" w:hAnsi="黑体" w:eastAsia="黑体"/>
          <w:sz w:val="44"/>
          <w:szCs w:val="44"/>
        </w:rPr>
        <w:t>第</w:t>
      </w:r>
      <w:r>
        <w:rPr>
          <w:rStyle w:val="22"/>
          <w:rFonts w:hint="eastAsia" w:ascii="黑体" w:hAnsi="黑体" w:eastAsia="黑体"/>
          <w:b w:val="0"/>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yellow"/>
          <w:lang w:val="en-US" w:eastAsia="zh-CN"/>
        </w:rPr>
      </w:pPr>
      <w:r>
        <w:rPr>
          <w:rFonts w:hint="eastAsia" w:ascii="黑体" w:hAnsi="黑体" w:eastAsia="黑体" w:cs="黑体"/>
          <w:color w:val="auto"/>
          <w:sz w:val="32"/>
          <w:szCs w:val="32"/>
          <w:highlight w:val="yellow"/>
        </w:rPr>
        <w:t>附件</w:t>
      </w:r>
      <w:r>
        <w:rPr>
          <w:rFonts w:hint="eastAsia" w:ascii="黑体" w:hAnsi="黑体" w:eastAsia="黑体" w:cs="黑体"/>
          <w:color w:val="auto"/>
          <w:sz w:val="32"/>
          <w:szCs w:val="32"/>
          <w:highlight w:val="yellow"/>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yellow"/>
          <w:shd w:val="clear" w:color="auto" w:fill="FFFFFF"/>
        </w:rPr>
      </w:pPr>
      <w:bookmarkStart w:id="53" w:name="_Toc17289_WPSOffice_Level2"/>
      <w:r>
        <w:rPr>
          <w:rFonts w:hint="default" w:ascii="Times New Roman" w:hAnsi="Times New Roman" w:eastAsia="方正小标宋简体" w:cs="Times New Roman"/>
          <w:b w:val="0"/>
          <w:bCs/>
          <w:sz w:val="44"/>
          <w:szCs w:val="44"/>
          <w:highlight w:val="yellow"/>
          <w:shd w:val="clear" w:color="auto" w:fill="FFFFFF"/>
        </w:rPr>
        <w:t>部门</w:t>
      </w:r>
      <w:r>
        <w:rPr>
          <w:rFonts w:hint="default" w:ascii="Times New Roman" w:hAnsi="Times New Roman" w:eastAsia="方正小标宋简体" w:cs="Times New Roman"/>
          <w:b w:val="0"/>
          <w:bCs/>
          <w:sz w:val="44"/>
          <w:szCs w:val="44"/>
          <w:highlight w:val="yellow"/>
          <w:shd w:val="clear" w:color="auto" w:fill="FFFFFF"/>
          <w:lang w:eastAsia="zh-CN"/>
        </w:rPr>
        <w:t>预算</w:t>
      </w:r>
      <w:r>
        <w:rPr>
          <w:rFonts w:hint="default" w:ascii="Times New Roman" w:hAnsi="Times New Roman" w:eastAsia="方正小标宋简体" w:cs="Times New Roman"/>
          <w:b w:val="0"/>
          <w:bCs/>
          <w:sz w:val="44"/>
          <w:szCs w:val="44"/>
          <w:highlight w:val="yellow"/>
          <w:shd w:val="clear" w:color="auto" w:fill="FFFFFF"/>
        </w:rPr>
        <w:t>绩效</w:t>
      </w:r>
      <w:r>
        <w:rPr>
          <w:rFonts w:hint="eastAsia" w:ascii="Times New Roman" w:hAnsi="Times New Roman" w:eastAsia="方正小标宋简体" w:cs="Times New Roman"/>
          <w:b w:val="0"/>
          <w:bCs/>
          <w:sz w:val="44"/>
          <w:szCs w:val="44"/>
          <w:highlight w:val="yellow"/>
          <w:shd w:val="clear" w:color="auto" w:fill="FFFFFF"/>
          <w:lang w:eastAsia="zh-CN"/>
        </w:rPr>
        <w:t>评价</w:t>
      </w:r>
      <w:r>
        <w:rPr>
          <w:rFonts w:hint="default" w:ascii="Times New Roman" w:hAnsi="Times New Roman" w:eastAsia="方正小标宋简体" w:cs="Times New Roman"/>
          <w:b w:val="0"/>
          <w:bCs/>
          <w:sz w:val="44"/>
          <w:szCs w:val="44"/>
          <w:highlight w:val="yellow"/>
          <w:shd w:val="clear" w:color="auto" w:fill="FFFFFF"/>
        </w:rPr>
        <w:t>报告范本</w:t>
      </w:r>
      <w:bookmarkEnd w:id="53"/>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yellow"/>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yellow"/>
          <w:shd w:val="clear" w:color="auto" w:fill="FFFFFF"/>
          <w:lang w:val="zh-CN"/>
        </w:rPr>
      </w:pPr>
      <w:bookmarkStart w:id="54" w:name="_Toc32526_WPSOffice_Level2"/>
      <w:r>
        <w:rPr>
          <w:rFonts w:hint="eastAsia" w:eastAsia="黑体" w:cs="Times New Roman"/>
          <w:color w:val="000000"/>
          <w:kern w:val="0"/>
          <w:sz w:val="32"/>
          <w:szCs w:val="32"/>
          <w:highlight w:val="yellow"/>
          <w:shd w:val="clear" w:color="auto" w:fill="FFFFFF"/>
          <w:lang w:val="zh-CN"/>
        </w:rPr>
        <w:t>一、</w:t>
      </w:r>
      <w:r>
        <w:rPr>
          <w:rFonts w:hint="default" w:eastAsia="黑体" w:cs="Times New Roman"/>
          <w:color w:val="000000"/>
          <w:kern w:val="0"/>
          <w:sz w:val="32"/>
          <w:szCs w:val="32"/>
          <w:highlight w:val="yellow"/>
          <w:shd w:val="clear" w:color="auto" w:fill="FFFFFF"/>
          <w:lang w:val="zh-CN"/>
        </w:rPr>
        <w:t>部门（单位）基本情况</w:t>
      </w:r>
      <w:bookmarkEnd w:id="54"/>
    </w:p>
    <w:p>
      <w:pPr>
        <w:keepNext w:val="0"/>
        <w:keepLines w:val="0"/>
        <w:pageBreakBefore w:val="0"/>
        <w:kinsoku/>
        <w:wordWrap/>
        <w:overflowPunct/>
        <w:topLinePunct w:val="0"/>
        <w:bidi w:val="0"/>
        <w:adjustRightInd w:val="0"/>
        <w:snapToGrid w:val="0"/>
        <w:spacing w:line="560" w:lineRule="atLeast"/>
        <w:ind w:firstLine="643" w:firstLineChars="200"/>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（一）机构组成</w:t>
      </w:r>
    </w:p>
    <w:p>
      <w:pPr>
        <w:spacing w:line="600" w:lineRule="exact"/>
        <w:ind w:firstLine="640" w:firstLineChars="200"/>
        <w:rPr>
          <w:rFonts w:eastAsia="仿宋_GB2312"/>
          <w:color w:val="auto"/>
          <w:sz w:val="32"/>
          <w:lang w:val="zh-CN"/>
        </w:rPr>
      </w:pPr>
      <w:r>
        <w:rPr>
          <w:rFonts w:hint="eastAsia" w:ascii="仿宋" w:hAnsi="仿宋" w:eastAsia="仿宋" w:cs="仿宋"/>
          <w:color w:val="auto"/>
          <w:sz w:val="32"/>
          <w:szCs w:val="32"/>
        </w:rPr>
        <w:t>仁里镇人民政府未设下属二级预算单位，设有党政办、社会治理与应急管理办、社会事务办、农服中心、便民服务中心、乡村振兴办、党建办、宣传文化中心、农民工服务中心、财政办等科室。</w:t>
      </w:r>
    </w:p>
    <w:p>
      <w:pPr>
        <w:snapToGrid w:val="0"/>
        <w:spacing w:line="588" w:lineRule="exact"/>
        <w:ind w:firstLine="643" w:firstLineChars="200"/>
        <w:rPr>
          <w:rFonts w:eastAsia="仿宋"/>
          <w:color w:val="auto"/>
          <w:sz w:val="32"/>
          <w:szCs w:val="32"/>
        </w:rPr>
      </w:pPr>
      <w:r>
        <w:rPr>
          <w:rFonts w:hint="default" w:ascii="Times New Roman" w:hAnsi="Times New Roman" w:eastAsia="楷体_GB2312" w:cs="Times New Roman"/>
          <w:b/>
          <w:bCs/>
          <w:color w:val="000000"/>
          <w:kern w:val="0"/>
          <w:sz w:val="32"/>
          <w:szCs w:val="32"/>
          <w:highlight w:val="yellow"/>
          <w:shd w:val="clear" w:color="auto" w:fill="FFFFFF"/>
          <w:lang w:val="zh-CN"/>
        </w:rPr>
        <w:t>（二）机构职能</w:t>
      </w:r>
      <w:r>
        <w:rPr>
          <w:rFonts w:hint="eastAsia" w:ascii="Times New Roman" w:hAnsi="Times New Roman" w:eastAsia="楷体_GB2312" w:cs="Times New Roman"/>
          <w:b/>
          <w:bCs/>
          <w:color w:val="000000"/>
          <w:kern w:val="0"/>
          <w:sz w:val="32"/>
          <w:szCs w:val="32"/>
          <w:highlight w:val="yellow"/>
          <w:shd w:val="clear" w:color="auto" w:fill="FFFFFF"/>
          <w:lang w:val="zh-CN"/>
        </w:rPr>
        <w:t>。</w:t>
      </w:r>
      <w:r>
        <w:rPr>
          <w:rFonts w:eastAsia="仿宋"/>
          <w:color w:val="auto"/>
          <w:sz w:val="32"/>
          <w:szCs w:val="32"/>
        </w:rPr>
        <w:t>镇党委：（1）保证党的路线、方针、政策的坚决贯彻执行，领导和监督同级人大、政府落实上级安排的各项工作任务，教育和管理全镇各级干部群众，抓好经济建设，维护社会稳定。（2）负责抓好本镇党建工作、群团工作、新闻宣传工作，抓好精神文明建设，丰富群众文化生活，提倡移风易俗，反对封建迷信，破除陈规陋习，树立社会主义新风尚。（3）完成区委、区政府交给的其他工作任务。</w:t>
      </w:r>
    </w:p>
    <w:p>
      <w:pPr>
        <w:snapToGrid w:val="0"/>
        <w:spacing w:line="588" w:lineRule="exact"/>
        <w:ind w:firstLine="640" w:firstLineChars="200"/>
        <w:rPr>
          <w:rFonts w:eastAsia="仿宋"/>
          <w:color w:val="auto"/>
          <w:sz w:val="32"/>
          <w:szCs w:val="32"/>
        </w:rPr>
      </w:pPr>
      <w:r>
        <w:rPr>
          <w:rFonts w:eastAsia="仿宋"/>
          <w:color w:val="auto"/>
          <w:sz w:val="32"/>
          <w:szCs w:val="32"/>
        </w:rPr>
        <w:t>镇政府：（1）执行本级党委和人民代表大会的决议及上级国家行政机关的决定和命令，发布决定和命令。（2）执行本行政区域内的经济和社会发展计划、预算，管理本行政区域内的经济、教育、科学、文化、卫生、体育事业和财政、民政、公安、司法行政、计划生育等行政工作，取缔非法经济活动，调解和处理民事纠纷，打击刑事犯罪，维护社会稳定。（3）办理上级人民政府交办的其</w:t>
      </w:r>
      <w:r>
        <w:rPr>
          <w:rFonts w:hint="eastAsia" w:eastAsia="仿宋"/>
          <w:color w:val="auto"/>
          <w:sz w:val="32"/>
          <w:szCs w:val="32"/>
          <w:lang w:eastAsia="zh-CN"/>
        </w:rPr>
        <w:t>他</w:t>
      </w:r>
      <w:r>
        <w:rPr>
          <w:rFonts w:eastAsia="仿宋"/>
          <w:color w:val="auto"/>
          <w:sz w:val="32"/>
          <w:szCs w:val="32"/>
        </w:rPr>
        <w:t>事项。</w:t>
      </w:r>
    </w:p>
    <w:p>
      <w:pPr>
        <w:snapToGrid w:val="0"/>
        <w:spacing w:line="588" w:lineRule="exact"/>
        <w:ind w:firstLine="640" w:firstLineChars="200"/>
        <w:outlineLvl w:val="0"/>
        <w:rPr>
          <w:rFonts w:eastAsia="仿宋"/>
          <w:color w:val="auto"/>
          <w:sz w:val="32"/>
          <w:szCs w:val="32"/>
        </w:rPr>
      </w:pPr>
      <w:r>
        <w:rPr>
          <w:rFonts w:eastAsia="仿宋"/>
          <w:color w:val="auto"/>
          <w:sz w:val="32"/>
          <w:szCs w:val="32"/>
        </w:rPr>
        <w:t>在区委区府及财政局的指导监督下，一是提高了专款专用能力，各种资金有专门的</w:t>
      </w:r>
      <w:r>
        <w:rPr>
          <w:rFonts w:hint="eastAsia" w:eastAsia="仿宋"/>
          <w:color w:val="auto"/>
          <w:sz w:val="32"/>
          <w:szCs w:val="32"/>
          <w:lang w:eastAsia="zh-CN"/>
        </w:rPr>
        <w:t>用途</w:t>
      </w:r>
      <w:r>
        <w:rPr>
          <w:rFonts w:eastAsia="仿宋"/>
          <w:color w:val="auto"/>
          <w:sz w:val="32"/>
          <w:szCs w:val="32"/>
        </w:rPr>
        <w:t>，减少了资金的中转环节，避免了中途的截留挪用。镇财务管理得到了进一步的规范。二是约束了非正常性开支。三是规范了会计核算程序，确保会计信息质量。四是规范会计核算程序，统一口径。五是严格控制非必要性支出，集中财力办大事。按时开展财务公开，大大提高农民群众的满意度。</w:t>
      </w:r>
    </w:p>
    <w:p>
      <w:pPr>
        <w:snapToGrid w:val="0"/>
        <w:spacing w:line="588" w:lineRule="exact"/>
        <w:ind w:firstLine="640" w:firstLineChars="200"/>
        <w:outlineLvl w:val="0"/>
        <w:rPr>
          <w:rFonts w:hint="default" w:ascii="Times New Roman" w:hAnsi="Times New Roman" w:eastAsia="楷体_GB2312" w:cs="Times New Roman"/>
          <w:b/>
          <w:bCs/>
          <w:color w:val="000000"/>
          <w:kern w:val="0"/>
          <w:szCs w:val="32"/>
          <w:highlight w:val="yellow"/>
          <w:shd w:val="clear" w:color="auto" w:fill="FFFFFF"/>
          <w:lang w:val="zh-CN"/>
        </w:rPr>
      </w:pPr>
      <w:r>
        <w:rPr>
          <w:rFonts w:eastAsia="仿宋"/>
          <w:color w:val="auto"/>
          <w:sz w:val="32"/>
          <w:szCs w:val="32"/>
        </w:rPr>
        <w:t>总之，我单位牢固树立“保稳定，促发展”的意识，确保机关、事业单位人员工资、维稳经费、民政定补对象的正常发放和机关正常运转，有效</w:t>
      </w:r>
      <w:r>
        <w:rPr>
          <w:rFonts w:hint="eastAsia" w:eastAsia="仿宋"/>
          <w:color w:val="auto"/>
          <w:sz w:val="32"/>
          <w:szCs w:val="32"/>
          <w:lang w:eastAsia="zh-CN"/>
        </w:rPr>
        <w:t>地</w:t>
      </w:r>
      <w:r>
        <w:rPr>
          <w:rFonts w:eastAsia="仿宋"/>
          <w:color w:val="auto"/>
          <w:sz w:val="32"/>
          <w:szCs w:val="32"/>
        </w:rPr>
        <w:t>调动了全镇各级干部的积极性,全面完成今年区委、区政府提出的各项目标任务的积极性，推动各项工作和社会事业更好地向前发展。</w:t>
      </w:r>
    </w:p>
    <w:p>
      <w:pPr>
        <w:spacing w:line="600" w:lineRule="exact"/>
        <w:ind w:firstLine="643" w:firstLineChars="200"/>
        <w:rPr>
          <w:rFonts w:hint="default" w:ascii="Times New Roman" w:hAnsi="Times New Roman" w:cs="Times New Roman"/>
          <w:szCs w:val="32"/>
          <w:highlight w:val="yellow"/>
        </w:rPr>
      </w:pPr>
      <w:r>
        <w:rPr>
          <w:rFonts w:hint="default" w:ascii="Times New Roman" w:hAnsi="Times New Roman" w:eastAsia="楷体_GB2312" w:cs="Times New Roman"/>
          <w:b/>
          <w:bCs/>
          <w:color w:val="000000"/>
          <w:kern w:val="0"/>
          <w:sz w:val="32"/>
          <w:szCs w:val="32"/>
          <w:highlight w:val="yellow"/>
          <w:shd w:val="clear" w:color="auto" w:fill="FFFFFF"/>
          <w:lang w:val="zh-CN"/>
        </w:rPr>
        <w:t>（</w:t>
      </w:r>
      <w:r>
        <w:rPr>
          <w:rFonts w:hint="eastAsia" w:ascii="Times New Roman" w:hAnsi="Times New Roman" w:eastAsia="楷体_GB2312" w:cs="Times New Roman"/>
          <w:b/>
          <w:bCs/>
          <w:color w:val="000000"/>
          <w:kern w:val="0"/>
          <w:sz w:val="32"/>
          <w:szCs w:val="32"/>
          <w:highlight w:val="yellow"/>
          <w:shd w:val="clear" w:color="auto" w:fill="FFFFFF"/>
          <w:lang w:val="zh-CN"/>
        </w:rPr>
        <w:t>三</w:t>
      </w:r>
      <w:r>
        <w:rPr>
          <w:rFonts w:hint="default" w:ascii="Times New Roman" w:hAnsi="Times New Roman" w:eastAsia="楷体_GB2312" w:cs="Times New Roman"/>
          <w:b/>
          <w:bCs/>
          <w:color w:val="000000"/>
          <w:kern w:val="0"/>
          <w:sz w:val="32"/>
          <w:szCs w:val="32"/>
          <w:highlight w:val="yellow"/>
          <w:shd w:val="clear" w:color="auto" w:fill="FFFFFF"/>
          <w:lang w:val="zh-CN"/>
        </w:rPr>
        <w:t>）人员概况</w:t>
      </w:r>
      <w:r>
        <w:rPr>
          <w:rFonts w:hint="eastAsia" w:ascii="Times New Roman" w:hAnsi="Times New Roman" w:eastAsia="楷体_GB2312" w:cs="Times New Roman"/>
          <w:b/>
          <w:bCs/>
          <w:color w:val="000000"/>
          <w:kern w:val="0"/>
          <w:sz w:val="32"/>
          <w:szCs w:val="32"/>
          <w:highlight w:val="yellow"/>
          <w:shd w:val="clear" w:color="auto" w:fill="FFFFFF"/>
          <w:lang w:val="zh-CN"/>
        </w:rPr>
        <w:t>。</w:t>
      </w:r>
      <w:r>
        <w:rPr>
          <w:rFonts w:hint="eastAsia" w:eastAsia="仿宋_GB2312"/>
          <w:color w:val="auto"/>
          <w:sz w:val="32"/>
        </w:rPr>
        <w:t>仁里镇政府</w:t>
      </w:r>
      <w:r>
        <w:rPr>
          <w:rFonts w:hint="eastAsia" w:eastAsia="仿宋_GB2312"/>
          <w:color w:val="auto"/>
          <w:sz w:val="32"/>
          <w:lang w:val="en-US" w:eastAsia="zh-CN"/>
        </w:rPr>
        <w:t>2023年年末</w:t>
      </w:r>
      <w:r>
        <w:rPr>
          <w:rFonts w:hint="eastAsia" w:eastAsia="仿宋_GB2312"/>
          <w:color w:val="auto"/>
          <w:sz w:val="32"/>
        </w:rPr>
        <w:t>编制</w:t>
      </w:r>
      <w:r>
        <w:rPr>
          <w:rFonts w:hint="eastAsia" w:eastAsia="仿宋_GB2312"/>
          <w:color w:val="auto"/>
          <w:sz w:val="32"/>
          <w:lang w:eastAsia="zh-CN"/>
        </w:rPr>
        <w:t>人数</w:t>
      </w:r>
      <w:r>
        <w:rPr>
          <w:rFonts w:hint="eastAsia" w:eastAsia="仿宋_GB2312"/>
          <w:color w:val="auto"/>
          <w:sz w:val="32"/>
        </w:rPr>
        <w:t>51人，其中行政编制</w:t>
      </w:r>
      <w:r>
        <w:rPr>
          <w:rFonts w:hint="eastAsia" w:eastAsia="仿宋_GB2312"/>
          <w:color w:val="auto"/>
          <w:sz w:val="32"/>
          <w:lang w:val="en-US" w:eastAsia="zh-CN"/>
        </w:rPr>
        <w:t>2</w:t>
      </w:r>
      <w:r>
        <w:rPr>
          <w:rFonts w:hint="eastAsia" w:eastAsia="仿宋_GB2312"/>
          <w:color w:val="auto"/>
          <w:sz w:val="32"/>
        </w:rPr>
        <w:t>4人，</w:t>
      </w:r>
      <w:r>
        <w:rPr>
          <w:rFonts w:hint="eastAsia" w:eastAsia="仿宋_GB2312"/>
          <w:color w:val="auto"/>
          <w:sz w:val="32"/>
          <w:lang w:eastAsia="zh-CN"/>
        </w:rPr>
        <w:t>工勤编制</w:t>
      </w:r>
      <w:r>
        <w:rPr>
          <w:rFonts w:hint="eastAsia" w:eastAsia="仿宋_GB2312"/>
          <w:color w:val="auto"/>
          <w:sz w:val="32"/>
          <w:lang w:val="en-US" w:eastAsia="zh-CN"/>
        </w:rPr>
        <w:t>13人，</w:t>
      </w:r>
      <w:r>
        <w:rPr>
          <w:rFonts w:hint="eastAsia" w:eastAsia="仿宋_GB2312"/>
          <w:color w:val="auto"/>
          <w:sz w:val="32"/>
        </w:rPr>
        <w:t>事业编制</w:t>
      </w:r>
      <w:r>
        <w:rPr>
          <w:rFonts w:hint="eastAsia" w:eastAsia="仿宋_GB2312"/>
          <w:color w:val="auto"/>
          <w:sz w:val="32"/>
          <w:lang w:val="en-US" w:eastAsia="zh-CN"/>
        </w:rPr>
        <w:t>14</w:t>
      </w:r>
      <w:r>
        <w:rPr>
          <w:rFonts w:hint="eastAsia" w:eastAsia="仿宋_GB2312"/>
          <w:color w:val="auto"/>
          <w:sz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yellow"/>
          <w:shd w:val="clear" w:color="auto" w:fill="FFFFFF"/>
          <w:lang w:val="zh-CN" w:eastAsia="zh-CN"/>
        </w:rPr>
      </w:pPr>
      <w:bookmarkStart w:id="55" w:name="_Toc29104_WPSOffice_Level2"/>
      <w:r>
        <w:rPr>
          <w:rFonts w:hint="default" w:eastAsia="黑体" w:cs="Times New Roman"/>
          <w:color w:val="000000"/>
          <w:kern w:val="0"/>
          <w:sz w:val="32"/>
          <w:szCs w:val="32"/>
          <w:highlight w:val="yellow"/>
          <w:shd w:val="clear" w:color="auto" w:fill="FFFFFF"/>
          <w:lang w:val="zh-CN" w:eastAsia="zh-CN"/>
        </w:rPr>
        <w:t>二、部门资金收支情况</w:t>
      </w:r>
      <w:bookmarkEnd w:id="55"/>
    </w:p>
    <w:p>
      <w:pPr>
        <w:spacing w:line="600" w:lineRule="exact"/>
        <w:ind w:firstLine="643" w:firstLineChars="200"/>
        <w:outlineLvl w:val="1"/>
        <w:rPr>
          <w:rFonts w:ascii="仿宋" w:hAnsi="仿宋" w:eastAsia="仿宋"/>
          <w:sz w:val="32"/>
          <w:szCs w:val="32"/>
        </w:rPr>
      </w:pPr>
      <w:r>
        <w:rPr>
          <w:rFonts w:hint="default" w:ascii="Times New Roman" w:hAnsi="Times New Roman" w:eastAsia="楷体_GB2312" w:cs="Times New Roman"/>
          <w:b/>
          <w:bCs/>
          <w:color w:val="000000"/>
          <w:kern w:val="0"/>
          <w:sz w:val="32"/>
          <w:szCs w:val="32"/>
          <w:highlight w:val="yellow"/>
          <w:shd w:val="clear" w:color="auto" w:fill="FFFFFF"/>
          <w:lang w:val="zh-CN"/>
        </w:rPr>
        <w:t>（一）</w:t>
      </w:r>
      <w:r>
        <w:rPr>
          <w:rFonts w:hint="eastAsia" w:ascii="Times New Roman" w:hAnsi="Times New Roman" w:eastAsia="楷体_GB2312" w:cs="Times New Roman"/>
          <w:b/>
          <w:bCs/>
          <w:color w:val="000000"/>
          <w:kern w:val="0"/>
          <w:sz w:val="32"/>
          <w:szCs w:val="32"/>
          <w:highlight w:val="yellow"/>
          <w:shd w:val="clear" w:color="auto" w:fill="FFFFFF"/>
          <w:lang w:val="zh-CN"/>
        </w:rPr>
        <w:t>收入情况</w:t>
      </w:r>
      <w:r>
        <w:rPr>
          <w:rFonts w:hint="default" w:ascii="Times New Roman" w:hAnsi="Times New Roman" w:eastAsia="楷体_GB2312" w:cs="Times New Roman"/>
          <w:b/>
          <w:bCs/>
          <w:color w:val="000000"/>
          <w:kern w:val="0"/>
          <w:sz w:val="32"/>
          <w:szCs w:val="32"/>
          <w:highlight w:val="yellow"/>
          <w:shd w:val="clear" w:color="auto" w:fill="FFFFFF"/>
          <w:lang w:val="zh-CN"/>
        </w:rPr>
        <w:t>。</w:t>
      </w:r>
      <w:r>
        <w:rPr>
          <w:rFonts w:hint="eastAsia" w:ascii="仿宋" w:hAnsi="仿宋" w:eastAsia="仿宋"/>
          <w:sz w:val="32"/>
          <w:szCs w:val="32"/>
          <w:lang w:eastAsia="zh-CN"/>
        </w:rPr>
        <w:t>2023</w:t>
      </w:r>
      <w:r>
        <w:rPr>
          <w:rFonts w:hint="eastAsia" w:ascii="仿宋" w:hAnsi="仿宋" w:eastAsia="仿宋"/>
          <w:sz w:val="32"/>
          <w:szCs w:val="32"/>
        </w:rPr>
        <w:t>年本年收入合计</w:t>
      </w:r>
      <w:r>
        <w:rPr>
          <w:rFonts w:hint="eastAsia" w:ascii="仿宋" w:hAnsi="仿宋" w:eastAsia="仿宋"/>
          <w:sz w:val="32"/>
          <w:szCs w:val="32"/>
          <w:lang w:val="en-US" w:eastAsia="zh-CN"/>
        </w:rPr>
        <w:t>2849.75</w:t>
      </w:r>
      <w:r>
        <w:rPr>
          <w:rFonts w:hint="eastAsia" w:ascii="仿宋" w:hAnsi="仿宋" w:eastAsia="仿宋"/>
          <w:sz w:val="32"/>
          <w:szCs w:val="32"/>
        </w:rPr>
        <w:t>万元，其中：一般公共预算财政拨款收入1423.26万元，占</w:t>
      </w:r>
      <w:r>
        <w:rPr>
          <w:rFonts w:hint="eastAsia" w:ascii="仿宋" w:hAnsi="仿宋" w:eastAsia="仿宋"/>
          <w:sz w:val="32"/>
          <w:szCs w:val="32"/>
          <w:lang w:val="en-US" w:eastAsia="zh-CN"/>
        </w:rPr>
        <w:t>49.94</w:t>
      </w:r>
      <w:r>
        <w:rPr>
          <w:rFonts w:ascii="仿宋" w:hAnsi="仿宋" w:eastAsia="仿宋"/>
          <w:sz w:val="32"/>
          <w:szCs w:val="32"/>
        </w:rPr>
        <w:t>%</w:t>
      </w:r>
      <w:r>
        <w:rPr>
          <w:rFonts w:hint="eastAsia" w:ascii="仿宋" w:hAnsi="仿宋" w:eastAsia="仿宋"/>
          <w:sz w:val="32"/>
          <w:szCs w:val="32"/>
        </w:rPr>
        <w:t>；政府性基金预算财政拨款收入10.98万元，占0.</w:t>
      </w:r>
      <w:r>
        <w:rPr>
          <w:rFonts w:hint="eastAsia" w:ascii="仿宋" w:hAnsi="仿宋" w:eastAsia="仿宋"/>
          <w:sz w:val="32"/>
          <w:szCs w:val="32"/>
          <w:lang w:val="en-US" w:eastAsia="zh-CN"/>
        </w:rPr>
        <w:t>39</w:t>
      </w:r>
      <w:r>
        <w:rPr>
          <w:rFonts w:ascii="仿宋" w:hAnsi="仿宋" w:eastAsia="仿宋"/>
          <w:sz w:val="32"/>
          <w:szCs w:val="32"/>
        </w:rPr>
        <w:t>%</w:t>
      </w:r>
      <w:r>
        <w:rPr>
          <w:rFonts w:hint="eastAsia" w:ascii="仿宋" w:hAnsi="仿宋" w:eastAsia="仿宋"/>
          <w:sz w:val="32"/>
          <w:szCs w:val="32"/>
        </w:rPr>
        <w:t>；国有资本经营预算财政拨款收入0.00万元，占0.00</w:t>
      </w:r>
      <w:r>
        <w:rPr>
          <w:rFonts w:ascii="仿宋" w:hAnsi="仿宋" w:eastAsia="仿宋"/>
          <w:sz w:val="32"/>
          <w:szCs w:val="32"/>
        </w:rPr>
        <w:t>%</w:t>
      </w:r>
      <w:r>
        <w:rPr>
          <w:rFonts w:hint="eastAsia" w:ascii="仿宋" w:hAnsi="仿宋" w:eastAsia="仿宋"/>
          <w:sz w:val="32"/>
          <w:szCs w:val="32"/>
        </w:rPr>
        <w:t>；上级补助收入0.00万元，占0.00</w:t>
      </w:r>
      <w:r>
        <w:rPr>
          <w:rFonts w:ascii="仿宋" w:hAnsi="仿宋" w:eastAsia="仿宋"/>
          <w:sz w:val="32"/>
          <w:szCs w:val="32"/>
        </w:rPr>
        <w:t>%</w:t>
      </w:r>
      <w:r>
        <w:rPr>
          <w:rFonts w:hint="eastAsia" w:ascii="仿宋" w:hAnsi="仿宋" w:eastAsia="仿宋"/>
          <w:sz w:val="32"/>
          <w:szCs w:val="32"/>
        </w:rPr>
        <w:t>；事业收入0.00万元，占0.00</w:t>
      </w:r>
      <w:r>
        <w:rPr>
          <w:rFonts w:ascii="仿宋" w:hAnsi="仿宋" w:eastAsia="仿宋"/>
          <w:sz w:val="32"/>
          <w:szCs w:val="32"/>
        </w:rPr>
        <w:t>%</w:t>
      </w:r>
      <w:r>
        <w:rPr>
          <w:rFonts w:hint="eastAsia" w:ascii="仿宋" w:hAnsi="仿宋" w:eastAsia="仿宋"/>
          <w:sz w:val="32"/>
          <w:szCs w:val="32"/>
        </w:rPr>
        <w:t>；经营收入0.00万元，占0.00</w:t>
      </w:r>
      <w:r>
        <w:rPr>
          <w:rFonts w:ascii="仿宋" w:hAnsi="仿宋" w:eastAsia="仿宋"/>
          <w:sz w:val="32"/>
          <w:szCs w:val="32"/>
        </w:rPr>
        <w:t>%</w:t>
      </w:r>
      <w:r>
        <w:rPr>
          <w:rFonts w:hint="eastAsia" w:ascii="仿宋" w:hAnsi="仿宋" w:eastAsia="仿宋"/>
          <w:sz w:val="32"/>
          <w:szCs w:val="32"/>
        </w:rPr>
        <w:t>；附属单位上缴收入0.00万元，占0.00</w:t>
      </w:r>
      <w:r>
        <w:rPr>
          <w:rFonts w:ascii="仿宋" w:hAnsi="仿宋" w:eastAsia="仿宋"/>
          <w:sz w:val="32"/>
          <w:szCs w:val="32"/>
        </w:rPr>
        <w:t>%</w:t>
      </w:r>
      <w:r>
        <w:rPr>
          <w:rFonts w:hint="eastAsia" w:ascii="仿宋" w:hAnsi="仿宋" w:eastAsia="仿宋"/>
          <w:sz w:val="32"/>
          <w:szCs w:val="32"/>
        </w:rPr>
        <w:t>；其他收入1415.51万元，占4</w:t>
      </w:r>
      <w:r>
        <w:rPr>
          <w:rFonts w:hint="eastAsia" w:ascii="仿宋" w:hAnsi="仿宋" w:eastAsia="仿宋"/>
          <w:sz w:val="32"/>
          <w:szCs w:val="32"/>
          <w:lang w:val="en-US" w:eastAsia="zh-CN"/>
        </w:rPr>
        <w:t>9.67</w:t>
      </w:r>
      <w:r>
        <w:rPr>
          <w:rFonts w:ascii="仿宋" w:hAnsi="仿宋" w:eastAsia="仿宋"/>
          <w:sz w:val="32"/>
          <w:szCs w:val="32"/>
        </w:rPr>
        <w:t>%</w:t>
      </w:r>
      <w:r>
        <w:rPr>
          <w:rFonts w:hint="eastAsia" w:ascii="仿宋" w:hAnsi="仿宋" w:eastAsia="仿宋"/>
          <w:sz w:val="32"/>
          <w:szCs w:val="32"/>
        </w:rPr>
        <w:t>。</w:t>
      </w:r>
    </w:p>
    <w:p>
      <w:pPr>
        <w:keepNext w:val="0"/>
        <w:keepLines w:val="0"/>
        <w:pageBreakBefore w:val="0"/>
        <w:numPr>
          <w:ilvl w:val="0"/>
          <w:numId w:val="0"/>
        </w:numPr>
        <w:kinsoku/>
        <w:wordWrap/>
        <w:overflowPunct/>
        <w:topLinePunct w:val="0"/>
        <w:bidi w:val="0"/>
        <w:adjustRightInd w:val="0"/>
        <w:snapToGrid w:val="0"/>
        <w:spacing w:line="560" w:lineRule="atLeast"/>
        <w:ind w:firstLine="422" w:firstLineChars="200"/>
        <w:rPr>
          <w:rFonts w:hint="default" w:ascii="Times New Roman" w:hAnsi="Times New Roman" w:eastAsia="楷体_GB2312" w:cs="Times New Roman"/>
          <w:b/>
          <w:bCs/>
          <w:color w:val="000000"/>
          <w:kern w:val="0"/>
          <w:szCs w:val="32"/>
          <w:highlight w:val="yellow"/>
          <w:shd w:val="clear" w:color="auto" w:fill="FFFFFF"/>
          <w:lang w:val="en-US"/>
        </w:rPr>
      </w:pPr>
    </w:p>
    <w:p>
      <w:pPr>
        <w:spacing w:line="600" w:lineRule="exact"/>
        <w:ind w:firstLine="643" w:firstLineChars="200"/>
        <w:outlineLvl w:val="1"/>
        <w:rPr>
          <w:rFonts w:hint="default" w:ascii="Times New Roman" w:hAnsi="Times New Roman" w:cs="Times New Roman"/>
          <w:szCs w:val="32"/>
          <w:highlight w:val="yellow"/>
          <w:lang w:val="zh-CN" w:eastAsia="zh-CN"/>
        </w:rPr>
      </w:pPr>
      <w:r>
        <w:rPr>
          <w:rFonts w:hint="default" w:ascii="Times New Roman" w:hAnsi="Times New Roman" w:eastAsia="楷体_GB2312" w:cs="Times New Roman"/>
          <w:b/>
          <w:bCs/>
          <w:color w:val="000000"/>
          <w:kern w:val="0"/>
          <w:sz w:val="32"/>
          <w:szCs w:val="32"/>
          <w:highlight w:val="yellow"/>
          <w:shd w:val="clear" w:color="auto" w:fill="FFFFFF"/>
          <w:lang w:val="zh-CN"/>
        </w:rPr>
        <w:t>（</w:t>
      </w:r>
      <w:r>
        <w:rPr>
          <w:rFonts w:hint="eastAsia" w:ascii="Times New Roman" w:hAnsi="Times New Roman" w:eastAsia="楷体_GB2312" w:cs="Times New Roman"/>
          <w:b/>
          <w:bCs/>
          <w:color w:val="000000"/>
          <w:kern w:val="0"/>
          <w:sz w:val="32"/>
          <w:szCs w:val="32"/>
          <w:highlight w:val="yellow"/>
          <w:shd w:val="clear" w:color="auto" w:fill="FFFFFF"/>
          <w:lang w:val="zh-CN"/>
        </w:rPr>
        <w:t>二</w:t>
      </w:r>
      <w:r>
        <w:rPr>
          <w:rFonts w:hint="default" w:ascii="Times New Roman" w:hAnsi="Times New Roman" w:eastAsia="楷体_GB2312" w:cs="Times New Roman"/>
          <w:b/>
          <w:bCs/>
          <w:color w:val="000000"/>
          <w:kern w:val="0"/>
          <w:sz w:val="32"/>
          <w:szCs w:val="32"/>
          <w:highlight w:val="yellow"/>
          <w:shd w:val="clear" w:color="auto" w:fill="FFFFFF"/>
          <w:lang w:val="zh-CN"/>
        </w:rPr>
        <w:t>）</w:t>
      </w:r>
      <w:r>
        <w:rPr>
          <w:rFonts w:hint="eastAsia" w:ascii="Times New Roman" w:hAnsi="Times New Roman" w:eastAsia="楷体_GB2312" w:cs="Times New Roman"/>
          <w:b/>
          <w:bCs/>
          <w:color w:val="000000"/>
          <w:kern w:val="0"/>
          <w:sz w:val="32"/>
          <w:szCs w:val="32"/>
          <w:highlight w:val="yellow"/>
          <w:shd w:val="clear" w:color="auto" w:fill="FFFFFF"/>
          <w:lang w:val="zh-CN"/>
        </w:rPr>
        <w:t>支出情况</w:t>
      </w:r>
      <w:r>
        <w:rPr>
          <w:rFonts w:hint="default" w:ascii="Times New Roman" w:hAnsi="Times New Roman" w:eastAsia="楷体_GB2312" w:cs="Times New Roman"/>
          <w:b/>
          <w:bCs/>
          <w:color w:val="000000"/>
          <w:kern w:val="0"/>
          <w:sz w:val="32"/>
          <w:szCs w:val="32"/>
          <w:highlight w:val="yellow"/>
          <w:shd w:val="clear" w:color="auto" w:fill="FFFFFF"/>
          <w:lang w:val="zh-CN"/>
        </w:rPr>
        <w:t>。</w:t>
      </w:r>
      <w:r>
        <w:rPr>
          <w:rFonts w:hint="eastAsia" w:ascii="仿宋" w:hAnsi="仿宋" w:eastAsia="仿宋"/>
          <w:sz w:val="32"/>
          <w:szCs w:val="32"/>
          <w:lang w:eastAsia="zh-CN"/>
        </w:rPr>
        <w:t>2023</w:t>
      </w:r>
      <w:r>
        <w:rPr>
          <w:rFonts w:hint="eastAsia" w:ascii="仿宋" w:hAnsi="仿宋" w:eastAsia="仿宋"/>
          <w:sz w:val="32"/>
          <w:szCs w:val="32"/>
        </w:rPr>
        <w:t>年本年支出合计</w:t>
      </w:r>
      <w:r>
        <w:rPr>
          <w:rFonts w:hint="eastAsia" w:ascii="仿宋" w:hAnsi="仿宋" w:eastAsia="仿宋"/>
          <w:sz w:val="32"/>
          <w:szCs w:val="32"/>
          <w:lang w:val="en-US" w:eastAsia="zh-CN"/>
        </w:rPr>
        <w:t>2743.84</w:t>
      </w:r>
      <w:r>
        <w:rPr>
          <w:rFonts w:hint="eastAsia" w:ascii="仿宋" w:hAnsi="仿宋" w:eastAsia="仿宋"/>
          <w:sz w:val="32"/>
          <w:szCs w:val="32"/>
        </w:rPr>
        <w:t>万元，其中：基本支出</w:t>
      </w:r>
      <w:r>
        <w:rPr>
          <w:rFonts w:hint="eastAsia" w:ascii="仿宋" w:hAnsi="仿宋" w:eastAsia="仿宋"/>
          <w:sz w:val="32"/>
          <w:szCs w:val="32"/>
          <w:lang w:val="en-US" w:eastAsia="zh-CN"/>
        </w:rPr>
        <w:t>1224.51</w:t>
      </w:r>
      <w:r>
        <w:rPr>
          <w:rFonts w:hint="eastAsia" w:ascii="仿宋" w:hAnsi="仿宋" w:eastAsia="仿宋"/>
          <w:sz w:val="32"/>
          <w:szCs w:val="32"/>
        </w:rPr>
        <w:t>万元，占</w:t>
      </w:r>
      <w:r>
        <w:rPr>
          <w:rFonts w:hint="eastAsia" w:ascii="仿宋" w:hAnsi="仿宋" w:eastAsia="仿宋"/>
          <w:sz w:val="32"/>
          <w:szCs w:val="32"/>
          <w:lang w:val="en-US" w:eastAsia="zh-CN"/>
        </w:rPr>
        <w:t>44.63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1519.33</w:t>
      </w:r>
      <w:r>
        <w:rPr>
          <w:rFonts w:hint="eastAsia" w:ascii="仿宋" w:hAnsi="仿宋" w:eastAsia="仿宋"/>
          <w:sz w:val="32"/>
          <w:szCs w:val="32"/>
        </w:rPr>
        <w:t>万元，占</w:t>
      </w:r>
      <w:r>
        <w:rPr>
          <w:rFonts w:hint="eastAsia" w:ascii="仿宋" w:hAnsi="仿宋" w:eastAsia="仿宋"/>
          <w:sz w:val="32"/>
          <w:szCs w:val="32"/>
          <w:lang w:val="en-US" w:eastAsia="zh-CN"/>
        </w:rPr>
        <w:t>55.37</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bookmarkStart w:id="56" w:name="_Toc8489_WPSOffice_Level2"/>
      <w:r>
        <w:rPr>
          <w:rFonts w:hint="default" w:eastAsia="黑体" w:cs="Times New Roman"/>
          <w:color w:val="000000"/>
          <w:kern w:val="0"/>
          <w:sz w:val="32"/>
          <w:szCs w:val="32"/>
          <w:highlight w:val="none"/>
          <w:shd w:val="clear" w:color="auto" w:fill="FFFFFF"/>
          <w:lang w:val="zh-CN" w:eastAsia="zh-CN"/>
        </w:rPr>
        <w:t>三、部门预算绩效分析</w:t>
      </w:r>
      <w:bookmarkEnd w:id="56"/>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eastAsia="楷体_GB231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en-US" w:eastAsia="zh-CN"/>
        </w:rPr>
        <w:t>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cs="Times New Roman"/>
          <w:color w:val="000000"/>
          <w:kern w:val="0"/>
          <w:sz w:val="32"/>
          <w:szCs w:val="32"/>
          <w:highlight w:val="yellow"/>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Times New Roman" w:hAnsi="Times New Roman" w:eastAsia="仿宋_GB2312" w:cs="Times New Roman"/>
          <w:sz w:val="32"/>
          <w:szCs w:val="32"/>
          <w:highlight w:val="none"/>
          <w:lang w:val="zh-CN" w:eastAsia="zh-CN"/>
        </w:rPr>
        <w:t>严格贯彻落实相关政策法规，规范清单管理，确保权责明晰、运行顺畅。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sz w:val="32"/>
          <w:szCs w:val="32"/>
          <w:highlight w:val="none"/>
          <w:shd w:val="clear" w:color="auto" w:fill="FFFFFF"/>
          <w:lang w:val="zh-CN"/>
        </w:rPr>
        <w:t>在预算编制过程中，</w:t>
      </w:r>
      <w:r>
        <w:rPr>
          <w:rFonts w:hint="eastAsia" w:ascii="仿宋_GB2312" w:hAnsi="仿宋_GB2312" w:eastAsia="仿宋_GB2312" w:cs="仿宋_GB2312"/>
          <w:b w:val="0"/>
          <w:bCs w:val="0"/>
          <w:color w:val="000000"/>
          <w:sz w:val="32"/>
          <w:szCs w:val="32"/>
          <w:highlight w:val="none"/>
          <w:shd w:val="clear" w:color="auto" w:fill="FFFFFF"/>
          <w:lang w:val="en-US" w:eastAsia="zh-CN"/>
        </w:rPr>
        <w:t>大部分项目</w:t>
      </w:r>
      <w:r>
        <w:rPr>
          <w:rFonts w:hint="eastAsia" w:ascii="仿宋_GB2312" w:hAnsi="仿宋_GB2312" w:eastAsia="仿宋_GB2312" w:cs="仿宋_GB2312"/>
          <w:b w:val="0"/>
          <w:bCs w:val="0"/>
          <w:color w:val="000000"/>
          <w:sz w:val="32"/>
          <w:szCs w:val="32"/>
          <w:highlight w:val="none"/>
          <w:shd w:val="clear" w:color="auto" w:fill="FFFFFF"/>
          <w:lang w:val="zh-CN"/>
        </w:rPr>
        <w:t>‌充分考虑了实际需求和资源约束，‌制定了合理的预算计划。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预算编制与分配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‌预算编制的科学性与合理性‌：分析预算编制过程是否充分考虑了部门的实际需求、历史数据以及未来发展趋势，预算项目是否明确、具体，预算金额是否合理。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‌预算分配的公平性与透明度‌：评估预算资源在部门内部各项目和活动之间的分配是否公平合理，是否遵循了既定的分配原则和标准，分配过程是否公开透明。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预算执行与监控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‌预算执行率‌：考察部门预算的实际执行进度与计划进度的对比情况，分析预算执行率的高低及其原因。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‌预算调整与灵活性‌：分析预算调整的程序是否规范、调整的原因是否合理，以及预算在执行过程中是否具有足够的灵活性以应对突发情况。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‌预算执行监控‌：评估部门是否建立了有效的预算执行监控机制，包括定期报告、内部审计、绩效跟踪等措施，以确保预算目标的实现。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资金使用效率与效益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‌成本效益分析‌：对部门预算项目的投入与产出进行成本效益分析，评估项目的经济效益和社会效益是否达到预期目标。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‌资金节约与浪费‌：分析部门在资金使用过程中是否存在节约措施和成效，以及是否存在资金浪费和不合理支出的情况。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‌资金周转率‌：考察部门资金的周转速度和使用效率，分析是否存在资金闲置或过度占用的情况。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eastAsia" w:ascii="楷体_GB2312" w:hAnsi="楷体_GB2312" w:eastAsia="楷体_GB2312" w:cs="楷体_GB2312"/>
          <w:color w:val="000000"/>
          <w:kern w:val="0"/>
          <w:sz w:val="32"/>
          <w:szCs w:val="32"/>
          <w:highlight w:val="none"/>
          <w:shd w:val="clear" w:color="auto" w:fill="FFFFFF"/>
          <w:lang w:val="zh-CN"/>
        </w:rPr>
        <w:t>财务管理水平与内部控制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‌财务管理制度建设‌：评估部门是否建立了完善的财务管理制度，包括预算管理制度、会计核算制度、内部控制制度等。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‌内部控制有效性‌：分析部门内部控制制度的执行情况，包括不相容职务分离、授权审批、财产保护、会计系统控制等措施是否得到有效实施。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‌财务风险防范‌：评估部门在财务管理过程中是否充分考虑了财务风险因素，并采取了相应的防范措施来降低财务风险。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资产管理。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资产配置‌：分析部门资产的配置是否合理，是否能够满足工作需要，避免资产闲置和浪费。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‌资产使用效率‌：评估资产的使用频率、利用率和效益，确保资产得到充分利用并发挥最大价值。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‌资产管理流程‌：考察资产管理的各个环节是否顺畅、高效，是否存在漏洞和缺陷，提出改进建议。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eastAsia" w:ascii="楷体_GB2312" w:hAnsi="楷体_GB2312" w:eastAsia="楷体_GB2312" w:cs="楷体_GB2312"/>
          <w:color w:val="000000"/>
          <w:kern w:val="0"/>
          <w:sz w:val="32"/>
          <w:szCs w:val="32"/>
          <w:highlight w:val="none"/>
          <w:shd w:val="clear" w:color="auto" w:fill="FFFFFF"/>
          <w:lang w:val="zh-CN"/>
        </w:rPr>
        <w:t>采购管理。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成本控制‌：采购成本是部门预算的重要组成部分。通过优化采购流程、谈判降低价格、集中采购等方式，采购管理部门可以有效地控制采购成本，减轻部门预算压力，提高资金使用效率。</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‌质量与效率‌：高质量的采购物资或服务能够确保部门工作的顺利进行，提高工作效率。同时，高效的采购流程能够缩短采购周期，减少等待时间，提升部门整体响应速度。</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‌合规性‌：遵守相关法律法规和内部规章制度是采购管理的基本要求。合规的采购活动能够避免法律风险，维护部门声誉，为部门预算绩效提供有力保障。</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yellow"/>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‌资源配置‌：采购管理还涉及资源的优化配置。通过对不同采购项目的优先级排序和资源配置，采购管理部门可以确保关键项目得到足够的支持，提高部门整体绩效水平。</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仿宋_GB2312" w:hAnsi="仿宋_GB2312" w:eastAsia="仿宋_GB2312" w:cs="仿宋_GB2312"/>
          <w:b w:val="0"/>
          <w:bCs w:val="0"/>
          <w:color w:val="000000"/>
          <w:kern w:val="0"/>
          <w:sz w:val="32"/>
          <w:szCs w:val="32"/>
          <w:highlight w:val="none"/>
          <w:shd w:val="clear" w:color="auto" w:fill="FFFFFF"/>
          <w:lang w:val="zh-CN"/>
        </w:rPr>
        <w:t>我镇精心编制预算，‌将资金安排到关系民生、‌提高人民幸福获得感、‌保障社会稳定、‌促进辖区经济发展、‌保障机构正常运转等方面，‌并设定了明确的绩效目标，‌如满足广大人民群众的基本文化需求、‌保障人民群众的生命安全和身体健康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b w:val="0"/>
          <w:bCs w:val="0"/>
          <w:color w:val="000000"/>
          <w:kern w:val="0"/>
          <w:sz w:val="32"/>
          <w:szCs w:val="32"/>
          <w:highlight w:val="none"/>
          <w:shd w:val="clear" w:color="auto" w:fill="FFFFFF"/>
          <w:lang w:val="zh-CN"/>
        </w:rPr>
        <w:t>我镇在预算执行过程中，‌严格控制支出，‌并根据实际情况进行预算的动态调整。‌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我镇关注预算的执行进度，‌确保预算按时完成，‌并注重预算完成情况的评估。‌</w:t>
      </w:r>
    </w:p>
    <w:p>
      <w:pPr>
        <w:pageBreakBefore w:val="0"/>
        <w:numPr>
          <w:ilvl w:val="0"/>
          <w:numId w:val="0"/>
        </w:numPr>
        <w:kinsoku/>
        <w:wordWrap/>
        <w:overflowPunct/>
        <w:topLinePunct w:val="0"/>
        <w:autoSpaceDE/>
        <w:autoSpaceDN/>
        <w:bidi w:val="0"/>
        <w:adjustRightInd/>
        <w:snapToGrid/>
        <w:spacing w:line="578" w:lineRule="exact"/>
        <w:ind w:left="640" w:leftChars="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2023年</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圆满完成区委区府交办的任务</w:t>
      </w:r>
      <w:r>
        <w:rPr>
          <w:rFonts w:hint="eastAsia" w:ascii="仿宋_GB2312" w:hAnsi="仿宋_GB2312" w:eastAsia="仿宋_GB2312" w:cs="仿宋_GB2312"/>
          <w:b w:val="0"/>
          <w:bCs w:val="0"/>
          <w:color w:val="000000"/>
          <w:kern w:val="0"/>
          <w:sz w:val="32"/>
          <w:szCs w:val="32"/>
          <w:highlight w:val="none"/>
          <w:shd w:val="clear" w:color="auto" w:fill="FFFFFF"/>
          <w:lang w:val="zh-CN"/>
        </w:rPr>
        <w:t>，各项工作都取得了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优秀成绩</w:t>
      </w:r>
      <w:r>
        <w:rPr>
          <w:rFonts w:hint="eastAsia" w:ascii="仿宋_GB2312" w:hAnsi="仿宋_GB2312" w:eastAsia="仿宋_GB2312" w:cs="仿宋_GB2312"/>
          <w:b w:val="0"/>
          <w:bCs w:val="0"/>
          <w:color w:val="000000"/>
          <w:kern w:val="0"/>
          <w:sz w:val="32"/>
          <w:szCs w:val="32"/>
          <w:highlight w:val="none"/>
          <w:shd w:val="clear" w:color="auto" w:fill="FFFFFF"/>
          <w:lang w:val="zh-CN"/>
        </w:rPr>
        <w:t>。‌总体来看，‌绩效目标实现情况良好，‌但</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在资金监督和项目预算方面</w:t>
      </w:r>
      <w:r>
        <w:rPr>
          <w:rFonts w:hint="eastAsia" w:ascii="仿宋_GB2312" w:hAnsi="仿宋_GB2312" w:eastAsia="仿宋_GB2312" w:cs="仿宋_GB2312"/>
          <w:b w:val="0"/>
          <w:bCs w:val="0"/>
          <w:color w:val="000000"/>
          <w:kern w:val="0"/>
          <w:sz w:val="32"/>
          <w:szCs w:val="32"/>
          <w:highlight w:val="none"/>
          <w:shd w:val="clear" w:color="auto" w:fill="FFFFFF"/>
          <w:lang w:val="zh-CN"/>
        </w:rPr>
        <w:t>需要进一步改进。</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yellow"/>
          <w:shd w:val="clear" w:color="auto" w:fill="FFFFFF"/>
          <w:lang w:val="zh-CN" w:eastAsia="zh-CN"/>
        </w:rPr>
      </w:pPr>
      <w:r>
        <w:rPr>
          <w:rFonts w:hint="default" w:ascii="Times New Roman" w:hAnsi="Times New Roman" w:eastAsia="楷体_GB2312" w:cs="Times New Roman"/>
          <w:b/>
          <w:bCs/>
          <w:color w:val="000000"/>
          <w:kern w:val="0"/>
          <w:sz w:val="32"/>
          <w:szCs w:val="32"/>
          <w:highlight w:val="yellow"/>
          <w:shd w:val="clear" w:color="auto" w:fill="FFFFFF"/>
          <w:lang w:val="zh-CN" w:eastAsia="zh-CN"/>
        </w:rPr>
        <w:t>（</w:t>
      </w:r>
      <w:r>
        <w:rPr>
          <w:rFonts w:hint="eastAsia" w:eastAsia="楷体_GB2312" w:cs="Times New Roman"/>
          <w:b/>
          <w:bCs/>
          <w:color w:val="000000"/>
          <w:kern w:val="0"/>
          <w:sz w:val="32"/>
          <w:szCs w:val="32"/>
          <w:highlight w:val="yellow"/>
          <w:shd w:val="clear" w:color="auto" w:fill="FFFFFF"/>
          <w:lang w:val="en-US" w:eastAsia="zh-CN"/>
        </w:rPr>
        <w:t>三</w:t>
      </w:r>
      <w:r>
        <w:rPr>
          <w:rFonts w:hint="default" w:ascii="Times New Roman" w:hAnsi="Times New Roman" w:eastAsia="楷体_GB2312" w:cs="Times New Roman"/>
          <w:b/>
          <w:bCs/>
          <w:color w:val="000000"/>
          <w:kern w:val="0"/>
          <w:sz w:val="32"/>
          <w:szCs w:val="32"/>
          <w:highlight w:val="yellow"/>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yellow"/>
          <w:shd w:val="clear" w:color="auto" w:fill="FFFFFF"/>
          <w:lang w:val="zh-CN" w:eastAsia="zh-CN"/>
        </w:rPr>
        <w:t>。</w:t>
      </w:r>
    </w:p>
    <w:p>
      <w:pPr>
        <w:widowControl w:val="0"/>
        <w:overflowPunct w:val="0"/>
        <w:autoSpaceDE/>
        <w:autoSpaceDN/>
        <w:snapToGrid w:val="0"/>
        <w:spacing w:line="600" w:lineRule="atLeast"/>
        <w:ind w:firstLine="640" w:firstLineChars="200"/>
        <w:contextualSpacing/>
        <w:jc w:val="both"/>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评价结果整改：‌‌对评价结果进行深入分析，‌明确存在的问题、‌原因及其影响。‌‌按照</w:t>
      </w:r>
      <w:r>
        <w:rPr>
          <w:rFonts w:hint="eastAsia" w:ascii="仿宋_GB2312" w:hAnsi="仿宋_GB2312" w:eastAsia="仿宋_GB2312" w:cs="仿宋_GB2312"/>
          <w:color w:val="000000"/>
          <w:sz w:val="32"/>
          <w:szCs w:val="32"/>
          <w:shd w:val="clear" w:color="auto" w:fill="FFFFFF"/>
          <w:lang w:val="en-US" w:eastAsia="zh-CN"/>
        </w:rPr>
        <w:t>扣分原因积极制定措施</w:t>
      </w:r>
      <w:r>
        <w:rPr>
          <w:rFonts w:hint="eastAsia" w:ascii="仿宋_GB2312" w:hAnsi="仿宋_GB2312" w:eastAsia="仿宋_GB2312" w:cs="仿宋_GB2312"/>
          <w:color w:val="000000"/>
          <w:sz w:val="32"/>
          <w:szCs w:val="32"/>
          <w:shd w:val="clear" w:color="auto" w:fill="FFFFFF"/>
          <w:lang w:val="zh-CN" w:eastAsia="zh-CN"/>
        </w:rPr>
        <w:t>进行整改，‌确保问题得到有效解决。‌‌对整改过程进行跟踪检查，‌确保整改措施得到落实，‌问题得到彻底解决。</w:t>
      </w:r>
    </w:p>
    <w:p>
      <w:pPr>
        <w:widowControl w:val="0"/>
        <w:overflowPunct w:val="0"/>
        <w:autoSpaceDE/>
        <w:autoSpaceDN/>
        <w:snapToGrid w:val="0"/>
        <w:spacing w:line="600" w:lineRule="atLeast"/>
        <w:ind w:firstLine="640" w:firstLineChars="200"/>
        <w:contextualSpacing/>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shd w:val="clear" w:color="auto" w:fill="FFFFFF"/>
          <w:lang w:val="zh-CN" w:eastAsia="zh-CN"/>
        </w:rPr>
        <w:t>应用结果反馈：‌将项目的实情、‌存在的问题、‌整改措施</w:t>
      </w:r>
      <w:r>
        <w:rPr>
          <w:rFonts w:hint="eastAsia" w:ascii="仿宋_GB2312" w:hAnsi="仿宋_GB2312" w:eastAsia="仿宋_GB2312" w:cs="仿宋_GB2312"/>
          <w:color w:val="000000"/>
          <w:sz w:val="32"/>
          <w:szCs w:val="32"/>
          <w:shd w:val="clear" w:color="auto" w:fill="FFFFFF"/>
          <w:lang w:val="en-US" w:eastAsia="zh-CN"/>
        </w:rPr>
        <w:t>以纸质和电子档的形式分别</w:t>
      </w:r>
      <w:r>
        <w:rPr>
          <w:rFonts w:hint="eastAsia" w:ascii="仿宋_GB2312" w:hAnsi="仿宋_GB2312" w:eastAsia="仿宋_GB2312" w:cs="仿宋_GB2312"/>
          <w:color w:val="000000"/>
          <w:sz w:val="32"/>
          <w:szCs w:val="32"/>
          <w:shd w:val="clear" w:color="auto" w:fill="FFFFFF"/>
          <w:lang w:val="zh-CN" w:eastAsia="zh-CN"/>
        </w:rPr>
        <w:t>反馈给被评价</w:t>
      </w:r>
      <w:r>
        <w:rPr>
          <w:rFonts w:hint="eastAsia" w:ascii="仿宋_GB2312" w:hAnsi="仿宋_GB2312" w:eastAsia="仿宋_GB2312" w:cs="仿宋_GB2312"/>
          <w:color w:val="000000"/>
          <w:sz w:val="32"/>
          <w:szCs w:val="32"/>
          <w:shd w:val="clear" w:color="auto" w:fill="FFFFFF"/>
          <w:lang w:val="en-US" w:eastAsia="zh-CN"/>
        </w:rPr>
        <w:t>项目</w:t>
      </w:r>
      <w:r>
        <w:rPr>
          <w:rFonts w:hint="eastAsia" w:ascii="仿宋_GB2312" w:hAnsi="仿宋_GB2312" w:eastAsia="仿宋_GB2312" w:cs="仿宋_GB2312"/>
          <w:color w:val="000000"/>
          <w:sz w:val="32"/>
          <w:szCs w:val="32"/>
          <w:shd w:val="clear" w:color="auto" w:fill="FFFFFF"/>
          <w:lang w:val="zh-CN" w:eastAsia="zh-CN"/>
        </w:rPr>
        <w:t>相关人员。‌同时，‌还提出改进建议和未来工作方向。反馈后，</w:t>
      </w:r>
      <w:r>
        <w:rPr>
          <w:rFonts w:hint="eastAsia" w:ascii="仿宋_GB2312" w:hAnsi="仿宋_GB2312" w:eastAsia="仿宋_GB2312" w:cs="仿宋_GB2312"/>
          <w:color w:val="000000"/>
          <w:sz w:val="32"/>
          <w:szCs w:val="32"/>
          <w:shd w:val="clear" w:color="auto" w:fill="FFFFFF"/>
          <w:lang w:val="en-US" w:eastAsia="zh-CN"/>
        </w:rPr>
        <w:t>持续</w:t>
      </w:r>
      <w:r>
        <w:rPr>
          <w:rFonts w:hint="eastAsia" w:ascii="仿宋_GB2312" w:hAnsi="仿宋_GB2312" w:eastAsia="仿宋_GB2312" w:cs="仿宋_GB2312"/>
          <w:color w:val="000000"/>
          <w:sz w:val="32"/>
          <w:szCs w:val="32"/>
          <w:shd w:val="clear" w:color="auto" w:fill="FFFFFF"/>
          <w:lang w:val="zh-CN" w:eastAsia="zh-CN"/>
        </w:rPr>
        <w:t>跟进</w:t>
      </w:r>
      <w:r>
        <w:rPr>
          <w:rFonts w:hint="eastAsia" w:ascii="仿宋_GB2312" w:hAnsi="仿宋_GB2312" w:eastAsia="仿宋_GB2312" w:cs="仿宋_GB2312"/>
          <w:color w:val="000000"/>
          <w:sz w:val="32"/>
          <w:szCs w:val="32"/>
          <w:shd w:val="clear" w:color="auto" w:fill="FFFFFF"/>
          <w:lang w:val="en-US" w:eastAsia="zh-CN"/>
        </w:rPr>
        <w:t>后续</w:t>
      </w:r>
      <w:r>
        <w:rPr>
          <w:rFonts w:hint="eastAsia" w:ascii="仿宋_GB2312" w:hAnsi="仿宋_GB2312" w:eastAsia="仿宋_GB2312" w:cs="仿宋_GB2312"/>
          <w:color w:val="000000"/>
          <w:sz w:val="32"/>
          <w:szCs w:val="32"/>
          <w:shd w:val="clear" w:color="auto" w:fill="FFFFFF"/>
          <w:lang w:val="zh-CN" w:eastAsia="zh-CN"/>
        </w:rPr>
        <w:t>工作，‌了解被评价</w:t>
      </w:r>
      <w:r>
        <w:rPr>
          <w:rFonts w:hint="eastAsia" w:ascii="仿宋_GB2312" w:hAnsi="仿宋_GB2312" w:eastAsia="仿宋_GB2312" w:cs="仿宋_GB2312"/>
          <w:color w:val="000000"/>
          <w:sz w:val="32"/>
          <w:szCs w:val="32"/>
          <w:shd w:val="clear" w:color="auto" w:fill="FFFFFF"/>
          <w:lang w:val="en-US" w:eastAsia="zh-CN"/>
        </w:rPr>
        <w:t>项目</w:t>
      </w:r>
      <w:r>
        <w:rPr>
          <w:rFonts w:hint="eastAsia" w:ascii="仿宋_GB2312" w:hAnsi="仿宋_GB2312" w:eastAsia="仿宋_GB2312" w:cs="仿宋_GB2312"/>
          <w:color w:val="000000"/>
          <w:sz w:val="32"/>
          <w:szCs w:val="32"/>
          <w:shd w:val="clear" w:color="auto" w:fill="FFFFFF"/>
          <w:lang w:val="zh-CN" w:eastAsia="zh-CN"/>
        </w:rPr>
        <w:t>对反馈内容的落实情况，‌以便及时发现问题并进行指导。‌</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bookmarkStart w:id="57" w:name="_Toc22486_WPSOffice_Level2"/>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bookmarkEnd w:id="57"/>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年，仁里镇在区委、区政府的领导下，在区财政局等相关部门的指导下，我单位预算执行情况较好，各项工作总体呈现出稳中有升、高位求进的良好发展态势，圆满完成了各项目标任务，为仁里镇社会稳定、经济持续发展做出了突出贡献。</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本年度单位整体支出预算水平与产出基本匹配，经费用于单位正常运转开支以及保障职工基本福利待遇，合理安排资金支出进度，提高了资金使用效率；做到民主决策、民主管理、民主监督，确保项目支出保质保量完成。</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23</w:t>
      </w:r>
      <w:r>
        <w:rPr>
          <w:rFonts w:hint="eastAsia" w:ascii="仿宋_GB2312" w:hAnsi="仿宋_GB2312" w:eastAsia="仿宋_GB2312" w:cs="仿宋_GB2312"/>
          <w:b w:val="0"/>
          <w:bCs w:val="0"/>
          <w:color w:val="000000"/>
          <w:kern w:val="0"/>
          <w:sz w:val="32"/>
          <w:szCs w:val="32"/>
          <w:highlight w:val="none"/>
          <w:shd w:val="clear" w:color="auto" w:fill="FFFFFF"/>
          <w:lang w:val="zh-CN"/>
        </w:rPr>
        <w:t>个</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项目</w:t>
      </w:r>
      <w:r>
        <w:rPr>
          <w:rFonts w:hint="eastAsia" w:ascii="仿宋_GB2312" w:hAnsi="仿宋_GB2312" w:eastAsia="仿宋_GB2312" w:cs="仿宋_GB2312"/>
          <w:b w:val="0"/>
          <w:bCs w:val="0"/>
          <w:color w:val="000000"/>
          <w:kern w:val="0"/>
          <w:sz w:val="32"/>
          <w:szCs w:val="32"/>
          <w:highlight w:val="none"/>
          <w:shd w:val="clear" w:color="auto" w:fill="FFFFFF"/>
          <w:lang w:val="zh-CN"/>
        </w:rPr>
        <w:t>均在预算金额内完成，</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预算执行率达</w:t>
      </w:r>
      <w:r>
        <w:rPr>
          <w:rFonts w:hint="eastAsia" w:ascii="仿宋_GB2312" w:hAnsi="仿宋_GB2312" w:eastAsia="仿宋_GB2312" w:cs="仿宋_GB2312"/>
          <w:b w:val="0"/>
          <w:bCs w:val="0"/>
          <w:color w:val="000000"/>
          <w:kern w:val="0"/>
          <w:sz w:val="32"/>
          <w:szCs w:val="32"/>
          <w:highlight w:val="none"/>
          <w:shd w:val="clear" w:color="auto" w:fill="FFFFFF"/>
          <w:lang w:val="zh-CN"/>
        </w:rPr>
        <w:t>100%，且各项目均在本年度完成，保障各项目顺利发展，服务对象满意度达到9</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8</w:t>
      </w:r>
      <w:r>
        <w:rPr>
          <w:rFonts w:hint="eastAsia" w:ascii="仿宋_GB2312" w:hAnsi="仿宋_GB2312" w:eastAsia="仿宋_GB2312" w:cs="仿宋_GB2312"/>
          <w:b w:val="0"/>
          <w:bCs w:val="0"/>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zh-CN"/>
        </w:rPr>
        <w:t>根据对我</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街镇</w:t>
      </w:r>
      <w:r>
        <w:rPr>
          <w:rFonts w:hint="eastAsia" w:ascii="仿宋_GB2312" w:hAnsi="仿宋_GB2312" w:eastAsia="仿宋_GB2312" w:cs="仿宋_GB2312"/>
          <w:b w:val="0"/>
          <w:bCs w:val="0"/>
          <w:color w:val="000000"/>
          <w:kern w:val="0"/>
          <w:sz w:val="32"/>
          <w:szCs w:val="32"/>
          <w:highlight w:val="none"/>
          <w:shd w:val="clear" w:color="auto" w:fill="FFFFFF"/>
          <w:lang w:val="zh-CN"/>
        </w:rPr>
        <w:t>202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年部门整体支出项目绩效评价指标体系和绩效情况的检查，202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3</w:t>
      </w:r>
      <w:r>
        <w:rPr>
          <w:rFonts w:hint="eastAsia" w:ascii="仿宋_GB2312" w:hAnsi="仿宋_GB2312" w:eastAsia="仿宋_GB2312" w:cs="仿宋_GB2312"/>
          <w:b w:val="0"/>
          <w:bCs w:val="0"/>
          <w:color w:val="000000"/>
          <w:kern w:val="0"/>
          <w:sz w:val="32"/>
          <w:szCs w:val="32"/>
          <w:highlight w:val="none"/>
          <w:shd w:val="clear" w:color="auto" w:fill="FFFFFF"/>
          <w:lang w:val="zh-CN"/>
        </w:rPr>
        <w:t>年我</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镇</w:t>
      </w:r>
      <w:r>
        <w:rPr>
          <w:rFonts w:hint="eastAsia" w:ascii="仿宋_GB2312" w:hAnsi="仿宋_GB2312" w:eastAsia="仿宋_GB2312" w:cs="仿宋_GB2312"/>
          <w:b w:val="0"/>
          <w:bCs w:val="0"/>
          <w:color w:val="000000"/>
          <w:kern w:val="0"/>
          <w:sz w:val="32"/>
          <w:szCs w:val="32"/>
          <w:highlight w:val="none"/>
          <w:shd w:val="clear" w:color="auto" w:fill="FFFFFF"/>
          <w:lang w:val="zh-CN"/>
        </w:rPr>
        <w:t>部门整体支出绩效自评分8</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6</w:t>
      </w:r>
      <w:r>
        <w:rPr>
          <w:rFonts w:hint="eastAsia" w:ascii="仿宋_GB2312" w:hAnsi="仿宋_GB2312" w:eastAsia="仿宋_GB2312" w:cs="仿宋_GB2312"/>
          <w:b w:val="0"/>
          <w:bCs w:val="0"/>
          <w:color w:val="000000"/>
          <w:kern w:val="0"/>
          <w:sz w:val="32"/>
          <w:szCs w:val="32"/>
          <w:highlight w:val="none"/>
          <w:shd w:val="clear" w:color="auto" w:fill="FFFFFF"/>
          <w:lang w:val="zh-CN"/>
        </w:rPr>
        <w:t>分。</w:t>
      </w:r>
    </w:p>
    <w:p>
      <w:pPr>
        <w:widowControl w:val="0"/>
        <w:numPr>
          <w:ilvl w:val="0"/>
          <w:numId w:val="6"/>
        </w:numPr>
        <w:overflowPunct w:val="0"/>
        <w:autoSpaceDE/>
        <w:autoSpaceDN/>
        <w:snapToGrid w:val="0"/>
        <w:spacing w:line="540" w:lineRule="atLeast"/>
        <w:ind w:firstLine="643" w:firstLineChars="200"/>
        <w:contextualSpacing/>
        <w:jc w:val="both"/>
        <w:rPr>
          <w:rFonts w:hint="default" w:ascii="Times New Roman" w:hAnsi="Times New Roman" w:eastAsia="楷体_GB2312" w:cs="Times New Roman"/>
          <w:b/>
          <w:bCs/>
          <w:color w:val="000000"/>
          <w:kern w:val="0"/>
          <w:sz w:val="32"/>
          <w:szCs w:val="32"/>
          <w:highlight w:val="yellow"/>
          <w:shd w:val="clear" w:color="auto" w:fill="FFFFFF"/>
          <w:lang w:val="zh-CN"/>
        </w:rPr>
      </w:pPr>
      <w:r>
        <w:rPr>
          <w:rFonts w:hint="default" w:ascii="Times New Roman" w:hAnsi="Times New Roman" w:eastAsia="楷体_GB2312" w:cs="Times New Roman"/>
          <w:b/>
          <w:bCs/>
          <w:color w:val="000000"/>
          <w:kern w:val="0"/>
          <w:sz w:val="32"/>
          <w:szCs w:val="32"/>
          <w:highlight w:val="yellow"/>
          <w:shd w:val="clear" w:color="auto" w:fill="FFFFFF"/>
          <w:lang w:val="zh-CN"/>
        </w:rPr>
        <w:t>存在问题。</w:t>
      </w:r>
    </w:p>
    <w:p>
      <w:pPr>
        <w:widowControl w:val="0"/>
        <w:numPr>
          <w:ilvl w:val="0"/>
          <w:numId w:val="0"/>
        </w:numPr>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1.‌绩效管理不到位‌：‌预算单位绩效目标填报内容不规范、‌不完整。</w:t>
      </w:r>
    </w:p>
    <w:p>
      <w:pPr>
        <w:widowControl w:val="0"/>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2.‌绩效管理体制、‌机制不健全‌：‌缺乏绩效评价协调机制，‌绩效激励约束机制尚未建立。</w:t>
      </w:r>
    </w:p>
    <w:p>
      <w:pPr>
        <w:widowControl w:val="0"/>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3.‌目标设定不够合理‌：‌绩效目标与产出的数量指标、‌质量指标缺乏对应性，‌部分项目效果指标无法衡量。</w:t>
      </w:r>
    </w:p>
    <w:p>
      <w:pPr>
        <w:pStyle w:val="8"/>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yellow"/>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1.促进业务科室与财务科室的紧密合作，‌确保绩效评价工作能够充分融合业务需求和财务实际，‌避免业务工作与财务评价的脱节。‌</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2.完善绩效管理体系，‌建立健全绩效管理机制。</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sectPr>
          <w:headerReference r:id="rId3" w:type="default"/>
          <w:footerReference r:id="rId4" w:type="default"/>
          <w:pgSz w:w="11906" w:h="16838"/>
          <w:pgMar w:top="1800" w:right="1440" w:bottom="1800" w:left="1440" w:header="851" w:footer="992" w:gutter="0"/>
          <w:pgNumType w:fmt="decimal"/>
          <w:cols w:space="425" w:num="1"/>
          <w:titlePg/>
          <w:docGrid w:type="lines" w:linePitch="312" w:charSpace="0"/>
        </w:sect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3.‌‌科学设定绩效目标，‌确保目标可衡量、‌可实现。既符合单位的长期发展战略，‌又能够反映短期内的实际工作需要</w:t>
      </w:r>
    </w:p>
    <w:p>
      <w:pPr>
        <w:widowControl/>
        <w:jc w:val="center"/>
        <w:textAlignment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lang w:bidi="ar"/>
        </w:rPr>
        <w:t>202</w:t>
      </w:r>
      <w:r>
        <w:rPr>
          <w:rFonts w:hint="eastAsia" w:ascii="Times New Roman" w:hAnsi="Times New Roman" w:eastAsia="方正小标宋简体" w:cs="Times New Roman"/>
          <w:b w:val="0"/>
          <w:bCs w:val="0"/>
          <w:color w:val="000000"/>
          <w:sz w:val="44"/>
          <w:szCs w:val="44"/>
          <w:lang w:val="en-US" w:eastAsia="zh-CN" w:bidi="ar"/>
        </w:rPr>
        <w:t>3</w:t>
      </w:r>
      <w:r>
        <w:rPr>
          <w:rFonts w:hint="default" w:ascii="Times New Roman" w:hAnsi="Times New Roman" w:eastAsia="方正小标宋简体" w:cs="Times New Roman"/>
          <w:b w:val="0"/>
          <w:bCs w:val="0"/>
          <w:color w:val="000000"/>
          <w:sz w:val="44"/>
          <w:szCs w:val="44"/>
          <w:lang w:bidi="ar"/>
        </w:rPr>
        <w:t>年部门整体支出绩效评价指标体系</w:t>
      </w:r>
    </w:p>
    <w:tbl>
      <w:tblPr>
        <w:tblStyle w:val="16"/>
        <w:tblW w:w="14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81"/>
        <w:gridCol w:w="720"/>
        <w:gridCol w:w="485"/>
        <w:gridCol w:w="706"/>
        <w:gridCol w:w="706"/>
        <w:gridCol w:w="1302"/>
        <w:gridCol w:w="3773"/>
        <w:gridCol w:w="2531"/>
        <w:gridCol w:w="119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942" w:type="dxa"/>
            <w:gridSpan w:val="3"/>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绩效指标</w:t>
            </w:r>
          </w:p>
        </w:tc>
        <w:tc>
          <w:tcPr>
            <w:tcW w:w="489"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指标分值</w:t>
            </w:r>
          </w:p>
        </w:tc>
        <w:tc>
          <w:tcPr>
            <w:tcW w:w="468" w:type="dxa"/>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目标指</w:t>
            </w:r>
          </w:p>
        </w:tc>
        <w:tc>
          <w:tcPr>
            <w:tcW w:w="468" w:type="dxa"/>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完成值</w:t>
            </w:r>
          </w:p>
        </w:tc>
        <w:tc>
          <w:tcPr>
            <w:tcW w:w="1349"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lang w:bidi="ar"/>
              </w:rPr>
              <w:t>指标解释</w:t>
            </w:r>
          </w:p>
        </w:tc>
        <w:tc>
          <w:tcPr>
            <w:tcW w:w="3967"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计分标准</w:t>
            </w:r>
          </w:p>
        </w:tc>
        <w:tc>
          <w:tcPr>
            <w:tcW w:w="2622"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color w:val="auto"/>
                <w:sz w:val="21"/>
                <w:szCs w:val="21"/>
                <w:lang w:bidi="ar"/>
              </w:rPr>
            </w:pPr>
            <w:r>
              <w:rPr>
                <w:rFonts w:hint="default" w:ascii="Times New Roman" w:hAnsi="Times New Roman" w:eastAsia="黑体" w:cs="Times New Roman"/>
                <w:color w:val="auto"/>
                <w:sz w:val="21"/>
                <w:szCs w:val="21"/>
                <w:lang w:bidi="ar"/>
              </w:rPr>
              <w:t>依据资料</w:t>
            </w:r>
          </w:p>
        </w:tc>
        <w:tc>
          <w:tcPr>
            <w:tcW w:w="1229"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评价过程（只写扣分项的原因）</w:t>
            </w:r>
          </w:p>
        </w:tc>
        <w:tc>
          <w:tcPr>
            <w:tcW w:w="688" w:type="dxa"/>
            <w:vMerge w:val="restart"/>
            <w:shd w:val="clear" w:color="auto" w:fill="FFFFFF"/>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088"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一级指标</w:t>
            </w:r>
          </w:p>
        </w:tc>
        <w:tc>
          <w:tcPr>
            <w:tcW w:w="1113"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二级指标</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eastAsia="黑体" w:cs="Times New Roman"/>
                <w:b w:val="0"/>
                <w:bCs w:val="0"/>
                <w:color w:val="auto"/>
                <w:sz w:val="21"/>
                <w:szCs w:val="21"/>
                <w:lang w:bidi="ar"/>
              </w:rPr>
            </w:pPr>
            <w:r>
              <w:rPr>
                <w:rFonts w:hint="default" w:ascii="Times New Roman" w:hAnsi="Times New Roman" w:eastAsia="黑体" w:cs="Times New Roman"/>
                <w:b w:val="0"/>
                <w:bCs w:val="0"/>
                <w:color w:val="auto"/>
                <w:sz w:val="21"/>
                <w:szCs w:val="21"/>
                <w:lang w:bidi="ar"/>
              </w:rPr>
              <w:t>三级指标</w:t>
            </w:r>
          </w:p>
        </w:tc>
        <w:tc>
          <w:tcPr>
            <w:tcW w:w="489"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468" w:type="dxa"/>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468" w:type="dxa"/>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1349"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3967"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2622" w:type="dxa"/>
            <w:vMerge w:val="continue"/>
            <w:shd w:val="clear" w:color="auto" w:fill="FFFFFF"/>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229"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c>
          <w:tcPr>
            <w:tcW w:w="688" w:type="dxa"/>
            <w:vMerge w:val="continue"/>
            <w:shd w:val="clear" w:color="auto" w:fill="FFFFFF"/>
            <w:noWrap w:val="0"/>
            <w:vAlign w:val="center"/>
          </w:tcPr>
          <w:p>
            <w:pPr>
              <w:snapToGrid w:val="0"/>
              <w:spacing w:line="240" w:lineRule="atLeast"/>
              <w:jc w:val="center"/>
              <w:rPr>
                <w:rFonts w:hint="default" w:ascii="Times New Roman" w:hAnsi="Times New Roman" w:cs="Times New Roman"/>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088"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部门预算管理</w:t>
            </w:r>
          </w:p>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（80分）</w:t>
            </w:r>
          </w:p>
        </w:tc>
        <w:tc>
          <w:tcPr>
            <w:tcW w:w="1113"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预算编制（30分）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目标制定</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填写完整</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填写完整</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评价部门绩效目标是否要素完整、细化量化。</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 xml:space="preserve">1.绩效目标编制要素完整的，得5分，否则酌情扣分。                                                       2.绩效指标细化量化的，得5分，否则酌情扣分。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要素指目标的完成指标及效益指标、满意度指标是否填写完整，根据年初制定目标财政局的要求。指标细化量化指该定量表达的是否表达。</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88"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目标完成</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全部完成</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全部完成</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评价部门绩效目标实际实现程度与预期目标的偏离度。</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以项目完成数量指标为核心，评价项目实际完成情况是否达到预期绩效目标，指标得分=达到预期绩效目标的部门项目个数/纳入绩效目标管理的部门预算项目个数*10</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项目绩效目标申报表（数量指标）</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088"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编制准确</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不调剂</w:t>
            </w:r>
          </w:p>
        </w:tc>
        <w:tc>
          <w:tcPr>
            <w:tcW w:w="468" w:type="dxa"/>
            <w:shd w:val="clear" w:color="auto" w:fill="auto"/>
            <w:noWrap w:val="0"/>
            <w:vAlign w:val="center"/>
          </w:tcPr>
          <w:p>
            <w:pPr>
              <w:snapToGrid w:val="0"/>
              <w:spacing w:line="240" w:lineRule="atLeast"/>
              <w:jc w:val="both"/>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调剂一次</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评价部门年初预算编制是否科学准确。</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指标得分=（1-（10×部门全年预算调剂金额/年初部门预算数））*10。其中：若部门全年预算调剂金额/年初部门预算数&gt;0.1，此项得0分。</w:t>
            </w:r>
          </w:p>
        </w:tc>
        <w:tc>
          <w:tcPr>
            <w:tcW w:w="2622" w:type="dxa"/>
            <w:shd w:val="clear" w:color="auto" w:fill="FFFFFF"/>
            <w:noWrap w:val="0"/>
            <w:vAlign w:val="center"/>
          </w:tcPr>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预算调剂金额：大平台中预算下达指标明细对账单—业务类型中“专项调剂”和“非专项调剂”绝对值合计数</w:t>
            </w:r>
          </w:p>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年初部门预算数：年初部门预算批复表，表1部门预算收支总表“本年支出合计”</w:t>
            </w:r>
          </w:p>
        </w:tc>
        <w:tc>
          <w:tcPr>
            <w:tcW w:w="1229"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疫情防控资金无法准确预算</w:t>
            </w: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088"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部门预算管理</w:t>
            </w:r>
          </w:p>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（80分</w:t>
            </w:r>
          </w:p>
        </w:tc>
        <w:tc>
          <w:tcPr>
            <w:tcW w:w="1113"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预算执行（30分）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支出控制</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bidi="ar"/>
              </w:rPr>
              <w:t>偏差程度在10%以内</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bidi="ar"/>
              </w:rPr>
              <w:t>偏差程度在10%以内</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部门公用经费及非定额公用支出控制情况。</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622" w:type="dxa"/>
            <w:shd w:val="clear" w:color="auto" w:fill="FFFFFF"/>
            <w:noWrap w:val="0"/>
            <w:vAlign w:val="center"/>
          </w:tcPr>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决算数：财政批复的决算套表-从决算科目里删选</w:t>
            </w:r>
          </w:p>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预算数：财政批复预算公开表</w:t>
            </w:r>
          </w:p>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偏差程度=（决算数-预算数）的绝对值/决算数*100%</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088"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动态调整</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无注销</w:t>
            </w:r>
          </w:p>
        </w:tc>
        <w:tc>
          <w:tcPr>
            <w:tcW w:w="468" w:type="dxa"/>
            <w:shd w:val="clear" w:color="auto" w:fill="auto"/>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有注销</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评价部门开展绩效运行监控后，将绩效监控结果应用到预算调整的情况。</w:t>
            </w:r>
          </w:p>
        </w:tc>
        <w:tc>
          <w:tcPr>
            <w:tcW w:w="3967" w:type="dxa"/>
            <w:shd w:val="clear" w:color="auto" w:fill="auto"/>
            <w:noWrap w:val="0"/>
            <w:vAlign w:val="center"/>
          </w:tcPr>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 xml:space="preserve">3.当部门绩效监控调整取消额与结余注销额均为零时，得满分。   </w:t>
            </w:r>
          </w:p>
        </w:tc>
        <w:tc>
          <w:tcPr>
            <w:tcW w:w="2622" w:type="dxa"/>
            <w:shd w:val="clear" w:color="auto" w:fill="FFFFFF"/>
            <w:noWrap w:val="0"/>
            <w:vAlign w:val="center"/>
          </w:tcPr>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预决算套表（Z01调整预算数、CS01）</w:t>
            </w:r>
          </w:p>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年度预算总额：Z01总计调整预算数</w:t>
            </w:r>
          </w:p>
          <w:p>
            <w:pPr>
              <w:widowControl w:val="0"/>
              <w:snapToGrid w:val="0"/>
              <w:spacing w:line="240" w:lineRule="atLeast"/>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cs="Times New Roman"/>
                <w:color w:val="auto"/>
                <w:sz w:val="21"/>
                <w:szCs w:val="21"/>
                <w:lang w:bidi="ar"/>
              </w:rPr>
              <w:t>绩效监控调整取消额：调整前年初结转和结余-调整后年初结转和结余=0，则没有取消额</w:t>
            </w:r>
          </w:p>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预算结余注销额：归集上缴和缴回资金栏为0，表示当年没有注销，如果有数就是注销额</w:t>
            </w:r>
          </w:p>
        </w:tc>
        <w:tc>
          <w:tcPr>
            <w:tcW w:w="1229"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新市场政府采购金额发生变化</w:t>
            </w: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88"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执行进度</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达到序时进度</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未达到</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评价部门在6、9、11月的预算执行情况。</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财政部门统一从国库总会计那取数字发送到各单位</w:t>
            </w:r>
          </w:p>
        </w:tc>
        <w:tc>
          <w:tcPr>
            <w:tcW w:w="1229"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未及时支付</w:t>
            </w: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088"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部门预算管理</w:t>
            </w:r>
          </w:p>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（80分</w:t>
            </w:r>
          </w:p>
        </w:tc>
        <w:tc>
          <w:tcPr>
            <w:tcW w:w="1113" w:type="dxa"/>
            <w:vMerge w:val="restart"/>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完成结果（20分）</w:t>
            </w: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预算完成</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执行进度达到100%</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执行进度达到100%</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评价部门预算项目年终预算执行情况。</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部门预算项目12月预算执行进度达到100%的，得10分，未达100%的，按照实际进度量化计算得分。(含所有下属单位)</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预决算套表（Z01调整预算数、决算数）；实际进度量化计算得分=80%*10=8</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088"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违规记录</w:t>
            </w:r>
          </w:p>
        </w:tc>
        <w:tc>
          <w:tcPr>
            <w:tcW w:w="489" w:type="dxa"/>
            <w:shd w:val="clear" w:color="auto" w:fill="auto"/>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shd w:val="clear" w:color="auto" w:fill="auto"/>
            <w:noWrap w:val="0"/>
            <w:vAlign w:val="center"/>
          </w:tcPr>
          <w:p>
            <w:pPr>
              <w:snapToGrid w:val="0"/>
              <w:spacing w:line="24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无重大违规</w:t>
            </w:r>
          </w:p>
        </w:tc>
        <w:tc>
          <w:tcPr>
            <w:tcW w:w="468" w:type="dxa"/>
            <w:shd w:val="clear" w:color="auto" w:fill="auto"/>
            <w:noWrap w:val="0"/>
            <w:vAlign w:val="center"/>
          </w:tcPr>
          <w:p>
            <w:pPr>
              <w:snapToGrid w:val="0"/>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无重大违规</w:t>
            </w:r>
          </w:p>
        </w:tc>
        <w:tc>
          <w:tcPr>
            <w:tcW w:w="1349"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根据审计监督、财政检查结果反映部门上一年度部门预算管理是否合规。</w:t>
            </w:r>
          </w:p>
        </w:tc>
        <w:tc>
          <w:tcPr>
            <w:tcW w:w="3967" w:type="dxa"/>
            <w:shd w:val="clear" w:color="auto" w:fill="auto"/>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依据上一年度审计监督、财政检查结果，出现部门预算管理方面违纪违规问题的，每个问题扣0.5分，直至扣完。</w:t>
            </w:r>
          </w:p>
        </w:tc>
        <w:tc>
          <w:tcPr>
            <w:tcW w:w="2622" w:type="dxa"/>
            <w:shd w:val="clear" w:color="auto" w:fill="FFFFFF"/>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上一年度的审计监督、财政检查报告</w:t>
            </w:r>
          </w:p>
        </w:tc>
        <w:tc>
          <w:tcPr>
            <w:tcW w:w="1229"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存在部分财务不规范问题</w:t>
            </w: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8"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绩效结果应用</w:t>
            </w:r>
          </w:p>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（10分）</w:t>
            </w:r>
          </w:p>
        </w:tc>
        <w:tc>
          <w:tcPr>
            <w:tcW w:w="1113"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信息公开</w:t>
            </w:r>
          </w:p>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（6分）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目标公开</w:t>
            </w: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3</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公开</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公开</w:t>
            </w:r>
          </w:p>
        </w:tc>
        <w:tc>
          <w:tcPr>
            <w:tcW w:w="1349"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评价部门绩效目标是否按要求向社会公开。</w:t>
            </w:r>
          </w:p>
        </w:tc>
        <w:tc>
          <w:tcPr>
            <w:tcW w:w="3967"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按要求随同预算公开的，得3分。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人民政府信息公开网—预决算公开栏</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88" w:type="dxa"/>
            <w:vMerge w:val="continue"/>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自评公开</w:t>
            </w: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3</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公开</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公开</w:t>
            </w:r>
          </w:p>
        </w:tc>
        <w:tc>
          <w:tcPr>
            <w:tcW w:w="1349"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评价部门是否按要求将部门整体绩效自评情况和自行组织的评价情况向社会公开。</w:t>
            </w:r>
          </w:p>
        </w:tc>
        <w:tc>
          <w:tcPr>
            <w:tcW w:w="3967"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按要求随同决算公开的，得3分。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人民政府信息公开网—预决算公开栏</w:t>
            </w:r>
          </w:p>
        </w:tc>
        <w:tc>
          <w:tcPr>
            <w:tcW w:w="1229"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88" w:type="dxa"/>
            <w:vMerge w:val="restart"/>
            <w:noWrap w:val="0"/>
            <w:vAlign w:val="center"/>
          </w:tcPr>
          <w:p>
            <w:pPr>
              <w:snapToGrid w:val="0"/>
              <w:spacing w:line="240" w:lineRule="atLeast"/>
              <w:jc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绩效结果应用</w:t>
            </w:r>
          </w:p>
          <w:p>
            <w:pPr>
              <w:snapToGrid w:val="0"/>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（10分）</w:t>
            </w:r>
          </w:p>
        </w:tc>
        <w:tc>
          <w:tcPr>
            <w:tcW w:w="1113" w:type="dxa"/>
            <w:vMerge w:val="restart"/>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整改反馈</w:t>
            </w:r>
          </w:p>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（4分）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结果整改</w:t>
            </w: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2</w:t>
            </w:r>
          </w:p>
        </w:tc>
        <w:tc>
          <w:tcPr>
            <w:tcW w:w="468" w:type="dxa"/>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全部整改</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全部整改</w:t>
            </w:r>
          </w:p>
        </w:tc>
        <w:tc>
          <w:tcPr>
            <w:tcW w:w="1349"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评价部门根据绩效管理结果整改问题、完善政策、改进管理的情况。</w:t>
            </w:r>
          </w:p>
        </w:tc>
        <w:tc>
          <w:tcPr>
            <w:tcW w:w="3967"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针对绩效管理过程中（包括绩效目标核查、绩效监控核查和重点绩效评价）提出的问题，发现一处未整改的，扣1分，直至扣完。</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结果整改说明、整改报告，现场检查</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8" w:type="dxa"/>
            <w:vMerge w:val="continue"/>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113" w:type="dxa"/>
            <w:vMerge w:val="continue"/>
            <w:noWrap w:val="0"/>
            <w:vAlign w:val="center"/>
          </w:tcPr>
          <w:p>
            <w:pPr>
              <w:snapToGrid w:val="0"/>
              <w:spacing w:line="240" w:lineRule="atLeast"/>
              <w:jc w:val="center"/>
              <w:rPr>
                <w:rFonts w:hint="default" w:ascii="Times New Roman" w:hAnsi="Times New Roman" w:cs="Times New Roman"/>
                <w:color w:val="auto"/>
                <w:sz w:val="21"/>
                <w:szCs w:val="21"/>
              </w:rPr>
            </w:pP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应用反馈</w:t>
            </w: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2</w:t>
            </w:r>
          </w:p>
        </w:tc>
        <w:tc>
          <w:tcPr>
            <w:tcW w:w="468" w:type="dxa"/>
            <w:noWrap w:val="0"/>
            <w:vAlign w:val="center"/>
          </w:tcPr>
          <w:p>
            <w:pPr>
              <w:snapToGrid w:val="0"/>
              <w:spacing w:line="240" w:lineRule="atLeas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全部反馈</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全部反馈</w:t>
            </w:r>
          </w:p>
        </w:tc>
        <w:tc>
          <w:tcPr>
            <w:tcW w:w="1349"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评价部门按要求及时向财政部门反馈结果应用情况。</w:t>
            </w:r>
          </w:p>
        </w:tc>
        <w:tc>
          <w:tcPr>
            <w:tcW w:w="3967"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部门在规定时间内向财政部门反馈应用绩效结果报告的，得满分，否则不得分。</w:t>
            </w:r>
          </w:p>
        </w:tc>
        <w:tc>
          <w:tcPr>
            <w:tcW w:w="2622"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根据财政部门要求反馈的时间限制。</w:t>
            </w: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088"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自评质量（10分）</w:t>
            </w:r>
          </w:p>
        </w:tc>
        <w:tc>
          <w:tcPr>
            <w:tcW w:w="1113"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自评质量（10分）</w:t>
            </w:r>
          </w:p>
        </w:tc>
        <w:tc>
          <w:tcPr>
            <w:tcW w:w="741"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自评准确</w:t>
            </w: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349"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评价部门整体支出自评准确率。</w:t>
            </w:r>
          </w:p>
        </w:tc>
        <w:tc>
          <w:tcPr>
            <w:tcW w:w="3967" w:type="dxa"/>
            <w:noWrap w:val="0"/>
            <w:vAlign w:val="center"/>
          </w:tcPr>
          <w:p>
            <w:pPr>
              <w:widowControl w:val="0"/>
              <w:snapToGrid w:val="0"/>
              <w:spacing w:line="240" w:lineRule="atLeast"/>
              <w:textAlignment w:val="center"/>
              <w:rPr>
                <w:rFonts w:hint="default" w:ascii="Times New Roman" w:hAnsi="Times New Roman" w:cs="Times New Roman"/>
                <w:color w:val="auto"/>
                <w:sz w:val="21"/>
                <w:szCs w:val="21"/>
              </w:rPr>
            </w:pPr>
            <w:r>
              <w:rPr>
                <w:rStyle w:val="40"/>
                <w:rFonts w:hint="default" w:ascii="Times New Roman" w:hAnsi="Times New Roman" w:cs="Times New Roman"/>
                <w:color w:val="auto"/>
                <w:sz w:val="21"/>
                <w:szCs w:val="21"/>
                <w:lang w:bidi="ar"/>
              </w:rPr>
              <w:t>部门整体支出自评得分与评价组抽查得分差异在5%以内的，不扣分；在5%-10%之间的，扣4分，在10%-20%的，扣8分，在20%以上的，扣10分。</w:t>
            </w:r>
            <w:r>
              <w:rPr>
                <w:rStyle w:val="41"/>
                <w:rFonts w:hint="default" w:ascii="Times New Roman" w:hAnsi="Times New Roman" w:cs="Times New Roman"/>
                <w:color w:val="auto"/>
                <w:sz w:val="21"/>
                <w:szCs w:val="21"/>
                <w:lang w:bidi="ar"/>
              </w:rPr>
              <w:t>（部门在自评时，此项指标无需打分，部门自评满分为90分）</w:t>
            </w:r>
          </w:p>
        </w:tc>
        <w:tc>
          <w:tcPr>
            <w:tcW w:w="2622" w:type="dxa"/>
            <w:noWrap w:val="0"/>
            <w:vAlign w:val="center"/>
          </w:tcPr>
          <w:p>
            <w:pPr>
              <w:snapToGrid w:val="0"/>
              <w:spacing w:line="240" w:lineRule="atLeast"/>
              <w:rPr>
                <w:rFonts w:hint="default" w:ascii="Times New Roman" w:hAnsi="Times New Roman" w:cs="Times New Roman"/>
                <w:color w:val="auto"/>
                <w:sz w:val="21"/>
                <w:szCs w:val="21"/>
              </w:rPr>
            </w:pP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01" w:type="dxa"/>
            <w:gridSpan w:val="2"/>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自评总分</w:t>
            </w:r>
          </w:p>
        </w:tc>
        <w:tc>
          <w:tcPr>
            <w:tcW w:w="741" w:type="dxa"/>
            <w:noWrap w:val="0"/>
            <w:vAlign w:val="center"/>
          </w:tcPr>
          <w:p>
            <w:pPr>
              <w:snapToGrid w:val="0"/>
              <w:spacing w:line="240" w:lineRule="atLeast"/>
              <w:jc w:val="center"/>
              <w:rPr>
                <w:rFonts w:hint="default" w:ascii="Times New Roman" w:hAnsi="Times New Roman" w:cs="Times New Roman"/>
                <w:color w:val="auto"/>
                <w:sz w:val="21"/>
                <w:szCs w:val="21"/>
              </w:rPr>
            </w:pPr>
          </w:p>
        </w:tc>
        <w:tc>
          <w:tcPr>
            <w:tcW w:w="489" w:type="dxa"/>
            <w:noWrap w:val="0"/>
            <w:vAlign w:val="center"/>
          </w:tcPr>
          <w:p>
            <w:pPr>
              <w:widowControl w:val="0"/>
              <w:snapToGrid w:val="0"/>
              <w:spacing w:line="240" w:lineRule="atLeas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90</w:t>
            </w: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p>
        </w:tc>
        <w:tc>
          <w:tcPr>
            <w:tcW w:w="468" w:type="dxa"/>
            <w:noWrap w:val="0"/>
            <w:vAlign w:val="center"/>
          </w:tcPr>
          <w:p>
            <w:pPr>
              <w:snapToGrid w:val="0"/>
              <w:spacing w:line="240" w:lineRule="atLeast"/>
              <w:jc w:val="center"/>
              <w:rPr>
                <w:rFonts w:hint="default" w:ascii="Times New Roman" w:hAnsi="Times New Roman" w:cs="Times New Roman"/>
                <w:color w:val="auto"/>
                <w:sz w:val="21"/>
                <w:szCs w:val="21"/>
              </w:rPr>
            </w:pPr>
          </w:p>
        </w:tc>
        <w:tc>
          <w:tcPr>
            <w:tcW w:w="1349" w:type="dxa"/>
            <w:noWrap w:val="0"/>
            <w:vAlign w:val="center"/>
          </w:tcPr>
          <w:p>
            <w:pPr>
              <w:snapToGrid w:val="0"/>
              <w:spacing w:line="240" w:lineRule="atLeast"/>
              <w:rPr>
                <w:rFonts w:hint="default" w:ascii="Times New Roman" w:hAnsi="Times New Roman" w:cs="Times New Roman"/>
                <w:color w:val="auto"/>
                <w:sz w:val="21"/>
                <w:szCs w:val="21"/>
              </w:rPr>
            </w:pPr>
          </w:p>
        </w:tc>
        <w:tc>
          <w:tcPr>
            <w:tcW w:w="3967" w:type="dxa"/>
            <w:noWrap w:val="0"/>
            <w:vAlign w:val="center"/>
          </w:tcPr>
          <w:p>
            <w:pPr>
              <w:snapToGrid w:val="0"/>
              <w:spacing w:line="240" w:lineRule="atLeast"/>
              <w:rPr>
                <w:rFonts w:hint="default" w:ascii="Times New Roman" w:hAnsi="Times New Roman" w:cs="Times New Roman"/>
                <w:color w:val="auto"/>
                <w:sz w:val="21"/>
                <w:szCs w:val="21"/>
              </w:rPr>
            </w:pPr>
          </w:p>
        </w:tc>
        <w:tc>
          <w:tcPr>
            <w:tcW w:w="2622" w:type="dxa"/>
            <w:noWrap w:val="0"/>
            <w:vAlign w:val="center"/>
          </w:tcPr>
          <w:p>
            <w:pPr>
              <w:snapToGrid w:val="0"/>
              <w:spacing w:line="240" w:lineRule="atLeast"/>
              <w:rPr>
                <w:rFonts w:hint="default" w:ascii="Times New Roman" w:hAnsi="Times New Roman" w:cs="Times New Roman"/>
                <w:color w:val="auto"/>
                <w:sz w:val="21"/>
                <w:szCs w:val="21"/>
              </w:rPr>
            </w:pPr>
          </w:p>
        </w:tc>
        <w:tc>
          <w:tcPr>
            <w:tcW w:w="1229" w:type="dxa"/>
            <w:noWrap w:val="0"/>
            <w:vAlign w:val="center"/>
          </w:tcPr>
          <w:p>
            <w:pPr>
              <w:snapToGrid w:val="0"/>
              <w:spacing w:line="240" w:lineRule="atLeast"/>
              <w:rPr>
                <w:rFonts w:hint="default" w:ascii="Times New Roman" w:hAnsi="Times New Roman" w:cs="Times New Roman"/>
                <w:color w:val="auto"/>
                <w:sz w:val="21"/>
                <w:szCs w:val="21"/>
              </w:rPr>
            </w:pPr>
          </w:p>
        </w:tc>
        <w:tc>
          <w:tcPr>
            <w:tcW w:w="688" w:type="dxa"/>
            <w:noWrap w:val="0"/>
            <w:vAlign w:val="center"/>
          </w:tcPr>
          <w:p>
            <w:pPr>
              <w:snapToGrid w:val="0"/>
              <w:spacing w:line="240" w:lineRule="atLeast"/>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86</w:t>
            </w:r>
          </w:p>
        </w:tc>
      </w:tr>
    </w:tbl>
    <w:p>
      <w:pPr>
        <w:pStyle w:val="6"/>
        <w:rPr>
          <w:rFonts w:hint="eastAsia" w:hAnsi="宋体" w:cs="宋体"/>
          <w:color w:val="FF0000"/>
          <w:kern w:val="0"/>
          <w:sz w:val="32"/>
          <w:szCs w:val="32"/>
          <w:highlight w:val="yellow"/>
          <w:shd w:val="clear" w:color="auto" w:fill="FFFFFF"/>
          <w:lang w:val="zh-CN"/>
        </w:rPr>
      </w:pPr>
    </w:p>
    <w:p>
      <w:pPr>
        <w:pStyle w:val="6"/>
        <w:rPr>
          <w:rFonts w:hint="eastAsia" w:hAnsi="宋体" w:cs="宋体"/>
          <w:color w:val="FF0000"/>
          <w:kern w:val="0"/>
          <w:sz w:val="32"/>
          <w:szCs w:val="32"/>
          <w:highlight w:val="yellow"/>
          <w:shd w:val="clear" w:color="auto" w:fill="FFFFFF"/>
          <w:lang w:val="zh-CN"/>
        </w:rPr>
      </w:pPr>
    </w:p>
    <w:p>
      <w:pPr>
        <w:rPr>
          <w:rFonts w:hint="eastAsia" w:ascii="黑体" w:hAnsi="黑体" w:eastAsia="黑体" w:cs="黑体"/>
          <w:color w:val="auto"/>
          <w:kern w:val="0"/>
          <w:sz w:val="32"/>
          <w:szCs w:val="32"/>
          <w:highlight w:val="yellow"/>
          <w:shd w:val="clear" w:color="auto" w:fill="FFFFFF"/>
          <w:lang w:val="zh-CN"/>
        </w:rPr>
        <w:sectPr>
          <w:pgSz w:w="16838" w:h="11906" w:orient="landscape"/>
          <w:pgMar w:top="1440" w:right="1800" w:bottom="1440" w:left="1800" w:header="851" w:footer="992" w:gutter="0"/>
          <w:pgNumType w:fmt="decimal"/>
          <w:cols w:space="425" w:num="1"/>
          <w:titlePg/>
          <w:docGrid w:type="lines" w:linePitch="312" w:charSpace="0"/>
        </w:sectPr>
      </w:pPr>
      <w:r>
        <w:rPr>
          <w:rFonts w:hint="eastAsia" w:ascii="黑体" w:hAnsi="黑体" w:eastAsia="黑体" w:cs="黑体"/>
          <w:color w:val="auto"/>
          <w:kern w:val="0"/>
          <w:sz w:val="32"/>
          <w:szCs w:val="32"/>
          <w:highlight w:val="yellow"/>
          <w:shd w:val="clear" w:color="auto" w:fill="FFFFFF"/>
          <w:lang w:val="zh-CN"/>
        </w:rPr>
        <w:br w:type="page"/>
      </w:r>
    </w:p>
    <w:p>
      <w:pPr>
        <w:pStyle w:val="2"/>
        <w:rPr>
          <w:rFonts w:hint="eastAsia"/>
          <w:lang w:val="zh-CN"/>
        </w:rPr>
      </w:pPr>
    </w:p>
    <w:p>
      <w:pPr>
        <w:pStyle w:val="6"/>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hAnsi="方正小标宋简体" w:eastAsia="方正小标宋简体"/>
          <w:sz w:val="44"/>
          <w:szCs w:val="44"/>
          <w:lang w:eastAsia="zh-CN"/>
        </w:rPr>
      </w:pPr>
      <w:bookmarkStart w:id="58" w:name="_Toc4853_WPSOffice_Level2"/>
      <w:r>
        <w:rPr>
          <w:rFonts w:hint="default" w:ascii="Times New Roman" w:hAnsi="Times New Roman" w:eastAsia="方正小标宋简体" w:cs="Times New Roman"/>
          <w:sz w:val="44"/>
          <w:szCs w:val="44"/>
          <w:shd w:val="clear" w:color="auto" w:fill="FFFFFF"/>
          <w:lang w:val="en-US" w:eastAsia="zh-CN"/>
        </w:rPr>
        <w:t>区政协片区工作经费</w:t>
      </w:r>
      <w:r>
        <w:rPr>
          <w:rFonts w:hint="default" w:ascii="Times New Roman" w:hAnsi="Times New Roman" w:eastAsia="方正小标宋简体" w:cs="Times New Roman"/>
          <w:sz w:val="44"/>
          <w:szCs w:val="44"/>
          <w:shd w:val="clear" w:color="auto" w:fill="FFFFFF"/>
        </w:rPr>
        <w:t>项目</w:t>
      </w:r>
      <w:r>
        <w:rPr>
          <w:rFonts w:hint="eastAsia" w:ascii="方正小标宋简体" w:hAnsi="方正小标宋简体" w:eastAsia="方正小标宋简体" w:cs="方正小标宋简体"/>
          <w:color w:val="auto"/>
          <w:kern w:val="2"/>
          <w:sz w:val="44"/>
          <w:szCs w:val="44"/>
          <w:highlight w:val="none"/>
          <w:shd w:val="clear"/>
          <w:lang w:val="en-US" w:eastAsia="zh-CN"/>
        </w:rPr>
        <w:t>绩效评价报告</w:t>
      </w:r>
      <w:bookmarkEnd w:id="58"/>
    </w:p>
    <w:p>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yellow"/>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bookmarkStart w:id="59" w:name="_Toc30936_WPSOffice_Level2"/>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bookmarkEnd w:id="59"/>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区政协片区工作经费项目的背景主要基于政协的三大职能：‌政治协商、民主监督、参政议政‌。项目旨在通过提供经费支持，保障区政协委员在各自片区内顺利开展各项专题调研、视察、民主监督等活动，以及区政协的日常事务支出。这些活动有助于政协委员更好地了解民情、反映民意，为区委、区政府提供有价值的意见和建议，促进区域经济社会的发展。同时，项目也是区政协加强自身建设、提高履职能力的重要举措之一。</w:t>
      </w:r>
    </w:p>
    <w:p>
      <w:pPr>
        <w:keepNext w:val="0"/>
        <w:keepLines w:val="0"/>
        <w:pageBreakBefore w:val="0"/>
        <w:numPr>
          <w:ilvl w:val="0"/>
          <w:numId w:val="7"/>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实施目的‌：旨在通过经费支持，保障区政协委员在各自片区内顺利开展各项专题调研、视察、民主监督等活动，以及区政协的日常事务支出。这些活动有助于政协委员更好地了解民情、反映民意，为区委、区政府提供有价值的意见和建议，促进区域经济社会的发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20" w:firstLineChars="1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2、支持方向：</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‌专题调研与视察‌：支持政协委员围绕中心工作，开展深入调研和视察，为决策提供科学依据。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‌民主监督‌：强化政协委员的民主监督职能，推动政府工作透明化、规范化。</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‌参政议政‌：鼓励政协委员积极建言献策，参与政策制定和协商过程，提升政协影响力。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‌日常事务支出‌：保障</w:t>
      </w:r>
      <w:r>
        <w:rPr>
          <w:rFonts w:hint="eastAsia" w:ascii="仿宋_GB2312" w:hAnsi="仿宋_GB2312" w:eastAsia="仿宋_GB2312" w:cs="仿宋_GB2312"/>
          <w:color w:val="auto"/>
          <w:kern w:val="0"/>
          <w:sz w:val="32"/>
          <w:szCs w:val="32"/>
          <w:highlight w:val="none"/>
          <w:u w:val="none"/>
          <w:shd w:val="clear" w:color="auto" w:fill="FFFFFF"/>
          <w:lang w:val="en-US" w:eastAsia="zh-CN"/>
        </w:rPr>
        <w:t>办事处</w:t>
      </w:r>
      <w:r>
        <w:rPr>
          <w:rFonts w:hint="eastAsia" w:ascii="仿宋_GB2312" w:hAnsi="仿宋_GB2312" w:eastAsia="仿宋_GB2312" w:cs="仿宋_GB2312"/>
          <w:color w:val="auto"/>
          <w:kern w:val="0"/>
          <w:sz w:val="32"/>
          <w:szCs w:val="32"/>
          <w:highlight w:val="none"/>
          <w:u w:val="none"/>
          <w:shd w:val="clear" w:color="auto" w:fill="FFFFFF"/>
          <w:lang w:val="zh-CN" w:eastAsia="zh-CN"/>
        </w:rPr>
        <w:t>的正常运转和各项工作的顺利开展。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通过实施该项目，区政协能够更好地履行政治协商、民主监督、参政议政职能，为区域经济社会发展贡献力量。</w:t>
      </w:r>
    </w:p>
    <w:p>
      <w:pPr>
        <w:keepNext w:val="0"/>
        <w:keepLines w:val="0"/>
        <w:pageBreakBefore w:val="0"/>
        <w:widowControl/>
        <w:numPr>
          <w:ilvl w:val="0"/>
          <w:numId w:val="7"/>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预算安排‌：项目预算总额为</w:t>
      </w:r>
      <w:r>
        <w:rPr>
          <w:rFonts w:hint="eastAsia" w:ascii="仿宋_GB2312" w:hAnsi="仿宋_GB2312" w:eastAsia="仿宋_GB2312" w:cs="仿宋_GB2312"/>
          <w:color w:val="auto"/>
          <w:kern w:val="0"/>
          <w:sz w:val="32"/>
          <w:szCs w:val="32"/>
          <w:highlight w:val="none"/>
          <w:u w:val="none"/>
          <w:shd w:val="clear" w:color="auto" w:fill="FFFFFF"/>
          <w:lang w:val="en-US" w:eastAsia="zh-CN"/>
        </w:rPr>
        <w:t>10000</w:t>
      </w:r>
      <w:r>
        <w:rPr>
          <w:rFonts w:hint="eastAsia" w:ascii="仿宋_GB2312" w:hAnsi="仿宋_GB2312" w:eastAsia="仿宋_GB2312" w:cs="仿宋_GB2312"/>
          <w:color w:val="auto"/>
          <w:kern w:val="0"/>
          <w:sz w:val="32"/>
          <w:szCs w:val="32"/>
          <w:highlight w:val="none"/>
          <w:u w:val="none"/>
          <w:shd w:val="clear" w:color="auto" w:fill="FFFFFF"/>
          <w:lang w:val="zh-CN" w:eastAsia="zh-CN"/>
        </w:rPr>
        <w:t>元，资金来源为区本级财政拨款。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‌分配管理‌：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eastAsia="zh-CN"/>
        </w:rPr>
        <w:t>由区政协负责填报项目绩效目标申报表，经区财政局审批后下达项目经费。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eastAsia="zh-CN"/>
        </w:rPr>
        <w:t>区政协负责项目具体实施及管理，确保资金专款专用。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eastAsia="zh-CN"/>
        </w:rPr>
        <w:t>支出包括一般公共服务，具体分配根据实际需求和工作计划进行。</w:t>
      </w:r>
    </w:p>
    <w:p>
      <w:pPr>
        <w:pStyle w:val="6"/>
        <w:ind w:firstLine="640" w:firstLineChars="200"/>
        <w:rPr>
          <w:rFonts w:hint="eastAsia"/>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截至202</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年底，项目实际使用资金</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元，执行率</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1" w:firstLineChars="100"/>
        <w:textAlignment w:val="auto"/>
        <w:rPr>
          <w:rFonts w:hint="eastAsia" w:ascii="楷体_GB2312" w:hAnsi="宋体" w:eastAsia="楷体_GB2312" w:cs="Times New Roman"/>
          <w:b/>
          <w:color w:val="auto"/>
          <w:sz w:val="32"/>
          <w:szCs w:val="32"/>
          <w:highlight w:val="none"/>
          <w:u w:val="none"/>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rPr>
        <w:t>（</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四</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w:t>
      </w:r>
      <w:r>
        <w:rPr>
          <w:rFonts w:hint="eastAsia" w:ascii="楷体_GB2312" w:hAnsi="宋体" w:eastAsia="楷体_GB2312" w:cs="Times New Roman"/>
          <w:b/>
          <w:color w:val="auto"/>
          <w:sz w:val="32"/>
          <w:szCs w:val="32"/>
          <w:highlight w:val="none"/>
          <w:u w:val="none"/>
          <w:lang w:val="zh-CN" w:eastAsia="zh-CN"/>
        </w:rPr>
        <w:t>项目绩效目标设置。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bookmarkStart w:id="60" w:name="_Toc9056_WPSOffice_Level2"/>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1.项目总体目标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该项目总体目标为：完成政协阵地装修，制度上墙，达到为民办实事，助推基层治理的重要载体，提高办公效率。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2.项目阶段性目标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该项目的202</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年度绩效目标与总体目标基本一致，主要为围绕中心工作履行政协职能，完成完成政协阵地装修，制度上墙工作。项目阶段性目标详见（</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表格</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）产出及效益指标设置的三级指标情况。</w:t>
      </w:r>
    </w:p>
    <w:tbl>
      <w:tblPr>
        <w:tblStyle w:val="17"/>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1"/>
        <w:gridCol w:w="1495"/>
        <w:gridCol w:w="2268"/>
        <w:gridCol w:w="1282"/>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2011" w:type="dxa"/>
            <w:tcBorders>
              <w:top w:val="single" w:color="auto" w:sz="4" w:space="0"/>
              <w:left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ascii="黑体" w:hAnsi="黑体" w:eastAsia="黑体"/>
                <w:color w:val="000000"/>
                <w:sz w:val="24"/>
                <w:szCs w:val="20"/>
              </w:rPr>
            </w:pPr>
            <w:r>
              <w:rPr>
                <w:rFonts w:hint="eastAsia" w:ascii="黑体" w:hAnsi="黑体" w:eastAsia="黑体"/>
                <w:color w:val="000000"/>
                <w:sz w:val="24"/>
                <w:szCs w:val="20"/>
              </w:rPr>
              <w:t>分层指标</w:t>
            </w:r>
          </w:p>
        </w:tc>
        <w:tc>
          <w:tcPr>
            <w:tcW w:w="1495" w:type="dxa"/>
            <w:tcBorders>
              <w:top w:val="single" w:color="auto" w:sz="4" w:space="0"/>
              <w:left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ascii="黑体" w:hAnsi="黑体" w:eastAsia="黑体"/>
                <w:color w:val="000000"/>
                <w:sz w:val="24"/>
                <w:szCs w:val="20"/>
              </w:rPr>
            </w:pPr>
            <w:r>
              <w:rPr>
                <w:rFonts w:hint="eastAsia" w:ascii="黑体" w:hAnsi="黑体" w:eastAsia="黑体"/>
                <w:color w:val="000000"/>
                <w:sz w:val="24"/>
                <w:szCs w:val="20"/>
              </w:rPr>
              <w:t>一级指标</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ascii="黑体" w:hAnsi="黑体" w:eastAsia="黑体"/>
                <w:color w:val="000000"/>
                <w:sz w:val="24"/>
                <w:szCs w:val="20"/>
              </w:rPr>
            </w:pPr>
            <w:r>
              <w:rPr>
                <w:rFonts w:hint="eastAsia" w:ascii="黑体" w:hAnsi="黑体" w:eastAsia="黑体"/>
                <w:color w:val="000000"/>
                <w:sz w:val="24"/>
                <w:szCs w:val="20"/>
              </w:rPr>
              <w:t>二级指标</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ascii="黑体" w:hAnsi="黑体" w:eastAsia="黑体"/>
                <w:color w:val="000000"/>
                <w:sz w:val="24"/>
                <w:szCs w:val="20"/>
              </w:rPr>
            </w:pPr>
            <w:r>
              <w:rPr>
                <w:rFonts w:hint="eastAsia" w:ascii="黑体" w:hAnsi="黑体" w:eastAsia="黑体"/>
                <w:color w:val="000000"/>
                <w:sz w:val="24"/>
                <w:szCs w:val="20"/>
              </w:rPr>
              <w:t>目标值</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ascii="黑体" w:hAnsi="黑体" w:eastAsia="黑体"/>
                <w:color w:val="000000"/>
                <w:sz w:val="24"/>
                <w:szCs w:val="20"/>
                <w:lang w:eastAsia="zh-CN"/>
              </w:rPr>
            </w:pPr>
            <w:r>
              <w:rPr>
                <w:rFonts w:hint="eastAsia" w:ascii="黑体" w:hAnsi="黑体" w:eastAsia="黑体"/>
                <w:color w:val="000000"/>
                <w:sz w:val="24"/>
                <w:szCs w:val="20"/>
                <w:lang w:val="en-US" w:eastAsia="zh-CN"/>
              </w:rPr>
              <w:t>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产出指标</w:t>
            </w: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数量指标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eastAsia="仿宋_GB2312"/>
                <w:color w:val="000000"/>
                <w:sz w:val="24"/>
                <w:szCs w:val="20"/>
                <w:lang w:eastAsia="zh-CN"/>
              </w:rPr>
            </w:pPr>
            <w:r>
              <w:rPr>
                <w:rFonts w:hint="eastAsia" w:eastAsia="仿宋_GB2312"/>
                <w:color w:val="000000"/>
                <w:sz w:val="24"/>
                <w:szCs w:val="20"/>
                <w:lang w:val="en-US" w:eastAsia="zh-CN"/>
              </w:rPr>
              <w:t>装修面积</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8平方米</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default" w:eastAsia="仿宋_GB2312"/>
                <w:color w:val="000000"/>
                <w:sz w:val="24"/>
                <w:szCs w:val="20"/>
              </w:rPr>
            </w:pPr>
            <w:r>
              <w:rPr>
                <w:rFonts w:hint="eastAsia" w:eastAsia="仿宋_GB2312"/>
                <w:color w:val="000000"/>
                <w:sz w:val="24"/>
                <w:szCs w:val="20"/>
                <w:lang w:val="en-US" w:eastAsia="zh-CN"/>
              </w:rPr>
              <w:t>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eastAsia="仿宋_GB2312"/>
                <w:color w:val="000000"/>
                <w:sz w:val="24"/>
                <w:szCs w:val="20"/>
              </w:rPr>
            </w:pP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质量指标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制度牌上墙</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rPr>
            </w:pPr>
            <w:r>
              <w:rPr>
                <w:rFonts w:hint="eastAsia" w:eastAsia="仿宋_GB2312"/>
                <w:color w:val="000000"/>
                <w:sz w:val="24"/>
                <w:szCs w:val="20"/>
                <w:lang w:val="en-US" w:eastAsia="zh-CN"/>
              </w:rPr>
              <w:t xml:space="preserve"> 100%</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default" w:eastAsia="仿宋_GB2312"/>
                <w:color w:val="000000"/>
                <w:sz w:val="24"/>
                <w:szCs w:val="20"/>
              </w:rPr>
            </w:pPr>
            <w:r>
              <w:rPr>
                <w:rFonts w:hint="eastAsia" w:eastAsia="仿宋_GB2312"/>
                <w:color w:val="000000"/>
                <w:sz w:val="24"/>
                <w:szCs w:val="20"/>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eastAsia="仿宋_GB2312"/>
                <w:color w:val="000000"/>
                <w:sz w:val="24"/>
                <w:szCs w:val="20"/>
              </w:rPr>
            </w:pP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时效指标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完成及时率</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 xml:space="preserve"> 100%</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default" w:eastAsia="仿宋_GB2312"/>
                <w:color w:val="000000"/>
                <w:sz w:val="24"/>
                <w:szCs w:val="20"/>
              </w:rPr>
            </w:pPr>
            <w:r>
              <w:rPr>
                <w:rFonts w:hint="eastAsia" w:eastAsia="仿宋_GB2312"/>
                <w:color w:val="000000"/>
                <w:sz w:val="24"/>
                <w:szCs w:val="20"/>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eastAsia="仿宋_GB2312"/>
                <w:color w:val="000000"/>
                <w:sz w:val="24"/>
                <w:szCs w:val="20"/>
              </w:rPr>
            </w:pP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成本指标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eastAsia="仿宋_GB2312"/>
                <w:color w:val="000000"/>
                <w:sz w:val="24"/>
                <w:szCs w:val="20"/>
                <w:lang w:eastAsia="zh-CN"/>
              </w:rPr>
            </w:pPr>
            <w:r>
              <w:rPr>
                <w:rFonts w:hint="eastAsia" w:eastAsia="仿宋_GB2312"/>
                <w:color w:val="000000"/>
                <w:sz w:val="24"/>
                <w:szCs w:val="20"/>
                <w:lang w:val="en-US" w:eastAsia="zh-CN"/>
              </w:rPr>
              <w:t>项目成本</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rPr>
            </w:pPr>
            <w:r>
              <w:rPr>
                <w:rFonts w:hint="eastAsia" w:eastAsia="仿宋_GB2312"/>
                <w:color w:val="000000"/>
                <w:sz w:val="24"/>
                <w:szCs w:val="20"/>
                <w:lang w:val="en-US" w:eastAsia="zh-CN"/>
              </w:rPr>
              <w:t>≤1万</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eastAsia" w:eastAsia="仿宋_GB2312"/>
                <w:color w:val="000000"/>
                <w:sz w:val="24"/>
                <w:szCs w:val="20"/>
                <w:lang w:val="en-US" w:eastAsia="zh-CN"/>
              </w:rPr>
            </w:pPr>
            <w:r>
              <w:rPr>
                <w:rFonts w:hint="eastAsia" w:eastAsia="仿宋_GB2312"/>
                <w:color w:val="000000"/>
                <w:sz w:val="24"/>
                <w:szCs w:val="20"/>
                <w:lang w:val="en-US" w:eastAsia="zh-CN"/>
              </w:rPr>
              <w:t>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效益指标</w:t>
            </w: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eastAsia="仿宋_GB2312"/>
                <w:color w:val="000000"/>
                <w:sz w:val="24"/>
                <w:szCs w:val="20"/>
                <w:lang w:val="en-US" w:eastAsia="zh-CN"/>
              </w:rPr>
            </w:pPr>
            <w:r>
              <w:rPr>
                <w:rFonts w:hint="eastAsia" w:eastAsia="仿宋_GB2312"/>
                <w:color w:val="000000"/>
                <w:sz w:val="24"/>
                <w:szCs w:val="20"/>
              </w:rPr>
              <w:t>社会效益</w:t>
            </w:r>
            <w:r>
              <w:rPr>
                <w:rFonts w:hint="eastAsia" w:eastAsia="仿宋_GB2312"/>
                <w:color w:val="000000"/>
                <w:sz w:val="24"/>
                <w:szCs w:val="20"/>
                <w:lang w:val="en-US" w:eastAsia="zh-CN"/>
              </w:rPr>
              <w:t>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阵地投入使用率</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lang w:val="en-US" w:eastAsia="zh-CN"/>
              </w:rPr>
            </w:pPr>
            <w:r>
              <w:rPr>
                <w:rFonts w:hint="eastAsia" w:eastAsia="仿宋_GB2312"/>
                <w:color w:val="000000"/>
                <w:sz w:val="24"/>
                <w:szCs w:val="20"/>
                <w:lang w:val="en-US" w:eastAsia="zh-CN"/>
              </w:rPr>
              <w:t>100%</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default" w:eastAsia="仿宋_GB2312"/>
                <w:color w:val="000000"/>
                <w:sz w:val="24"/>
                <w:szCs w:val="20"/>
                <w:lang w:val="en-US" w:eastAsia="zh-CN"/>
              </w:rPr>
            </w:pPr>
            <w:r>
              <w:rPr>
                <w:rFonts w:hint="eastAsia" w:eastAsia="仿宋_GB2312"/>
                <w:color w:val="000000"/>
                <w:sz w:val="24"/>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rPr>
              <w:t>满意度</w:t>
            </w: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eastAsia="仿宋_GB2312"/>
                <w:color w:val="000000"/>
                <w:sz w:val="24"/>
                <w:szCs w:val="20"/>
                <w:lang w:val="en-US" w:eastAsia="zh-CN"/>
              </w:rPr>
            </w:pPr>
            <w:r>
              <w:rPr>
                <w:rFonts w:hint="eastAsia" w:eastAsia="仿宋_GB2312"/>
                <w:color w:val="000000"/>
                <w:sz w:val="24"/>
                <w:szCs w:val="20"/>
              </w:rPr>
              <w:t>满意度</w:t>
            </w:r>
            <w:r>
              <w:rPr>
                <w:rFonts w:hint="eastAsia" w:eastAsia="仿宋_GB2312"/>
                <w:color w:val="000000"/>
                <w:sz w:val="24"/>
                <w:szCs w:val="20"/>
                <w:lang w:val="en-US" w:eastAsia="zh-CN"/>
              </w:rPr>
              <w:t>指标</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eastAsia" w:eastAsia="仿宋_GB2312"/>
                <w:color w:val="000000"/>
                <w:sz w:val="24"/>
                <w:szCs w:val="20"/>
                <w:lang w:eastAsia="zh-CN"/>
              </w:rPr>
            </w:pPr>
            <w:r>
              <w:rPr>
                <w:rFonts w:hint="eastAsia" w:eastAsia="仿宋_GB2312"/>
                <w:color w:val="000000"/>
                <w:sz w:val="24"/>
                <w:szCs w:val="20"/>
                <w:lang w:eastAsia="zh-CN"/>
              </w:rPr>
              <w:t>群众满意度</w:t>
            </w:r>
          </w:p>
        </w:tc>
        <w:tc>
          <w:tcPr>
            <w:tcW w:w="128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right="0"/>
              <w:jc w:val="center"/>
              <w:rPr>
                <w:rFonts w:hint="default" w:eastAsia="仿宋_GB2312"/>
                <w:color w:val="000000"/>
                <w:sz w:val="24"/>
                <w:szCs w:val="20"/>
              </w:rPr>
            </w:pPr>
            <w:r>
              <w:rPr>
                <w:rFonts w:hint="eastAsia" w:eastAsia="仿宋_GB2312"/>
                <w:color w:val="000000"/>
                <w:sz w:val="24"/>
                <w:szCs w:val="20"/>
                <w:lang w:eastAsia="zh-CN"/>
              </w:rPr>
              <w:t>≥</w:t>
            </w:r>
            <w:r>
              <w:rPr>
                <w:rFonts w:hint="eastAsia" w:eastAsia="仿宋_GB2312"/>
                <w:color w:val="000000"/>
                <w:sz w:val="24"/>
                <w:szCs w:val="20"/>
              </w:rPr>
              <w:t>9</w:t>
            </w:r>
            <w:r>
              <w:rPr>
                <w:rFonts w:hint="eastAsia" w:eastAsia="仿宋_GB2312"/>
                <w:color w:val="000000"/>
                <w:sz w:val="24"/>
                <w:szCs w:val="20"/>
                <w:lang w:val="en-US" w:eastAsia="zh-CN"/>
              </w:rPr>
              <w:t>5</w:t>
            </w:r>
            <w:r>
              <w:rPr>
                <w:rFonts w:hint="eastAsia" w:eastAsia="仿宋_GB2312"/>
                <w:color w:val="000000"/>
                <w:sz w:val="24"/>
                <w:szCs w:val="20"/>
              </w:rPr>
              <w:t>%</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440" w:lineRule="exact"/>
              <w:ind w:left="0" w:leftChars="0" w:right="0" w:rightChars="0"/>
              <w:jc w:val="center"/>
              <w:rPr>
                <w:rFonts w:hint="default" w:eastAsia="仿宋_GB2312"/>
                <w:color w:val="000000"/>
                <w:sz w:val="24"/>
                <w:szCs w:val="20"/>
                <w:lang w:val="en-US" w:eastAsia="zh-CN"/>
              </w:rPr>
            </w:pPr>
            <w:r>
              <w:rPr>
                <w:rFonts w:hint="eastAsia" w:eastAsia="仿宋_GB2312"/>
                <w:color w:val="000000"/>
                <w:sz w:val="24"/>
                <w:szCs w:val="20"/>
                <w:lang w:eastAsia="zh-CN"/>
              </w:rPr>
              <w:t>≥</w:t>
            </w:r>
            <w:r>
              <w:rPr>
                <w:rFonts w:hint="eastAsia" w:eastAsia="仿宋_GB2312"/>
                <w:color w:val="000000"/>
                <w:sz w:val="24"/>
                <w:szCs w:val="20"/>
              </w:rPr>
              <w:t>9</w:t>
            </w:r>
            <w:r>
              <w:rPr>
                <w:rFonts w:hint="eastAsia" w:eastAsia="仿宋_GB2312"/>
                <w:color w:val="000000"/>
                <w:sz w:val="24"/>
                <w:szCs w:val="20"/>
                <w:lang w:val="en-US" w:eastAsia="zh-CN"/>
              </w:rPr>
              <w:t>5</w:t>
            </w:r>
            <w:r>
              <w:rPr>
                <w:rFonts w:hint="eastAsia" w:eastAsia="仿宋_GB2312"/>
                <w:color w:val="000000"/>
                <w:sz w:val="24"/>
                <w:szCs w:val="20"/>
              </w:rPr>
              <w:t>%</w:t>
            </w:r>
          </w:p>
        </w:tc>
      </w:tr>
    </w:tbl>
    <w:p>
      <w:pPr>
        <w:pStyle w:val="6"/>
        <w:rPr>
          <w:rFonts w:hint="eastAsia"/>
          <w:lang w:val="zh-CN"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二、评价实施</w:t>
      </w:r>
      <w:bookmarkEnd w:id="60"/>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区政协片区工作经费项目评价目的在于围绕项目决策、项目过程、项目产出、项目效益等四方面开展评价工作，综合反映项目支出成效，梳理项目存在的问题并提出改进建议，强化项目单位预算绩效管理理念，提高财政资金的使用效率。加强项目和资金管理，确保合规合法，提高工作效率</w:t>
      </w:r>
      <w:r>
        <w:rPr>
          <w:rFonts w:hint="default" w:ascii="仿宋_GB2312" w:hAns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。同时为未来的预算绩效管理提供重要参考。</w:t>
      </w:r>
    </w:p>
    <w:p>
      <w:pPr>
        <w:keepNext w:val="0"/>
        <w:keepLines w:val="0"/>
        <w:pageBreakBefore w:val="0"/>
        <w:widowControl w:val="0"/>
        <w:numPr>
          <w:ilvl w:val="0"/>
          <w:numId w:val="9"/>
        </w:numPr>
        <w:kinsoku/>
        <w:wordWrap/>
        <w:overflowPunct/>
        <w:topLinePunct w:val="0"/>
        <w:autoSpaceDE/>
        <w:autoSpaceDN/>
        <w:bidi w:val="0"/>
        <w:spacing w:line="578" w:lineRule="exact"/>
        <w:ind w:left="-10" w:leftChars="0" w:firstLine="640" w:firstLine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‌项目背景与目标‌：旨在弘扬中华民族优秀传统文化，丰富居民文化生活，围绕党委政府中心工作，发挥政协专门协商机构作用。</w:t>
      </w:r>
    </w:p>
    <w:p>
      <w:pPr>
        <w:pStyle w:val="6"/>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目标包括完成委员走访活动，提高辖区居民满意度等。</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‌项目组织实施与管理‌：由区政协负责项目实施及管理，区财政局负责审批下达经费。</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关注项目是否按计划执行，资金是否专款专用。</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4、</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‌资金投入与使用效率‌：</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5、</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预算安排总额为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1000</w:t>
      </w:r>
      <w:r>
        <w:rPr>
          <w:rFonts w:hint="eastAsia" w:hAnsi="仿宋_GB2312" w:cs="仿宋_GB2312"/>
          <w:color w:val="auto"/>
          <w:kern w:val="0"/>
          <w:sz w:val="32"/>
          <w:szCs w:val="32"/>
          <w:highlight w:val="none"/>
          <w:u w:val="none"/>
          <w:shd w:val="clear" w:color="auto" w:fill="FFFFFF"/>
          <w:lang w:val="en-US" w:eastAsia="zh-CN" w:bidi="ar-SA"/>
        </w:rPr>
        <w:t>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元，关注资金实际使用情况与预算执行率。</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6、</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评价资金使用的合规性和效率。</w:t>
      </w:r>
    </w:p>
    <w:p>
      <w:pPr>
        <w:pStyle w:val="6"/>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7、</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‌项目绩效与效果‌：评价项目是否达到预期目标，如委员走访次数、居民满意度提升等。</w:t>
      </w:r>
    </w:p>
    <w:p>
      <w:pPr>
        <w:pStyle w:val="6"/>
        <w:ind w:firstLine="640" w:firstLineChars="200"/>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8、</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关注项目对政协职能履行的实际贡献。</w:t>
      </w:r>
      <w:r>
        <w:rPr>
          <w:rFonts w:hint="eastAsia"/>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lang w:val="en-US" w:eastAsia="zh-CN"/>
        </w:rPr>
      </w:pPr>
      <w:r>
        <w:rPr>
          <w:rFonts w:hint="eastAsia" w:ascii="楷体_GB2312" w:hAnsi="宋体" w:eastAsia="楷体_GB2312"/>
          <w:b/>
          <w:color w:val="auto"/>
          <w:sz w:val="32"/>
          <w:szCs w:val="32"/>
          <w:highlight w:val="none"/>
          <w:u w:val="none"/>
          <w:lang w:val="zh-CN"/>
        </w:rPr>
        <w:t>（三）评价选点。</w:t>
      </w:r>
    </w:p>
    <w:p>
      <w:pPr>
        <w:pStyle w:val="6"/>
        <w:numPr>
          <w:ilvl w:val="0"/>
          <w:numId w:val="0"/>
        </w:numPr>
        <w:ind w:firstLine="600" w:firstLineChars="200"/>
        <w:rPr>
          <w:rFonts w:hint="eastAsia"/>
          <w:lang w:val="en-US" w:eastAsia="zh-CN"/>
        </w:rPr>
      </w:pPr>
      <w:r>
        <w:rPr>
          <w:rFonts w:hint="eastAsia"/>
          <w:lang w:val="en-US" w:eastAsia="zh-CN"/>
        </w:rPr>
        <w:t>1、‌项目资金使用情况‌：评价项目资金是否按计划到位，是否专款专用，有无违规使用情况。</w:t>
      </w:r>
    </w:p>
    <w:p>
      <w:pPr>
        <w:pStyle w:val="6"/>
        <w:numPr>
          <w:ilvl w:val="0"/>
          <w:numId w:val="0"/>
        </w:numPr>
        <w:ind w:firstLine="600" w:firstLineChars="200"/>
        <w:rPr>
          <w:rFonts w:hint="eastAsia"/>
          <w:lang w:val="en-US" w:eastAsia="zh-CN"/>
        </w:rPr>
      </w:pPr>
      <w:r>
        <w:rPr>
          <w:rFonts w:hint="eastAsia"/>
          <w:lang w:val="en-US" w:eastAsia="zh-CN"/>
        </w:rPr>
        <w:t>2、‌项目组织管理‌：考察项目组织机构的健全性，管理制度的完善性，以及项目实施的规范性。</w:t>
      </w:r>
    </w:p>
    <w:p>
      <w:pPr>
        <w:pStyle w:val="6"/>
        <w:ind w:firstLine="600" w:firstLineChars="200"/>
        <w:rPr>
          <w:rFonts w:hint="eastAsia"/>
          <w:lang w:val="en-US" w:eastAsia="zh-CN"/>
        </w:rPr>
      </w:pPr>
      <w:r>
        <w:rPr>
          <w:rFonts w:hint="eastAsia"/>
          <w:lang w:val="en-US" w:eastAsia="zh-CN"/>
        </w:rPr>
        <w:t>3、‌项目绩效目标完成情况‌：对比项目预设的绩效目标，如委员走访次数、居民满意度提升等，评估实际完成情况。</w:t>
      </w:r>
    </w:p>
    <w:p>
      <w:pPr>
        <w:pStyle w:val="6"/>
        <w:ind w:firstLine="600" w:firstLineChars="200"/>
        <w:rPr>
          <w:rFonts w:hint="eastAsia"/>
          <w:lang w:val="en-US" w:eastAsia="zh-CN"/>
        </w:rPr>
      </w:pPr>
      <w:r>
        <w:rPr>
          <w:rFonts w:hint="eastAsia"/>
          <w:lang w:val="en-US" w:eastAsia="zh-CN"/>
        </w:rPr>
        <w:t>4、‌社会效益‌：分析项目实施对政协职能履行、辖区居民生活改善等方面的实际贡献。</w:t>
      </w:r>
    </w:p>
    <w:p>
      <w:pPr>
        <w:pStyle w:val="6"/>
        <w:ind w:firstLine="600" w:firstLineChars="200"/>
        <w:rPr>
          <w:rFonts w:hint="eastAsia"/>
          <w:lang w:val="en-US" w:eastAsia="zh-CN"/>
        </w:rPr>
      </w:pPr>
      <w:r>
        <w:rPr>
          <w:rFonts w:hint="eastAsia"/>
          <w:lang w:val="en-US" w:eastAsia="zh-CN"/>
        </w:rPr>
        <w:t>5、‌持续性和可推广性‌：评估项目是否具有持续实施的价值，以及在其他片区推广的可行性。</w:t>
      </w:r>
    </w:p>
    <w:p>
      <w:pPr>
        <w:pStyle w:val="6"/>
        <w:ind w:firstLine="600" w:firstLineChars="200"/>
        <w:rPr>
          <w:rFonts w:hint="default"/>
          <w:lang w:val="en-US" w:eastAsia="zh-CN"/>
        </w:rPr>
      </w:pPr>
      <w:r>
        <w:rPr>
          <w:rFonts w:hint="eastAsia"/>
          <w:lang w:val="en-US" w:eastAsia="zh-CN"/>
        </w:rPr>
        <w:t>通过以上选点的综合评价，可以全面反映区政协片区工作经费项目的实施效果，为未来的预算安排和项目优化提供参考依据。</w:t>
      </w:r>
    </w:p>
    <w:p>
      <w:pPr>
        <w:keepNext w:val="0"/>
        <w:keepLines w:val="0"/>
        <w:pageBreakBefore w:val="0"/>
        <w:widowControl w:val="0"/>
        <w:numPr>
          <w:ilvl w:val="0"/>
          <w:numId w:val="0"/>
        </w:numPr>
        <w:kinsoku/>
        <w:wordWrap/>
        <w:overflowPunct/>
        <w:topLinePunct w:val="0"/>
        <w:autoSpaceDE/>
        <w:autoSpaceDN/>
        <w:bidi w:val="0"/>
        <w:spacing w:line="578" w:lineRule="exact"/>
        <w:ind w:left="640" w:lef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四</w:t>
      </w:r>
      <w:r>
        <w:rPr>
          <w:rFonts w:hint="eastAsia" w:ascii="楷体_GB2312" w:hAnsi="宋体" w:eastAsia="楷体_GB2312"/>
          <w:b/>
          <w:color w:val="auto"/>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spacing w:line="578" w:lineRule="exact"/>
        <w:ind w:firstLine="600" w:firstLineChars="200"/>
        <w:textAlignment w:val="auto"/>
        <w:outlineLvl w:val="9"/>
        <w:rPr>
          <w:rFonts w:hint="eastAsia" w:ascii="仿宋_GB2312" w:hAnsi="Times New Roman" w:eastAsia="仿宋_GB2312" w:cs="Times New Roman"/>
          <w:kern w:val="0"/>
          <w:sz w:val="30"/>
          <w:szCs w:val="24"/>
          <w:lang w:val="zh-CN" w:eastAsia="zh-CN" w:bidi="ar-SA"/>
        </w:rPr>
      </w:pPr>
      <w:r>
        <w:rPr>
          <w:rFonts w:hint="eastAsia" w:ascii="仿宋_GB2312"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因素分析法：通过综合分析影响绩效目标实现、实施效果的内外因素，评价绩效目标的实现程度；</w:t>
      </w:r>
    </w:p>
    <w:p>
      <w:pPr>
        <w:keepNext w:val="0"/>
        <w:keepLines w:val="0"/>
        <w:pageBreakBefore w:val="0"/>
        <w:widowControl w:val="0"/>
        <w:numPr>
          <w:ilvl w:val="0"/>
          <w:numId w:val="0"/>
        </w:numPr>
        <w:kinsoku/>
        <w:wordWrap/>
        <w:overflowPunct/>
        <w:topLinePunct w:val="0"/>
        <w:autoSpaceDE/>
        <w:autoSpaceDN/>
        <w:bidi w:val="0"/>
        <w:spacing w:line="578" w:lineRule="exact"/>
        <w:ind w:firstLine="600" w:firstLineChars="200"/>
        <w:textAlignment w:val="auto"/>
        <w:outlineLvl w:val="9"/>
        <w:rPr>
          <w:rFonts w:hint="eastAsia" w:ascii="仿宋_GB2312" w:hAnsi="Times New Roman" w:eastAsia="仿宋_GB2312" w:cs="Times New Roman"/>
          <w:kern w:val="0"/>
          <w:sz w:val="30"/>
          <w:szCs w:val="24"/>
          <w:lang w:val="zh-CN" w:eastAsia="zh-CN" w:bidi="ar-SA"/>
        </w:rPr>
      </w:pP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项目效益分析法：通过项目支出与项目效益进行对比分析，评价绩效目标的实现程度;</w:t>
      </w:r>
    </w:p>
    <w:p>
      <w:pPr>
        <w:keepNext w:val="0"/>
        <w:keepLines w:val="0"/>
        <w:pageBreakBefore w:val="0"/>
        <w:widowControl w:val="0"/>
        <w:numPr>
          <w:ilvl w:val="0"/>
          <w:numId w:val="0"/>
        </w:numPr>
        <w:kinsoku/>
        <w:wordWrap/>
        <w:overflowPunct/>
        <w:topLinePunct w:val="0"/>
        <w:autoSpaceDE/>
        <w:autoSpaceDN/>
        <w:bidi w:val="0"/>
        <w:spacing w:line="578" w:lineRule="exact"/>
        <w:ind w:firstLine="600" w:firstLineChars="200"/>
        <w:textAlignment w:val="auto"/>
        <w:outlineLvl w:val="9"/>
        <w:rPr>
          <w:rFonts w:hint="eastAsia" w:ascii="仿宋_GB2312" w:hAnsi="Times New Roman" w:eastAsia="仿宋_GB2312" w:cs="Times New Roman"/>
          <w:kern w:val="0"/>
          <w:sz w:val="30"/>
          <w:szCs w:val="24"/>
          <w:lang w:val="zh-CN" w:eastAsia="zh-CN" w:bidi="ar-SA"/>
        </w:rPr>
      </w:pPr>
      <w:r>
        <w:rPr>
          <w:rFonts w:hint="eastAsia" w:ascii="仿宋_GB2312" w:eastAsia="仿宋_GB2312" w:cs="Times New Roman"/>
          <w:kern w:val="0"/>
          <w:sz w:val="30"/>
          <w:szCs w:val="24"/>
          <w:lang w:val="en-US" w:eastAsia="zh-CN" w:bidi="ar-SA"/>
        </w:rPr>
        <w:t>3、</w:t>
      </w:r>
      <w:r>
        <w:rPr>
          <w:rFonts w:hint="eastAsia" w:ascii="仿宋_GB2312" w:hAnsi="Times New Roman" w:eastAsia="仿宋_GB2312" w:cs="Times New Roman"/>
          <w:kern w:val="0"/>
          <w:sz w:val="30"/>
          <w:szCs w:val="24"/>
          <w:lang w:val="zh-CN" w:eastAsia="zh-CN" w:bidi="ar-SA"/>
        </w:rPr>
        <w:t>公众评价法：通过问卷调查对项目支出效果进行评价目标的实现程度。</w:t>
      </w:r>
    </w:p>
    <w:p>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pPr>
        <w:pStyle w:val="6"/>
        <w:ind w:firstLine="600" w:firstLineChars="200"/>
        <w:rPr>
          <w:rFonts w:hint="eastAsia"/>
          <w:lang w:val="en-US" w:eastAsia="zh-CN"/>
        </w:rPr>
      </w:pPr>
      <w:r>
        <w:rPr>
          <w:rFonts w:hint="eastAsia"/>
          <w:lang w:val="en-US" w:eastAsia="zh-CN"/>
        </w:rPr>
        <w:t>1、人员构成‌：评价组由区政协相关领导、办公室工作人员以及可能涉及的专门委员会成员组成。具体成员可能包括区政协常委、各委员会副主任、界别召集人等，他们共同负责项目的评价和监督工作‌。</w:t>
      </w:r>
    </w:p>
    <w:p>
      <w:pPr>
        <w:pStyle w:val="6"/>
        <w:ind w:firstLine="600" w:firstLineChars="200"/>
        <w:rPr>
          <w:rFonts w:hint="eastAsia"/>
          <w:lang w:val="en-US" w:eastAsia="zh-CN"/>
        </w:rPr>
      </w:pPr>
      <w:r>
        <w:rPr>
          <w:rFonts w:hint="eastAsia"/>
          <w:lang w:val="en-US" w:eastAsia="zh-CN"/>
        </w:rPr>
        <w:t>2、‌职责分工</w:t>
      </w:r>
    </w:p>
    <w:p>
      <w:pPr>
        <w:pStyle w:val="6"/>
        <w:ind w:firstLine="600" w:firstLineChars="200"/>
        <w:rPr>
          <w:rFonts w:hint="eastAsia"/>
          <w:lang w:val="en-US" w:eastAsia="zh-CN"/>
        </w:rPr>
      </w:pPr>
      <w:r>
        <w:rPr>
          <w:rFonts w:hint="eastAsia"/>
          <w:lang w:val="en-US" w:eastAsia="zh-CN"/>
        </w:rPr>
        <w:t>‌区政协领导‌：负责整体指导和监督评价工作，确保评价过程的公正性和客观性。</w:t>
      </w:r>
    </w:p>
    <w:p>
      <w:pPr>
        <w:pStyle w:val="6"/>
        <w:ind w:firstLine="600" w:firstLineChars="200"/>
        <w:rPr>
          <w:rFonts w:hint="eastAsia"/>
          <w:lang w:val="en-US" w:eastAsia="zh-CN"/>
        </w:rPr>
      </w:pPr>
      <w:r>
        <w:rPr>
          <w:rFonts w:hint="eastAsia"/>
          <w:lang w:val="en-US" w:eastAsia="zh-CN"/>
        </w:rPr>
        <w:t>‌办公室工作人员‌：具体负责评价工作的组织实施，包括制定评价计划、收集和分析数据、撰写评价报告等。</w:t>
      </w:r>
    </w:p>
    <w:p>
      <w:pPr>
        <w:pStyle w:val="6"/>
        <w:ind w:firstLine="600" w:firstLineChars="200"/>
        <w:rPr>
          <w:rFonts w:hint="eastAsia"/>
          <w:lang w:val="en-US" w:eastAsia="zh-CN"/>
        </w:rPr>
      </w:pPr>
      <w:r>
        <w:rPr>
          <w:rFonts w:hint="eastAsia"/>
          <w:lang w:val="en-US" w:eastAsia="zh-CN"/>
        </w:rPr>
        <w:t>‌专门委员会成员‌：提供专业意见和建议，确保评价内容的专业性和准确性。‌</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bookmarkStart w:id="61" w:name="_Toc26981_WPSOffice_Level2"/>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bookmarkEnd w:id="61"/>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仿宋_GB2312" w:hAnsi="仿宋_GB2312" w:eastAsia="仿宋_GB2312" w:cs="仿宋_GB2312"/>
          <w:b w:val="0"/>
          <w:bCs w:val="0"/>
          <w:kern w:val="0"/>
          <w:position w:val="0"/>
          <w:sz w:val="32"/>
          <w:szCs w:val="32"/>
          <w:highlight w:val="none"/>
          <w:lang w:val="zh-CN" w:eastAsia="zh-CN" w:bidi="ar-SA"/>
        </w:rPr>
        <w:t>根据</w:t>
      </w:r>
      <w:r>
        <w:rPr>
          <w:rFonts w:hint="eastAsia" w:ascii="仿宋_GB2312" w:hAnsi="仿宋_GB2312" w:eastAsia="仿宋_GB2312" w:cs="仿宋_GB2312"/>
          <w:b w:val="0"/>
          <w:bCs w:val="0"/>
          <w:kern w:val="0"/>
          <w:position w:val="0"/>
          <w:sz w:val="32"/>
          <w:szCs w:val="32"/>
          <w:highlight w:val="none"/>
          <w:lang w:val="zh-CN" w:eastAsia="zh-CN" w:bidi="ar-SA"/>
        </w:rPr>
        <w:t>项目</w:t>
      </w:r>
      <w:r>
        <w:rPr>
          <w:rFonts w:hint="default" w:ascii="仿宋_GB2312" w:hAnsi="仿宋_GB2312" w:eastAsia="仿宋_GB2312" w:cs="仿宋_GB2312"/>
          <w:b w:val="0"/>
          <w:bCs w:val="0"/>
          <w:kern w:val="0"/>
          <w:position w:val="0"/>
          <w:sz w:val="32"/>
          <w:szCs w:val="32"/>
          <w:highlight w:val="none"/>
          <w:lang w:val="zh-CN" w:eastAsia="zh-CN" w:bidi="ar-SA"/>
        </w:rPr>
        <w:t>预算绩效评价指标体系“</w:t>
      </w:r>
      <w:r>
        <w:rPr>
          <w:rFonts w:hint="eastAsia" w:ascii="仿宋_GB2312" w:hAnsi="仿宋_GB2312" w:eastAsia="仿宋_GB2312" w:cs="仿宋_GB2312"/>
          <w:b w:val="0"/>
          <w:bCs w:val="0"/>
          <w:kern w:val="0"/>
          <w:position w:val="0"/>
          <w:sz w:val="32"/>
          <w:szCs w:val="32"/>
          <w:highlight w:val="none"/>
          <w:lang w:val="zh-CN" w:eastAsia="zh-CN" w:bidi="ar-SA"/>
        </w:rPr>
        <w:t>通用指标</w:t>
      </w:r>
      <w:r>
        <w:rPr>
          <w:rFonts w:hint="default" w:ascii="仿宋_GB2312" w:hAnsi="仿宋_GB2312" w:eastAsia="仿宋_GB2312" w:cs="仿宋_GB2312"/>
          <w:b w:val="0"/>
          <w:bCs w:val="0"/>
          <w:kern w:val="0"/>
          <w:position w:val="0"/>
          <w:sz w:val="32"/>
          <w:szCs w:val="32"/>
          <w:highlight w:val="none"/>
          <w:lang w:val="zh-CN" w:eastAsia="zh-CN" w:bidi="ar-SA"/>
        </w:rPr>
        <w:t>”</w:t>
      </w:r>
      <w:r>
        <w:rPr>
          <w:rFonts w:hint="eastAsia" w:ascii="仿宋_GB2312" w:hAnsi="仿宋_GB2312" w:eastAsia="仿宋_GB2312" w:cs="仿宋_GB2312"/>
          <w:b w:val="0"/>
          <w:bCs w:val="0"/>
          <w:kern w:val="0"/>
          <w:position w:val="0"/>
          <w:sz w:val="32"/>
          <w:szCs w:val="32"/>
          <w:highlight w:val="none"/>
          <w:lang w:val="zh-CN" w:eastAsia="zh-CN" w:bidi="ar-SA"/>
        </w:rPr>
        <w:t>“专用指标”“个性指标”</w:t>
      </w:r>
      <w:r>
        <w:rPr>
          <w:rFonts w:hint="default" w:ascii="仿宋_GB2312" w:hAnsi="仿宋_GB2312" w:eastAsia="仿宋_GB2312" w:cs="仿宋_GB2312"/>
          <w:b w:val="0"/>
          <w:bCs w:val="0"/>
          <w:kern w:val="0"/>
          <w:position w:val="0"/>
          <w:sz w:val="32"/>
          <w:szCs w:val="32"/>
          <w:highlight w:val="none"/>
          <w:lang w:val="zh-CN" w:eastAsia="zh-CN" w:bidi="ar-SA"/>
        </w:rPr>
        <w:t>涉及</w:t>
      </w:r>
      <w:r>
        <w:rPr>
          <w:rFonts w:hint="eastAsia" w:ascii="仿宋_GB2312" w:hAnsi="仿宋_GB2312" w:eastAsia="仿宋_GB2312" w:cs="仿宋_GB2312"/>
          <w:b w:val="0"/>
          <w:bCs w:val="0"/>
          <w:kern w:val="0"/>
          <w:position w:val="0"/>
          <w:sz w:val="32"/>
          <w:szCs w:val="32"/>
          <w:highlight w:val="none"/>
          <w:lang w:val="zh-CN" w:eastAsia="zh-CN" w:bidi="ar-SA"/>
        </w:rPr>
        <w:t>二、三级</w:t>
      </w:r>
      <w:r>
        <w:rPr>
          <w:rFonts w:hint="default" w:ascii="仿宋_GB2312" w:hAnsi="仿宋_GB2312" w:eastAsia="仿宋_GB2312" w:cs="仿宋_GB2312"/>
          <w:b w:val="0"/>
          <w:bCs w:val="0"/>
          <w:kern w:val="0"/>
          <w:position w:val="0"/>
          <w:sz w:val="32"/>
          <w:szCs w:val="32"/>
          <w:highlight w:val="none"/>
          <w:lang w:val="zh-CN" w:eastAsia="zh-CN" w:bidi="ar-SA"/>
        </w:rPr>
        <w:t>指标进行</w:t>
      </w:r>
      <w:r>
        <w:rPr>
          <w:rFonts w:hint="eastAsia" w:ascii="仿宋_GB2312" w:hAnsi="仿宋_GB2312" w:eastAsia="仿宋_GB2312" w:cs="仿宋_GB2312"/>
          <w:b w:val="0"/>
          <w:bCs w:val="0"/>
          <w:kern w:val="0"/>
          <w:position w:val="0"/>
          <w:sz w:val="32"/>
          <w:szCs w:val="32"/>
          <w:highlight w:val="none"/>
          <w:lang w:val="zh-CN" w:eastAsia="zh-CN" w:bidi="ar-SA"/>
        </w:rPr>
        <w:t>逐项</w:t>
      </w:r>
      <w:r>
        <w:rPr>
          <w:rFonts w:hint="default" w:ascii="仿宋_GB2312" w:hAnsi="仿宋_GB2312" w:eastAsia="仿宋_GB2312" w:cs="仿宋_GB2312"/>
          <w:b w:val="0"/>
          <w:bCs w:val="0"/>
          <w:kern w:val="0"/>
          <w:position w:val="0"/>
          <w:sz w:val="32"/>
          <w:szCs w:val="32"/>
          <w:highlight w:val="none"/>
          <w:lang w:val="zh-CN" w:eastAsia="zh-CN" w:bidi="ar-SA"/>
        </w:rPr>
        <w:t>绩效分析</w:t>
      </w:r>
      <w:r>
        <w:rPr>
          <w:rFonts w:hint="eastAsia" w:ascii="仿宋_GB2312" w:hAnsi="仿宋_GB2312" w:eastAsia="仿宋_GB2312" w:cs="仿宋_GB2312"/>
          <w:b w:val="0"/>
          <w:bCs w:val="0"/>
          <w:kern w:val="0"/>
          <w:position w:val="0"/>
          <w:sz w:val="32"/>
          <w:szCs w:val="32"/>
          <w:highlight w:val="none"/>
          <w:lang w:val="zh-CN" w:eastAsia="zh-CN" w:bidi="ar-SA"/>
        </w:rPr>
        <w:t>并评分</w:t>
      </w:r>
      <w:r>
        <w:rPr>
          <w:rFonts w:hint="eastAsia" w:ascii="仿宋_GB2312" w:hAnsi="仿宋_GB2312"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widowControl/>
        <w:overflowPunct w:val="0"/>
        <w:autoSpaceDE/>
        <w:autoSpaceDN/>
        <w:adjustRightInd/>
        <w:snapToGrid w:val="0"/>
        <w:spacing w:line="560" w:lineRule="atLeast"/>
        <w:ind w:firstLine="646" w:firstLineChars="0"/>
        <w:jc w:val="both"/>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1、</w:t>
      </w:r>
      <w:r>
        <w:rPr>
          <w:rFonts w:hint="eastAsia" w:ascii="仿宋_GB2312" w:hAnsi="仿宋_GB2312" w:eastAsia="仿宋_GB2312" w:cs="仿宋_GB2312"/>
          <w:b w:val="0"/>
          <w:bCs w:val="0"/>
          <w:kern w:val="0"/>
          <w:position w:val="0"/>
          <w:sz w:val="32"/>
          <w:szCs w:val="32"/>
          <w:highlight w:val="none"/>
          <w:lang w:val="zh-CN" w:eastAsia="zh-CN" w:bidi="ar-SA"/>
        </w:rPr>
        <w:t>项目决策。区政协片区工作经费项目的决策过程科学、合理，为项目的顺利实施奠定了坚实基础。</w:t>
      </w:r>
    </w:p>
    <w:p>
      <w:pPr>
        <w:widowControl/>
        <w:overflowPunct w:val="0"/>
        <w:autoSpaceDE/>
        <w:autoSpaceDN/>
        <w:adjustRightInd/>
        <w:snapToGrid w:val="0"/>
        <w:spacing w:line="560" w:lineRule="atLeast"/>
        <w:ind w:firstLine="646" w:firstLineChars="0"/>
        <w:jc w:val="both"/>
        <w:rPr>
          <w:rFonts w:hint="eastAsia" w:ascii="仿宋_GB2312" w:hAnsi="仿宋_GB2312" w:eastAsia="仿宋_GB2312" w:cs="仿宋_GB2312"/>
          <w:b w:val="0"/>
          <w:bCs w:val="0"/>
          <w:kern w:val="0"/>
          <w:position w:val="0"/>
          <w:sz w:val="32"/>
          <w:szCs w:val="32"/>
          <w:highlight w:val="yellow"/>
          <w:lang w:val="zh-CN" w:eastAsia="zh-CN" w:bidi="ar-SA"/>
        </w:rPr>
      </w:pP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lang w:eastAsia="zh-CN"/>
        </w:rPr>
        <w:t>项目管理。</w:t>
      </w:r>
      <w:r>
        <w:rPr>
          <w:rFonts w:eastAsia="仿宋_GB2312"/>
          <w:color w:val="000000"/>
          <w:sz w:val="32"/>
          <w:szCs w:val="32"/>
        </w:rPr>
        <w:t>为规范和加强专项资金管理，保证资金安全，防范资金运行风险，提高资金使用效益，</w:t>
      </w:r>
      <w:r>
        <w:rPr>
          <w:rFonts w:hint="eastAsia" w:eastAsia="仿宋_GB2312"/>
          <w:color w:val="000000"/>
          <w:sz w:val="32"/>
          <w:szCs w:val="32"/>
          <w:lang w:eastAsia="zh-CN"/>
        </w:rPr>
        <w:t>我镇</w:t>
      </w:r>
      <w:r>
        <w:rPr>
          <w:rFonts w:hint="eastAsia" w:eastAsia="仿宋_GB2312"/>
          <w:color w:val="000000"/>
          <w:sz w:val="32"/>
          <w:szCs w:val="32"/>
        </w:rPr>
        <w:t>办</w:t>
      </w:r>
      <w:r>
        <w:rPr>
          <w:rFonts w:eastAsia="仿宋_GB2312"/>
          <w:color w:val="000000"/>
          <w:sz w:val="32"/>
          <w:szCs w:val="32"/>
        </w:rPr>
        <w:t>不断加强成本监督力度，</w:t>
      </w:r>
      <w:r>
        <w:rPr>
          <w:rFonts w:hint="eastAsia" w:eastAsia="仿宋_GB2312"/>
          <w:color w:val="000000"/>
          <w:sz w:val="32"/>
          <w:szCs w:val="32"/>
        </w:rPr>
        <w:t>按照既定计划使用</w:t>
      </w:r>
      <w:r>
        <w:rPr>
          <w:rFonts w:hint="eastAsia" w:eastAsia="仿宋_GB2312"/>
          <w:color w:val="000000"/>
          <w:sz w:val="32"/>
          <w:szCs w:val="32"/>
          <w:lang w:val="en-US" w:eastAsia="zh-CN"/>
        </w:rPr>
        <w:t>区政协片区工作经费</w:t>
      </w:r>
      <w:r>
        <w:rPr>
          <w:rFonts w:eastAsia="仿宋_GB2312"/>
          <w:color w:val="000000"/>
          <w:sz w:val="32"/>
          <w:szCs w:val="32"/>
        </w:rPr>
        <w:t>。</w:t>
      </w:r>
    </w:p>
    <w:p>
      <w:pPr>
        <w:adjustRightInd w:val="0"/>
        <w:snapToGrid w:val="0"/>
        <w:spacing w:line="600" w:lineRule="exact"/>
        <w:ind w:firstLine="640" w:firstLineChars="200"/>
        <w:rPr>
          <w:rFonts w:hint="default" w:ascii="仿宋_GB2312" w:hAnsi="仿宋_GB2312" w:eastAsia="仿宋_GB2312" w:cs="仿宋_GB2312"/>
          <w:b w:val="0"/>
          <w:bCs w:val="0"/>
          <w:kern w:val="0"/>
          <w:position w:val="0"/>
          <w:sz w:val="32"/>
          <w:szCs w:val="32"/>
          <w:highlight w:val="yellow"/>
          <w:lang w:val="en-US" w:eastAsia="zh-CN" w:bidi="ar-SA"/>
        </w:rPr>
      </w:pPr>
      <w:r>
        <w:rPr>
          <w:rFonts w:hint="eastAsia" w:ascii="楷体_GB2312" w:hAnsi="楷体_GB2312" w:eastAsia="楷体_GB2312" w:cs="楷体_GB2312"/>
          <w:color w:val="auto"/>
          <w:sz w:val="32"/>
          <w:szCs w:val="32"/>
          <w:highlight w:val="none"/>
          <w:lang w:val="en-US" w:eastAsia="zh-CN"/>
        </w:rPr>
        <w:t>3、项目实施。</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完成政协阵地装修</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8平米</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，制度上墙</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yellow"/>
          <w:lang w:val="zh-CN" w:eastAsia="zh-CN" w:bidi="ar-SA"/>
        </w:rPr>
      </w:pPr>
      <w:r>
        <w:rPr>
          <w:rFonts w:hint="eastAsia" w:ascii="楷体_GB2312" w:hAnsi="楷体_GB2312" w:eastAsia="楷体_GB2312" w:cs="楷体_GB2312"/>
          <w:color w:val="auto"/>
          <w:sz w:val="32"/>
          <w:szCs w:val="32"/>
          <w:highlight w:val="none"/>
          <w:lang w:val="en-US" w:eastAsia="zh-CN"/>
        </w:rPr>
        <w:t>4.项目结果。</w:t>
      </w:r>
      <w:r>
        <w:rPr>
          <w:rFonts w:hint="default" w:eastAsia="仿宋_GB2312"/>
          <w:color w:val="000000"/>
          <w:sz w:val="32"/>
          <w:szCs w:val="32"/>
          <w:lang w:val="en-US" w:eastAsia="zh-CN"/>
        </w:rPr>
        <w:t>‌有效提升了政协委员的履职能力和工作水平。‌加强宣传报道工作，‌通过多种形式宣传政协工作成果和委员风采，‌扩大了政协工作的影响力和社会认知度</w:t>
      </w:r>
      <w:r>
        <w:rPr>
          <w:rFonts w:hint="eastAsia"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1、产业发展。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符合性‌：项目紧密围绕党委政府中心工作，符合新时代人民政协的方位与使命。项目目标明</w:t>
      </w:r>
      <w:r>
        <w:rPr>
          <w:rFonts w:hint="eastAsia" w:ascii="楷体_GB2312" w:hAnsi="楷体_GB2312" w:eastAsia="楷体_GB2312" w:cs="楷体_GB2312"/>
          <w:color w:val="auto"/>
          <w:sz w:val="32"/>
          <w:szCs w:val="32"/>
          <w:highlight w:val="none"/>
          <w:lang w:val="en-US" w:eastAsia="zh-CN"/>
        </w:rPr>
        <w:t>确</w:t>
      </w:r>
      <w:r>
        <w:rPr>
          <w:rFonts w:hint="eastAsia" w:eastAsia="仿宋_GB2312"/>
          <w:color w:val="000000"/>
          <w:sz w:val="32"/>
          <w:szCs w:val="32"/>
          <w:lang w:val="en-US" w:eastAsia="zh-CN"/>
        </w:rPr>
        <w:t>，旨在履行政协职能，提高辖区居民满意度，与区政协的基本职能和2023年重点工作高度契合‌。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eastAsia="仿宋_GB2312"/>
          <w:color w:val="000000"/>
          <w:sz w:val="32"/>
          <w:szCs w:val="32"/>
          <w:lang w:val="en-US" w:eastAsia="zh-CN"/>
        </w:rPr>
        <w:t>‌成长性‌：项目实施有助于政协委员的履职能力提升，通过走访活动、调研视察等方式，增强了政协的参谋智囊作用，为区域经济和社会发展贡献了政协力量。同时，项目也促进了政协自身组织建设和委员队伍的成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_GB2312"/>
          <w:color w:val="000000"/>
          <w:sz w:val="32"/>
          <w:szCs w:val="32"/>
          <w:lang w:val="en-US" w:eastAsia="zh-CN"/>
        </w:rPr>
      </w:pPr>
      <w:r>
        <w:rPr>
          <w:rFonts w:hint="eastAsia" w:eastAsia="仿宋_GB2312"/>
          <w:color w:val="000000"/>
          <w:sz w:val="32"/>
          <w:szCs w:val="32"/>
          <w:lang w:val="en-US" w:eastAsia="zh-CN"/>
        </w:rPr>
        <w:t>‌经济性‌：项目预算安排合理，资金执行率较高，实际使用与预算相符，体现了良好的经济性和资金使用效率‌。</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eastAsia="仿宋_GB2312"/>
          <w:color w:val="000000"/>
          <w:sz w:val="32"/>
          <w:szCs w:val="32"/>
          <w:lang w:val="en-US" w:eastAsia="zh-CN"/>
        </w:rPr>
        <w:t>2、</w:t>
      </w:r>
      <w:r>
        <w:rPr>
          <w:rFonts w:hint="eastAsia" w:eastAsia="仿宋_GB2312"/>
          <w:color w:val="000000"/>
          <w:sz w:val="32"/>
          <w:szCs w:val="32"/>
          <w:lang w:val="zh-CN" w:eastAsia="zh-CN"/>
        </w:rPr>
        <w:t>民生保障。通过专项民主监督活动，区政协聚焦群众关切，如房屋维修、燃气入户、教育发展、医院建设等民生实事，推动项目高质量完成。委员们深入调研，了解项目进展和难点，提出建设性意见，助力解决民生问题。同时，区政协还通过提案、协商议政等方式，广泛收集社情民意，为民生实事项目提供智力支持和监督保障，确保项目惠及群众，提升群众的获得感和幸福感。</w:t>
      </w:r>
      <w:r>
        <w:rPr>
          <w:rFonts w:hint="eastAsia" w:ascii="楷体_GB2312" w:hAnsi="楷体_GB2312" w:eastAsia="楷体_GB2312" w:cs="楷体_GB2312"/>
          <w:color w:val="auto"/>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eastAsia="仿宋_GB2312"/>
          <w:color w:val="000000"/>
          <w:sz w:val="32"/>
          <w:szCs w:val="32"/>
          <w:lang w:val="en-US" w:eastAsia="zh-CN"/>
        </w:rPr>
      </w:pPr>
      <w:r>
        <w:rPr>
          <w:rFonts w:hint="eastAsia" w:ascii="楷体_GB2312" w:hAnsi="楷体_GB2312" w:eastAsia="楷体_GB2312" w:cs="楷体_GB2312"/>
          <w:color w:val="auto"/>
          <w:sz w:val="32"/>
          <w:szCs w:val="32"/>
          <w:highlight w:val="none"/>
          <w:lang w:val="en-US" w:eastAsia="zh-CN"/>
        </w:rPr>
        <w:t>3、基础设施。</w:t>
      </w:r>
      <w:r>
        <w:rPr>
          <w:rFonts w:hint="eastAsia" w:eastAsia="仿宋_GB2312"/>
          <w:color w:val="000000"/>
          <w:sz w:val="32"/>
          <w:szCs w:val="32"/>
          <w:highlight w:val="none"/>
          <w:lang w:val="zh-CN" w:eastAsia="zh-CN"/>
        </w:rPr>
        <w:t>通</w:t>
      </w:r>
      <w:r>
        <w:rPr>
          <w:rFonts w:hint="eastAsia" w:eastAsia="仿宋_GB2312"/>
          <w:color w:val="000000"/>
          <w:sz w:val="32"/>
          <w:szCs w:val="32"/>
          <w:lang w:val="zh-CN" w:eastAsia="zh-CN"/>
        </w:rPr>
        <w:t>过专项经费支持，区政协能够组织委员深入基层，对片区内的公共基础设施进行视察和调研，如城市公园、道路、桥梁、供水供电设施等。委员们通过实地查看、听取汇报等方式，全面了解基础设施的建设、运营和维护情况，针对存在的问题提出改进意见和建议。这些工作有助于推动片区基础设施的完善和提升，提高居民的生活质量和幸福感。同时，区政协还通过提案、协商议政等方式，积极向政府反映基础设施建设的需求和问题，为政府决策提供重要参</w:t>
      </w:r>
      <w:r>
        <w:rPr>
          <w:rFonts w:hint="eastAsia" w:eastAsia="仿宋_GB2312"/>
          <w:color w:val="000000"/>
          <w:sz w:val="32"/>
          <w:szCs w:val="32"/>
          <w:lang w:val="en-US" w:eastAsia="zh-CN"/>
        </w:rPr>
        <w:t>考。</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lang w:val="zh-CN" w:eastAsia="zh-CN"/>
        </w:rPr>
        <w:t>行政运转。</w:t>
      </w:r>
      <w:r>
        <w:rPr>
          <w:rFonts w:hint="eastAsia" w:ascii="仿宋_GB2312" w:hAnsi="仿宋_GB2312" w:eastAsia="仿宋_GB2312" w:cs="仿宋_GB2312"/>
          <w:b w:val="0"/>
          <w:bCs w:val="0"/>
          <w:kern w:val="0"/>
          <w:position w:val="0"/>
          <w:sz w:val="32"/>
          <w:szCs w:val="32"/>
          <w:highlight w:val="none"/>
          <w:lang w:val="zh-CN" w:eastAsia="zh-CN" w:bidi="ar-SA"/>
        </w:rPr>
        <w:t>该项目主要用于支持区政协的日常工作，包括会议组织、决议督办、调研视察、学习交流、对外宣传、联络服务等多个方面。通过专项经费的保障，区政协能够高效运转，充分发挥政治协商、民主监督、参政议政的职能，为区域经济社会发展贡献力量。同时，项目还注重提升政协委员的履职能力和水平，加强政协机关的内部管理和后勤保障，确保政协工作的顺利开展和有效推进。‌</w:t>
      </w:r>
    </w:p>
    <w:p>
      <w:pPr>
        <w:keepNext w:val="0"/>
        <w:keepLines w:val="0"/>
        <w:widowControl/>
        <w:numPr>
          <w:ilvl w:val="0"/>
          <w:numId w:val="0"/>
        </w:numPr>
        <w:suppressLineNumbers w:val="0"/>
        <w:pBdr>
          <w:top w:val="none" w:color="auto" w:sz="0" w:space="0"/>
          <w:bottom w:val="none" w:color="auto" w:sz="0" w:space="0"/>
          <w:right w:val="none" w:color="auto" w:sz="0" w:space="0"/>
        </w:pBdr>
        <w:spacing w:before="60" w:beforeAutospacing="0" w:after="60" w:afterAutospacing="0" w:line="420" w:lineRule="atLeast"/>
        <w:ind w:right="0" w:rightChars="0" w:firstLine="643" w:firstLineChars="200"/>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w:t>
      </w:r>
      <w:r>
        <w:rPr>
          <w:rFonts w:hint="default" w:ascii="仿宋_GB2312" w:hAnsi="仿宋_GB2312" w:eastAsia="仿宋_GB2312" w:cs="仿宋_GB2312"/>
          <w:b w:val="0"/>
          <w:bCs w:val="0"/>
          <w:kern w:val="0"/>
          <w:position w:val="0"/>
          <w:sz w:val="32"/>
          <w:szCs w:val="32"/>
          <w:highlight w:val="none"/>
          <w:lang w:val="zh-CN" w:eastAsia="zh-CN" w:bidi="ar-SA"/>
        </w:rPr>
        <w:t>履职效益‌：通过经费支持，确保政协职能的充分履行，包括政治协商、民主监督、参政议政等，提高</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社会效益和公众满意度。</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仿宋_GB2312" w:hAnsi="仿宋_GB2312" w:eastAsia="仿宋_GB2312" w:cs="仿宋_GB2312"/>
          <w:b w:val="0"/>
          <w:bCs w:val="0"/>
          <w:kern w:val="0"/>
          <w:position w:val="0"/>
          <w:sz w:val="32"/>
          <w:szCs w:val="32"/>
          <w:highlight w:val="none"/>
          <w:lang w:val="zh-CN" w:eastAsia="zh-CN" w:bidi="ar-SA"/>
        </w:rPr>
        <w:t>‌预算管理‌：合理配置预算，控制人员成本和行政成本，确保</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预算执行的及时、有效、均衡、安全，做到</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预决算管理公开透明。</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default" w:ascii="仿宋_GB2312" w:hAnsi="仿宋_GB2312" w:eastAsia="仿宋_GB2312" w:cs="仿宋_GB2312"/>
          <w:b w:val="0"/>
          <w:bCs w:val="0"/>
          <w:kern w:val="0"/>
          <w:position w:val="0"/>
          <w:sz w:val="32"/>
          <w:szCs w:val="32"/>
          <w:highlight w:val="none"/>
          <w:lang w:val="zh-CN" w:eastAsia="zh-CN" w:bidi="ar-SA"/>
        </w:rPr>
        <w:t>‌项目执行‌：确保项目支出按计划进行，资金安全与高效使用，达到</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预期效果，如会议费、协调经费、交通费用等的足额保障。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yellow"/>
          <w:lang w:val="en-US" w:eastAsia="zh-CN" w:bidi="ar-SA"/>
        </w:rPr>
      </w:pPr>
      <w:r>
        <w:rPr>
          <w:rFonts w:hint="default" w:ascii="仿宋_GB2312" w:hAnsi="仿宋_GB2312" w:eastAsia="仿宋_GB2312" w:cs="仿宋_GB2312"/>
          <w:b w:val="0"/>
          <w:bCs w:val="0"/>
          <w:kern w:val="0"/>
          <w:position w:val="0"/>
          <w:sz w:val="32"/>
          <w:szCs w:val="32"/>
          <w:highlight w:val="none"/>
          <w:lang w:val="zh-CN" w:eastAsia="zh-CN" w:bidi="ar-SA"/>
        </w:rPr>
        <w:t>‌信息公开‌：按规定公开部门预决算信息，强化</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社会监督，促进</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依法理财，建立</w:t>
      </w:r>
      <w:r>
        <w:rPr>
          <w:rFonts w:hint="eastAsia" w:ascii="仿宋_GB2312" w:hAnsi="仿宋_GB2312" w:eastAsia="仿宋_GB2312" w:cs="仿宋_GB2312"/>
          <w:b w:val="0"/>
          <w:bCs w:val="0"/>
          <w:kern w:val="0"/>
          <w:position w:val="0"/>
          <w:sz w:val="32"/>
          <w:szCs w:val="32"/>
          <w:highlight w:val="none"/>
          <w:lang w:val="zh-CN" w:eastAsia="zh-CN" w:bidi="ar-SA"/>
        </w:rPr>
        <w:t>了</w:t>
      </w:r>
      <w:r>
        <w:rPr>
          <w:rFonts w:hint="default" w:ascii="仿宋_GB2312" w:hAnsi="仿宋_GB2312" w:eastAsia="仿宋_GB2312" w:cs="仿宋_GB2312"/>
          <w:b w:val="0"/>
          <w:bCs w:val="0"/>
          <w:kern w:val="0"/>
          <w:position w:val="0"/>
          <w:sz w:val="32"/>
          <w:szCs w:val="32"/>
          <w:highlight w:val="none"/>
          <w:lang w:val="zh-CN" w:eastAsia="zh-CN" w:bidi="ar-SA"/>
        </w:rPr>
        <w:t>透明预算制度。‌</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bookmarkStart w:id="62" w:name="_Toc30701_WPSOffice_Level2"/>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bookmarkEnd w:id="62"/>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640" w:firstLineChars="200"/>
        <w:jc w:val="left"/>
        <w:rPr>
          <w:rFonts w:hint="default" w:eastAsia="仿宋_GB2312"/>
          <w:color w:val="000000"/>
          <w:sz w:val="32"/>
          <w:szCs w:val="32"/>
        </w:rPr>
      </w:pPr>
      <w:bookmarkStart w:id="63" w:name="_Toc22079_WPSOffice_Level2"/>
      <w:r>
        <w:rPr>
          <w:rFonts w:hint="default" w:ascii="仿宋_GB2312" w:hAnsi="仿宋_GB2312" w:eastAsia="仿宋_GB2312" w:cs="仿宋_GB2312"/>
          <w:b w:val="0"/>
          <w:bCs w:val="0"/>
          <w:kern w:val="0"/>
          <w:position w:val="0"/>
          <w:sz w:val="32"/>
          <w:szCs w:val="32"/>
          <w:highlight w:val="none"/>
          <w:lang w:val="zh-CN" w:eastAsia="zh-CN" w:bidi="ar-SA"/>
        </w:rPr>
        <w:t>区政协片区工作经费项目总体执行良好，达到了预期目标，有效支持了政协职能的履行和片区工作的开展‌。</w:t>
      </w:r>
      <w:r>
        <w:rPr>
          <w:rFonts w:hint="default" w:eastAsia="仿宋_GB2312"/>
          <w:color w:val="000000"/>
          <w:sz w:val="32"/>
          <w:szCs w:val="32"/>
        </w:rPr>
        <w:t>现按照区财政局印发的绩效评价实施方案，对照绩效目标完成情况进行自评，综合得分9</w:t>
      </w:r>
      <w:r>
        <w:rPr>
          <w:rFonts w:hint="eastAsia" w:eastAsia="仿宋_GB2312"/>
          <w:color w:val="000000"/>
          <w:sz w:val="32"/>
          <w:szCs w:val="32"/>
          <w:lang w:val="en-US" w:eastAsia="zh-CN"/>
        </w:rPr>
        <w:t>4</w:t>
      </w:r>
      <w:r>
        <w:rPr>
          <w:rFonts w:hint="default" w:eastAsia="仿宋_GB2312"/>
          <w:color w:val="000000"/>
          <w:sz w:val="32"/>
          <w:szCs w:val="32"/>
        </w:rPr>
        <w:t>分，自评结果为优。</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bookmarkEnd w:id="63"/>
    </w:p>
    <w:p>
      <w:pPr>
        <w:snapToGrid w:val="0"/>
        <w:spacing w:line="600" w:lineRule="exact"/>
        <w:ind w:firstLine="640" w:firstLineChars="200"/>
        <w:rPr>
          <w:rFonts w:hint="eastAsia" w:eastAsia="仿宋_GB2312"/>
          <w:color w:val="000000"/>
          <w:sz w:val="32"/>
          <w:szCs w:val="32"/>
          <w:highlight w:val="none"/>
        </w:rPr>
      </w:pPr>
      <w:bookmarkStart w:id="64" w:name="_Toc23161_WPSOffice_Level2"/>
      <w:r>
        <w:rPr>
          <w:rFonts w:hint="eastAsia" w:eastAsia="仿宋_GB2312"/>
          <w:color w:val="000000"/>
          <w:sz w:val="32"/>
          <w:szCs w:val="32"/>
          <w:highlight w:val="none"/>
          <w:lang w:val="en-US" w:eastAsia="zh-CN"/>
        </w:rPr>
        <w:t>1、</w:t>
      </w:r>
      <w:r>
        <w:rPr>
          <w:rFonts w:hint="eastAsia" w:eastAsia="仿宋_GB2312"/>
          <w:color w:val="000000"/>
          <w:sz w:val="32"/>
          <w:szCs w:val="32"/>
          <w:highlight w:val="none"/>
        </w:rPr>
        <w:t>部分片区政协活动开展不够均衡，‌部分委员参与度有待提高。‌</w:t>
      </w:r>
    </w:p>
    <w:p>
      <w:pPr>
        <w:snapToGrid w:val="0"/>
        <w:spacing w:line="600" w:lineRule="exact"/>
        <w:ind w:firstLine="640" w:firstLineChars="200"/>
        <w:rPr>
          <w:highlight w:val="none"/>
        </w:rPr>
      </w:pPr>
      <w:r>
        <w:rPr>
          <w:rFonts w:hint="eastAsia" w:eastAsia="仿宋_GB2312"/>
          <w:color w:val="000000"/>
          <w:sz w:val="32"/>
          <w:szCs w:val="32"/>
          <w:highlight w:val="none"/>
          <w:lang w:val="en-US" w:eastAsia="zh-CN"/>
        </w:rPr>
        <w:t>2、</w:t>
      </w:r>
      <w:r>
        <w:rPr>
          <w:rFonts w:hint="default" w:eastAsia="仿宋_GB2312"/>
          <w:color w:val="000000"/>
          <w:sz w:val="32"/>
          <w:szCs w:val="32"/>
          <w:highlight w:val="none"/>
        </w:rPr>
        <w:t>部分调研报告质量还需进一步提升，‌建议针对性和可操作性需加强。</w:t>
      </w:r>
      <w:r>
        <w:rPr>
          <w:rFonts w:hint="default" w:ascii="Arial" w:hAnsi="Arial" w:eastAsia="Arial" w:cs="Arial"/>
          <w:i w:val="0"/>
          <w:iCs w:val="0"/>
          <w:caps w:val="0"/>
          <w:color w:val="333333"/>
          <w:spacing w:val="0"/>
          <w:sz w:val="24"/>
          <w:szCs w:val="24"/>
          <w:highlight w:val="none"/>
          <w:shd w:val="clear" w:color="auto" w:fill="FFFFFF"/>
        </w:rPr>
        <w:t>‌</w:t>
      </w:r>
    </w:p>
    <w:p>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bookmarkEnd w:id="64"/>
    </w:p>
    <w:p>
      <w:pPr>
        <w:snapToGrid w:val="0"/>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1、加强对各片区政协工作的指导和支持，‌推动活动均衡开展。‌</w:t>
      </w:r>
    </w:p>
    <w:p>
      <w:pPr>
        <w:snapToGrid w:val="0"/>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2、强化委员培训和学习交流，‌提升调研能力和报告质量。‌</w:t>
      </w:r>
    </w:p>
    <w:p>
      <w:pPr>
        <w:snapToGrid w:val="0"/>
        <w:spacing w:line="600" w:lineRule="exact"/>
        <w:ind w:firstLine="640" w:firstLineChars="200"/>
        <w:rPr>
          <w:rFonts w:hint="eastAsia" w:ascii="仿宋_GB2312" w:hAnsi="仿宋_GB2312" w:eastAsia="仿宋_GB2312" w:cs="仿宋_GB2312"/>
          <w:b w:val="0"/>
          <w:bCs w:val="0"/>
          <w:kern w:val="0"/>
          <w:position w:val="0"/>
          <w:sz w:val="32"/>
          <w:szCs w:val="32"/>
          <w:highlight w:val="yellow"/>
          <w:lang w:val="en" w:eastAsia="zh-CN" w:bidi="ar-SA"/>
        </w:rPr>
      </w:pPr>
      <w:r>
        <w:rPr>
          <w:rFonts w:hint="eastAsia" w:eastAsia="仿宋_GB2312"/>
          <w:color w:val="000000"/>
          <w:sz w:val="32"/>
          <w:szCs w:val="32"/>
          <w:highlight w:val="none"/>
          <w:lang w:val="en-US" w:eastAsia="zh-CN"/>
        </w:rPr>
        <w:t>3、完善项目管理和监督机制，‌确保资金使用的合规性和有效性。</w:t>
      </w:r>
    </w:p>
    <w:p>
      <w:pPr>
        <w:pStyle w:val="6"/>
        <w:rPr>
          <w:rFonts w:hint="eastAsia" w:ascii="黑体" w:hAnsi="黑体" w:eastAsia="黑体" w:cs="黑体"/>
          <w:color w:val="auto"/>
          <w:kern w:val="0"/>
          <w:sz w:val="32"/>
          <w:szCs w:val="32"/>
          <w:highlight w:val="none"/>
          <w:shd w:val="clear" w:color="auto" w:fill="FFFFFF"/>
          <w:lang w:val="en-US" w:eastAsia="zh-CN"/>
        </w:rPr>
      </w:pPr>
    </w:p>
    <w:p>
      <w:pPr>
        <w:spacing w:line="600" w:lineRule="exact"/>
        <w:jc w:val="center"/>
        <w:outlineLvl w:val="0"/>
        <w:rPr>
          <w:rFonts w:hint="default" w:ascii="Times New Roman" w:hAnsi="Times New Roman" w:eastAsia="方正小标宋简体" w:cs="Times New Roman"/>
          <w:b w:val="0"/>
          <w:bCs/>
          <w:sz w:val="44"/>
          <w:szCs w:val="44"/>
          <w:highlight w:val="none"/>
          <w:shd w:val="clear" w:color="auto" w:fill="FFFFFF"/>
        </w:rPr>
      </w:pPr>
      <w:bookmarkStart w:id="65" w:name="_Toc14532"/>
      <w:bookmarkStart w:id="66" w:name="_Toc31050"/>
      <w:r>
        <w:rPr>
          <w:rFonts w:hint="eastAsia" w:eastAsia="方正小标宋简体" w:cs="Times New Roman"/>
          <w:b w:val="0"/>
          <w:bCs/>
          <w:sz w:val="44"/>
          <w:szCs w:val="44"/>
          <w:highlight w:val="none"/>
          <w:shd w:val="clear" w:color="auto" w:fill="FFFFFF"/>
          <w:lang w:val="en-US" w:eastAsia="zh-CN"/>
        </w:rPr>
        <w:t>2023年</w:t>
      </w:r>
      <w:r>
        <w:rPr>
          <w:rFonts w:hint="eastAsia" w:eastAsia="方正小标宋简体" w:cs="Times New Roman"/>
          <w:b w:val="0"/>
          <w:bCs/>
          <w:sz w:val="44"/>
          <w:szCs w:val="44"/>
          <w:highlight w:val="none"/>
          <w:shd w:val="clear" w:color="auto" w:fill="FFFFFF"/>
          <w:lang w:eastAsia="zh-CN"/>
        </w:rPr>
        <w:t>仁里镇</w:t>
      </w:r>
      <w:r>
        <w:rPr>
          <w:rFonts w:hint="default" w:ascii="Times New Roman" w:hAnsi="Times New Roman" w:eastAsia="方正小标宋简体" w:cs="Times New Roman"/>
          <w:b w:val="0"/>
          <w:bCs/>
          <w:sz w:val="44"/>
          <w:szCs w:val="44"/>
          <w:highlight w:val="none"/>
          <w:shd w:val="clear" w:color="auto" w:fill="FFFFFF"/>
        </w:rPr>
        <w:t>部门</w:t>
      </w:r>
      <w:r>
        <w:rPr>
          <w:rFonts w:hint="eastAsia" w:eastAsia="方正小标宋简体" w:cs="Times New Roman"/>
          <w:b w:val="0"/>
          <w:bCs/>
          <w:sz w:val="44"/>
          <w:szCs w:val="44"/>
          <w:highlight w:val="none"/>
          <w:shd w:val="clear" w:color="auto" w:fill="FFFFFF"/>
          <w:lang w:eastAsia="zh-CN"/>
        </w:rPr>
        <w:t>项目</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bookmarkEnd w:id="65"/>
      <w:bookmarkEnd w:id="66"/>
    </w:p>
    <w:p>
      <w:pPr>
        <w:spacing w:line="600" w:lineRule="exact"/>
        <w:jc w:val="center"/>
        <w:outlineLvl w:val="0"/>
        <w:rPr>
          <w:rFonts w:hint="eastAsia" w:hAnsi="方正小标宋简体" w:eastAsia="方正小标宋简体"/>
          <w:sz w:val="44"/>
          <w:szCs w:val="44"/>
          <w:lang w:eastAsia="zh-CN"/>
        </w:rPr>
      </w:pPr>
      <w:bookmarkStart w:id="67" w:name="_Toc4072"/>
      <w:bookmarkStart w:id="68" w:name="_Toc14906"/>
      <w:r>
        <w:rPr>
          <w:rFonts w:hint="eastAsia" w:hAnsi="方正小标宋简体" w:eastAsia="方正小标宋简体"/>
          <w:sz w:val="44"/>
          <w:szCs w:val="44"/>
          <w:lang w:eastAsia="zh-CN"/>
        </w:rPr>
        <w:t>（</w:t>
      </w:r>
      <w:r>
        <w:rPr>
          <w:rFonts w:hint="eastAsia" w:hAnsi="方正小标宋简体" w:eastAsia="方正小标宋简体"/>
          <w:sz w:val="32"/>
          <w:szCs w:val="32"/>
          <w:lang w:eastAsia="zh-CN"/>
        </w:rPr>
        <w:t>仁里镇</w:t>
      </w:r>
      <w:r>
        <w:rPr>
          <w:rFonts w:hint="eastAsia" w:hAnsi="方正小标宋简体" w:eastAsia="方正小标宋简体"/>
          <w:sz w:val="32"/>
          <w:szCs w:val="32"/>
        </w:rPr>
        <w:t>9.20</w:t>
      </w:r>
      <w:r>
        <w:rPr>
          <w:rFonts w:hint="eastAsia" w:hAnsi="方正小标宋简体" w:eastAsia="方正小标宋简体"/>
          <w:sz w:val="32"/>
          <w:szCs w:val="32"/>
          <w:lang w:eastAsia="zh-CN"/>
        </w:rPr>
        <w:t>新冠</w:t>
      </w:r>
      <w:r>
        <w:rPr>
          <w:rFonts w:hint="eastAsia" w:hAnsi="方正小标宋简体" w:eastAsia="方正小标宋简体"/>
          <w:sz w:val="32"/>
          <w:szCs w:val="32"/>
          <w:lang w:val="en-US" w:eastAsia="zh-CN"/>
        </w:rPr>
        <w:t>感染</w:t>
      </w:r>
      <w:r>
        <w:rPr>
          <w:rFonts w:hint="eastAsia" w:hAnsi="方正小标宋简体" w:eastAsia="方正小标宋简体"/>
          <w:sz w:val="32"/>
          <w:szCs w:val="32"/>
          <w:lang w:eastAsia="zh-CN"/>
        </w:rPr>
        <w:t>疫情防控经费（第一批）</w:t>
      </w:r>
      <w:r>
        <w:rPr>
          <w:rFonts w:hint="eastAsia" w:hAnsi="方正小标宋简体" w:eastAsia="方正小标宋简体"/>
          <w:sz w:val="44"/>
          <w:szCs w:val="44"/>
          <w:lang w:eastAsia="zh-CN"/>
        </w:rPr>
        <w:t>）</w:t>
      </w:r>
      <w:bookmarkEnd w:id="67"/>
      <w:bookmarkEnd w:id="68"/>
    </w:p>
    <w:p>
      <w:pPr>
        <w:adjustRightInd w:val="0"/>
        <w:snapToGrid w:val="0"/>
        <w:spacing w:line="576" w:lineRule="exact"/>
        <w:ind w:firstLine="640" w:firstLineChars="200"/>
        <w:outlineLvl w:val="1"/>
        <w:rPr>
          <w:rFonts w:hint="eastAsia" w:ascii="黑体" w:hAnsi="黑体" w:eastAsia="黑体" w:cs="黑体"/>
          <w:sz w:val="32"/>
          <w:szCs w:val="32"/>
        </w:rPr>
      </w:pPr>
      <w:bookmarkStart w:id="69" w:name="_Toc21727"/>
      <w:bookmarkStart w:id="70" w:name="_Toc29819"/>
      <w:r>
        <w:rPr>
          <w:rFonts w:hint="eastAsia" w:ascii="黑体" w:hAnsi="黑体" w:eastAsia="黑体" w:cs="黑体"/>
          <w:sz w:val="32"/>
          <w:szCs w:val="32"/>
        </w:rPr>
        <w:t>一</w:t>
      </w:r>
      <w:r>
        <w:rPr>
          <w:rFonts w:ascii="黑体" w:hAnsi="黑体" w:eastAsia="黑体" w:cs="黑体"/>
          <w:sz w:val="32"/>
          <w:szCs w:val="32"/>
        </w:rPr>
        <w:t>、基本情况</w:t>
      </w:r>
      <w:bookmarkEnd w:id="69"/>
      <w:bookmarkEnd w:id="70"/>
    </w:p>
    <w:p>
      <w:pPr>
        <w:adjustRightInd w:val="0"/>
        <w:snapToGrid w:val="0"/>
        <w:spacing w:line="576" w:lineRule="exact"/>
        <w:ind w:left="640"/>
        <w:rPr>
          <w:rFonts w:eastAsia="楷体_GB2312"/>
          <w:b/>
          <w:sz w:val="32"/>
          <w:szCs w:val="32"/>
        </w:rPr>
      </w:pPr>
      <w:r>
        <w:rPr>
          <w:rFonts w:hint="eastAsia" w:eastAsia="楷体_GB2312"/>
          <w:b/>
          <w:sz w:val="32"/>
          <w:szCs w:val="32"/>
        </w:rPr>
        <w:t>（一）项目概况。</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加强9.20疫情防控工作，组织辖区</w:t>
      </w:r>
      <w:r>
        <w:rPr>
          <w:rFonts w:hint="eastAsia" w:hAnsi="仿宋_GB2312" w:eastAsia="仿宋_GB2312"/>
          <w:sz w:val="32"/>
          <w:szCs w:val="32"/>
          <w:lang w:eastAsia="zh-CN"/>
        </w:rPr>
        <w:t>人员</w:t>
      </w:r>
      <w:r>
        <w:rPr>
          <w:rFonts w:hint="eastAsia" w:hAnsi="仿宋_GB2312" w:eastAsia="仿宋_GB2312"/>
          <w:sz w:val="32"/>
          <w:szCs w:val="32"/>
        </w:rPr>
        <w:t>开展各项防控工作，坚决防止疫情输入蔓延输出避免疫情出现扩散。</w:t>
      </w:r>
    </w:p>
    <w:p>
      <w:pPr>
        <w:spacing w:line="576" w:lineRule="exact"/>
        <w:ind w:firstLine="643" w:firstLineChars="200"/>
        <w:rPr>
          <w:rFonts w:eastAsia="楷体_GB2312"/>
          <w:b/>
          <w:sz w:val="32"/>
          <w:szCs w:val="32"/>
        </w:rPr>
      </w:pPr>
      <w:r>
        <w:rPr>
          <w:rFonts w:eastAsia="楷体_GB2312"/>
          <w:b/>
          <w:sz w:val="32"/>
          <w:szCs w:val="32"/>
        </w:rPr>
        <w:t>（二）项目绩效目标</w:t>
      </w:r>
      <w:r>
        <w:rPr>
          <w:rFonts w:hint="eastAsia" w:eastAsia="楷体_GB2312"/>
          <w:b/>
          <w:sz w:val="32"/>
          <w:szCs w:val="32"/>
        </w:rPr>
        <w:t>。</w:t>
      </w:r>
      <w:bookmarkStart w:id="95" w:name="_GoBack"/>
      <w:bookmarkEnd w:id="95"/>
    </w:p>
    <w:p>
      <w:pPr>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宣传和普及传染病防控知识，提高广大人员的自我保护意识，打好提前仗</w:t>
      </w:r>
      <w:r>
        <w:rPr>
          <w:rFonts w:hint="eastAsia" w:ascii="仿宋_GB2312" w:hAnsi="仿宋" w:eastAsia="仿宋_GB2312"/>
          <w:sz w:val="32"/>
          <w:szCs w:val="32"/>
          <w:lang w:eastAsia="zh-CN"/>
        </w:rPr>
        <w:t>早做</w:t>
      </w:r>
      <w:r>
        <w:rPr>
          <w:rFonts w:hint="eastAsia" w:ascii="仿宋_GB2312" w:hAnsi="仿宋" w:eastAsia="仿宋_GB2312"/>
          <w:sz w:val="32"/>
          <w:szCs w:val="32"/>
        </w:rPr>
        <w:t>准备早预防，及时查看相关工作和落实相关措施。完善传染病报告制度，做到早发现、早报告、早</w:t>
      </w:r>
      <w:r>
        <w:rPr>
          <w:rFonts w:hint="eastAsia" w:ascii="仿宋_GB2312" w:hAnsi="仿宋" w:eastAsia="仿宋_GB2312"/>
          <w:sz w:val="32"/>
          <w:szCs w:val="32"/>
          <w:lang w:eastAsia="zh-CN"/>
        </w:rPr>
        <w:t>隔离</w:t>
      </w:r>
      <w:r>
        <w:rPr>
          <w:rFonts w:hint="eastAsia" w:ascii="仿宋_GB2312" w:hAnsi="仿宋" w:eastAsia="仿宋_GB2312"/>
          <w:sz w:val="32"/>
          <w:szCs w:val="32"/>
        </w:rPr>
        <w:t>早治疗。建立快速反应和应急处理机制及时采取措施</w:t>
      </w:r>
      <w:r>
        <w:rPr>
          <w:rFonts w:hint="eastAsia" w:ascii="仿宋_GB2312" w:eastAsia="仿宋_GB2312"/>
          <w:sz w:val="32"/>
          <w:szCs w:val="32"/>
        </w:rPr>
        <w:t> </w:t>
      </w:r>
      <w:r>
        <w:rPr>
          <w:rFonts w:hint="eastAsia" w:ascii="仿宋_GB2312" w:hAnsi="仿宋" w:eastAsia="仿宋_GB2312"/>
          <w:sz w:val="32"/>
          <w:szCs w:val="32"/>
        </w:rPr>
        <w:t>，确保传染病不在本区传染。严格控制新入场人员，进行登记备案并对外地进</w:t>
      </w:r>
      <w:r>
        <w:rPr>
          <w:rFonts w:hint="eastAsia" w:ascii="仿宋_GB2312" w:hAnsi="仿宋" w:eastAsia="仿宋_GB2312"/>
          <w:sz w:val="32"/>
          <w:szCs w:val="32"/>
          <w:lang w:eastAsia="zh-CN"/>
        </w:rPr>
        <w:t>入</w:t>
      </w:r>
      <w:r>
        <w:rPr>
          <w:rFonts w:hint="eastAsia" w:ascii="仿宋_GB2312" w:hAnsi="仿宋" w:eastAsia="仿宋_GB2312"/>
          <w:sz w:val="32"/>
          <w:szCs w:val="32"/>
        </w:rPr>
        <w:t xml:space="preserve">人员进行健康监测发现可疑病例及时送往定点医院。 </w:t>
      </w:r>
    </w:p>
    <w:p>
      <w:pPr>
        <w:adjustRightInd w:val="0"/>
        <w:snapToGrid w:val="0"/>
        <w:spacing w:line="576" w:lineRule="exact"/>
        <w:ind w:left="630"/>
        <w:rPr>
          <w:rFonts w:eastAsia="楷体_GB2312"/>
          <w:b/>
          <w:sz w:val="32"/>
          <w:szCs w:val="32"/>
        </w:rPr>
      </w:pPr>
      <w:r>
        <w:rPr>
          <w:rFonts w:hint="eastAsia" w:eastAsia="楷体_GB2312"/>
          <w:b/>
          <w:sz w:val="32"/>
          <w:szCs w:val="32"/>
        </w:rPr>
        <w:t>（三）项目组织管理情况。</w:t>
      </w:r>
    </w:p>
    <w:p>
      <w:pPr>
        <w:adjustRightInd w:val="0"/>
        <w:snapToGrid w:val="0"/>
        <w:spacing w:line="576" w:lineRule="exact"/>
        <w:ind w:firstLine="640" w:firstLineChars="200"/>
        <w:rPr>
          <w:rFonts w:hAnsi="仿宋_GB2312" w:eastAsia="仿宋_GB2312"/>
          <w:sz w:val="32"/>
          <w:szCs w:val="32"/>
        </w:rPr>
      </w:pPr>
      <w:r>
        <w:rPr>
          <w:rFonts w:hint="eastAsia" w:hAnsi="仿宋_GB2312" w:eastAsia="仿宋_GB2312"/>
          <w:sz w:val="32"/>
          <w:szCs w:val="32"/>
        </w:rPr>
        <w:t>1．做好项目申报和项目实施工作。</w:t>
      </w:r>
      <w:r>
        <w:rPr>
          <w:rFonts w:hint="eastAsia" w:hAnsi="仿宋_GB2312" w:eastAsia="仿宋_GB2312"/>
          <w:sz w:val="32"/>
          <w:szCs w:val="32"/>
          <w:lang w:eastAsia="zh-CN"/>
        </w:rPr>
        <w:t>我镇</w:t>
      </w:r>
      <w:r>
        <w:rPr>
          <w:rFonts w:hint="eastAsia" w:hAnsi="仿宋_GB2312" w:eastAsia="仿宋_GB2312"/>
          <w:sz w:val="32"/>
          <w:szCs w:val="32"/>
        </w:rPr>
        <w:t>根据实际工作需要做好项目申报工作，由区财政局下达项目资金。具体项目在实施过程中，相关股室按照具体工作、绩效目标开展项目实施。</w:t>
      </w:r>
    </w:p>
    <w:p>
      <w:pPr>
        <w:adjustRightInd w:val="0"/>
        <w:snapToGrid w:val="0"/>
        <w:spacing w:line="576" w:lineRule="exact"/>
        <w:ind w:firstLine="640" w:firstLineChars="200"/>
        <w:rPr>
          <w:rFonts w:hAnsi="仿宋_GB2312" w:eastAsia="仿宋_GB2312"/>
          <w:sz w:val="32"/>
          <w:szCs w:val="32"/>
        </w:rPr>
      </w:pPr>
      <w:r>
        <w:rPr>
          <w:rFonts w:hint="eastAsia" w:hAnsi="仿宋_GB2312" w:eastAsia="仿宋_GB2312"/>
          <w:sz w:val="32"/>
          <w:szCs w:val="32"/>
        </w:rPr>
        <w:t>2．加强组织领导、成立绩效评价工作领导小组。具体负责资金绩效评价工作，具体组织实施、布置、审查、核实、总结评价本单位所有项目的自评工作。</w:t>
      </w:r>
    </w:p>
    <w:p>
      <w:pPr>
        <w:adjustRightInd w:val="0"/>
        <w:snapToGrid w:val="0"/>
        <w:spacing w:line="576" w:lineRule="exact"/>
        <w:ind w:firstLine="640" w:firstLineChars="200"/>
        <w:rPr>
          <w:rFonts w:hint="eastAsia" w:ascii="仿宋_GB2312" w:hAnsi="仿宋_GB2312" w:eastAsia="仿宋_GB2312"/>
          <w:sz w:val="32"/>
          <w:szCs w:val="32"/>
        </w:rPr>
      </w:pPr>
      <w:r>
        <w:rPr>
          <w:rFonts w:hint="eastAsia" w:hAnsi="仿宋_GB2312" w:eastAsia="仿宋_GB2312"/>
          <w:sz w:val="32"/>
          <w:szCs w:val="32"/>
        </w:rPr>
        <w:t>3．项目财务管理情况。一是资金预算管理，</w:t>
      </w:r>
      <w:r>
        <w:rPr>
          <w:rFonts w:hint="eastAsia" w:eastAsia="仿宋_GB2312"/>
          <w:sz w:val="32"/>
          <w:szCs w:val="32"/>
        </w:rPr>
        <w:t>9.20疫情防控工作</w:t>
      </w:r>
      <w:r>
        <w:rPr>
          <w:rFonts w:hint="eastAsia" w:ascii="仿宋_GB2312" w:eastAsia="仿宋_GB2312"/>
          <w:sz w:val="32"/>
          <w:szCs w:val="32"/>
        </w:rPr>
        <w:t>经费</w:t>
      </w:r>
      <w:r>
        <w:rPr>
          <w:rFonts w:hint="eastAsia" w:ascii="仿宋_GB2312" w:hAnsi="仿宋_GB2312" w:eastAsia="仿宋_GB2312"/>
          <w:sz w:val="32"/>
          <w:szCs w:val="32"/>
        </w:rPr>
        <w:t>项目预算由财政预算批复后开始执行。二是资金拨付管理，按照资金管理的要求，</w:t>
      </w:r>
      <w:r>
        <w:rPr>
          <w:rFonts w:hint="eastAsia" w:ascii="仿宋_GB2312" w:hAnsi="仿宋_GB2312" w:eastAsia="仿宋_GB2312"/>
          <w:sz w:val="32"/>
          <w:szCs w:val="32"/>
          <w:lang w:eastAsia="zh-CN"/>
        </w:rPr>
        <w:t>我镇</w:t>
      </w:r>
      <w:r>
        <w:rPr>
          <w:rFonts w:hint="eastAsia" w:ascii="仿宋_GB2312" w:hAnsi="仿宋_GB2312" w:eastAsia="仿宋_GB2312"/>
          <w:sz w:val="32"/>
          <w:szCs w:val="32"/>
        </w:rPr>
        <w:t>负责管理，实行专款专用、按程序拨付的办法管理。三是对资金做到</w:t>
      </w:r>
      <w:r>
        <w:rPr>
          <w:rFonts w:hint="eastAsia" w:ascii="仿宋_GB2312" w:eastAsia="仿宋_GB2312"/>
          <w:sz w:val="32"/>
          <w:szCs w:val="32"/>
        </w:rPr>
        <w:t>“</w:t>
      </w:r>
      <w:r>
        <w:rPr>
          <w:rFonts w:hint="eastAsia" w:ascii="仿宋_GB2312" w:hAnsi="仿宋_GB2312" w:eastAsia="仿宋_GB2312"/>
          <w:sz w:val="32"/>
          <w:szCs w:val="32"/>
        </w:rPr>
        <w:t>专人负责、专款专用、按进度付款</w:t>
      </w:r>
      <w:r>
        <w:rPr>
          <w:rFonts w:hint="eastAsia" w:ascii="仿宋_GB2312" w:eastAsia="仿宋_GB2312"/>
          <w:sz w:val="32"/>
          <w:szCs w:val="32"/>
        </w:rPr>
        <w:t>”，</w:t>
      </w:r>
      <w:r>
        <w:rPr>
          <w:rFonts w:hint="eastAsia" w:ascii="仿宋_GB2312" w:hAnsi="仿宋_GB2312" w:eastAsia="仿宋_GB2312"/>
          <w:sz w:val="32"/>
          <w:szCs w:val="32"/>
        </w:rPr>
        <w:t>没有挤占、挪用、截留资金行为，保证了项目的顺利实施。</w:t>
      </w:r>
    </w:p>
    <w:p>
      <w:pPr>
        <w:spacing w:line="576" w:lineRule="exact"/>
        <w:ind w:firstLine="640" w:firstLineChars="200"/>
        <w:outlineLvl w:val="1"/>
        <w:rPr>
          <w:rFonts w:ascii="黑体" w:hAnsi="黑体" w:eastAsia="黑体" w:cs="黑体"/>
          <w:sz w:val="32"/>
          <w:szCs w:val="32"/>
        </w:rPr>
      </w:pPr>
      <w:bookmarkStart w:id="71" w:name="_Toc27969"/>
      <w:bookmarkStart w:id="72" w:name="_Toc29236"/>
      <w:r>
        <w:rPr>
          <w:rFonts w:hint="eastAsia" w:ascii="黑体" w:hAnsi="黑体" w:eastAsia="黑体" w:cs="黑体"/>
          <w:sz w:val="32"/>
          <w:szCs w:val="32"/>
        </w:rPr>
        <w:t>二、评价工作开展情况</w:t>
      </w:r>
      <w:bookmarkEnd w:id="71"/>
      <w:bookmarkEnd w:id="72"/>
    </w:p>
    <w:p>
      <w:pPr>
        <w:spacing w:line="576"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（一）绩效评价目的、对象和范围。</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通过开展部门项目支出绩效评价，分析评价项目的目标实现程度，全面衡量资金使用情况，绩效目标实现情况，检验资金使用效果，总结经验教训并提出对策建议等，从整体上提升预算绩效管理水平，规范资金管理行为，提高财政资金使用效益，为今后如何开展好</w:t>
      </w:r>
      <w:r>
        <w:rPr>
          <w:rFonts w:hint="eastAsia" w:eastAsia="仿宋_GB2312"/>
          <w:sz w:val="32"/>
          <w:szCs w:val="32"/>
        </w:rPr>
        <w:t>9.20疫情防控</w:t>
      </w:r>
      <w:r>
        <w:rPr>
          <w:rFonts w:hint="eastAsia" w:hAnsi="仿宋_GB2312" w:eastAsia="仿宋_GB2312"/>
          <w:sz w:val="32"/>
          <w:szCs w:val="32"/>
        </w:rPr>
        <w:t>工作，如何提高财政资金使用效益提供基础依据。进行绩效评价，能更好地提升项目优化实施，严谨实施。</w:t>
      </w:r>
    </w:p>
    <w:p>
      <w:pPr>
        <w:spacing w:line="576" w:lineRule="exact"/>
        <w:ind w:firstLine="643" w:firstLineChars="200"/>
        <w:rPr>
          <w:rFonts w:hint="eastAsia" w:ascii="楷体_GB2312" w:hAnsi="仿宋_GB2312" w:eastAsia="楷体_GB2312"/>
          <w:sz w:val="32"/>
          <w:szCs w:val="32"/>
        </w:rPr>
      </w:pPr>
      <w:r>
        <w:rPr>
          <w:rFonts w:hint="eastAsia" w:ascii="楷体_GB2312" w:hAnsi="楷体" w:eastAsia="楷体_GB2312" w:cs="楷体"/>
          <w:b/>
          <w:bCs/>
          <w:sz w:val="32"/>
          <w:szCs w:val="32"/>
        </w:rPr>
        <w:t>（二）绩效评价评价指标体系（附表说明）、评价方法、评价标准等。</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1．评价指标体系：设通用指标、产出指标、效益指标、满意度指标4个分层指标，11个一级指标、下分12个二级指标，按照评价指标设定评价内容，分值为100分。</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2．评价方法：（1）成本效益分析法。是指将一定时期内的支出与效益进行对比分析，以评价绩效目标实现程度。（2）比较法。是指通过对绩效目标与实施效果、历史与当期情况、不同部门和地区同类支出的比较，符合分析绩效目标实现程度。（3）因素分析法。是指导通过综合分析影响绩效目标实现、实施效果的内外因素、评价绩效目标实现程度。（4）最低成本法。是指对效益确定却不易计量的多个同类对象的实施成本进行比较，评价绩效目标实现程度。</w:t>
      </w:r>
    </w:p>
    <w:p>
      <w:pPr>
        <w:spacing w:line="576" w:lineRule="exact"/>
        <w:ind w:firstLine="640" w:firstLineChars="200"/>
        <w:outlineLvl w:val="1"/>
        <w:rPr>
          <w:rFonts w:hAnsi="仿宋_GB2312" w:eastAsia="黑体"/>
          <w:sz w:val="32"/>
          <w:szCs w:val="32"/>
        </w:rPr>
      </w:pPr>
      <w:bookmarkStart w:id="73" w:name="_Toc374"/>
      <w:bookmarkStart w:id="74" w:name="_Toc8705"/>
      <w:r>
        <w:rPr>
          <w:rFonts w:hint="eastAsia" w:eastAsia="黑体"/>
          <w:sz w:val="32"/>
          <w:szCs w:val="32"/>
        </w:rPr>
        <w:t>三、综合结论（附评分表）</w:t>
      </w:r>
      <w:bookmarkEnd w:id="73"/>
      <w:bookmarkEnd w:id="74"/>
    </w:p>
    <w:p>
      <w:pPr>
        <w:spacing w:line="576" w:lineRule="exact"/>
        <w:ind w:firstLine="640" w:firstLineChars="200"/>
        <w:rPr>
          <w:rFonts w:hAnsi="仿宋_GB2312" w:eastAsia="仿宋_GB2312"/>
          <w:sz w:val="32"/>
          <w:szCs w:val="32"/>
        </w:rPr>
      </w:pPr>
      <w:r>
        <w:rPr>
          <w:rFonts w:hint="eastAsia" w:hAnsi="仿宋_GB2312" w:eastAsia="仿宋_GB2312"/>
          <w:sz w:val="32"/>
          <w:szCs w:val="32"/>
        </w:rPr>
        <w:t>按照相关要求，</w:t>
      </w:r>
      <w:r>
        <w:rPr>
          <w:rFonts w:hint="eastAsia" w:hAnsi="仿宋_GB2312" w:eastAsia="仿宋_GB2312"/>
          <w:sz w:val="32"/>
          <w:szCs w:val="32"/>
          <w:lang w:eastAsia="zh-CN"/>
        </w:rPr>
        <w:t>我镇</w:t>
      </w:r>
      <w:r>
        <w:rPr>
          <w:rFonts w:hint="eastAsia" w:hAnsi="仿宋_GB2312" w:eastAsia="仿宋_GB2312"/>
          <w:sz w:val="32"/>
          <w:szCs w:val="32"/>
        </w:rPr>
        <w:t>认真贯彻落实省、市、区政府的决策部署，保障了群众的切身利益，营造了良好的社会风气，有利于我区持续稳定发展。现按照区财政局印发的绩效评价实施方案，对照绩效目标完成情况进行自评，综合得分96分，自评结果为优。</w:t>
      </w:r>
    </w:p>
    <w:p>
      <w:pPr>
        <w:spacing w:line="576" w:lineRule="exact"/>
        <w:ind w:firstLine="640" w:firstLineChars="200"/>
        <w:outlineLvl w:val="1"/>
        <w:rPr>
          <w:rFonts w:ascii="黑体" w:hAnsi="黑体" w:eastAsia="黑体" w:cs="黑体"/>
          <w:sz w:val="32"/>
          <w:szCs w:val="32"/>
        </w:rPr>
      </w:pPr>
      <w:bookmarkStart w:id="75" w:name="_Toc9592"/>
      <w:bookmarkStart w:id="76" w:name="_Toc23070"/>
      <w:r>
        <w:rPr>
          <w:rFonts w:hint="eastAsia" w:ascii="黑体" w:hAnsi="黑体" w:eastAsia="黑体" w:cs="黑体"/>
          <w:sz w:val="32"/>
          <w:szCs w:val="32"/>
        </w:rPr>
        <w:t>四、绩效评价分析</w:t>
      </w:r>
      <w:bookmarkEnd w:id="75"/>
      <w:bookmarkEnd w:id="76"/>
    </w:p>
    <w:p>
      <w:pPr>
        <w:spacing w:line="576" w:lineRule="exact"/>
        <w:ind w:firstLine="643" w:firstLineChars="200"/>
        <w:rPr>
          <w:rFonts w:hint="eastAsia" w:ascii="楷体_GB2312" w:hAnsi="仿宋_GB2312" w:eastAsia="楷体_GB2312"/>
          <w:sz w:val="32"/>
          <w:szCs w:val="32"/>
        </w:rPr>
      </w:pPr>
      <w:r>
        <w:rPr>
          <w:rFonts w:hint="eastAsia" w:ascii="楷体_GB2312" w:hAnsi="楷体" w:eastAsia="楷体_GB2312" w:cs="楷体"/>
          <w:b/>
          <w:bCs/>
          <w:sz w:val="32"/>
          <w:szCs w:val="32"/>
        </w:rPr>
        <w:t>（一）项目决策情况。</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1．绩效目标分析。</w:t>
      </w:r>
      <w:r>
        <w:rPr>
          <w:rFonts w:hint="eastAsia" w:eastAsia="仿宋_GB2312"/>
          <w:sz w:val="32"/>
          <w:szCs w:val="32"/>
        </w:rPr>
        <w:t>9.20疫情防控工作经费</w:t>
      </w:r>
      <w:r>
        <w:rPr>
          <w:rFonts w:hAnsi="仿宋_GB2312" w:eastAsia="仿宋_GB2312"/>
          <w:sz w:val="32"/>
          <w:szCs w:val="32"/>
        </w:rPr>
        <w:t>项目</w:t>
      </w:r>
      <w:r>
        <w:rPr>
          <w:rFonts w:hint="eastAsia" w:hAnsi="仿宋_GB2312" w:eastAsia="仿宋_GB2312"/>
          <w:sz w:val="32"/>
          <w:szCs w:val="32"/>
        </w:rPr>
        <w:t>资金绩效目标设置总体方向明确，规划合理。</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2．项目决策过程分析。决策过程符合申报条件，申报、批复程序符合相关管理办法；项目实施截止到202</w:t>
      </w:r>
      <w:r>
        <w:rPr>
          <w:rFonts w:hint="eastAsia" w:hAnsi="仿宋_GB2312" w:eastAsia="仿宋_GB2312"/>
          <w:sz w:val="32"/>
          <w:szCs w:val="32"/>
          <w:lang w:val="en-US" w:eastAsia="zh-CN"/>
        </w:rPr>
        <w:t>3</w:t>
      </w:r>
      <w:r>
        <w:rPr>
          <w:rFonts w:hint="eastAsia" w:hAnsi="仿宋_GB2312" w:eastAsia="仿宋_GB2312"/>
          <w:sz w:val="32"/>
          <w:szCs w:val="32"/>
        </w:rPr>
        <w:t>年12月，无调整事项。</w:t>
      </w:r>
    </w:p>
    <w:p>
      <w:pPr>
        <w:spacing w:line="576" w:lineRule="exact"/>
        <w:ind w:firstLine="643" w:firstLineChars="200"/>
        <w:rPr>
          <w:rFonts w:hint="eastAsia" w:ascii="楷体_GB2312" w:hAnsi="仿宋_GB2312" w:eastAsia="楷体_GB2312"/>
          <w:sz w:val="32"/>
          <w:szCs w:val="32"/>
        </w:rPr>
      </w:pPr>
      <w:r>
        <w:rPr>
          <w:rFonts w:hint="eastAsia" w:ascii="楷体_GB2312" w:hAnsi="楷体" w:eastAsia="楷体_GB2312" w:cs="楷体"/>
          <w:b/>
          <w:bCs/>
          <w:sz w:val="32"/>
          <w:szCs w:val="32"/>
        </w:rPr>
        <w:t>（二）项目管理情况。</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项目资金下达及时，项目资金到位100%，截止202</w:t>
      </w:r>
      <w:r>
        <w:rPr>
          <w:rFonts w:hint="eastAsia" w:hAnsi="仿宋_GB2312" w:eastAsia="仿宋_GB2312"/>
          <w:sz w:val="32"/>
          <w:szCs w:val="32"/>
          <w:lang w:val="en-US" w:eastAsia="zh-CN"/>
        </w:rPr>
        <w:t>3</w:t>
      </w:r>
      <w:r>
        <w:rPr>
          <w:rFonts w:hint="eastAsia" w:hAnsi="仿宋_GB2312" w:eastAsia="仿宋_GB2312"/>
          <w:sz w:val="32"/>
          <w:szCs w:val="32"/>
        </w:rPr>
        <w:t>年12月底支付了</w:t>
      </w:r>
      <w:r>
        <w:rPr>
          <w:rFonts w:hint="eastAsia" w:hAnsi="仿宋_GB2312" w:eastAsia="仿宋_GB2312"/>
          <w:sz w:val="32"/>
          <w:szCs w:val="32"/>
          <w:lang w:val="en-US" w:eastAsia="zh-CN"/>
        </w:rPr>
        <w:t>107747</w:t>
      </w:r>
      <w:r>
        <w:rPr>
          <w:rFonts w:hint="eastAsia" w:hAnsi="仿宋_GB2312" w:eastAsia="仿宋_GB2312"/>
          <w:sz w:val="32"/>
          <w:szCs w:val="32"/>
        </w:rPr>
        <w:t>元。支出实现率</w:t>
      </w:r>
      <w:r>
        <w:rPr>
          <w:rFonts w:hint="eastAsia" w:hAnsi="仿宋_GB2312" w:eastAsia="仿宋_GB2312"/>
          <w:sz w:val="32"/>
          <w:szCs w:val="32"/>
          <w:lang w:val="en-US" w:eastAsia="zh-CN"/>
        </w:rPr>
        <w:t>100</w:t>
      </w:r>
      <w:r>
        <w:rPr>
          <w:rFonts w:hint="eastAsia" w:hAnsi="仿宋_GB2312" w:eastAsia="仿宋_GB2312"/>
          <w:sz w:val="32"/>
          <w:szCs w:val="32"/>
        </w:rPr>
        <w:t>%。资金使用合法合规</w:t>
      </w:r>
      <w:r>
        <w:rPr>
          <w:rFonts w:hint="eastAsia" w:ascii="仿宋_GB2312"/>
          <w:color w:val="000000"/>
          <w:szCs w:val="32"/>
        </w:rPr>
        <w:t>。</w:t>
      </w:r>
      <w:r>
        <w:rPr>
          <w:rFonts w:hint="eastAsia" w:hAnsi="仿宋_GB2312" w:eastAsia="仿宋_GB2312"/>
          <w:sz w:val="32"/>
          <w:szCs w:val="32"/>
        </w:rPr>
        <w:t>我单位项目的决策及运行完全按照相关内部管理制度、区委区府及财政的有关规定执行。在实际运行中，均按照财务管理制度执行，确保项目顺利开展。</w:t>
      </w:r>
    </w:p>
    <w:p>
      <w:pPr>
        <w:spacing w:line="576" w:lineRule="exact"/>
        <w:ind w:firstLine="643" w:firstLineChars="200"/>
        <w:rPr>
          <w:rFonts w:hint="eastAsia" w:ascii="楷体_GB2312" w:hAnsi="仿宋_GB2312" w:eastAsia="楷体_GB2312"/>
          <w:sz w:val="32"/>
          <w:szCs w:val="32"/>
        </w:rPr>
      </w:pPr>
      <w:r>
        <w:rPr>
          <w:rFonts w:hint="eastAsia" w:ascii="楷体_GB2312" w:hAnsi="楷体" w:eastAsia="楷体_GB2312" w:cs="楷体"/>
          <w:b/>
          <w:bCs/>
          <w:sz w:val="32"/>
          <w:szCs w:val="32"/>
        </w:rPr>
        <w:t>（三）项目产出情况。</w:t>
      </w:r>
    </w:p>
    <w:p>
      <w:pPr>
        <w:spacing w:line="576" w:lineRule="exact"/>
        <w:ind w:firstLine="640" w:firstLineChars="200"/>
        <w:rPr>
          <w:rFonts w:hint="eastAsia" w:hAnsi="仿宋_GB2312" w:eastAsia="仿宋_GB2312"/>
          <w:sz w:val="32"/>
          <w:szCs w:val="32"/>
          <w:lang w:eastAsia="zh-CN"/>
        </w:rPr>
      </w:pPr>
      <w:r>
        <w:rPr>
          <w:rFonts w:hint="eastAsia" w:hAnsi="仿宋_GB2312" w:eastAsia="仿宋_GB2312"/>
          <w:sz w:val="32"/>
          <w:szCs w:val="32"/>
        </w:rPr>
        <w:t>项目资金均用于9.20疫情防控工作，确保专款专用。资金管理严格按照区财政预算资金的安排合理使用，坚持专款专用、量入为出的原则，严格落实专项资金的申拨、使用审批手续，充分发挥资金使用效益，使各项资金按规定的用途使用并达到预期目的</w:t>
      </w:r>
      <w:r>
        <w:rPr>
          <w:rFonts w:hint="eastAsia" w:hAnsi="仿宋_GB2312" w:eastAsia="仿宋_GB2312"/>
          <w:sz w:val="32"/>
          <w:szCs w:val="32"/>
          <w:lang w:eastAsia="zh-CN"/>
        </w:rPr>
        <w:t>。</w:t>
      </w:r>
    </w:p>
    <w:p>
      <w:pPr>
        <w:spacing w:line="576"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（四）项目效益情况。</w:t>
      </w:r>
    </w:p>
    <w:p>
      <w:pPr>
        <w:spacing w:line="576" w:lineRule="exact"/>
        <w:ind w:firstLine="640" w:firstLineChars="200"/>
        <w:rPr>
          <w:rFonts w:hAnsi="仿宋_GB2312" w:eastAsia="仿宋_GB2312"/>
          <w:sz w:val="32"/>
          <w:szCs w:val="32"/>
        </w:rPr>
      </w:pPr>
      <w:r>
        <w:rPr>
          <w:rFonts w:hint="eastAsia" w:hAnsi="仿宋_GB2312" w:eastAsia="仿宋_GB2312"/>
          <w:sz w:val="32"/>
          <w:szCs w:val="32"/>
        </w:rPr>
        <w:t>我</w:t>
      </w:r>
      <w:r>
        <w:rPr>
          <w:rFonts w:hint="eastAsia" w:hAnsi="仿宋_GB2312" w:eastAsia="仿宋_GB2312"/>
          <w:sz w:val="32"/>
          <w:szCs w:val="32"/>
          <w:lang w:eastAsia="zh-CN"/>
        </w:rPr>
        <w:t>镇</w:t>
      </w:r>
      <w:r>
        <w:rPr>
          <w:rFonts w:hint="eastAsia" w:eastAsia="仿宋_GB2312"/>
          <w:sz w:val="32"/>
          <w:szCs w:val="32"/>
        </w:rPr>
        <w:t>9.20疫情防控工作经费项目</w:t>
      </w:r>
      <w:r>
        <w:rPr>
          <w:rFonts w:hint="eastAsia" w:hAnsi="仿宋_GB2312" w:eastAsia="仿宋_GB2312"/>
          <w:sz w:val="32"/>
          <w:szCs w:val="32"/>
        </w:rPr>
        <w:t>支出保证了工作的顺利开展，扎实开展基层基础工作，按计划完成，社会效益较好，项目可持续性强，</w:t>
      </w:r>
      <w:r>
        <w:rPr>
          <w:rFonts w:hint="eastAsia" w:hAnsi="仿宋_GB2312" w:eastAsia="仿宋_GB2312"/>
          <w:sz w:val="32"/>
          <w:szCs w:val="32"/>
          <w:lang w:eastAsia="zh-CN"/>
        </w:rPr>
        <w:t>我镇</w:t>
      </w:r>
      <w:r>
        <w:rPr>
          <w:rFonts w:hint="eastAsia" w:hAnsi="仿宋_GB2312" w:eastAsia="仿宋_GB2312"/>
          <w:sz w:val="32"/>
          <w:szCs w:val="32"/>
        </w:rPr>
        <w:t>将进一步加强财务管理、完善财务制度，使今后的财务绩效工作完成得更好。</w:t>
      </w:r>
    </w:p>
    <w:p>
      <w:pPr>
        <w:spacing w:line="576" w:lineRule="exact"/>
        <w:ind w:firstLine="640" w:firstLineChars="200"/>
        <w:outlineLvl w:val="1"/>
        <w:rPr>
          <w:rFonts w:ascii="黑体" w:hAnsi="黑体" w:eastAsia="黑体" w:cs="黑体"/>
          <w:sz w:val="32"/>
          <w:szCs w:val="32"/>
        </w:rPr>
      </w:pPr>
      <w:bookmarkStart w:id="77" w:name="_Toc18511"/>
      <w:bookmarkStart w:id="78" w:name="_Toc31006"/>
      <w:r>
        <w:rPr>
          <w:rFonts w:hint="eastAsia" w:ascii="黑体" w:hAnsi="黑体" w:eastAsia="黑体" w:cs="黑体"/>
          <w:sz w:val="32"/>
          <w:szCs w:val="32"/>
        </w:rPr>
        <w:t>五、存在的主要问题</w:t>
      </w:r>
      <w:bookmarkEnd w:id="77"/>
      <w:bookmarkEnd w:id="78"/>
    </w:p>
    <w:p>
      <w:pPr>
        <w:widowControl w:val="0"/>
        <w:numPr>
          <w:ilvl w:val="0"/>
          <w:numId w:val="0"/>
        </w:numPr>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1.‌绩效管理不到位‌：‌预算单位绩效目标填报内容不规范、‌不完整。</w:t>
      </w:r>
    </w:p>
    <w:p>
      <w:pPr>
        <w:widowControl w:val="0"/>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2.‌绩效管理体制、‌机制不健全‌：‌缺乏绩效评价协调机制，‌绩效激励约束机制尚未建立。</w:t>
      </w:r>
    </w:p>
    <w:p>
      <w:pPr>
        <w:widowControl w:val="0"/>
        <w:overflowPunct w:val="0"/>
        <w:autoSpaceDE/>
        <w:autoSpaceDN/>
        <w:snapToGrid w:val="0"/>
        <w:spacing w:line="540" w:lineRule="atLeast"/>
        <w:ind w:firstLine="640" w:firstLineChars="200"/>
        <w:contextualSpacing/>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3.‌目标设定不够合理‌：‌绩效目标与产出的数量指标、‌质量指标缺乏对应性，‌部分项目效果指标无法衡量。</w:t>
      </w:r>
    </w:p>
    <w:p>
      <w:pPr>
        <w:spacing w:line="576" w:lineRule="exact"/>
        <w:ind w:firstLine="640" w:firstLineChars="200"/>
        <w:rPr>
          <w:rFonts w:hAnsi="仿宋_GB2312" w:eastAsia="仿宋_GB2312"/>
          <w:sz w:val="32"/>
          <w:szCs w:val="32"/>
        </w:rPr>
      </w:pPr>
    </w:p>
    <w:p>
      <w:pPr>
        <w:spacing w:line="576" w:lineRule="exact"/>
        <w:ind w:firstLine="640" w:firstLineChars="200"/>
        <w:outlineLvl w:val="1"/>
        <w:rPr>
          <w:rFonts w:ascii="宋体" w:hAnsi="宋体" w:eastAsia="黑体" w:cs="宋体"/>
          <w:kern w:val="0"/>
          <w:sz w:val="32"/>
          <w:szCs w:val="32"/>
        </w:rPr>
      </w:pPr>
      <w:bookmarkStart w:id="79" w:name="_Toc23163"/>
      <w:bookmarkStart w:id="80" w:name="_Toc13033"/>
      <w:r>
        <w:rPr>
          <w:rFonts w:hint="eastAsia" w:ascii="宋体" w:hAnsi="宋体" w:eastAsia="黑体" w:cs="宋体"/>
          <w:kern w:val="0"/>
          <w:sz w:val="32"/>
          <w:szCs w:val="32"/>
        </w:rPr>
        <w:t>六、相关措施建议</w:t>
      </w:r>
      <w:bookmarkEnd w:id="79"/>
      <w:bookmarkEnd w:id="80"/>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hAnsi="仿宋_GB2312" w:eastAsia="仿宋_GB2312" w:cs="仿宋_GB2312"/>
          <w:b w:val="0"/>
          <w:b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.完善绩效管理体系，‌建立健全绩效管理机制。</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sectPr>
          <w:headerReference r:id="rId5" w:type="default"/>
          <w:footerReference r:id="rId6" w:type="default"/>
          <w:pgSz w:w="11906" w:h="16838"/>
          <w:pgMar w:top="1800" w:right="1440" w:bottom="1800" w:left="1440" w:header="851" w:footer="992" w:gutter="0"/>
          <w:pgNumType w:fmt="decimal"/>
          <w:cols w:space="425" w:num="1"/>
          <w:titlePg/>
          <w:docGrid w:type="lines" w:linePitch="312" w:charSpace="0"/>
        </w:sectPr>
      </w:pPr>
      <w:r>
        <w:rPr>
          <w:rFonts w:hint="eastAsia" w:hAnsi="仿宋_GB2312" w:eastAsia="仿宋_GB2312" w:cs="仿宋_GB2312"/>
          <w:b w:val="0"/>
          <w:b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.‌‌科学设定绩效目标，‌确保目标可衡量、‌可实现。既符合单位的长期发展战略，‌又能够反映短期内的实际工作需</w:t>
      </w:r>
      <w:r>
        <w:rPr>
          <w:rFonts w:hint="eastAsia" w:hAnsi="仿宋_GB2312" w:eastAsia="仿宋_GB2312" w:cs="仿宋_GB2312"/>
          <w:b w:val="0"/>
          <w:bCs w:val="0"/>
          <w:color w:val="000000"/>
          <w:kern w:val="0"/>
          <w:sz w:val="32"/>
          <w:szCs w:val="32"/>
          <w:highlight w:val="none"/>
          <w:shd w:val="clear" w:color="auto" w:fill="FFFFFF"/>
          <w:lang w:val="zh-CN" w:eastAsia="zh-CN"/>
        </w:rPr>
        <w:t>要。</w:t>
      </w:r>
    </w:p>
    <w:p>
      <w:pPr>
        <w:autoSpaceDE w:val="0"/>
        <w:autoSpaceDN w:val="0"/>
        <w:adjustRightInd w:val="0"/>
        <w:spacing w:line="600" w:lineRule="exact"/>
        <w:jc w:val="both"/>
        <w:rPr>
          <w:rFonts w:ascii="仿宋" w:hAnsi="仿宋" w:eastAsia="仿宋"/>
          <w:b/>
          <w:bCs w:val="0"/>
          <w:color w:val="auto"/>
          <w:sz w:val="32"/>
          <w:szCs w:val="32"/>
          <w:highlight w:val="yellow"/>
        </w:rPr>
      </w:pPr>
    </w:p>
    <w:p>
      <w:pPr>
        <w:pStyle w:val="2"/>
        <w:jc w:val="center"/>
        <w:rPr>
          <w:rStyle w:val="22"/>
          <w:rFonts w:hint="eastAsia" w:ascii="黑体" w:hAnsi="黑体" w:eastAsia="黑体" w:cs="Times New Roman"/>
          <w:b w:val="0"/>
          <w:bCs/>
          <w:color w:val="auto"/>
          <w:highlight w:val="none"/>
        </w:rPr>
      </w:pPr>
      <w:bookmarkStart w:id="81" w:name="_Toc93_WPSOffice_Level1"/>
      <w:r>
        <w:rPr>
          <w:rStyle w:val="22"/>
          <w:rFonts w:hint="eastAsia" w:ascii="黑体" w:hAnsi="黑体" w:eastAsia="黑体" w:cs="Times New Roman"/>
          <w:b w:val="0"/>
          <w:bCs/>
          <w:color w:val="auto"/>
          <w:highlight w:val="none"/>
        </w:rPr>
        <w:t>第五部分 附表</w:t>
      </w:r>
      <w:bookmarkEnd w:id="81"/>
    </w:p>
    <w:p>
      <w:pPr>
        <w:pStyle w:val="2"/>
        <w:rPr>
          <w:rFonts w:ascii="仿宋" w:hAnsi="仿宋" w:eastAsia="仿宋"/>
          <w:color w:val="auto"/>
          <w:highlight w:val="none"/>
        </w:rPr>
      </w:pPr>
      <w:bookmarkStart w:id="82" w:name="_Toc31081_WPSOffice_Level2"/>
      <w:r>
        <w:rPr>
          <w:rFonts w:hint="eastAsia" w:ascii="仿宋" w:hAnsi="仿宋" w:eastAsia="仿宋"/>
          <w:b w:val="0"/>
          <w:color w:val="auto"/>
          <w:highlight w:val="none"/>
        </w:rPr>
        <w:t>一、收</w:t>
      </w:r>
      <w:r>
        <w:rPr>
          <w:rStyle w:val="23"/>
          <w:rFonts w:hint="eastAsia" w:ascii="仿宋" w:hAnsi="仿宋" w:eastAsia="仿宋"/>
          <w:b w:val="0"/>
          <w:bCs w:val="0"/>
          <w:color w:val="auto"/>
          <w:highlight w:val="none"/>
        </w:rPr>
        <w:t>入支出决算总表</w:t>
      </w:r>
      <w:bookmarkEnd w:id="82"/>
    </w:p>
    <w:p>
      <w:pPr>
        <w:pStyle w:val="2"/>
        <w:rPr>
          <w:rFonts w:ascii="仿宋" w:hAnsi="仿宋" w:eastAsia="仿宋"/>
          <w:color w:val="auto"/>
          <w:highlight w:val="none"/>
        </w:rPr>
      </w:pPr>
      <w:bookmarkStart w:id="83" w:name="_Toc15919_WPSOffice_Level2"/>
      <w:r>
        <w:rPr>
          <w:rFonts w:hint="eastAsia" w:ascii="仿宋" w:hAnsi="仿宋" w:eastAsia="仿宋"/>
          <w:b w:val="0"/>
          <w:color w:val="auto"/>
          <w:highlight w:val="none"/>
        </w:rPr>
        <w:t>二、收</w:t>
      </w:r>
      <w:r>
        <w:rPr>
          <w:rStyle w:val="23"/>
          <w:rFonts w:hint="eastAsia" w:ascii="仿宋" w:hAnsi="仿宋" w:eastAsia="仿宋"/>
          <w:b w:val="0"/>
          <w:bCs w:val="0"/>
          <w:color w:val="auto"/>
          <w:highlight w:val="none"/>
        </w:rPr>
        <w:t>入决算表</w:t>
      </w:r>
      <w:bookmarkEnd w:id="83"/>
    </w:p>
    <w:p>
      <w:pPr>
        <w:pStyle w:val="2"/>
        <w:rPr>
          <w:rFonts w:ascii="仿宋" w:hAnsi="仿宋" w:eastAsia="仿宋"/>
          <w:color w:val="auto"/>
          <w:highlight w:val="none"/>
        </w:rPr>
      </w:pPr>
      <w:bookmarkStart w:id="84" w:name="_Toc24014_WPSOffice_Level2"/>
      <w:r>
        <w:rPr>
          <w:rStyle w:val="2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3"/>
          <w:rFonts w:hint="eastAsia" w:ascii="仿宋" w:hAnsi="仿宋" w:eastAsia="仿宋"/>
          <w:b w:val="0"/>
          <w:bCs w:val="0"/>
          <w:color w:val="auto"/>
          <w:highlight w:val="none"/>
        </w:rPr>
        <w:t>出决算表</w:t>
      </w:r>
      <w:bookmarkEnd w:id="84"/>
    </w:p>
    <w:p>
      <w:pPr>
        <w:pStyle w:val="2"/>
        <w:rPr>
          <w:rFonts w:ascii="仿宋" w:hAnsi="仿宋" w:eastAsia="仿宋"/>
          <w:b w:val="0"/>
          <w:color w:val="auto"/>
          <w:highlight w:val="none"/>
        </w:rPr>
      </w:pPr>
      <w:bookmarkStart w:id="85" w:name="_Toc32012_WPSOffice_Level2"/>
      <w:r>
        <w:rPr>
          <w:rStyle w:val="2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政拨款收入支出决算总表</w:t>
      </w:r>
      <w:bookmarkEnd w:id="85"/>
    </w:p>
    <w:p>
      <w:pPr>
        <w:pStyle w:val="2"/>
        <w:rPr>
          <w:rStyle w:val="23"/>
          <w:rFonts w:ascii="仿宋" w:hAnsi="仿宋" w:eastAsia="仿宋"/>
          <w:b w:val="0"/>
          <w:bCs w:val="0"/>
          <w:color w:val="auto"/>
          <w:highlight w:val="none"/>
        </w:rPr>
      </w:pPr>
      <w:bookmarkStart w:id="86" w:name="_Toc3373_WPSOffice_Level2"/>
      <w:r>
        <w:rPr>
          <w:rStyle w:val="2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3"/>
          <w:rFonts w:hint="eastAsia" w:ascii="仿宋" w:hAnsi="仿宋" w:eastAsia="仿宋"/>
          <w:b w:val="0"/>
          <w:bCs w:val="0"/>
          <w:color w:val="auto"/>
          <w:highlight w:val="none"/>
        </w:rPr>
        <w:t>政拨款支出决算明细表</w:t>
      </w:r>
      <w:bookmarkEnd w:id="86"/>
    </w:p>
    <w:p>
      <w:pPr>
        <w:pStyle w:val="2"/>
        <w:rPr>
          <w:rFonts w:ascii="仿宋" w:hAnsi="仿宋" w:eastAsia="仿宋"/>
          <w:color w:val="auto"/>
          <w:highlight w:val="none"/>
        </w:rPr>
      </w:pPr>
      <w:bookmarkStart w:id="87" w:name="_Toc6826_WPSOffice_Level2"/>
      <w:r>
        <w:rPr>
          <w:rStyle w:val="2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般公共预算财政拨款支出决算表</w:t>
      </w:r>
      <w:bookmarkEnd w:id="87"/>
    </w:p>
    <w:p>
      <w:pPr>
        <w:pStyle w:val="2"/>
        <w:rPr>
          <w:rFonts w:ascii="仿宋" w:hAnsi="仿宋" w:eastAsia="仿宋"/>
          <w:color w:val="auto"/>
          <w:highlight w:val="none"/>
        </w:rPr>
      </w:pPr>
      <w:bookmarkStart w:id="88" w:name="_Toc25160_WPSOffice_Level2"/>
      <w:r>
        <w:rPr>
          <w:rStyle w:val="2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般公共预算财政拨款支出决算明细表</w:t>
      </w:r>
      <w:bookmarkEnd w:id="88"/>
    </w:p>
    <w:p>
      <w:pPr>
        <w:pStyle w:val="2"/>
        <w:rPr>
          <w:rFonts w:ascii="仿宋" w:hAnsi="仿宋" w:eastAsia="仿宋"/>
          <w:color w:val="auto"/>
          <w:highlight w:val="none"/>
        </w:rPr>
      </w:pPr>
      <w:bookmarkStart w:id="89" w:name="_Toc32289_WPSOffice_Level2"/>
      <w:r>
        <w:rPr>
          <w:rStyle w:val="2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般公共预算财政拨款基本支出决算表</w:t>
      </w:r>
      <w:bookmarkEnd w:id="89"/>
    </w:p>
    <w:p>
      <w:pPr>
        <w:pStyle w:val="2"/>
        <w:rPr>
          <w:rFonts w:ascii="仿宋" w:hAnsi="仿宋" w:eastAsia="仿宋"/>
          <w:color w:val="auto"/>
          <w:highlight w:val="none"/>
        </w:rPr>
      </w:pPr>
      <w:bookmarkStart w:id="90" w:name="_Toc18856_WPSOffice_Level2"/>
      <w:r>
        <w:rPr>
          <w:rStyle w:val="2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3"/>
          <w:rFonts w:hint="eastAsia" w:ascii="仿宋" w:hAnsi="仿宋" w:eastAsia="仿宋"/>
          <w:b w:val="0"/>
          <w:bCs w:val="0"/>
          <w:color w:val="auto"/>
          <w:highlight w:val="none"/>
        </w:rPr>
        <w:t>般公共预算财政拨款项目支出决算表</w:t>
      </w:r>
      <w:bookmarkEnd w:id="90"/>
    </w:p>
    <w:p>
      <w:pPr>
        <w:pStyle w:val="2"/>
        <w:rPr>
          <w:rFonts w:ascii="仿宋" w:hAnsi="仿宋" w:eastAsia="仿宋"/>
          <w:color w:val="auto"/>
          <w:highlight w:val="none"/>
        </w:rPr>
      </w:pPr>
      <w:bookmarkStart w:id="91" w:name="_Toc25672_WPSOffice_Level2"/>
      <w:r>
        <w:rPr>
          <w:rStyle w:val="23"/>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3"/>
          <w:rFonts w:hint="eastAsia" w:ascii="仿宋" w:hAnsi="仿宋" w:eastAsia="仿宋"/>
          <w:b w:val="0"/>
          <w:bCs w:val="0"/>
          <w:color w:val="auto"/>
          <w:highlight w:val="none"/>
        </w:rPr>
        <w:t>府性基金预算财政拨款收入支出决算表</w:t>
      </w:r>
      <w:bookmarkEnd w:id="91"/>
    </w:p>
    <w:p>
      <w:pPr>
        <w:pStyle w:val="2"/>
        <w:rPr>
          <w:rFonts w:ascii="仿宋" w:hAnsi="仿宋" w:eastAsia="仿宋"/>
          <w:color w:val="auto"/>
          <w:highlight w:val="none"/>
        </w:rPr>
      </w:pPr>
      <w:bookmarkStart w:id="92" w:name="_Toc19837_WPSOffice_Level2"/>
      <w:r>
        <w:rPr>
          <w:rStyle w:val="23"/>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3"/>
          <w:rFonts w:hint="eastAsia" w:ascii="仿宋" w:hAnsi="仿宋" w:eastAsia="仿宋"/>
          <w:b w:val="0"/>
          <w:bCs w:val="0"/>
          <w:color w:val="auto"/>
          <w:highlight w:val="none"/>
        </w:rPr>
        <w:t>有资本经营预算</w:t>
      </w:r>
      <w:r>
        <w:rPr>
          <w:rStyle w:val="23"/>
          <w:rFonts w:hint="eastAsia" w:ascii="仿宋" w:hAnsi="仿宋" w:eastAsia="仿宋"/>
          <w:b w:val="0"/>
          <w:bCs w:val="0"/>
          <w:color w:val="auto"/>
          <w:highlight w:val="none"/>
          <w:lang w:eastAsia="zh-CN"/>
        </w:rPr>
        <w:t>财政拨款收入</w:t>
      </w:r>
      <w:r>
        <w:rPr>
          <w:rStyle w:val="23"/>
          <w:rFonts w:hint="eastAsia" w:ascii="仿宋" w:hAnsi="仿宋" w:eastAsia="仿宋"/>
          <w:b w:val="0"/>
          <w:bCs w:val="0"/>
          <w:color w:val="auto"/>
          <w:highlight w:val="none"/>
        </w:rPr>
        <w:t>支出决算表</w:t>
      </w:r>
      <w:bookmarkEnd w:id="92"/>
    </w:p>
    <w:p>
      <w:pPr>
        <w:pStyle w:val="2"/>
        <w:rPr>
          <w:rFonts w:ascii="仿宋" w:hAnsi="仿宋" w:eastAsia="仿宋"/>
          <w:color w:val="auto"/>
          <w:highlight w:val="none"/>
        </w:rPr>
      </w:pPr>
      <w:bookmarkStart w:id="93" w:name="_Toc5270_WPSOffice_Level2"/>
      <w:r>
        <w:rPr>
          <w:rStyle w:val="23"/>
          <w:rFonts w:hint="eastAsia" w:ascii="仿宋" w:hAnsi="仿宋" w:eastAsia="仿宋"/>
          <w:b w:val="0"/>
          <w:bCs w:val="0"/>
          <w:color w:val="auto"/>
          <w:highlight w:val="none"/>
        </w:rPr>
        <w:t>十二、</w:t>
      </w:r>
      <w:r>
        <w:rPr>
          <w:rStyle w:val="23"/>
          <w:rFonts w:hint="eastAsia" w:ascii="仿宋" w:hAnsi="仿宋" w:eastAsia="仿宋"/>
          <w:b w:val="0"/>
          <w:bCs w:val="0"/>
          <w:color w:val="auto"/>
          <w:highlight w:val="none"/>
          <w:lang w:eastAsia="zh-CN"/>
        </w:rPr>
        <w:t>国有资本经营预算财政拨款支出决算表</w:t>
      </w:r>
      <w:bookmarkEnd w:id="93"/>
    </w:p>
    <w:p>
      <w:pPr>
        <w:pStyle w:val="2"/>
        <w:rPr>
          <w:rFonts w:hint="eastAsia" w:eastAsia="仿宋"/>
          <w:color w:val="auto"/>
          <w:highlight w:val="none"/>
          <w:lang w:eastAsia="zh-CN"/>
        </w:rPr>
      </w:pPr>
      <w:bookmarkStart w:id="94" w:name="_Toc27987_WPSOffice_Level2"/>
      <w:r>
        <w:rPr>
          <w:rStyle w:val="23"/>
          <w:rFonts w:hint="eastAsia" w:ascii="仿宋" w:hAnsi="仿宋" w:eastAsia="仿宋"/>
          <w:b w:val="0"/>
          <w:bCs w:val="0"/>
          <w:color w:val="auto"/>
          <w:highlight w:val="none"/>
        </w:rPr>
        <w:t>十三、</w:t>
      </w:r>
      <w:r>
        <w:rPr>
          <w:rStyle w:val="23"/>
          <w:rFonts w:hint="eastAsia" w:ascii="仿宋" w:hAnsi="仿宋" w:eastAsia="仿宋"/>
          <w:b w:val="0"/>
          <w:bCs w:val="0"/>
          <w:color w:val="auto"/>
          <w:highlight w:val="none"/>
          <w:lang w:eastAsia="zh-CN"/>
        </w:rPr>
        <w:t>财政拨款“三公”经费支出决算表</w:t>
      </w:r>
      <w:bookmarkEnd w:id="94"/>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bookmarkEnd w:id="51"/>
    <w:p>
      <w:pPr>
        <w:pStyle w:val="2"/>
        <w:rPr>
          <w:rFonts w:eastAsia="仿宋"/>
        </w:rPr>
      </w:pPr>
    </w:p>
    <w:sectPr>
      <w:headerReference r:id="rId7" w:type="defaul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68</w:t>
                </w:r>
                <w:r>
                  <w:fldChar w:fldCharType="end"/>
                </w:r>
              </w:p>
            </w:txbxContent>
          </v:textbox>
        </v:shape>
      </w:pict>
    </w:r>
    <w:r>
      <w:rPr>
        <w:rFonts w:hint="eastAsia"/>
      </w:rPr>
      <w:t>69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54EC"/>
    <w:multiLevelType w:val="singleLevel"/>
    <w:tmpl w:val="971454EC"/>
    <w:lvl w:ilvl="0" w:tentative="0">
      <w:start w:val="1"/>
      <w:numFmt w:val="decimal"/>
      <w:suff w:val="nothing"/>
      <w:lvlText w:val="%1、"/>
      <w:lvlJc w:val="left"/>
    </w:lvl>
  </w:abstractNum>
  <w:abstractNum w:abstractNumId="1">
    <w:nsid w:val="A8956998"/>
    <w:multiLevelType w:val="singleLevel"/>
    <w:tmpl w:val="A8956998"/>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302A940"/>
    <w:multiLevelType w:val="singleLevel"/>
    <w:tmpl w:val="D302A940"/>
    <w:lvl w:ilvl="0" w:tentative="0">
      <w:start w:val="2"/>
      <w:numFmt w:val="chineseCounting"/>
      <w:suff w:val="nothing"/>
      <w:lvlText w:val="（%1）"/>
      <w:lvlJc w:val="left"/>
      <w:pPr>
        <w:ind w:left="-10"/>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14D50EC"/>
    <w:multiLevelType w:val="multilevel"/>
    <w:tmpl w:val="214D50EC"/>
    <w:lvl w:ilvl="0" w:tentative="0">
      <w:start w:val="1"/>
      <w:numFmt w:val="japaneseCounting"/>
      <w:lvlText w:val="%1、"/>
      <w:lvlJc w:val="left"/>
      <w:pPr>
        <w:ind w:left="802"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A63B3F"/>
    <w:multiLevelType w:val="multilevel"/>
    <w:tmpl w:val="5BA63B3F"/>
    <w:lvl w:ilvl="0" w:tentative="0">
      <w:start w:val="1"/>
      <w:numFmt w:val="japaneseCounting"/>
      <w:lvlText w:val="（%1）"/>
      <w:lvlJc w:val="left"/>
      <w:pPr>
        <w:ind w:left="1585" w:hanging="94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6642C18E"/>
    <w:multiLevelType w:val="singleLevel"/>
    <w:tmpl w:val="6642C18E"/>
    <w:lvl w:ilvl="0" w:tentative="0">
      <w:start w:val="2"/>
      <w:numFmt w:val="chineseCounting"/>
      <w:suff w:val="nothing"/>
      <w:lvlText w:val="（%1）"/>
      <w:lvlJc w:val="left"/>
      <w:rPr>
        <w:rFonts w:hint="eastAsia"/>
      </w:rPr>
    </w:lvl>
  </w:abstractNum>
  <w:num w:numId="1">
    <w:abstractNumId w:val="6"/>
  </w:num>
  <w:num w:numId="2">
    <w:abstractNumId w:val="7"/>
  </w:num>
  <w:num w:numId="3">
    <w:abstractNumId w:val="5"/>
  </w:num>
  <w:num w:numId="4">
    <w:abstractNumId w:val="2"/>
  </w:num>
  <w:num w:numId="5">
    <w:abstractNumId w:val="4"/>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ZlOTM2ODk0NjU5ZjJlNDEyOGQ2NTI4MDdhYTAwM2QifQ=="/>
  </w:docVars>
  <w:rsids>
    <w:rsidRoot w:val="00F1361C"/>
    <w:rsid w:val="000222C6"/>
    <w:rsid w:val="0002549F"/>
    <w:rsid w:val="000468DB"/>
    <w:rsid w:val="0006487A"/>
    <w:rsid w:val="00065F8F"/>
    <w:rsid w:val="00070A43"/>
    <w:rsid w:val="00074FA9"/>
    <w:rsid w:val="000768F2"/>
    <w:rsid w:val="0009184B"/>
    <w:rsid w:val="000927CD"/>
    <w:rsid w:val="00094236"/>
    <w:rsid w:val="0009593C"/>
    <w:rsid w:val="00097322"/>
    <w:rsid w:val="000A6A92"/>
    <w:rsid w:val="000B047F"/>
    <w:rsid w:val="000B0E59"/>
    <w:rsid w:val="000B5923"/>
    <w:rsid w:val="000B5A48"/>
    <w:rsid w:val="000B6FF3"/>
    <w:rsid w:val="000C13B3"/>
    <w:rsid w:val="000C3208"/>
    <w:rsid w:val="000C3467"/>
    <w:rsid w:val="000C3CA6"/>
    <w:rsid w:val="000D0EEB"/>
    <w:rsid w:val="000D1267"/>
    <w:rsid w:val="000D1D50"/>
    <w:rsid w:val="000D5782"/>
    <w:rsid w:val="000D7E27"/>
    <w:rsid w:val="000E2162"/>
    <w:rsid w:val="000E6613"/>
    <w:rsid w:val="000E7119"/>
    <w:rsid w:val="00114E9B"/>
    <w:rsid w:val="00121A3C"/>
    <w:rsid w:val="00142216"/>
    <w:rsid w:val="00144D6A"/>
    <w:rsid w:val="0014729F"/>
    <w:rsid w:val="00156330"/>
    <w:rsid w:val="00157BAB"/>
    <w:rsid w:val="001654D1"/>
    <w:rsid w:val="00174518"/>
    <w:rsid w:val="0018106D"/>
    <w:rsid w:val="00182560"/>
    <w:rsid w:val="001827ED"/>
    <w:rsid w:val="001877A7"/>
    <w:rsid w:val="00191536"/>
    <w:rsid w:val="00196687"/>
    <w:rsid w:val="001A4D63"/>
    <w:rsid w:val="001B760C"/>
    <w:rsid w:val="001C0962"/>
    <w:rsid w:val="001C55E8"/>
    <w:rsid w:val="001D7531"/>
    <w:rsid w:val="001E737D"/>
    <w:rsid w:val="001F0592"/>
    <w:rsid w:val="001F7506"/>
    <w:rsid w:val="002006CD"/>
    <w:rsid w:val="00202B36"/>
    <w:rsid w:val="00204B7A"/>
    <w:rsid w:val="00204CDE"/>
    <w:rsid w:val="0020786F"/>
    <w:rsid w:val="0021101A"/>
    <w:rsid w:val="00220536"/>
    <w:rsid w:val="00235629"/>
    <w:rsid w:val="00260C38"/>
    <w:rsid w:val="002616C0"/>
    <w:rsid w:val="00265372"/>
    <w:rsid w:val="002662AA"/>
    <w:rsid w:val="00280496"/>
    <w:rsid w:val="002835EB"/>
    <w:rsid w:val="00294DC9"/>
    <w:rsid w:val="00295495"/>
    <w:rsid w:val="002A31DE"/>
    <w:rsid w:val="002A658E"/>
    <w:rsid w:val="002B2613"/>
    <w:rsid w:val="002B6493"/>
    <w:rsid w:val="002C1022"/>
    <w:rsid w:val="002D6D05"/>
    <w:rsid w:val="002E03D5"/>
    <w:rsid w:val="002F1818"/>
    <w:rsid w:val="002F567B"/>
    <w:rsid w:val="00313940"/>
    <w:rsid w:val="00320F0A"/>
    <w:rsid w:val="003216A9"/>
    <w:rsid w:val="00335A74"/>
    <w:rsid w:val="0036561B"/>
    <w:rsid w:val="0037013F"/>
    <w:rsid w:val="00380C92"/>
    <w:rsid w:val="003A484F"/>
    <w:rsid w:val="003A4883"/>
    <w:rsid w:val="003B0A0C"/>
    <w:rsid w:val="003B0BE0"/>
    <w:rsid w:val="003B0C1B"/>
    <w:rsid w:val="003B688C"/>
    <w:rsid w:val="003C0291"/>
    <w:rsid w:val="003C349D"/>
    <w:rsid w:val="003C39AE"/>
    <w:rsid w:val="003C5AE9"/>
    <w:rsid w:val="003C7B60"/>
    <w:rsid w:val="003D0C0F"/>
    <w:rsid w:val="003D1FB2"/>
    <w:rsid w:val="003D66DA"/>
    <w:rsid w:val="003E1310"/>
    <w:rsid w:val="003E6F55"/>
    <w:rsid w:val="003E7738"/>
    <w:rsid w:val="003E784B"/>
    <w:rsid w:val="003F1892"/>
    <w:rsid w:val="00406254"/>
    <w:rsid w:val="004223DE"/>
    <w:rsid w:val="0043340C"/>
    <w:rsid w:val="00434489"/>
    <w:rsid w:val="00437085"/>
    <w:rsid w:val="00443880"/>
    <w:rsid w:val="004464F4"/>
    <w:rsid w:val="00460096"/>
    <w:rsid w:val="0046578A"/>
    <w:rsid w:val="00471401"/>
    <w:rsid w:val="00473F31"/>
    <w:rsid w:val="00481CA7"/>
    <w:rsid w:val="0048263A"/>
    <w:rsid w:val="00483F20"/>
    <w:rsid w:val="00487E5D"/>
    <w:rsid w:val="004A711F"/>
    <w:rsid w:val="004B199D"/>
    <w:rsid w:val="004B4690"/>
    <w:rsid w:val="004C17B2"/>
    <w:rsid w:val="004C45C2"/>
    <w:rsid w:val="004D24DE"/>
    <w:rsid w:val="004E0A2D"/>
    <w:rsid w:val="004E206B"/>
    <w:rsid w:val="004E69F8"/>
    <w:rsid w:val="004E6DF7"/>
    <w:rsid w:val="004F0FBD"/>
    <w:rsid w:val="00505A47"/>
    <w:rsid w:val="00512FDA"/>
    <w:rsid w:val="00520DA0"/>
    <w:rsid w:val="00526CA4"/>
    <w:rsid w:val="00560AD0"/>
    <w:rsid w:val="005664BB"/>
    <w:rsid w:val="00566FFA"/>
    <w:rsid w:val="0057481D"/>
    <w:rsid w:val="0058486E"/>
    <w:rsid w:val="00585B33"/>
    <w:rsid w:val="0059014D"/>
    <w:rsid w:val="00590714"/>
    <w:rsid w:val="0059127D"/>
    <w:rsid w:val="00591F84"/>
    <w:rsid w:val="005A6CB5"/>
    <w:rsid w:val="005B5C64"/>
    <w:rsid w:val="005C5337"/>
    <w:rsid w:val="005C6BD0"/>
    <w:rsid w:val="005D0BB5"/>
    <w:rsid w:val="005D1C8B"/>
    <w:rsid w:val="005D468D"/>
    <w:rsid w:val="005D5BB6"/>
    <w:rsid w:val="005D5CED"/>
    <w:rsid w:val="005F1A4C"/>
    <w:rsid w:val="00600DC1"/>
    <w:rsid w:val="00602F41"/>
    <w:rsid w:val="00605688"/>
    <w:rsid w:val="006070AF"/>
    <w:rsid w:val="00607E6C"/>
    <w:rsid w:val="006101B1"/>
    <w:rsid w:val="00614E44"/>
    <w:rsid w:val="0062270A"/>
    <w:rsid w:val="00622830"/>
    <w:rsid w:val="00623DA0"/>
    <w:rsid w:val="006262AE"/>
    <w:rsid w:val="00630AEF"/>
    <w:rsid w:val="006325F8"/>
    <w:rsid w:val="00633463"/>
    <w:rsid w:val="00634C9A"/>
    <w:rsid w:val="00637938"/>
    <w:rsid w:val="006409AD"/>
    <w:rsid w:val="006412D5"/>
    <w:rsid w:val="006440E4"/>
    <w:rsid w:val="00654B90"/>
    <w:rsid w:val="00655E40"/>
    <w:rsid w:val="0066343B"/>
    <w:rsid w:val="00664777"/>
    <w:rsid w:val="006748A4"/>
    <w:rsid w:val="00681A31"/>
    <w:rsid w:val="00683E73"/>
    <w:rsid w:val="006A3141"/>
    <w:rsid w:val="006A5E34"/>
    <w:rsid w:val="006A7D63"/>
    <w:rsid w:val="006B17A5"/>
    <w:rsid w:val="006B2422"/>
    <w:rsid w:val="006B2B9A"/>
    <w:rsid w:val="006C1937"/>
    <w:rsid w:val="006E2B54"/>
    <w:rsid w:val="006F020C"/>
    <w:rsid w:val="007127B7"/>
    <w:rsid w:val="0071798E"/>
    <w:rsid w:val="00726030"/>
    <w:rsid w:val="007416B6"/>
    <w:rsid w:val="00746F48"/>
    <w:rsid w:val="0075404D"/>
    <w:rsid w:val="0076182A"/>
    <w:rsid w:val="00767B7E"/>
    <w:rsid w:val="007734A4"/>
    <w:rsid w:val="007770C3"/>
    <w:rsid w:val="00784D24"/>
    <w:rsid w:val="00785FBA"/>
    <w:rsid w:val="00786E4A"/>
    <w:rsid w:val="007875EB"/>
    <w:rsid w:val="0079426B"/>
    <w:rsid w:val="0079459E"/>
    <w:rsid w:val="00797CE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057"/>
    <w:rsid w:val="00850625"/>
    <w:rsid w:val="00853718"/>
    <w:rsid w:val="00855221"/>
    <w:rsid w:val="00860645"/>
    <w:rsid w:val="00863BC8"/>
    <w:rsid w:val="00871F71"/>
    <w:rsid w:val="00872FD8"/>
    <w:rsid w:val="00885AF4"/>
    <w:rsid w:val="008934EF"/>
    <w:rsid w:val="008939CD"/>
    <w:rsid w:val="008953D4"/>
    <w:rsid w:val="008B389D"/>
    <w:rsid w:val="008B768C"/>
    <w:rsid w:val="008C3391"/>
    <w:rsid w:val="008C4DB1"/>
    <w:rsid w:val="008C4EAF"/>
    <w:rsid w:val="008C5176"/>
    <w:rsid w:val="008C7FD0"/>
    <w:rsid w:val="008E1DE7"/>
    <w:rsid w:val="008E5E73"/>
    <w:rsid w:val="008E707C"/>
    <w:rsid w:val="00900B08"/>
    <w:rsid w:val="00902155"/>
    <w:rsid w:val="00902FA3"/>
    <w:rsid w:val="0091776D"/>
    <w:rsid w:val="00923564"/>
    <w:rsid w:val="0092392E"/>
    <w:rsid w:val="00930799"/>
    <w:rsid w:val="009315F9"/>
    <w:rsid w:val="00933499"/>
    <w:rsid w:val="00935C98"/>
    <w:rsid w:val="00940EA1"/>
    <w:rsid w:val="00945D27"/>
    <w:rsid w:val="00946945"/>
    <w:rsid w:val="00951248"/>
    <w:rsid w:val="0095152F"/>
    <w:rsid w:val="009542F2"/>
    <w:rsid w:val="00954C49"/>
    <w:rsid w:val="00955E37"/>
    <w:rsid w:val="0097099F"/>
    <w:rsid w:val="00971997"/>
    <w:rsid w:val="00971FFC"/>
    <w:rsid w:val="0098660A"/>
    <w:rsid w:val="009931C3"/>
    <w:rsid w:val="009A72E4"/>
    <w:rsid w:val="009B2C43"/>
    <w:rsid w:val="009B4EAE"/>
    <w:rsid w:val="009B7573"/>
    <w:rsid w:val="009C0ED9"/>
    <w:rsid w:val="009C22F4"/>
    <w:rsid w:val="009C2A4B"/>
    <w:rsid w:val="009C2BA1"/>
    <w:rsid w:val="009C2E98"/>
    <w:rsid w:val="009C2F25"/>
    <w:rsid w:val="009D3447"/>
    <w:rsid w:val="009D4711"/>
    <w:rsid w:val="009E21D0"/>
    <w:rsid w:val="009F1185"/>
    <w:rsid w:val="009F18CD"/>
    <w:rsid w:val="009F2A13"/>
    <w:rsid w:val="009F7527"/>
    <w:rsid w:val="00A04EB0"/>
    <w:rsid w:val="00A07D44"/>
    <w:rsid w:val="00A13CC1"/>
    <w:rsid w:val="00A14EB2"/>
    <w:rsid w:val="00A16847"/>
    <w:rsid w:val="00A237D8"/>
    <w:rsid w:val="00A268C4"/>
    <w:rsid w:val="00A307CD"/>
    <w:rsid w:val="00A331C8"/>
    <w:rsid w:val="00A33358"/>
    <w:rsid w:val="00A400A7"/>
    <w:rsid w:val="00A40A00"/>
    <w:rsid w:val="00A4142F"/>
    <w:rsid w:val="00A422EB"/>
    <w:rsid w:val="00A45BB7"/>
    <w:rsid w:val="00A56DF2"/>
    <w:rsid w:val="00A56E6E"/>
    <w:rsid w:val="00A616EB"/>
    <w:rsid w:val="00A67AB5"/>
    <w:rsid w:val="00A733B2"/>
    <w:rsid w:val="00A741C2"/>
    <w:rsid w:val="00A8453C"/>
    <w:rsid w:val="00A91760"/>
    <w:rsid w:val="00A93B00"/>
    <w:rsid w:val="00A93C21"/>
    <w:rsid w:val="00AB64C9"/>
    <w:rsid w:val="00AC3C6A"/>
    <w:rsid w:val="00AC7A4D"/>
    <w:rsid w:val="00AD0139"/>
    <w:rsid w:val="00AD5620"/>
    <w:rsid w:val="00AD656B"/>
    <w:rsid w:val="00AD7C1B"/>
    <w:rsid w:val="00AE16BA"/>
    <w:rsid w:val="00AE1EBE"/>
    <w:rsid w:val="00AE769E"/>
    <w:rsid w:val="00AF2A06"/>
    <w:rsid w:val="00B03C9D"/>
    <w:rsid w:val="00B060AE"/>
    <w:rsid w:val="00B10517"/>
    <w:rsid w:val="00B138F2"/>
    <w:rsid w:val="00B14E76"/>
    <w:rsid w:val="00B161B8"/>
    <w:rsid w:val="00B2048C"/>
    <w:rsid w:val="00B23F92"/>
    <w:rsid w:val="00B26A87"/>
    <w:rsid w:val="00B310B9"/>
    <w:rsid w:val="00B35F3F"/>
    <w:rsid w:val="00B36CBB"/>
    <w:rsid w:val="00B425E0"/>
    <w:rsid w:val="00B440AA"/>
    <w:rsid w:val="00B44B70"/>
    <w:rsid w:val="00B51781"/>
    <w:rsid w:val="00B53C56"/>
    <w:rsid w:val="00B57DAF"/>
    <w:rsid w:val="00B77EA6"/>
    <w:rsid w:val="00B81598"/>
    <w:rsid w:val="00B841F1"/>
    <w:rsid w:val="00B944D6"/>
    <w:rsid w:val="00BB3E54"/>
    <w:rsid w:val="00BB4DF0"/>
    <w:rsid w:val="00BC289F"/>
    <w:rsid w:val="00BC2D50"/>
    <w:rsid w:val="00BC5361"/>
    <w:rsid w:val="00BC5460"/>
    <w:rsid w:val="00BC6B50"/>
    <w:rsid w:val="00BD0E25"/>
    <w:rsid w:val="00BE19E0"/>
    <w:rsid w:val="00BF5BD6"/>
    <w:rsid w:val="00C03E31"/>
    <w:rsid w:val="00C20913"/>
    <w:rsid w:val="00C33E72"/>
    <w:rsid w:val="00C354B2"/>
    <w:rsid w:val="00C35554"/>
    <w:rsid w:val="00C42709"/>
    <w:rsid w:val="00C533CC"/>
    <w:rsid w:val="00C5751C"/>
    <w:rsid w:val="00C61BFC"/>
    <w:rsid w:val="00C62B85"/>
    <w:rsid w:val="00C65438"/>
    <w:rsid w:val="00C843C4"/>
    <w:rsid w:val="00C87FD8"/>
    <w:rsid w:val="00C91381"/>
    <w:rsid w:val="00C91CBB"/>
    <w:rsid w:val="00CB2AD2"/>
    <w:rsid w:val="00CB4E70"/>
    <w:rsid w:val="00CC09B6"/>
    <w:rsid w:val="00CC666F"/>
    <w:rsid w:val="00CD1E3F"/>
    <w:rsid w:val="00CD2A29"/>
    <w:rsid w:val="00CE44F6"/>
    <w:rsid w:val="00CE49DA"/>
    <w:rsid w:val="00CE7B61"/>
    <w:rsid w:val="00CF4F17"/>
    <w:rsid w:val="00D00095"/>
    <w:rsid w:val="00D114F0"/>
    <w:rsid w:val="00D20620"/>
    <w:rsid w:val="00D254F7"/>
    <w:rsid w:val="00D26091"/>
    <w:rsid w:val="00D2685C"/>
    <w:rsid w:val="00D34E7C"/>
    <w:rsid w:val="00D35489"/>
    <w:rsid w:val="00D36AFE"/>
    <w:rsid w:val="00D471E9"/>
    <w:rsid w:val="00D511BD"/>
    <w:rsid w:val="00D51276"/>
    <w:rsid w:val="00D51FBD"/>
    <w:rsid w:val="00D7035F"/>
    <w:rsid w:val="00D738C2"/>
    <w:rsid w:val="00D910EF"/>
    <w:rsid w:val="00DA634F"/>
    <w:rsid w:val="00DA65AC"/>
    <w:rsid w:val="00DB1913"/>
    <w:rsid w:val="00DC410D"/>
    <w:rsid w:val="00DC5A81"/>
    <w:rsid w:val="00DC68CA"/>
    <w:rsid w:val="00DC7978"/>
    <w:rsid w:val="00DC7CBA"/>
    <w:rsid w:val="00DD73B7"/>
    <w:rsid w:val="00DF28BC"/>
    <w:rsid w:val="00DF34B9"/>
    <w:rsid w:val="00E01053"/>
    <w:rsid w:val="00E07ACF"/>
    <w:rsid w:val="00E1675D"/>
    <w:rsid w:val="00E331A1"/>
    <w:rsid w:val="00E33202"/>
    <w:rsid w:val="00E336A9"/>
    <w:rsid w:val="00E4479A"/>
    <w:rsid w:val="00E472B1"/>
    <w:rsid w:val="00E50624"/>
    <w:rsid w:val="00E568DF"/>
    <w:rsid w:val="00E64269"/>
    <w:rsid w:val="00E82267"/>
    <w:rsid w:val="00E853CE"/>
    <w:rsid w:val="00E865C2"/>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A4D"/>
    <w:rsid w:val="00F2408F"/>
    <w:rsid w:val="00F240E9"/>
    <w:rsid w:val="00F3118A"/>
    <w:rsid w:val="00F31ECA"/>
    <w:rsid w:val="00F36824"/>
    <w:rsid w:val="00F36D8F"/>
    <w:rsid w:val="00F417B1"/>
    <w:rsid w:val="00F45853"/>
    <w:rsid w:val="00F602DF"/>
    <w:rsid w:val="00F65A5C"/>
    <w:rsid w:val="00F754A1"/>
    <w:rsid w:val="00F76544"/>
    <w:rsid w:val="00F81FD9"/>
    <w:rsid w:val="00F841AA"/>
    <w:rsid w:val="00F84A94"/>
    <w:rsid w:val="00F87E96"/>
    <w:rsid w:val="00FA23E8"/>
    <w:rsid w:val="00FA411F"/>
    <w:rsid w:val="00FD3CC1"/>
    <w:rsid w:val="00FD6B19"/>
    <w:rsid w:val="00FF1E02"/>
    <w:rsid w:val="00FF30B4"/>
    <w:rsid w:val="015975B8"/>
    <w:rsid w:val="02143E91"/>
    <w:rsid w:val="03535B3A"/>
    <w:rsid w:val="03CC06C2"/>
    <w:rsid w:val="03F82FC0"/>
    <w:rsid w:val="0539351D"/>
    <w:rsid w:val="063A78C0"/>
    <w:rsid w:val="066E0107"/>
    <w:rsid w:val="076646E5"/>
    <w:rsid w:val="07996F6E"/>
    <w:rsid w:val="08AE1E9F"/>
    <w:rsid w:val="09AD65FB"/>
    <w:rsid w:val="09F77876"/>
    <w:rsid w:val="0A2032A3"/>
    <w:rsid w:val="0AA675AE"/>
    <w:rsid w:val="0B5E5DFE"/>
    <w:rsid w:val="0D1D75F3"/>
    <w:rsid w:val="0D69025C"/>
    <w:rsid w:val="0E7B2823"/>
    <w:rsid w:val="0F98263C"/>
    <w:rsid w:val="101860EC"/>
    <w:rsid w:val="105243C6"/>
    <w:rsid w:val="10C055FF"/>
    <w:rsid w:val="118107EC"/>
    <w:rsid w:val="1347361C"/>
    <w:rsid w:val="13D50BC4"/>
    <w:rsid w:val="16BB723D"/>
    <w:rsid w:val="17481711"/>
    <w:rsid w:val="19481E9C"/>
    <w:rsid w:val="1B0D514B"/>
    <w:rsid w:val="1B4D19EC"/>
    <w:rsid w:val="1BE8440E"/>
    <w:rsid w:val="1D155CEE"/>
    <w:rsid w:val="1E960FB4"/>
    <w:rsid w:val="1EC414C7"/>
    <w:rsid w:val="1ED146E2"/>
    <w:rsid w:val="1EDB5833"/>
    <w:rsid w:val="1F7410F5"/>
    <w:rsid w:val="1FF35744"/>
    <w:rsid w:val="20326B91"/>
    <w:rsid w:val="207B3859"/>
    <w:rsid w:val="213A656E"/>
    <w:rsid w:val="23860B96"/>
    <w:rsid w:val="23D36806"/>
    <w:rsid w:val="240371BF"/>
    <w:rsid w:val="24155071"/>
    <w:rsid w:val="278F5EC8"/>
    <w:rsid w:val="28441A80"/>
    <w:rsid w:val="28463A4A"/>
    <w:rsid w:val="29FD04D3"/>
    <w:rsid w:val="2A467D32"/>
    <w:rsid w:val="2A9C5BA4"/>
    <w:rsid w:val="2BA2368E"/>
    <w:rsid w:val="2C8A61B5"/>
    <w:rsid w:val="2DB068A4"/>
    <w:rsid w:val="2DF04E50"/>
    <w:rsid w:val="2E7F1A64"/>
    <w:rsid w:val="2F040D46"/>
    <w:rsid w:val="319F7F4E"/>
    <w:rsid w:val="31FD1A5A"/>
    <w:rsid w:val="3304709D"/>
    <w:rsid w:val="331756AB"/>
    <w:rsid w:val="336B6A5B"/>
    <w:rsid w:val="33C543BD"/>
    <w:rsid w:val="35C0308E"/>
    <w:rsid w:val="36AA5135"/>
    <w:rsid w:val="3735326E"/>
    <w:rsid w:val="376D39B2"/>
    <w:rsid w:val="37E16F03"/>
    <w:rsid w:val="38286CC9"/>
    <w:rsid w:val="38D469F0"/>
    <w:rsid w:val="39AE76A2"/>
    <w:rsid w:val="39B051C8"/>
    <w:rsid w:val="3B844B5E"/>
    <w:rsid w:val="3C1B1438"/>
    <w:rsid w:val="3C8A61A4"/>
    <w:rsid w:val="3D98207C"/>
    <w:rsid w:val="3DC42C42"/>
    <w:rsid w:val="3E78745D"/>
    <w:rsid w:val="407F1BFB"/>
    <w:rsid w:val="41D34149"/>
    <w:rsid w:val="421309EA"/>
    <w:rsid w:val="421F738E"/>
    <w:rsid w:val="44DF4BB3"/>
    <w:rsid w:val="44E268DA"/>
    <w:rsid w:val="452A269B"/>
    <w:rsid w:val="455C4456"/>
    <w:rsid w:val="479A2EEE"/>
    <w:rsid w:val="481728B6"/>
    <w:rsid w:val="49331971"/>
    <w:rsid w:val="4A1E7416"/>
    <w:rsid w:val="4A627F82"/>
    <w:rsid w:val="4B0E749A"/>
    <w:rsid w:val="4B4F25DA"/>
    <w:rsid w:val="4BE068DB"/>
    <w:rsid w:val="4BF74ED8"/>
    <w:rsid w:val="4C86758E"/>
    <w:rsid w:val="4D53613E"/>
    <w:rsid w:val="4D565C2E"/>
    <w:rsid w:val="4D577224"/>
    <w:rsid w:val="4DAB41CC"/>
    <w:rsid w:val="4E984750"/>
    <w:rsid w:val="4EAB630A"/>
    <w:rsid w:val="4ECE2238"/>
    <w:rsid w:val="4F53352B"/>
    <w:rsid w:val="51136310"/>
    <w:rsid w:val="51D57A6A"/>
    <w:rsid w:val="537E6D0A"/>
    <w:rsid w:val="537F1178"/>
    <w:rsid w:val="55477617"/>
    <w:rsid w:val="57376AD1"/>
    <w:rsid w:val="57FF75EE"/>
    <w:rsid w:val="58490869"/>
    <w:rsid w:val="58786250"/>
    <w:rsid w:val="59796F2C"/>
    <w:rsid w:val="59BE45DA"/>
    <w:rsid w:val="5A0D3E42"/>
    <w:rsid w:val="5AF92295"/>
    <w:rsid w:val="5BD3501A"/>
    <w:rsid w:val="5C270EC2"/>
    <w:rsid w:val="5CAC586B"/>
    <w:rsid w:val="5CCD7CBB"/>
    <w:rsid w:val="5CD71FC4"/>
    <w:rsid w:val="5D30024A"/>
    <w:rsid w:val="5F4973A1"/>
    <w:rsid w:val="613B06F8"/>
    <w:rsid w:val="61BD0C07"/>
    <w:rsid w:val="621719D8"/>
    <w:rsid w:val="625D29E9"/>
    <w:rsid w:val="6379740E"/>
    <w:rsid w:val="656B0071"/>
    <w:rsid w:val="68937F36"/>
    <w:rsid w:val="697F5E1B"/>
    <w:rsid w:val="6C4A05C8"/>
    <w:rsid w:val="6D2F407A"/>
    <w:rsid w:val="6E7E3605"/>
    <w:rsid w:val="6FF5CC65"/>
    <w:rsid w:val="70001CFE"/>
    <w:rsid w:val="70131A31"/>
    <w:rsid w:val="71277B50"/>
    <w:rsid w:val="715C0E4B"/>
    <w:rsid w:val="72734D90"/>
    <w:rsid w:val="72E871A5"/>
    <w:rsid w:val="73334198"/>
    <w:rsid w:val="73AD73D5"/>
    <w:rsid w:val="73B6EB34"/>
    <w:rsid w:val="744731E5"/>
    <w:rsid w:val="751B4EE4"/>
    <w:rsid w:val="76E3355F"/>
    <w:rsid w:val="778769C8"/>
    <w:rsid w:val="78324A1E"/>
    <w:rsid w:val="784D2F1F"/>
    <w:rsid w:val="78C0202A"/>
    <w:rsid w:val="78C31B1A"/>
    <w:rsid w:val="79D33FDF"/>
    <w:rsid w:val="79EE5BA4"/>
    <w:rsid w:val="7A067F11"/>
    <w:rsid w:val="7A513882"/>
    <w:rsid w:val="7A6335B5"/>
    <w:rsid w:val="7A894339"/>
    <w:rsid w:val="7C09018C"/>
    <w:rsid w:val="7CF60710"/>
    <w:rsid w:val="7E5F22E5"/>
    <w:rsid w:val="7EEF11D3"/>
    <w:rsid w:val="7EFE7085"/>
    <w:rsid w:val="7F9C31A4"/>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rPr>
  </w:style>
  <w:style w:type="paragraph" w:styleId="6">
    <w:name w:val="Body Text"/>
    <w:basedOn w:val="1"/>
    <w:link w:val="21"/>
    <w:autoRedefine/>
    <w:qFormat/>
    <w:uiPriority w:val="99"/>
    <w:pPr>
      <w:spacing w:beforeLines="30"/>
    </w:pPr>
    <w:rPr>
      <w:rFonts w:ascii="仿宋_GB2312" w:eastAsia="仿宋_GB2312"/>
      <w:kern w:val="0"/>
      <w:sz w:val="30"/>
    </w:rPr>
  </w:style>
  <w:style w:type="paragraph" w:styleId="7">
    <w:name w:val="Body Text Indent"/>
    <w:basedOn w:val="1"/>
    <w:next w:val="8"/>
    <w:autoRedefine/>
    <w:qFormat/>
    <w:uiPriority w:val="0"/>
    <w:pPr>
      <w:spacing w:after="120"/>
      <w:ind w:left="200" w:leftChars="200"/>
    </w:pPr>
    <w:rPr>
      <w:rFonts w:ascii="仿宋_GB2312"/>
      <w:szCs w:val="32"/>
    </w:rPr>
  </w:style>
  <w:style w:type="paragraph" w:styleId="8">
    <w:name w:val="Body Text First Indent 2"/>
    <w:basedOn w:val="7"/>
    <w:autoRedefine/>
    <w:unhideWhenUsed/>
    <w:qFormat/>
    <w:uiPriority w:val="99"/>
    <w:pPr>
      <w:ind w:firstLine="420" w:firstLineChars="200"/>
    </w:p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99"/>
    <w:rPr>
      <w:b/>
    </w:rPr>
  </w:style>
  <w:style w:type="character" w:styleId="20">
    <w:name w:val="Hyperlink"/>
    <w:basedOn w:val="18"/>
    <w:autoRedefine/>
    <w:unhideWhenUsed/>
    <w:qFormat/>
    <w:uiPriority w:val="99"/>
    <w:rPr>
      <w:color w:val="0000FF" w:themeColor="hyperlink"/>
      <w:u w:val="single"/>
    </w:rPr>
  </w:style>
  <w:style w:type="character" w:customStyle="1" w:styleId="21">
    <w:name w:val="正文文本 Char"/>
    <w:link w:val="6"/>
    <w:qFormat/>
    <w:locked/>
    <w:uiPriority w:val="99"/>
    <w:rPr>
      <w:rFonts w:ascii="仿宋_GB2312" w:hAnsi="Times New Roman" w:eastAsia="仿宋_GB2312"/>
      <w:sz w:val="24"/>
    </w:rPr>
  </w:style>
  <w:style w:type="character" w:customStyle="1" w:styleId="22">
    <w:name w:val="标题 1 Char"/>
    <w:basedOn w:val="18"/>
    <w:link w:val="3"/>
    <w:autoRedefine/>
    <w:qFormat/>
    <w:uiPriority w:val="9"/>
    <w:rPr>
      <w:rFonts w:ascii="Times New Roman" w:hAnsi="Times New Roman"/>
      <w:b/>
      <w:bCs/>
      <w:kern w:val="44"/>
      <w:sz w:val="44"/>
      <w:szCs w:val="44"/>
    </w:rPr>
  </w:style>
  <w:style w:type="character" w:customStyle="1" w:styleId="23">
    <w:name w:val="标题 2 Char"/>
    <w:basedOn w:val="18"/>
    <w:link w:val="2"/>
    <w:qFormat/>
    <w:uiPriority w:val="9"/>
    <w:rPr>
      <w:rFonts w:asciiTheme="majorHAnsi" w:hAnsiTheme="majorHAnsi" w:eastAsiaTheme="majorEastAsia" w:cstheme="majorBidi"/>
      <w:b/>
      <w:bCs/>
      <w:kern w:val="2"/>
      <w:sz w:val="32"/>
      <w:szCs w:val="32"/>
    </w:rPr>
  </w:style>
  <w:style w:type="character" w:customStyle="1" w:styleId="24">
    <w:name w:val="标题 3 Char"/>
    <w:basedOn w:val="18"/>
    <w:link w:val="4"/>
    <w:qFormat/>
    <w:uiPriority w:val="9"/>
    <w:rPr>
      <w:rFonts w:ascii="Times New Roman" w:hAnsi="Times New Roman"/>
      <w:b/>
      <w:bCs/>
      <w:kern w:val="2"/>
      <w:sz w:val="32"/>
      <w:szCs w:val="32"/>
    </w:rPr>
  </w:style>
  <w:style w:type="character" w:customStyle="1" w:styleId="25">
    <w:name w:val="批注框文本 Char"/>
    <w:basedOn w:val="18"/>
    <w:link w:val="10"/>
    <w:autoRedefine/>
    <w:semiHidden/>
    <w:qFormat/>
    <w:uiPriority w:val="99"/>
    <w:rPr>
      <w:rFonts w:ascii="Times New Roman" w:hAnsi="Times New Roman"/>
      <w:kern w:val="2"/>
      <w:sz w:val="18"/>
      <w:szCs w:val="18"/>
    </w:rPr>
  </w:style>
  <w:style w:type="character" w:customStyle="1" w:styleId="26">
    <w:name w:val="页脚 Char"/>
    <w:link w:val="11"/>
    <w:autoRedefine/>
    <w:qFormat/>
    <w:locked/>
    <w:uiPriority w:val="99"/>
    <w:rPr>
      <w:sz w:val="18"/>
    </w:rPr>
  </w:style>
  <w:style w:type="character" w:customStyle="1" w:styleId="27">
    <w:name w:val="页眉 Char"/>
    <w:link w:val="12"/>
    <w:semiHidden/>
    <w:qFormat/>
    <w:locked/>
    <w:uiPriority w:val="99"/>
    <w:rPr>
      <w:sz w:val="18"/>
    </w:rPr>
  </w:style>
  <w:style w:type="paragraph" w:customStyle="1" w:styleId="2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9">
    <w:name w:val="Header Char"/>
    <w:basedOn w:val="18"/>
    <w:autoRedefine/>
    <w:semiHidden/>
    <w:qFormat/>
    <w:uiPriority w:val="99"/>
    <w:rPr>
      <w:rFonts w:ascii="Times New Roman" w:hAnsi="Times New Roman"/>
      <w:sz w:val="18"/>
      <w:szCs w:val="18"/>
    </w:rPr>
  </w:style>
  <w:style w:type="character" w:customStyle="1" w:styleId="30">
    <w:name w:val="Footer Char"/>
    <w:basedOn w:val="18"/>
    <w:semiHidden/>
    <w:qFormat/>
    <w:uiPriority w:val="99"/>
    <w:rPr>
      <w:rFonts w:ascii="Times New Roman" w:hAnsi="Times New Roman"/>
      <w:sz w:val="18"/>
      <w:szCs w:val="18"/>
    </w:rPr>
  </w:style>
  <w:style w:type="character" w:customStyle="1" w:styleId="31">
    <w:name w:val="Body Text Char"/>
    <w:basedOn w:val="18"/>
    <w:autoRedefine/>
    <w:semiHidden/>
    <w:qFormat/>
    <w:uiPriority w:val="99"/>
    <w:rPr>
      <w:rFonts w:ascii="Times New Roman" w:hAnsi="Times New Roman"/>
      <w:szCs w:val="24"/>
    </w:rPr>
  </w:style>
  <w:style w:type="paragraph" w:customStyle="1" w:styleId="32">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autoRedefine/>
    <w:qFormat/>
    <w:uiPriority w:val="34"/>
    <w:pPr>
      <w:ind w:firstLine="420" w:firstLineChars="200"/>
    </w:pPr>
  </w:style>
  <w:style w:type="paragraph" w:customStyle="1" w:styleId="3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autoRedefine/>
    <w:qFormat/>
    <w:uiPriority w:val="0"/>
    <w:pPr>
      <w:spacing w:line="360" w:lineRule="auto"/>
    </w:pPr>
    <w:rPr>
      <w:rFonts w:ascii="??" w:hAnsi="??"/>
      <w:color w:val="000000"/>
      <w:kern w:val="0"/>
      <w:sz w:val="28"/>
      <w:szCs w:val="21"/>
      <w:lang w:val="zh-CN"/>
    </w:rPr>
  </w:style>
  <w:style w:type="paragraph" w:customStyle="1" w:styleId="37">
    <w:name w:val="正文2"/>
    <w:basedOn w:val="1"/>
    <w:next w:val="1"/>
    <w:autoRedefine/>
    <w:qFormat/>
    <w:uiPriority w:val="0"/>
    <w:pPr>
      <w:adjustRightInd w:val="0"/>
      <w:snapToGrid w:val="0"/>
      <w:spacing w:line="400" w:lineRule="exact"/>
      <w:ind w:firstLine="872" w:firstLineChars="200"/>
      <w:jc w:val="left"/>
    </w:pPr>
    <w:rPr>
      <w:rFonts w:ascii="Calibri" w:hAnsi="Calibri"/>
      <w:kern w:val="0"/>
      <w:sz w:val="24"/>
      <w:lang w:val="zh-CN"/>
    </w:rPr>
  </w:style>
  <w:style w:type="paragraph" w:customStyle="1" w:styleId="38">
    <w:name w:val="章标题"/>
    <w:basedOn w:val="1"/>
    <w:next w:val="39"/>
    <w:autoRedefine/>
    <w:qFormat/>
    <w:uiPriority w:val="0"/>
    <w:pPr>
      <w:widowControl/>
      <w:spacing w:line="323" w:lineRule="atLeast"/>
      <w:ind w:right="-120"/>
      <w:jc w:val="center"/>
      <w:textAlignment w:val="baseline"/>
    </w:pPr>
    <w:rPr>
      <w:color w:val="FF0000"/>
      <w:kern w:val="0"/>
      <w:sz w:val="18"/>
      <w:szCs w:val="18"/>
    </w:rPr>
  </w:style>
  <w:style w:type="paragraph" w:customStyle="1" w:styleId="39">
    <w:name w:val="节标题"/>
    <w:basedOn w:val="1"/>
    <w:next w:val="1"/>
    <w:autoRedefine/>
    <w:qFormat/>
    <w:uiPriority w:val="0"/>
    <w:pPr>
      <w:widowControl/>
      <w:spacing w:line="289" w:lineRule="atLeast"/>
      <w:jc w:val="center"/>
      <w:textAlignment w:val="baseline"/>
    </w:pPr>
    <w:rPr>
      <w:color w:val="000000"/>
      <w:kern w:val="0"/>
      <w:sz w:val="28"/>
      <w:szCs w:val="20"/>
    </w:rPr>
  </w:style>
  <w:style w:type="character" w:customStyle="1" w:styleId="40">
    <w:name w:val="font91"/>
    <w:basedOn w:val="18"/>
    <w:autoRedefine/>
    <w:qFormat/>
    <w:uiPriority w:val="0"/>
    <w:rPr>
      <w:rFonts w:hint="eastAsia" w:ascii="宋体" w:hAnsi="宋体" w:eastAsia="宋体" w:cs="宋体"/>
      <w:color w:val="000000"/>
      <w:sz w:val="24"/>
      <w:szCs w:val="24"/>
      <w:u w:val="none"/>
    </w:rPr>
  </w:style>
  <w:style w:type="character" w:customStyle="1" w:styleId="41">
    <w:name w:val="font122"/>
    <w:basedOn w:val="18"/>
    <w:autoRedefine/>
    <w:qFormat/>
    <w:uiPriority w:val="0"/>
    <w:rPr>
      <w:rFonts w:hint="eastAsia" w:ascii="宋体" w:hAnsi="宋体" w:eastAsia="宋体" w:cs="宋体"/>
      <w:color w:val="FF0000"/>
      <w:sz w:val="24"/>
      <w:szCs w:val="24"/>
      <w:u w:val="none"/>
    </w:rPr>
  </w:style>
  <w:style w:type="paragraph" w:customStyle="1" w:styleId="42">
    <w:name w:val="常用样式（方正仿宋简）"/>
    <w:basedOn w:val="1"/>
    <w:next w:val="1"/>
    <w:autoRedefine/>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7404.94</c:v>
                </c:pt>
                <c:pt idx="1">
                  <c:v>4867.44</c:v>
                </c:pt>
              </c:numCache>
            </c:numRef>
          </c:val>
        </c:ser>
        <c:dLbls>
          <c:showLegendKey val="0"/>
          <c:showVal val="1"/>
          <c:showCatName val="0"/>
          <c:showSerName val="0"/>
          <c:showPercent val="0"/>
          <c:showBubbleSize val="0"/>
        </c:dLbls>
        <c:gapWidth val="150"/>
        <c:overlap val="100"/>
        <c:axId val="136733824"/>
        <c:axId val="136735360"/>
      </c:barChart>
      <c:catAx>
        <c:axId val="136733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35360"/>
        <c:crosses val="autoZero"/>
        <c:auto val="1"/>
        <c:lblAlgn val="ctr"/>
        <c:lblOffset val="100"/>
        <c:noMultiLvlLbl val="0"/>
      </c:catAx>
      <c:valAx>
        <c:axId val="136735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338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0483987478931"/>
          <c:y val="0.225379310344828"/>
          <c:w val="0.223125451480857"/>
          <c:h val="0.473379310344828"/>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281724054900072"/>
                  <c:y val="-0.0426564495530013"/>
                </c:manualLayout>
              </c:layout>
              <c:dLblPos val="bestFit"/>
              <c:showLegendKey val="0"/>
              <c:showVal val="1"/>
              <c:showCatName val="0"/>
              <c:showSerName val="0"/>
              <c:showPercent val="1"/>
              <c:showBubbleSize val="0"/>
              <c:extLst>
                <c:ext xmlns:c15="http://schemas.microsoft.com/office/drawing/2012/chart" uri="{CE6537A1-D6FC-4f65-9D91-7224C49458BB}">
                  <c15:layout>
                    <c:manualLayout>
                      <c:w val="0.197327233325307"/>
                      <c:h val="0.0947637292464879"/>
                    </c:manualLayout>
                  </c15:layout>
                </c:ext>
              </c:extLst>
            </c:dLbl>
            <c:dLbl>
              <c:idx val="1"/>
              <c:layout>
                <c:manualLayout>
                  <c:x val="-0.0237726165973231"/>
                  <c:y val="0.037658795408497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58776787864195"/>
                  <c:y val="-0.033971902937420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一、一般公共预算财政拨款收入</c:v>
                </c:pt>
                <c:pt idx="1">
                  <c:v>二、政府性基金预算财政拨款收入</c:v>
                </c:pt>
                <c:pt idx="2">
                  <c:v>八、其他收入</c:v>
                </c:pt>
              </c:strCache>
            </c:strRef>
          </c:cat>
          <c:val>
            <c:numRef>
              <c:f>Sheet1!$B$2:$B$5</c:f>
              <c:numCache>
                <c:formatCode>0.00_ </c:formatCode>
                <c:ptCount val="4"/>
                <c:pt idx="0">
                  <c:v>1423.26</c:v>
                </c:pt>
                <c:pt idx="1">
                  <c:v>10.98</c:v>
                </c:pt>
                <c:pt idx="2">
                  <c:v>1415.51</c:v>
                </c:pt>
              </c:numCache>
            </c:numRef>
          </c:val>
        </c:ser>
        <c:dLbls>
          <c:showLegendKey val="0"/>
          <c:showVal val="1"/>
          <c:showCatName val="0"/>
          <c:showSerName val="0"/>
          <c:showPercent val="0"/>
          <c:showBubbleSize val="0"/>
          <c:showLeaderLines val="1"/>
        </c:dLbls>
        <c:firstSliceAng val="0"/>
      </c:pieChart>
    </c:plotArea>
    <c:legend>
      <c:legendPos val="t"/>
      <c:layout>
        <c:manualLayout>
          <c:xMode val="edge"/>
          <c:yMode val="edge"/>
          <c:x val="0.205393691307489"/>
          <c:y val="0.0288633461047254"/>
          <c:w val="0.558632313989887"/>
          <c:h val="0.15427841634738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152042628774423"/>
                  <c:y val="0.035779816513761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57844878626406"/>
                  <c:y val="-0.045871559633027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1224.51</c:v>
                </c:pt>
                <c:pt idx="1">
                  <c:v>1519.33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1434.24</c:v>
                </c:pt>
                <c:pt idx="1">
                  <c:v>1990.06</c:v>
                </c:pt>
              </c:numCache>
            </c:numRef>
          </c:val>
        </c:ser>
        <c:dLbls>
          <c:showLegendKey val="0"/>
          <c:showVal val="1"/>
          <c:showCatName val="0"/>
          <c:showSerName val="0"/>
          <c:showPercent val="0"/>
          <c:showBubbleSize val="0"/>
        </c:dLbls>
        <c:gapWidth val="150"/>
        <c:overlap val="100"/>
        <c:axId val="149411328"/>
        <c:axId val="149412864"/>
      </c:barChart>
      <c:catAx>
        <c:axId val="149411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412864"/>
        <c:crosses val="autoZero"/>
        <c:auto val="1"/>
        <c:lblAlgn val="ctr"/>
        <c:lblOffset val="100"/>
        <c:noMultiLvlLbl val="0"/>
      </c:catAx>
      <c:valAx>
        <c:axId val="149412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4113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2022年</c:v>
                </c:pt>
              </c:strCache>
            </c:strRef>
          </c:cat>
          <c:val>
            <c:numRef>
              <c:f>Sheet1!$B$2:$B$3</c:f>
              <c:numCache>
                <c:formatCode>General</c:formatCode>
                <c:ptCount val="2"/>
                <c:pt idx="0">
                  <c:v>1424.36</c:v>
                </c:pt>
                <c:pt idx="1">
                  <c:v>1990.06</c:v>
                </c:pt>
              </c:numCache>
            </c:numRef>
          </c:val>
        </c:ser>
        <c:dLbls>
          <c:showLegendKey val="0"/>
          <c:showVal val="1"/>
          <c:showCatName val="0"/>
          <c:showSerName val="0"/>
          <c:showPercent val="0"/>
          <c:showBubbleSize val="0"/>
        </c:dLbls>
        <c:gapWidth val="150"/>
        <c:overlap val="100"/>
        <c:axId val="136722688"/>
        <c:axId val="148787200"/>
      </c:barChart>
      <c:catAx>
        <c:axId val="1367226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8787200"/>
        <c:crosses val="autoZero"/>
        <c:auto val="1"/>
        <c:lblAlgn val="ctr"/>
        <c:lblOffset val="100"/>
        <c:noMultiLvlLbl val="0"/>
      </c:catAx>
      <c:valAx>
        <c:axId val="148787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7226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134578922390809"/>
                  <c:y val="0.068821438511179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44566323714"/>
                  <c:y val="-0.034321862791817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231029712281696"/>
                  <c:y val="0.01357211624752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72765753253491"/>
                  <c:y val="-0.0034083378875542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749373473637586"/>
                  <c:y val="-0.045603290125361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34444677665849"/>
                  <c:y val="-0.002045003370391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一般公共服务支出</c:v>
                </c:pt>
                <c:pt idx="1">
                  <c:v>文化旅游体育与传媒支出</c:v>
                </c:pt>
                <c:pt idx="2">
                  <c:v>社会保障和就业支出</c:v>
                </c:pt>
                <c:pt idx="3">
                  <c:v>卫生健康支出</c:v>
                </c:pt>
                <c:pt idx="4">
                  <c:v>农林水支出</c:v>
                </c:pt>
                <c:pt idx="5">
                  <c:v>住房保障支出</c:v>
                </c:pt>
              </c:strCache>
            </c:strRef>
          </c:cat>
          <c:val>
            <c:numRef>
              <c:f>Sheet1!$B$2:$B$7</c:f>
              <c:numCache>
                <c:formatCode>General</c:formatCode>
                <c:ptCount val="6"/>
                <c:pt idx="0">
                  <c:v>602.7</c:v>
                </c:pt>
                <c:pt idx="1">
                  <c:v>6</c:v>
                </c:pt>
                <c:pt idx="2">
                  <c:v>100.01</c:v>
                </c:pt>
                <c:pt idx="3">
                  <c:v>48.58</c:v>
                </c:pt>
                <c:pt idx="4">
                  <c:v>600.42</c:v>
                </c:pt>
                <c:pt idx="5">
                  <c:v>65.56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7C2A2-CC44-4775-B64F-4F12B215A29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18376</Words>
  <Characters>19589</Characters>
  <Lines>215</Lines>
  <Paragraphs>60</Paragraphs>
  <TotalTime>14</TotalTime>
  <ScaleCrop>false</ScaleCrop>
  <LinksUpToDate>false</LinksUpToDate>
  <CharactersWithSpaces>20009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船山区仁里镇</cp:lastModifiedBy>
  <cp:lastPrinted>2023-07-31T02:35:00Z</cp:lastPrinted>
  <dcterms:modified xsi:type="dcterms:W3CDTF">2024-09-18T02:59:48Z</dcterms:modified>
  <dc:title>四川省***</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4301D380A02149F689E91F434A98FC4C_12</vt:lpwstr>
  </property>
</Properties>
</file>