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9F667">
      <w:pPr>
        <w:pStyle w:val="8"/>
      </w:pPr>
      <w:bookmarkStart w:id="0" w:name="_Toc15396597"/>
      <w:bookmarkStart w:id="1" w:name="_Toc15377425"/>
      <w:bookmarkStart w:id="2" w:name="_Toc15377193"/>
      <w:bookmarkStart w:id="3" w:name="_Toc15378441"/>
      <w:bookmarkStart w:id="4" w:name="_Toc15396475"/>
      <w:bookmarkStart w:id="5" w:name="_Toc15306267"/>
    </w:p>
    <w:p w14:paraId="537A710F">
      <w:pPr>
        <w:spacing w:line="600" w:lineRule="exact"/>
        <w:jc w:val="center"/>
        <w:outlineLvl w:val="9"/>
        <w:rPr>
          <w:rFonts w:ascii="方正小标宋简体" w:hAnsi="宋体" w:eastAsia="方正小标宋简体"/>
          <w:color w:val="auto"/>
          <w:sz w:val="72"/>
          <w:szCs w:val="72"/>
          <w:highlight w:val="none"/>
        </w:rPr>
      </w:pPr>
    </w:p>
    <w:p w14:paraId="0EB5D709">
      <w:pPr>
        <w:spacing w:line="600" w:lineRule="exact"/>
        <w:jc w:val="center"/>
        <w:outlineLvl w:val="9"/>
        <w:rPr>
          <w:rFonts w:ascii="方正小标宋简体" w:hAnsi="宋体" w:eastAsia="方正小标宋简体"/>
          <w:color w:val="auto"/>
          <w:sz w:val="72"/>
          <w:szCs w:val="72"/>
          <w:highlight w:val="none"/>
        </w:rPr>
      </w:pPr>
    </w:p>
    <w:p w14:paraId="3886EFE3">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9352"/>
      <w:bookmarkStart w:id="7" w:name="_Toc2552"/>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bookmarkEnd w:id="7"/>
    </w:p>
    <w:p w14:paraId="773CF18B">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8" w:name="_Toc15396476"/>
      <w:bookmarkStart w:id="9" w:name="_Toc15396598"/>
      <w:bookmarkStart w:id="10" w:name="_Toc15377426"/>
      <w:bookmarkStart w:id="11" w:name="_Toc25846"/>
      <w:bookmarkStart w:id="12" w:name="_Toc15378442"/>
      <w:bookmarkStart w:id="13" w:name="_Toc15377194"/>
      <w:bookmarkStart w:id="14" w:name="_Toc7904"/>
      <w:r>
        <w:rPr>
          <w:rFonts w:hint="eastAsia" w:ascii="方正小标宋简体" w:hAnsi="方正小标宋简体" w:eastAsia="方正小标宋简体" w:cs="方正小标宋简体"/>
          <w:color w:val="auto"/>
          <w:sz w:val="72"/>
          <w:szCs w:val="72"/>
          <w:highlight w:val="none"/>
        </w:rPr>
        <w:t>四川省</w:t>
      </w:r>
      <w:bookmarkEnd w:id="5"/>
      <w:bookmarkStart w:id="15" w:name="_Toc15306268"/>
      <w:r>
        <w:rPr>
          <w:rFonts w:hint="eastAsia" w:ascii="方正小标宋简体" w:hAnsi="宋体" w:eastAsia="方正小标宋简体"/>
          <w:color w:val="000000"/>
          <w:sz w:val="72"/>
          <w:szCs w:val="72"/>
          <w:highlight w:val="none"/>
          <w:lang w:eastAsia="zh-CN"/>
        </w:rPr>
        <w:t>船山区妇女联合会</w:t>
      </w:r>
      <w:r>
        <w:rPr>
          <w:rFonts w:hint="eastAsia" w:ascii="方正小标宋简体" w:hAnsi="方正小标宋简体" w:eastAsia="方正小标宋简体" w:cs="方正小标宋简体"/>
          <w:color w:val="auto"/>
          <w:sz w:val="72"/>
          <w:szCs w:val="72"/>
          <w:highlight w:val="none"/>
          <w:lang w:eastAsia="zh-CN"/>
        </w:rPr>
        <w:t>部门</w:t>
      </w:r>
      <w:r>
        <w:rPr>
          <w:rFonts w:hint="eastAsia" w:ascii="方正小标宋简体" w:hAnsi="方正小标宋简体" w:eastAsia="方正小标宋简体" w:cs="方正小标宋简体"/>
          <w:color w:val="auto"/>
          <w:sz w:val="72"/>
          <w:szCs w:val="72"/>
          <w:highlight w:val="none"/>
        </w:rPr>
        <w:t>决算</w:t>
      </w:r>
      <w:bookmarkEnd w:id="8"/>
      <w:bookmarkEnd w:id="9"/>
      <w:bookmarkEnd w:id="10"/>
      <w:bookmarkEnd w:id="11"/>
      <w:bookmarkEnd w:id="12"/>
      <w:bookmarkEnd w:id="13"/>
      <w:bookmarkEnd w:id="14"/>
      <w:bookmarkEnd w:id="15"/>
    </w:p>
    <w:p w14:paraId="3061B3AF">
      <w:pPr>
        <w:widowControl/>
        <w:jc w:val="center"/>
        <w:rPr>
          <w:rFonts w:hint="eastAsia" w:ascii="黑体" w:hAnsi="黑体" w:eastAsia="黑体"/>
          <w:color w:val="auto"/>
          <w:sz w:val="48"/>
          <w:szCs w:val="48"/>
          <w:highlight w:val="none"/>
        </w:rPr>
        <w:sectPr>
          <w:headerReference r:id="rId3" w:type="default"/>
          <w:footerReference r:id="rId4" w:type="default"/>
          <w:type w:val="continuous"/>
          <w:pgSz w:w="11906" w:h="16838"/>
          <w:pgMar w:top="1440" w:right="1800" w:bottom="1440" w:left="1800" w:header="851" w:footer="992" w:gutter="0"/>
          <w:pgNumType w:fmt="decimal"/>
          <w:cols w:space="425" w:num="1"/>
          <w:titlePg/>
          <w:docGrid w:type="lines" w:linePitch="312" w:charSpace="0"/>
        </w:sectPr>
      </w:pPr>
    </w:p>
    <w:p w14:paraId="207A347C">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57E41D1B">
      <w:pPr>
        <w:widowControl/>
        <w:jc w:val="center"/>
        <w:rPr>
          <w:rFonts w:ascii="黑体" w:hAnsi="黑体" w:eastAsia="黑体" w:cstheme="minorBidi"/>
          <w:color w:val="auto"/>
          <w:sz w:val="28"/>
          <w:szCs w:val="28"/>
          <w:highlight w:val="none"/>
        </w:rPr>
      </w:pPr>
    </w:p>
    <w:p w14:paraId="70D02049">
      <w:pPr>
        <w:pStyle w:val="13"/>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14:paraId="36C1CF08">
      <w:pPr>
        <w:rPr>
          <w:color w:val="auto"/>
          <w:highlight w:val="none"/>
        </w:rPr>
      </w:pPr>
    </w:p>
    <w:sdt>
      <w:sdtPr>
        <w:rPr>
          <w:rFonts w:ascii="宋体" w:hAnsi="宋体" w:eastAsia="宋体" w:cs="Times New Roman"/>
          <w:kern w:val="2"/>
          <w:sz w:val="21"/>
          <w:szCs w:val="24"/>
          <w:lang w:val="en-US" w:eastAsia="zh-CN" w:bidi="ar-SA"/>
        </w:rPr>
        <w:id w:val="147478283"/>
        <w15:color w:val="DBDBDB"/>
        <w:docPartObj>
          <w:docPartGallery w:val="Table of Contents"/>
          <w:docPartUnique/>
        </w:docPartObj>
      </w:sdtPr>
      <w:sdtEndPr>
        <w:rPr>
          <w:rFonts w:hint="eastAsia" w:ascii="黑体" w:hAnsi="黑体" w:eastAsia="黑体" w:cs="Times New Roman"/>
          <w:b/>
          <w:bCs/>
          <w:color w:val="auto"/>
          <w:kern w:val="44"/>
          <w:sz w:val="44"/>
          <w:szCs w:val="44"/>
          <w:highlight w:val="none"/>
          <w:lang w:val="en-US" w:eastAsia="zh-CN" w:bidi="ar-SA"/>
        </w:rPr>
      </w:sdtEndPr>
      <w:sdtContent>
        <w:p w14:paraId="2ED55163">
          <w:pPr>
            <w:spacing w:before="0" w:beforeLines="0" w:after="0" w:afterLines="0" w:line="240" w:lineRule="auto"/>
            <w:ind w:left="0" w:leftChars="0" w:right="0" w:rightChars="0" w:firstLine="0" w:firstLineChars="0"/>
            <w:jc w:val="center"/>
          </w:pPr>
        </w:p>
        <w:p w14:paraId="5AF99326">
          <w:pPr>
            <w:pStyle w:val="36"/>
            <w:tabs>
              <w:tab w:val="right" w:leader="dot" w:pos="8306"/>
            </w:tabs>
            <w:rPr>
              <w:b/>
            </w:rPr>
          </w:pPr>
          <w:r>
            <w:rPr>
              <w:rFonts w:hint="eastAsia" w:ascii="黑体" w:hAnsi="黑体" w:eastAsia="黑体"/>
              <w:b w:val="0"/>
              <w:color w:val="auto"/>
              <w:highlight w:val="none"/>
            </w:rPr>
            <w:fldChar w:fldCharType="begin"/>
          </w:r>
          <w:r>
            <w:rPr>
              <w:rFonts w:hint="eastAsia" w:ascii="黑体" w:hAnsi="黑体" w:eastAsia="黑体"/>
              <w:b w:val="0"/>
              <w:color w:val="auto"/>
              <w:highlight w:val="none"/>
            </w:rPr>
            <w:instrText xml:space="preserve">TOC \o "1-2" \h \u </w:instrText>
          </w:r>
          <w:r>
            <w:rPr>
              <w:rFonts w:hint="eastAsia" w:ascii="黑体" w:hAnsi="黑体" w:eastAsia="黑体"/>
              <w:b w:val="0"/>
              <w:color w:val="auto"/>
              <w:highlight w:val="none"/>
            </w:rPr>
            <w:fldChar w:fldCharType="separate"/>
          </w: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_Toc3808 </w:instrText>
          </w:r>
          <w:r>
            <w:rPr>
              <w:rFonts w:hint="eastAsia" w:ascii="黑体" w:hAnsi="黑体" w:eastAsia="黑体"/>
              <w:b/>
              <w:highlight w:val="none"/>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rPr>
            <w:t>部门概况</w:t>
          </w:r>
          <w:r>
            <w:rPr>
              <w:b/>
            </w:rPr>
            <w:tab/>
          </w:r>
          <w:r>
            <w:rPr>
              <w:b/>
            </w:rPr>
            <w:fldChar w:fldCharType="begin"/>
          </w:r>
          <w:r>
            <w:rPr>
              <w:b/>
            </w:rPr>
            <w:instrText xml:space="preserve"> PAGEREF _Toc3808 \h </w:instrText>
          </w:r>
          <w:r>
            <w:rPr>
              <w:b/>
            </w:rPr>
            <w:fldChar w:fldCharType="separate"/>
          </w:r>
          <w:r>
            <w:rPr>
              <w:b/>
            </w:rPr>
            <w:t>1</w:t>
          </w:r>
          <w:r>
            <w:rPr>
              <w:b/>
            </w:rPr>
            <w:fldChar w:fldCharType="end"/>
          </w:r>
          <w:r>
            <w:rPr>
              <w:rFonts w:hint="eastAsia" w:ascii="黑体" w:hAnsi="黑体" w:eastAsia="黑体"/>
              <w:b/>
              <w:color w:val="auto"/>
              <w:highlight w:val="none"/>
            </w:rPr>
            <w:fldChar w:fldCharType="end"/>
          </w:r>
        </w:p>
        <w:p w14:paraId="254851E5">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_Toc17526 </w:instrText>
          </w:r>
          <w:r>
            <w:rPr>
              <w:rFonts w:hint="eastAsia" w:ascii="黑体" w:hAnsi="黑体" w:eastAsia="黑体"/>
              <w:highlight w:val="none"/>
            </w:rPr>
            <w:fldChar w:fldCharType="separate"/>
          </w:r>
          <w:r>
            <w:rPr>
              <w:rFonts w:hint="eastAsia" w:ascii="黑体" w:hAnsi="黑体" w:eastAsia="黑体"/>
              <w:lang w:eastAsia="zh-CN"/>
            </w:rPr>
            <w:t xml:space="preserve">一、 </w:t>
          </w:r>
          <w:r>
            <w:rPr>
              <w:rFonts w:hint="eastAsia" w:ascii="黑体" w:hAnsi="黑体" w:eastAsia="黑体"/>
              <w:highlight w:val="none"/>
              <w:lang w:eastAsia="zh-CN"/>
            </w:rPr>
            <w:t>部门职责</w:t>
          </w:r>
          <w:r>
            <w:tab/>
          </w:r>
          <w:r>
            <w:fldChar w:fldCharType="begin"/>
          </w:r>
          <w:r>
            <w:instrText xml:space="preserve"> PAGEREF _Toc17526 \h </w:instrText>
          </w:r>
          <w:r>
            <w:fldChar w:fldCharType="separate"/>
          </w:r>
          <w:r>
            <w:t>1</w:t>
          </w:r>
          <w:r>
            <w:fldChar w:fldCharType="end"/>
          </w:r>
          <w:r>
            <w:rPr>
              <w:rFonts w:hint="eastAsia" w:ascii="黑体" w:hAnsi="黑体" w:eastAsia="黑体"/>
              <w:color w:val="auto"/>
              <w:highlight w:val="none"/>
            </w:rPr>
            <w:fldChar w:fldCharType="end"/>
          </w:r>
        </w:p>
        <w:p w14:paraId="6456E0C7">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_Toc27363 </w:instrText>
          </w:r>
          <w:r>
            <w:rPr>
              <w:rFonts w:hint="eastAsia" w:ascii="黑体" w:hAnsi="黑体" w:eastAsia="黑体"/>
              <w:highlight w:val="none"/>
            </w:rP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_Toc27363 \h </w:instrText>
          </w:r>
          <w:r>
            <w:fldChar w:fldCharType="separate"/>
          </w:r>
          <w:r>
            <w:t>1</w:t>
          </w:r>
          <w:r>
            <w:fldChar w:fldCharType="end"/>
          </w:r>
          <w:r>
            <w:rPr>
              <w:rFonts w:hint="eastAsia" w:ascii="黑体" w:hAnsi="黑体" w:eastAsia="黑体"/>
              <w:color w:val="auto"/>
              <w:highlight w:val="none"/>
            </w:rPr>
            <w:fldChar w:fldCharType="end"/>
          </w:r>
        </w:p>
        <w:p w14:paraId="39D26F86">
          <w:pPr>
            <w:pStyle w:val="36"/>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_Toc23100 </w:instrText>
          </w:r>
          <w:r>
            <w:rPr>
              <w:rFonts w:hint="eastAsia" w:ascii="黑体" w:hAnsi="黑体" w:eastAsia="黑体"/>
              <w:b/>
              <w:highlight w:val="none"/>
            </w:rPr>
            <w:fldChar w:fldCharType="separate"/>
          </w:r>
          <w:r>
            <w:rPr>
              <w:rFonts w:hint="eastAsia" w:ascii="黑体" w:hAnsi="黑体" w:eastAsia="黑体"/>
              <w:b/>
              <w:highlight w:val="none"/>
            </w:rPr>
            <w:t xml:space="preserve">第二部分 </w:t>
          </w:r>
          <w:r>
            <w:rPr>
              <w:rFonts w:hint="eastAsia" w:ascii="黑体" w:hAnsi="黑体" w:eastAsia="黑体"/>
              <w:b/>
              <w:highlight w:val="none"/>
              <w:lang w:val="en-US" w:eastAsia="zh-CN"/>
            </w:rPr>
            <w:t>2023年度</w:t>
          </w:r>
          <w:r>
            <w:rPr>
              <w:rFonts w:hint="eastAsia" w:ascii="黑体" w:hAnsi="黑体" w:eastAsia="黑体"/>
              <w:b/>
              <w:highlight w:val="none"/>
            </w:rPr>
            <w:t>部门决算情况说明</w:t>
          </w:r>
          <w:r>
            <w:rPr>
              <w:b/>
            </w:rPr>
            <w:tab/>
          </w:r>
          <w:r>
            <w:rPr>
              <w:b/>
            </w:rPr>
            <w:fldChar w:fldCharType="begin"/>
          </w:r>
          <w:r>
            <w:rPr>
              <w:b/>
            </w:rPr>
            <w:instrText xml:space="preserve"> PAGEREF _Toc23100 \h </w:instrText>
          </w:r>
          <w:r>
            <w:rPr>
              <w:b/>
            </w:rPr>
            <w:fldChar w:fldCharType="separate"/>
          </w:r>
          <w:r>
            <w:rPr>
              <w:b/>
            </w:rPr>
            <w:t>2</w:t>
          </w:r>
          <w:r>
            <w:rPr>
              <w:b/>
            </w:rPr>
            <w:fldChar w:fldCharType="end"/>
          </w:r>
          <w:r>
            <w:rPr>
              <w:rFonts w:hint="eastAsia" w:ascii="黑体" w:hAnsi="黑体" w:eastAsia="黑体"/>
              <w:b/>
              <w:color w:val="auto"/>
              <w:highlight w:val="none"/>
            </w:rPr>
            <w:fldChar w:fldCharType="end"/>
          </w:r>
        </w:p>
        <w:p w14:paraId="02F4D096">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_Toc31682 </w:instrText>
          </w:r>
          <w:r>
            <w:rPr>
              <w:rFonts w:hint="eastAsia" w:ascii="黑体" w:hAnsi="黑体" w:eastAsia="黑体"/>
              <w:highlight w:val="none"/>
            </w:rP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_Toc31682 \h </w:instrText>
          </w:r>
          <w:r>
            <w:fldChar w:fldCharType="separate"/>
          </w:r>
          <w:r>
            <w:t>2</w:t>
          </w:r>
          <w:r>
            <w:fldChar w:fldCharType="end"/>
          </w:r>
          <w:r>
            <w:rPr>
              <w:rFonts w:hint="eastAsia" w:ascii="黑体" w:hAnsi="黑体" w:eastAsia="黑体"/>
              <w:color w:val="auto"/>
              <w:highlight w:val="none"/>
            </w:rPr>
            <w:fldChar w:fldCharType="end"/>
          </w:r>
        </w:p>
        <w:p w14:paraId="13E6E224">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_Toc16936 </w:instrText>
          </w:r>
          <w:r>
            <w:rPr>
              <w:rFonts w:hint="eastAsia" w:ascii="黑体" w:hAnsi="黑体" w:eastAsia="黑体"/>
              <w:highlight w:val="none"/>
            </w:rP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_Toc16936 \h </w:instrText>
          </w:r>
          <w:r>
            <w:fldChar w:fldCharType="separate"/>
          </w:r>
          <w:r>
            <w:t>2</w:t>
          </w:r>
          <w:r>
            <w:fldChar w:fldCharType="end"/>
          </w:r>
          <w:r>
            <w:rPr>
              <w:rFonts w:hint="eastAsia" w:ascii="黑体" w:hAnsi="黑体" w:eastAsia="黑体"/>
              <w:color w:val="auto"/>
              <w:highlight w:val="none"/>
            </w:rPr>
            <w:fldChar w:fldCharType="end"/>
          </w:r>
        </w:p>
        <w:p w14:paraId="63887760">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_Toc16639 </w:instrText>
          </w:r>
          <w:r>
            <w:rPr>
              <w:rFonts w:hint="eastAsia" w:ascii="黑体" w:hAnsi="黑体" w:eastAsia="黑体"/>
              <w:highlight w:val="none"/>
            </w:rP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_Toc16639 \h </w:instrText>
          </w:r>
          <w:r>
            <w:fldChar w:fldCharType="separate"/>
          </w:r>
          <w:r>
            <w:t>3</w:t>
          </w:r>
          <w:r>
            <w:fldChar w:fldCharType="end"/>
          </w:r>
          <w:r>
            <w:rPr>
              <w:rFonts w:hint="eastAsia" w:ascii="黑体" w:hAnsi="黑体" w:eastAsia="黑体"/>
              <w:color w:val="auto"/>
              <w:highlight w:val="none"/>
            </w:rPr>
            <w:fldChar w:fldCharType="end"/>
          </w:r>
        </w:p>
        <w:p w14:paraId="10FEC39B">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_Toc3837 </w:instrText>
          </w:r>
          <w:r>
            <w:rPr>
              <w:rFonts w:hint="eastAsia" w:ascii="黑体" w:hAnsi="黑体" w:eastAsia="黑体"/>
              <w:highlight w:val="none"/>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_Toc3837 \h </w:instrText>
          </w:r>
          <w:r>
            <w:fldChar w:fldCharType="separate"/>
          </w:r>
          <w:r>
            <w:t>4</w:t>
          </w:r>
          <w:r>
            <w:fldChar w:fldCharType="end"/>
          </w:r>
          <w:r>
            <w:rPr>
              <w:rFonts w:hint="eastAsia" w:ascii="黑体" w:hAnsi="黑体" w:eastAsia="黑体"/>
              <w:color w:val="auto"/>
              <w:highlight w:val="none"/>
            </w:rPr>
            <w:fldChar w:fldCharType="end"/>
          </w:r>
        </w:p>
        <w:p w14:paraId="47A6660A">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_Toc15863 </w:instrText>
          </w:r>
          <w:r>
            <w:rPr>
              <w:rFonts w:hint="eastAsia" w:ascii="黑体" w:hAnsi="黑体" w:eastAsia="黑体"/>
              <w:highlight w:val="none"/>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_Toc15863 \h </w:instrText>
          </w:r>
          <w:r>
            <w:fldChar w:fldCharType="separate"/>
          </w:r>
          <w:r>
            <w:t>4</w:t>
          </w:r>
          <w:r>
            <w:fldChar w:fldCharType="end"/>
          </w:r>
          <w:r>
            <w:rPr>
              <w:rFonts w:hint="eastAsia" w:ascii="黑体" w:hAnsi="黑体" w:eastAsia="黑体"/>
              <w:color w:val="auto"/>
              <w:highlight w:val="none"/>
            </w:rPr>
            <w:fldChar w:fldCharType="end"/>
          </w:r>
        </w:p>
        <w:p w14:paraId="06F36B19">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_Toc16521 </w:instrText>
          </w:r>
          <w:r>
            <w:rPr>
              <w:rFonts w:hint="eastAsia" w:ascii="黑体" w:hAnsi="黑体" w:eastAsia="黑体"/>
              <w:highlight w:val="none"/>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_Toc16521 \h </w:instrText>
          </w:r>
          <w:r>
            <w:fldChar w:fldCharType="separate"/>
          </w:r>
          <w:r>
            <w:t>7</w:t>
          </w:r>
          <w:r>
            <w:fldChar w:fldCharType="end"/>
          </w:r>
          <w:r>
            <w:rPr>
              <w:rFonts w:hint="eastAsia" w:ascii="黑体" w:hAnsi="黑体" w:eastAsia="黑体"/>
              <w:color w:val="auto"/>
              <w:highlight w:val="none"/>
            </w:rPr>
            <w:fldChar w:fldCharType="end"/>
          </w:r>
        </w:p>
        <w:p w14:paraId="51830DFA">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_Toc16502 </w:instrText>
          </w:r>
          <w:r>
            <w:rPr>
              <w:rFonts w:hint="eastAsia" w:ascii="黑体" w:hAnsi="黑体" w:eastAsia="黑体"/>
              <w:highlight w:val="none"/>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_Toc16502 \h </w:instrText>
          </w:r>
          <w:r>
            <w:fldChar w:fldCharType="separate"/>
          </w:r>
          <w:r>
            <w:t>8</w:t>
          </w:r>
          <w:r>
            <w:fldChar w:fldCharType="end"/>
          </w:r>
          <w:r>
            <w:rPr>
              <w:rFonts w:hint="eastAsia" w:ascii="黑体" w:hAnsi="黑体" w:eastAsia="黑体"/>
              <w:color w:val="auto"/>
              <w:highlight w:val="none"/>
            </w:rPr>
            <w:fldChar w:fldCharType="end"/>
          </w:r>
        </w:p>
        <w:p w14:paraId="2747116E">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_Toc15298 </w:instrText>
          </w:r>
          <w:r>
            <w:rPr>
              <w:rFonts w:hint="eastAsia" w:ascii="黑体" w:hAnsi="黑体" w:eastAsia="黑体"/>
              <w:highlight w:val="none"/>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_Toc15298 \h </w:instrText>
          </w:r>
          <w:r>
            <w:fldChar w:fldCharType="separate"/>
          </w:r>
          <w:r>
            <w:t>9</w:t>
          </w:r>
          <w:r>
            <w:fldChar w:fldCharType="end"/>
          </w:r>
          <w:r>
            <w:rPr>
              <w:rFonts w:hint="eastAsia" w:ascii="黑体" w:hAnsi="黑体" w:eastAsia="黑体"/>
              <w:color w:val="auto"/>
              <w:highlight w:val="none"/>
            </w:rPr>
            <w:fldChar w:fldCharType="end"/>
          </w:r>
        </w:p>
        <w:p w14:paraId="5FD0A7FE">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_Toc29080 </w:instrText>
          </w:r>
          <w:r>
            <w:rPr>
              <w:rFonts w:hint="eastAsia" w:ascii="黑体" w:hAnsi="黑体" w:eastAsia="黑体"/>
              <w:highlight w:val="none"/>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_Toc29080 \h </w:instrText>
          </w:r>
          <w:r>
            <w:fldChar w:fldCharType="separate"/>
          </w:r>
          <w:r>
            <w:t>10</w:t>
          </w:r>
          <w:r>
            <w:fldChar w:fldCharType="end"/>
          </w:r>
          <w:r>
            <w:rPr>
              <w:rFonts w:hint="eastAsia" w:ascii="黑体" w:hAnsi="黑体" w:eastAsia="黑体"/>
              <w:color w:val="auto"/>
              <w:highlight w:val="none"/>
            </w:rPr>
            <w:fldChar w:fldCharType="end"/>
          </w:r>
        </w:p>
        <w:p w14:paraId="15A86AF8">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_Toc19989 </w:instrText>
          </w:r>
          <w:r>
            <w:rPr>
              <w:rFonts w:hint="eastAsia" w:ascii="黑体" w:hAnsi="黑体" w:eastAsia="黑体"/>
              <w:highlight w:val="none"/>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_Toc19989 \h </w:instrText>
          </w:r>
          <w:r>
            <w:fldChar w:fldCharType="separate"/>
          </w:r>
          <w:r>
            <w:t>10</w:t>
          </w:r>
          <w:r>
            <w:fldChar w:fldCharType="end"/>
          </w:r>
          <w:r>
            <w:rPr>
              <w:rFonts w:hint="eastAsia" w:ascii="黑体" w:hAnsi="黑体" w:eastAsia="黑体"/>
              <w:color w:val="auto"/>
              <w:highlight w:val="none"/>
            </w:rPr>
            <w:fldChar w:fldCharType="end"/>
          </w:r>
        </w:p>
        <w:p w14:paraId="57EC69C6">
          <w:pPr>
            <w:pStyle w:val="36"/>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_Toc7956 </w:instrText>
          </w:r>
          <w:r>
            <w:rPr>
              <w:rFonts w:hint="eastAsia" w:ascii="黑体" w:hAnsi="黑体" w:eastAsia="黑体"/>
              <w:b/>
              <w:highlight w:val="none"/>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_Toc7956 \h </w:instrText>
          </w:r>
          <w:r>
            <w:rPr>
              <w:b/>
            </w:rPr>
            <w:fldChar w:fldCharType="separate"/>
          </w:r>
          <w:r>
            <w:rPr>
              <w:b/>
            </w:rPr>
            <w:t>13</w:t>
          </w:r>
          <w:r>
            <w:rPr>
              <w:b/>
            </w:rPr>
            <w:fldChar w:fldCharType="end"/>
          </w:r>
          <w:r>
            <w:rPr>
              <w:rFonts w:hint="eastAsia" w:ascii="黑体" w:hAnsi="黑体" w:eastAsia="黑体"/>
              <w:b/>
              <w:color w:val="auto"/>
              <w:highlight w:val="none"/>
            </w:rPr>
            <w:fldChar w:fldCharType="end"/>
          </w:r>
        </w:p>
        <w:p w14:paraId="560A860F">
          <w:pPr>
            <w:pStyle w:val="36"/>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_Toc5983 </w:instrText>
          </w:r>
          <w:r>
            <w:rPr>
              <w:rFonts w:hint="eastAsia" w:ascii="黑体" w:hAnsi="黑体" w:eastAsia="黑体"/>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_Toc5983 \h </w:instrText>
          </w:r>
          <w:r>
            <w:rPr>
              <w:b/>
            </w:rPr>
            <w:fldChar w:fldCharType="separate"/>
          </w:r>
          <w:r>
            <w:rPr>
              <w:b/>
            </w:rPr>
            <w:t>17</w:t>
          </w:r>
          <w:r>
            <w:rPr>
              <w:b/>
            </w:rPr>
            <w:fldChar w:fldCharType="end"/>
          </w:r>
          <w:r>
            <w:rPr>
              <w:rFonts w:hint="eastAsia" w:ascii="黑体" w:hAnsi="黑体" w:eastAsia="黑体"/>
              <w:b/>
              <w:color w:val="auto"/>
              <w:highlight w:val="none"/>
            </w:rPr>
            <w:fldChar w:fldCharType="end"/>
          </w:r>
        </w:p>
        <w:p w14:paraId="678772A3">
          <w:pPr>
            <w:pStyle w:val="36"/>
            <w:tabs>
              <w:tab w:val="right" w:leader="dot" w:pos="8306"/>
            </w:tabs>
            <w:ind w:firstLine="402" w:firstLineChars="200"/>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_Toc20631 </w:instrText>
          </w:r>
          <w:r>
            <w:rPr>
              <w:rFonts w:hint="eastAsia" w:ascii="黑体" w:hAnsi="黑体" w:eastAsia="黑体"/>
              <w:b/>
              <w:highlight w:val="none"/>
            </w:rPr>
            <w:fldChar w:fldCharType="separate"/>
          </w:r>
          <w:r>
            <w:rPr>
              <w:rFonts w:hint="eastAsia" w:ascii="黑体" w:hAnsi="黑体" w:eastAsia="黑体" w:cs="黑体"/>
              <w:b/>
              <w:szCs w:val="32"/>
              <w:highlight w:val="none"/>
            </w:rPr>
            <w:t>附件</w:t>
          </w:r>
          <w:r>
            <w:rPr>
              <w:rFonts w:hint="eastAsia" w:ascii="黑体" w:hAnsi="黑体" w:eastAsia="黑体" w:cs="黑体"/>
              <w:b/>
              <w:szCs w:val="32"/>
              <w:highlight w:val="none"/>
              <w:lang w:val="en-US" w:eastAsia="zh-CN"/>
            </w:rPr>
            <w:t>1</w:t>
          </w:r>
          <w:r>
            <w:rPr>
              <w:b/>
            </w:rPr>
            <w:tab/>
          </w:r>
          <w:r>
            <w:rPr>
              <w:b/>
            </w:rPr>
            <w:fldChar w:fldCharType="begin"/>
          </w:r>
          <w:r>
            <w:rPr>
              <w:b/>
            </w:rPr>
            <w:instrText xml:space="preserve"> PAGEREF _Toc20631 \h </w:instrText>
          </w:r>
          <w:r>
            <w:rPr>
              <w:b/>
            </w:rPr>
            <w:fldChar w:fldCharType="separate"/>
          </w:r>
          <w:r>
            <w:rPr>
              <w:b/>
            </w:rPr>
            <w:t>17</w:t>
          </w:r>
          <w:r>
            <w:rPr>
              <w:b/>
            </w:rPr>
            <w:fldChar w:fldCharType="end"/>
          </w:r>
          <w:r>
            <w:rPr>
              <w:rFonts w:hint="eastAsia" w:ascii="黑体" w:hAnsi="黑体" w:eastAsia="黑体"/>
              <w:b/>
              <w:color w:val="auto"/>
              <w:highlight w:val="none"/>
            </w:rPr>
            <w:fldChar w:fldCharType="end"/>
          </w:r>
        </w:p>
        <w:p w14:paraId="760729B8">
          <w:pPr>
            <w:pStyle w:val="37"/>
            <w:tabs>
              <w:tab w:val="right" w:leader="dot" w:pos="8306"/>
            </w:tabs>
            <w:ind w:left="0" w:leftChars="0" w:firstLine="402" w:firstLineChars="200"/>
          </w:pPr>
          <w:r>
            <w:rPr>
              <w:rFonts w:hint="eastAsia" w:ascii="黑体" w:hAnsi="黑体" w:eastAsia="黑体"/>
              <w:b/>
              <w:bCs/>
              <w:color w:val="auto"/>
              <w:highlight w:val="none"/>
            </w:rPr>
            <w:fldChar w:fldCharType="begin"/>
          </w:r>
          <w:r>
            <w:rPr>
              <w:rFonts w:hint="eastAsia" w:ascii="黑体" w:hAnsi="黑体" w:eastAsia="黑体"/>
              <w:b/>
              <w:bCs/>
              <w:highlight w:val="none"/>
            </w:rPr>
            <w:instrText xml:space="preserve"> HYPERLINK \l _Toc21207 </w:instrText>
          </w:r>
          <w:r>
            <w:rPr>
              <w:rFonts w:hint="eastAsia" w:ascii="黑体" w:hAnsi="黑体" w:eastAsia="黑体"/>
              <w:b/>
              <w:bCs/>
              <w:highlight w:val="none"/>
            </w:rPr>
            <w:fldChar w:fldCharType="separate"/>
          </w:r>
          <w:r>
            <w:rPr>
              <w:rFonts w:hint="eastAsia" w:ascii="黑体" w:hAnsi="黑体" w:eastAsia="黑体" w:cs="黑体"/>
              <w:b/>
              <w:bCs/>
              <w:szCs w:val="32"/>
              <w:highlight w:val="none"/>
            </w:rPr>
            <w:t>附件</w:t>
          </w:r>
          <w:r>
            <w:rPr>
              <w:rFonts w:hint="eastAsia" w:ascii="黑体" w:hAnsi="黑体" w:eastAsia="黑体" w:cs="黑体"/>
              <w:b/>
              <w:bCs/>
              <w:szCs w:val="32"/>
              <w:highlight w:val="none"/>
              <w:lang w:val="en-US" w:eastAsia="zh-CN"/>
            </w:rPr>
            <w:t>2</w:t>
          </w:r>
          <w:r>
            <w:rPr>
              <w:b/>
              <w:bCs/>
            </w:rPr>
            <w:tab/>
          </w:r>
          <w:r>
            <w:rPr>
              <w:b/>
              <w:bCs/>
            </w:rPr>
            <w:fldChar w:fldCharType="begin"/>
          </w:r>
          <w:r>
            <w:rPr>
              <w:b/>
              <w:bCs/>
            </w:rPr>
            <w:instrText xml:space="preserve"> PAGEREF _Toc21207 \h </w:instrText>
          </w:r>
          <w:r>
            <w:rPr>
              <w:b/>
              <w:bCs/>
            </w:rPr>
            <w:fldChar w:fldCharType="separate"/>
          </w:r>
          <w:r>
            <w:rPr>
              <w:b/>
              <w:bCs/>
            </w:rPr>
            <w:t>23</w:t>
          </w:r>
          <w:r>
            <w:rPr>
              <w:b/>
              <w:bCs/>
            </w:rPr>
            <w:fldChar w:fldCharType="end"/>
          </w:r>
          <w:r>
            <w:rPr>
              <w:rFonts w:hint="eastAsia" w:ascii="黑体" w:hAnsi="黑体" w:eastAsia="黑体"/>
              <w:b/>
              <w:bCs/>
              <w:color w:val="auto"/>
              <w:highlight w:val="none"/>
            </w:rPr>
            <w:fldChar w:fldCharType="end"/>
          </w:r>
        </w:p>
        <w:p w14:paraId="7F268141">
          <w:pPr>
            <w:pStyle w:val="36"/>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_Toc17866 </w:instrText>
          </w:r>
          <w:r>
            <w:rPr>
              <w:rFonts w:hint="eastAsia" w:ascii="黑体" w:hAnsi="黑体" w:eastAsia="黑体"/>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_Toc17866 \h </w:instrText>
          </w:r>
          <w:r>
            <w:rPr>
              <w:b/>
            </w:rPr>
            <w:fldChar w:fldCharType="separate"/>
          </w:r>
          <w:r>
            <w:rPr>
              <w:b/>
            </w:rPr>
            <w:t>43</w:t>
          </w:r>
          <w:r>
            <w:rPr>
              <w:b/>
            </w:rPr>
            <w:fldChar w:fldCharType="end"/>
          </w:r>
          <w:r>
            <w:rPr>
              <w:rFonts w:hint="eastAsia" w:ascii="黑体" w:hAnsi="黑体" w:eastAsia="黑体"/>
              <w:b/>
              <w:color w:val="auto"/>
              <w:highlight w:val="none"/>
            </w:rPr>
            <w:fldChar w:fldCharType="end"/>
          </w:r>
        </w:p>
        <w:p w14:paraId="66B74BC4">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_Toc13708 </w:instrText>
          </w:r>
          <w:r>
            <w:rPr>
              <w:rFonts w:hint="eastAsia" w:ascii="黑体" w:hAnsi="黑体" w:eastAsia="黑体"/>
              <w:highlight w:val="none"/>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_Toc13708 \h </w:instrText>
          </w:r>
          <w:r>
            <w:fldChar w:fldCharType="separate"/>
          </w:r>
          <w:r>
            <w:t>43</w:t>
          </w:r>
          <w:r>
            <w:fldChar w:fldCharType="end"/>
          </w:r>
          <w:r>
            <w:rPr>
              <w:rFonts w:hint="eastAsia" w:ascii="黑体" w:hAnsi="黑体" w:eastAsia="黑体"/>
              <w:color w:val="auto"/>
              <w:highlight w:val="none"/>
            </w:rPr>
            <w:fldChar w:fldCharType="end"/>
          </w:r>
        </w:p>
        <w:p w14:paraId="462374F0">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_Toc11110 </w:instrText>
          </w:r>
          <w:r>
            <w:rPr>
              <w:rFonts w:hint="eastAsia" w:ascii="黑体" w:hAnsi="黑体" w:eastAsia="黑体"/>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_Toc11110 \h </w:instrText>
          </w:r>
          <w:r>
            <w:fldChar w:fldCharType="separate"/>
          </w:r>
          <w:r>
            <w:t>43</w:t>
          </w:r>
          <w:r>
            <w:fldChar w:fldCharType="end"/>
          </w:r>
          <w:r>
            <w:rPr>
              <w:rFonts w:hint="eastAsia" w:ascii="黑体" w:hAnsi="黑体" w:eastAsia="黑体"/>
              <w:color w:val="auto"/>
              <w:highlight w:val="none"/>
            </w:rPr>
            <w:fldChar w:fldCharType="end"/>
          </w:r>
        </w:p>
        <w:p w14:paraId="65642B0E">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_Toc23979 </w:instrText>
          </w:r>
          <w:r>
            <w:rPr>
              <w:rFonts w:hint="eastAsia" w:ascii="黑体" w:hAnsi="黑体" w:eastAsia="黑体"/>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_Toc23979 \h </w:instrText>
          </w:r>
          <w:r>
            <w:fldChar w:fldCharType="separate"/>
          </w:r>
          <w:r>
            <w:t>43</w:t>
          </w:r>
          <w:r>
            <w:fldChar w:fldCharType="end"/>
          </w:r>
          <w:r>
            <w:rPr>
              <w:rFonts w:hint="eastAsia" w:ascii="黑体" w:hAnsi="黑体" w:eastAsia="黑体"/>
              <w:color w:val="auto"/>
              <w:highlight w:val="none"/>
            </w:rPr>
            <w:fldChar w:fldCharType="end"/>
          </w:r>
        </w:p>
        <w:p w14:paraId="084DF525">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_Toc8658 </w:instrText>
          </w:r>
          <w:r>
            <w:rPr>
              <w:rFonts w:hint="eastAsia" w:ascii="黑体" w:hAnsi="黑体" w:eastAsia="黑体"/>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_Toc8658 \h </w:instrText>
          </w:r>
          <w:r>
            <w:fldChar w:fldCharType="separate"/>
          </w:r>
          <w:r>
            <w:t>43</w:t>
          </w:r>
          <w:r>
            <w:fldChar w:fldCharType="end"/>
          </w:r>
          <w:r>
            <w:rPr>
              <w:rFonts w:hint="eastAsia" w:ascii="黑体" w:hAnsi="黑体" w:eastAsia="黑体"/>
              <w:color w:val="auto"/>
              <w:highlight w:val="none"/>
            </w:rPr>
            <w:fldChar w:fldCharType="end"/>
          </w:r>
        </w:p>
        <w:p w14:paraId="6C3104FF">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_Toc16680 </w:instrText>
          </w:r>
          <w:r>
            <w:rPr>
              <w:rFonts w:hint="eastAsia" w:ascii="黑体" w:hAnsi="黑体" w:eastAsia="黑体"/>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_Toc16680 \h </w:instrText>
          </w:r>
          <w:r>
            <w:fldChar w:fldCharType="separate"/>
          </w:r>
          <w:r>
            <w:t>43</w:t>
          </w:r>
          <w:r>
            <w:fldChar w:fldCharType="end"/>
          </w:r>
          <w:r>
            <w:rPr>
              <w:rFonts w:hint="eastAsia" w:ascii="黑体" w:hAnsi="黑体" w:eastAsia="黑体"/>
              <w:color w:val="auto"/>
              <w:highlight w:val="none"/>
            </w:rPr>
            <w:fldChar w:fldCharType="end"/>
          </w:r>
        </w:p>
        <w:p w14:paraId="3EDE3C81">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_Toc27064 </w:instrText>
          </w:r>
          <w:r>
            <w:rPr>
              <w:rFonts w:hint="eastAsia" w:ascii="黑体" w:hAnsi="黑体" w:eastAsia="黑体"/>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_Toc27064 \h </w:instrText>
          </w:r>
          <w:r>
            <w:fldChar w:fldCharType="separate"/>
          </w:r>
          <w:r>
            <w:t>43</w:t>
          </w:r>
          <w:r>
            <w:fldChar w:fldCharType="end"/>
          </w:r>
          <w:r>
            <w:rPr>
              <w:rFonts w:hint="eastAsia" w:ascii="黑体" w:hAnsi="黑体" w:eastAsia="黑体"/>
              <w:color w:val="auto"/>
              <w:highlight w:val="none"/>
            </w:rPr>
            <w:fldChar w:fldCharType="end"/>
          </w:r>
        </w:p>
        <w:p w14:paraId="774A4466">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_Toc15998 </w:instrText>
          </w:r>
          <w:r>
            <w:rPr>
              <w:rFonts w:hint="eastAsia" w:ascii="黑体" w:hAnsi="黑体" w:eastAsia="黑体"/>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_Toc15998 \h </w:instrText>
          </w:r>
          <w:r>
            <w:fldChar w:fldCharType="separate"/>
          </w:r>
          <w:r>
            <w:t>43</w:t>
          </w:r>
          <w:r>
            <w:fldChar w:fldCharType="end"/>
          </w:r>
          <w:r>
            <w:rPr>
              <w:rFonts w:hint="eastAsia" w:ascii="黑体" w:hAnsi="黑体" w:eastAsia="黑体"/>
              <w:color w:val="auto"/>
              <w:highlight w:val="none"/>
            </w:rPr>
            <w:fldChar w:fldCharType="end"/>
          </w:r>
        </w:p>
        <w:p w14:paraId="4C06FB7C">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_Toc28214 </w:instrText>
          </w:r>
          <w:r>
            <w:rPr>
              <w:rFonts w:hint="eastAsia" w:ascii="黑体" w:hAnsi="黑体" w:eastAsia="黑体"/>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_Toc28214 \h </w:instrText>
          </w:r>
          <w:r>
            <w:fldChar w:fldCharType="separate"/>
          </w:r>
          <w:r>
            <w:t>43</w:t>
          </w:r>
          <w:r>
            <w:fldChar w:fldCharType="end"/>
          </w:r>
          <w:r>
            <w:rPr>
              <w:rFonts w:hint="eastAsia" w:ascii="黑体" w:hAnsi="黑体" w:eastAsia="黑体"/>
              <w:color w:val="auto"/>
              <w:highlight w:val="none"/>
            </w:rPr>
            <w:fldChar w:fldCharType="end"/>
          </w:r>
        </w:p>
        <w:p w14:paraId="03C533BA">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_Toc18595 </w:instrText>
          </w:r>
          <w:r>
            <w:rPr>
              <w:rFonts w:hint="eastAsia" w:ascii="黑体" w:hAnsi="黑体" w:eastAsia="黑体"/>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_Toc18595 \h </w:instrText>
          </w:r>
          <w:r>
            <w:fldChar w:fldCharType="separate"/>
          </w:r>
          <w:r>
            <w:t>43</w:t>
          </w:r>
          <w:r>
            <w:fldChar w:fldCharType="end"/>
          </w:r>
          <w:r>
            <w:rPr>
              <w:rFonts w:hint="eastAsia" w:ascii="黑体" w:hAnsi="黑体" w:eastAsia="黑体"/>
              <w:color w:val="auto"/>
              <w:highlight w:val="none"/>
            </w:rPr>
            <w:fldChar w:fldCharType="end"/>
          </w:r>
        </w:p>
        <w:p w14:paraId="5BB0B89E">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_Toc24976 </w:instrText>
          </w:r>
          <w:r>
            <w:rPr>
              <w:rFonts w:hint="eastAsia" w:ascii="黑体" w:hAnsi="黑体" w:eastAsia="黑体"/>
              <w:highlight w:val="none"/>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_Toc24976 \h </w:instrText>
          </w:r>
          <w:r>
            <w:fldChar w:fldCharType="separate"/>
          </w:r>
          <w:r>
            <w:t>43</w:t>
          </w:r>
          <w:r>
            <w:fldChar w:fldCharType="end"/>
          </w:r>
          <w:r>
            <w:rPr>
              <w:rFonts w:hint="eastAsia" w:ascii="黑体" w:hAnsi="黑体" w:eastAsia="黑体"/>
              <w:color w:val="auto"/>
              <w:highlight w:val="none"/>
            </w:rPr>
            <w:fldChar w:fldCharType="end"/>
          </w:r>
        </w:p>
        <w:p w14:paraId="0D6B0406">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_Toc12129 </w:instrText>
          </w:r>
          <w:r>
            <w:rPr>
              <w:rFonts w:hint="eastAsia" w:ascii="黑体" w:hAnsi="黑体" w:eastAsia="黑体"/>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_Toc12129 \h </w:instrText>
          </w:r>
          <w:r>
            <w:fldChar w:fldCharType="separate"/>
          </w:r>
          <w:r>
            <w:t>43</w:t>
          </w:r>
          <w:r>
            <w:fldChar w:fldCharType="end"/>
          </w:r>
          <w:r>
            <w:rPr>
              <w:rFonts w:hint="eastAsia" w:ascii="黑体" w:hAnsi="黑体" w:eastAsia="黑体"/>
              <w:color w:val="auto"/>
              <w:highlight w:val="none"/>
            </w:rPr>
            <w:fldChar w:fldCharType="end"/>
          </w:r>
        </w:p>
        <w:p w14:paraId="33DFA92F">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_Toc2197 </w:instrText>
          </w:r>
          <w:r>
            <w:rPr>
              <w:rFonts w:hint="eastAsia" w:ascii="黑体" w:hAnsi="黑体" w:eastAsia="黑体"/>
              <w:highlight w:val="none"/>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_Toc2197 \h </w:instrText>
          </w:r>
          <w:r>
            <w:fldChar w:fldCharType="separate"/>
          </w:r>
          <w:r>
            <w:t>43</w:t>
          </w:r>
          <w:r>
            <w:fldChar w:fldCharType="end"/>
          </w:r>
          <w:r>
            <w:rPr>
              <w:rFonts w:hint="eastAsia" w:ascii="黑体" w:hAnsi="黑体" w:eastAsia="黑体"/>
              <w:color w:val="auto"/>
              <w:highlight w:val="none"/>
            </w:rPr>
            <w:fldChar w:fldCharType="end"/>
          </w:r>
        </w:p>
        <w:p w14:paraId="4C505B99">
          <w:pPr>
            <w:pStyle w:val="37"/>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_Toc20403 </w:instrText>
          </w:r>
          <w:r>
            <w:rPr>
              <w:rFonts w:hint="eastAsia" w:ascii="黑体" w:hAnsi="黑体" w:eastAsia="黑体"/>
              <w:highlight w:val="none"/>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_Toc20403 \h </w:instrText>
          </w:r>
          <w:r>
            <w:fldChar w:fldCharType="separate"/>
          </w:r>
          <w:r>
            <w:t>43</w:t>
          </w:r>
          <w:r>
            <w:fldChar w:fldCharType="end"/>
          </w:r>
          <w:r>
            <w:rPr>
              <w:rFonts w:hint="eastAsia" w:ascii="黑体" w:hAnsi="黑体" w:eastAsia="黑体"/>
              <w:color w:val="auto"/>
              <w:highlight w:val="none"/>
            </w:rPr>
            <w:fldChar w:fldCharType="end"/>
          </w:r>
        </w:p>
        <w:p w14:paraId="68405F3A">
          <w:pPr>
            <w:pStyle w:val="5"/>
            <w:jc w:val="both"/>
            <w:outlineLvl w:val="9"/>
            <w:rPr>
              <w:rFonts w:hint="eastAsia" w:ascii="黑体" w:hAnsi="黑体" w:eastAsia="黑体"/>
              <w:b/>
              <w:color w:val="auto"/>
              <w:highlight w:val="none"/>
            </w:rPr>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pPr>
        </w:p>
        <w:p w14:paraId="21DF45A6">
          <w:pPr>
            <w:pStyle w:val="5"/>
            <w:jc w:val="both"/>
            <w:outlineLvl w:val="9"/>
            <w:rPr>
              <w:rFonts w:hint="eastAsia" w:ascii="黑体" w:hAnsi="黑体" w:eastAsia="黑体"/>
              <w:b w:val="0"/>
              <w:color w:val="auto"/>
              <w:highlight w:val="none"/>
            </w:rPr>
          </w:pPr>
          <w:r>
            <w:rPr>
              <w:rFonts w:hint="eastAsia" w:ascii="黑体" w:hAnsi="黑体" w:eastAsia="黑体"/>
              <w:b/>
              <w:color w:val="auto"/>
              <w:highlight w:val="none"/>
            </w:rPr>
            <w:fldChar w:fldCharType="end"/>
          </w:r>
        </w:p>
      </w:sdtContent>
    </w:sdt>
    <w:p w14:paraId="5B154FCB">
      <w:pPr>
        <w:pStyle w:val="5"/>
        <w:pageBreakBefore w:val="0"/>
        <w:kinsoku/>
        <w:wordWrap/>
        <w:overflowPunct/>
        <w:topLinePunct w:val="0"/>
        <w:autoSpaceDE/>
        <w:autoSpaceDN/>
        <w:bidi w:val="0"/>
        <w:spacing w:line="240" w:lineRule="auto"/>
        <w:jc w:val="center"/>
        <w:textAlignment w:val="auto"/>
        <w:rPr>
          <w:rStyle w:val="29"/>
          <w:rFonts w:ascii="黑体" w:hAnsi="黑体" w:eastAsia="黑体"/>
          <w:b/>
          <w:bCs w:val="0"/>
          <w:color w:val="auto"/>
          <w:highlight w:val="none"/>
        </w:rPr>
      </w:pPr>
      <w:bookmarkStart w:id="16" w:name="_Toc3808"/>
      <w:r>
        <w:rPr>
          <w:rFonts w:hint="eastAsia" w:ascii="黑体" w:hAnsi="黑体" w:eastAsia="黑体"/>
          <w:b w:val="0"/>
          <w:color w:val="auto"/>
          <w:highlight w:val="none"/>
        </w:rPr>
        <w:t xml:space="preserve">第一部分 </w:t>
      </w:r>
      <w:r>
        <w:rPr>
          <w:rStyle w:val="29"/>
          <w:rFonts w:hint="eastAsia" w:ascii="黑体" w:hAnsi="黑体" w:eastAsia="黑体"/>
          <w:b w:val="0"/>
          <w:bCs w:val="0"/>
          <w:color w:val="auto"/>
          <w:highlight w:val="none"/>
        </w:rPr>
        <w:t>部门概况</w:t>
      </w:r>
      <w:bookmarkEnd w:id="16"/>
    </w:p>
    <w:p w14:paraId="7FA5A654">
      <w:pPr>
        <w:pStyle w:val="6"/>
        <w:pageBreakBefore w:val="0"/>
        <w:numPr>
          <w:ilvl w:val="0"/>
          <w:numId w:val="1"/>
        </w:numPr>
        <w:kinsoku/>
        <w:wordWrap/>
        <w:overflowPunct/>
        <w:topLinePunct w:val="0"/>
        <w:autoSpaceDE/>
        <w:autoSpaceDN/>
        <w:bidi w:val="0"/>
        <w:spacing w:line="240" w:lineRule="auto"/>
        <w:textAlignment w:val="auto"/>
        <w:rPr>
          <w:rFonts w:hint="eastAsia" w:ascii="黑体" w:hAnsi="黑体" w:eastAsia="黑体"/>
          <w:b w:val="0"/>
          <w:color w:val="auto"/>
          <w:highlight w:val="none"/>
          <w:lang w:eastAsia="zh-CN"/>
        </w:rPr>
      </w:pPr>
      <w:bookmarkStart w:id="17" w:name="_Toc17526"/>
      <w:r>
        <w:rPr>
          <w:rFonts w:hint="eastAsia" w:ascii="黑体" w:hAnsi="黑体" w:eastAsia="黑体"/>
          <w:b w:val="0"/>
          <w:color w:val="auto"/>
          <w:highlight w:val="none"/>
          <w:lang w:eastAsia="zh-CN"/>
        </w:rPr>
        <w:t>部门职责</w:t>
      </w:r>
      <w:bookmarkEnd w:id="17"/>
    </w:p>
    <w:p w14:paraId="4B220D74">
      <w:pPr>
        <w:pStyle w:val="8"/>
        <w:pageBreakBefore w:val="0"/>
        <w:kinsoku/>
        <w:wordWrap/>
        <w:overflowPunct/>
        <w:topLinePunct w:val="0"/>
        <w:autoSpaceDE/>
        <w:autoSpaceDN/>
        <w:bidi w:val="0"/>
        <w:adjustRightInd w:val="0"/>
        <w:snapToGrid w:val="0"/>
        <w:spacing w:before="93" w:line="240" w:lineRule="auto"/>
        <w:ind w:firstLine="672" w:firstLineChars="210"/>
        <w:textAlignment w:val="auto"/>
        <w:outlineLvl w:val="9"/>
        <w:rPr>
          <w:rFonts w:ascii="仿宋" w:hAnsi="仿宋" w:eastAsia="仿宋"/>
          <w:bCs/>
          <w:color w:val="auto"/>
          <w:sz w:val="32"/>
          <w:szCs w:val="32"/>
          <w:highlight w:val="none"/>
        </w:rPr>
      </w:pPr>
      <w:r>
        <w:rPr>
          <w:rFonts w:hint="eastAsia" w:ascii="仿宋" w:hAnsi="仿宋" w:eastAsia="仿宋"/>
          <w:bCs/>
          <w:color w:val="auto"/>
          <w:sz w:val="32"/>
          <w:szCs w:val="32"/>
          <w:highlight w:val="none"/>
        </w:rPr>
        <w:t xml:space="preserve">一是团结、动员妇女投身改革开放和社会主义现代化建设，促进经济发展和社会全面进步； </w:t>
      </w:r>
    </w:p>
    <w:p w14:paraId="09503EFE">
      <w:pPr>
        <w:pStyle w:val="8"/>
        <w:pageBreakBefore w:val="0"/>
        <w:kinsoku/>
        <w:wordWrap/>
        <w:overflowPunct/>
        <w:topLinePunct w:val="0"/>
        <w:autoSpaceDE/>
        <w:autoSpaceDN/>
        <w:bidi w:val="0"/>
        <w:adjustRightInd w:val="0"/>
        <w:snapToGrid w:val="0"/>
        <w:spacing w:before="93" w:line="240" w:lineRule="auto"/>
        <w:ind w:firstLine="672" w:firstLineChars="210"/>
        <w:textAlignment w:val="auto"/>
        <w:outlineLvl w:val="9"/>
        <w:rPr>
          <w:rFonts w:ascii="仿宋" w:hAnsi="仿宋" w:eastAsia="仿宋"/>
          <w:bCs/>
          <w:color w:val="000000"/>
          <w:sz w:val="32"/>
          <w:szCs w:val="32"/>
          <w:highlight w:val="none"/>
        </w:rPr>
      </w:pPr>
      <w:r>
        <w:rPr>
          <w:rFonts w:hint="eastAsia" w:ascii="仿宋" w:hAnsi="仿宋" w:eastAsia="仿宋"/>
          <w:bCs/>
          <w:color w:val="auto"/>
          <w:sz w:val="32"/>
          <w:szCs w:val="32"/>
          <w:highlight w:val="none"/>
        </w:rPr>
        <w:t>二是教育、引导广大妇女，增强自尊、自信、自立、自</w:t>
      </w:r>
      <w:r>
        <w:rPr>
          <w:rFonts w:hint="eastAsia" w:ascii="仿宋" w:hAnsi="仿宋" w:eastAsia="仿宋"/>
          <w:bCs/>
          <w:color w:val="000000"/>
          <w:sz w:val="32"/>
          <w:szCs w:val="32"/>
          <w:highlight w:val="none"/>
        </w:rPr>
        <w:t xml:space="preserve">强的精神，全面提高素质，促进妇女人才成长； </w:t>
      </w:r>
    </w:p>
    <w:p w14:paraId="767B2377">
      <w:pPr>
        <w:pStyle w:val="8"/>
        <w:pageBreakBefore w:val="0"/>
        <w:kinsoku/>
        <w:wordWrap/>
        <w:overflowPunct/>
        <w:topLinePunct w:val="0"/>
        <w:autoSpaceDE/>
        <w:autoSpaceDN/>
        <w:bidi w:val="0"/>
        <w:adjustRightInd w:val="0"/>
        <w:snapToGrid w:val="0"/>
        <w:spacing w:before="93" w:line="240" w:lineRule="auto"/>
        <w:ind w:firstLine="672" w:firstLineChars="210"/>
        <w:textAlignment w:val="auto"/>
        <w:outlineLvl w:val="2"/>
        <w:rPr>
          <w:rFonts w:ascii="仿宋" w:hAnsi="仿宋" w:eastAsia="仿宋"/>
          <w:bCs/>
          <w:color w:val="000000"/>
          <w:sz w:val="32"/>
          <w:szCs w:val="32"/>
          <w:highlight w:val="none"/>
        </w:rPr>
      </w:pPr>
      <w:r>
        <w:rPr>
          <w:rFonts w:hint="eastAsia" w:ascii="仿宋" w:hAnsi="仿宋" w:eastAsia="仿宋"/>
          <w:bCs/>
          <w:color w:val="000000"/>
          <w:sz w:val="32"/>
          <w:szCs w:val="32"/>
          <w:highlight w:val="none"/>
        </w:rPr>
        <w:t xml:space="preserve">三是代表妇女参与国家和社会事务的民主管理、民主监督，参与有关妇女、儿童法律、法规、规章的制定，维护妇女儿童合法权益； </w:t>
      </w:r>
    </w:p>
    <w:p w14:paraId="0BFEA0AC">
      <w:pPr>
        <w:pStyle w:val="8"/>
        <w:adjustRightInd w:val="0"/>
        <w:snapToGrid w:val="0"/>
        <w:spacing w:before="93" w:line="600" w:lineRule="exact"/>
        <w:ind w:firstLine="672" w:firstLineChars="210"/>
        <w:outlineLvl w:val="2"/>
        <w:rPr>
          <w:rFonts w:ascii="仿宋" w:hAnsi="仿宋" w:eastAsia="仿宋"/>
          <w:bCs/>
          <w:color w:val="000000"/>
          <w:sz w:val="32"/>
          <w:szCs w:val="32"/>
          <w:highlight w:val="none"/>
        </w:rPr>
      </w:pPr>
      <w:r>
        <w:rPr>
          <w:rFonts w:hint="eastAsia" w:ascii="仿宋" w:hAnsi="仿宋" w:eastAsia="仿宋"/>
          <w:bCs/>
          <w:color w:val="000000"/>
          <w:sz w:val="32"/>
          <w:szCs w:val="32"/>
          <w:highlight w:val="none"/>
        </w:rPr>
        <w:t>四是为妇女儿童服务，加强与社会各界的联系，协调和推动社会各界为妇女儿童办实事、办好事；</w:t>
      </w:r>
    </w:p>
    <w:p w14:paraId="723C5CE2">
      <w:pPr>
        <w:pStyle w:val="8"/>
        <w:adjustRightInd w:val="0"/>
        <w:snapToGrid w:val="0"/>
        <w:spacing w:before="93" w:line="600" w:lineRule="exact"/>
        <w:ind w:firstLine="672" w:firstLineChars="210"/>
        <w:outlineLvl w:val="9"/>
        <w:rPr>
          <w:rFonts w:hint="eastAsia"/>
          <w:highlight w:val="none"/>
          <w:lang w:eastAsia="zh-CN"/>
        </w:rPr>
      </w:pPr>
      <w:r>
        <w:rPr>
          <w:rFonts w:hint="eastAsia" w:ascii="仿宋" w:hAnsi="仿宋" w:eastAsia="仿宋"/>
          <w:bCs/>
          <w:color w:val="000000"/>
          <w:sz w:val="32"/>
          <w:szCs w:val="32"/>
          <w:highlight w:val="none"/>
        </w:rPr>
        <w:t>五是巩固和扩大各族各界妇女的大团结，加强同各地妇女的联谊，积极发展同各地妇女的友好交往，增进了解和友谊，维护和平稳定。</w:t>
      </w:r>
    </w:p>
    <w:p w14:paraId="6198A3B5">
      <w:pPr>
        <w:pStyle w:val="6"/>
        <w:rPr>
          <w:rStyle w:val="30"/>
          <w:b w:val="0"/>
          <w:bCs w:val="0"/>
          <w:color w:val="auto"/>
          <w:highlight w:val="none"/>
        </w:rPr>
      </w:pPr>
      <w:bookmarkStart w:id="18" w:name="_Toc15377200"/>
      <w:bookmarkStart w:id="19" w:name="_Toc15396601"/>
      <w:bookmarkStart w:id="20" w:name="_Toc27363"/>
      <w:r>
        <w:rPr>
          <w:rFonts w:hint="eastAsia" w:ascii="黑体" w:eastAsia="黑体"/>
          <w:b w:val="0"/>
          <w:color w:val="auto"/>
          <w:highlight w:val="none"/>
        </w:rPr>
        <w:t>二、</w:t>
      </w:r>
      <w:r>
        <w:rPr>
          <w:rFonts w:hint="eastAsia" w:ascii="黑体" w:hAnsi="黑体" w:eastAsia="黑体"/>
          <w:b w:val="0"/>
          <w:color w:val="auto"/>
          <w:highlight w:val="none"/>
        </w:rPr>
        <w:t>机</w:t>
      </w:r>
      <w:r>
        <w:rPr>
          <w:rStyle w:val="30"/>
          <w:rFonts w:hint="eastAsia" w:ascii="黑体" w:hAnsi="黑体" w:eastAsia="黑体"/>
          <w:b w:val="0"/>
          <w:bCs w:val="0"/>
          <w:color w:val="auto"/>
          <w:highlight w:val="none"/>
        </w:rPr>
        <w:t>构设置</w:t>
      </w:r>
      <w:bookmarkEnd w:id="18"/>
      <w:bookmarkEnd w:id="19"/>
      <w:bookmarkEnd w:id="20"/>
    </w:p>
    <w:p w14:paraId="10DC4ACD">
      <w:pPr>
        <w:ind w:firstLine="800" w:firstLineChars="250"/>
        <w:rPr>
          <w:rFonts w:ascii="仿宋" w:hAnsi="仿宋" w:eastAsia="仿宋"/>
          <w:color w:val="auto"/>
          <w:sz w:val="32"/>
          <w:szCs w:val="32"/>
          <w:highlight w:val="yellow"/>
        </w:rPr>
      </w:pPr>
      <w:r>
        <w:rPr>
          <w:rFonts w:hint="eastAsia" w:ascii="仿宋" w:hAnsi="仿宋" w:eastAsia="仿宋"/>
          <w:color w:val="auto"/>
          <w:sz w:val="32"/>
          <w:szCs w:val="32"/>
          <w:highlight w:val="none"/>
          <w:lang w:eastAsia="zh-CN"/>
        </w:rPr>
        <w:t>船山区妇联</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2DFA002C">
      <w:pPr>
        <w:pStyle w:val="5"/>
        <w:keepNext/>
        <w:keepLines/>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黑体" w:hAnsi="黑体" w:eastAsia="黑体"/>
          <w:b w:val="0"/>
          <w:color w:val="auto"/>
          <w:highlight w:val="none"/>
        </w:rPr>
      </w:pPr>
      <w:bookmarkStart w:id="21" w:name="_Toc15396602"/>
      <w:bookmarkStart w:id="22" w:name="_Toc15377204"/>
    </w:p>
    <w:p w14:paraId="7B478146">
      <w:pPr>
        <w:pStyle w:val="5"/>
        <w:keepNext/>
        <w:keepLines/>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b w:val="0"/>
          <w:color w:val="auto"/>
          <w:highlight w:val="none"/>
        </w:rPr>
      </w:pPr>
    </w:p>
    <w:p w14:paraId="1B6BEBEF">
      <w:pPr>
        <w:pStyle w:val="5"/>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b w:val="0"/>
          <w:color w:val="auto"/>
          <w:highlight w:val="none"/>
        </w:rPr>
      </w:pPr>
      <w:bookmarkStart w:id="23" w:name="_Toc23100"/>
      <w:r>
        <w:rPr>
          <w:rFonts w:hint="eastAsia" w:ascii="黑体" w:hAnsi="黑体" w:eastAsia="黑体"/>
          <w:b w:val="0"/>
          <w:color w:val="auto"/>
          <w:highlight w:val="none"/>
        </w:rPr>
        <w:t xml:space="preserve">第二部分 </w:t>
      </w:r>
      <w:r>
        <w:rPr>
          <w:rFonts w:hint="eastAsia" w:ascii="黑体" w:hAnsi="黑体" w:eastAsia="黑体"/>
          <w:b w:val="0"/>
          <w:color w:val="auto"/>
          <w:highlight w:val="none"/>
          <w:lang w:val="en-US" w:eastAsia="zh-CN"/>
        </w:rPr>
        <w:t>2023年度</w:t>
      </w:r>
      <w:r>
        <w:rPr>
          <w:rFonts w:hint="eastAsia" w:ascii="黑体" w:hAnsi="黑体" w:eastAsia="黑体"/>
          <w:b w:val="0"/>
          <w:color w:val="auto"/>
          <w:highlight w:val="none"/>
        </w:rPr>
        <w:t>部门决算情况说明</w:t>
      </w:r>
      <w:bookmarkEnd w:id="21"/>
      <w:bookmarkEnd w:id="22"/>
      <w:bookmarkEnd w:id="23"/>
    </w:p>
    <w:p w14:paraId="71E075D4">
      <w:pPr>
        <w:pStyle w:val="28"/>
        <w:numPr>
          <w:ilvl w:val="0"/>
          <w:numId w:val="2"/>
        </w:numPr>
        <w:spacing w:line="600" w:lineRule="exact"/>
        <w:ind w:firstLineChars="0"/>
        <w:outlineLvl w:val="1"/>
        <w:rPr>
          <w:rStyle w:val="30"/>
          <w:rFonts w:ascii="黑体" w:hAnsi="黑体" w:eastAsia="黑体"/>
          <w:b w:val="0"/>
          <w:color w:val="auto"/>
          <w:highlight w:val="none"/>
        </w:rPr>
      </w:pPr>
      <w:bookmarkStart w:id="24" w:name="_Toc15396603"/>
      <w:bookmarkStart w:id="25" w:name="_Toc15377205"/>
      <w:bookmarkStart w:id="26" w:name="_Toc31682"/>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24"/>
      <w:bookmarkEnd w:id="25"/>
      <w:bookmarkEnd w:id="26"/>
    </w:p>
    <w:p w14:paraId="21C6FBD8">
      <w:pPr>
        <w:snapToGrid w:val="0"/>
        <w:spacing w:line="52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220.00</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73.40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25.02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color w:val="auto"/>
          <w:sz w:val="32"/>
          <w:szCs w:val="32"/>
          <w:highlight w:val="none"/>
          <w:lang w:eastAsia="zh-CN"/>
        </w:rPr>
        <w:t>主要变动原因是</w:t>
      </w:r>
      <w:r>
        <w:rPr>
          <w:rFonts w:hint="eastAsia" w:ascii="仿宋" w:hAnsi="仿宋" w:eastAsia="仿宋" w:cs="Times New Roman"/>
          <w:color w:val="auto"/>
          <w:sz w:val="32"/>
          <w:szCs w:val="32"/>
          <w:highlight w:val="none"/>
          <w:lang w:val="en-US" w:eastAsia="zh-CN"/>
        </w:rPr>
        <w:t>2023年减少妇儿驿家、“两癌”患病妇女资金（民生项目）、2022年防疫资金等项目支出。</w:t>
      </w:r>
    </w:p>
    <w:p w14:paraId="5DDAE1DA">
      <w:pPr>
        <w:spacing w:line="600" w:lineRule="exact"/>
        <w:ind w:firstLine="640" w:firstLineChars="200"/>
        <w:rPr>
          <w:rFonts w:hint="eastAsia" w:ascii="仿宋" w:hAnsi="仿宋" w:eastAsia="仿宋"/>
          <w:color w:val="auto"/>
          <w:sz w:val="32"/>
          <w:szCs w:val="32"/>
          <w:highlight w:val="none"/>
          <w:lang w:eastAsia="zh-CN"/>
        </w:rPr>
      </w:pPr>
    </w:p>
    <w:p w14:paraId="131305F3">
      <w:pPr>
        <w:pStyle w:val="8"/>
        <w:rPr>
          <w:rFonts w:hint="eastAsia"/>
          <w:highlight w:val="none"/>
          <w:lang w:eastAsia="zh-CN"/>
        </w:rPr>
      </w:pPr>
      <w:r>
        <w:rPr>
          <w:highlight w:val="none"/>
        </w:rPr>
        <w:drawing>
          <wp:inline distT="0" distB="0" distL="114300" distR="114300">
            <wp:extent cx="5260340" cy="2703195"/>
            <wp:effectExtent l="4445" t="4445" r="12065" b="1651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481374">
      <w:pPr>
        <w:spacing w:line="600" w:lineRule="exact"/>
        <w:ind w:firstLine="640" w:firstLineChars="200"/>
        <w:jc w:val="left"/>
        <w:rPr>
          <w:rFonts w:ascii="仿宋_GB2312" w:eastAsia="仿宋_GB2312"/>
          <w:color w:val="auto"/>
          <w:sz w:val="32"/>
          <w:szCs w:val="32"/>
          <w:highlight w:val="none"/>
        </w:rPr>
      </w:pPr>
    </w:p>
    <w:p w14:paraId="66FB83D9">
      <w:pPr>
        <w:pStyle w:val="28"/>
        <w:numPr>
          <w:ilvl w:val="0"/>
          <w:numId w:val="2"/>
        </w:numPr>
        <w:spacing w:line="600" w:lineRule="exact"/>
        <w:ind w:firstLineChars="0"/>
        <w:outlineLvl w:val="1"/>
        <w:rPr>
          <w:rStyle w:val="30"/>
          <w:rFonts w:ascii="黑体" w:hAnsi="黑体" w:eastAsia="黑体"/>
          <w:b w:val="0"/>
          <w:color w:val="auto"/>
          <w:highlight w:val="none"/>
        </w:rPr>
      </w:pPr>
      <w:bookmarkStart w:id="27" w:name="_Toc15377206"/>
      <w:bookmarkStart w:id="28" w:name="_Toc15396604"/>
      <w:bookmarkStart w:id="29" w:name="_Toc16936"/>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27"/>
      <w:bookmarkEnd w:id="28"/>
      <w:bookmarkEnd w:id="29"/>
    </w:p>
    <w:p w14:paraId="42E2DCD8">
      <w:pPr>
        <w:pStyle w:val="8"/>
        <w:ind w:firstLine="640" w:firstLineChars="200"/>
        <w:jc w:val="left"/>
        <w:rPr>
          <w:rFonts w:hint="eastAsia" w:ascii="仿宋" w:hAnsi="仿宋" w:eastAsia="仿宋" w:cs="Times New Roman"/>
          <w:color w:val="auto"/>
          <w:kern w:val="2"/>
          <w:sz w:val="32"/>
          <w:szCs w:val="32"/>
          <w:highlight w:val="none"/>
          <w:lang w:val="en-US" w:eastAsia="zh-CN" w:bidi="ar-SA"/>
        </w:rPr>
      </w:pPr>
      <w:bookmarkStart w:id="30" w:name="_Toc20829"/>
      <w:r>
        <w:rPr>
          <w:rFonts w:hint="eastAsia" w:ascii="仿宋" w:hAnsi="仿宋" w:eastAsia="仿宋" w:cs="Times New Roman"/>
          <w:color w:val="auto"/>
          <w:kern w:val="2"/>
          <w:sz w:val="32"/>
          <w:szCs w:val="32"/>
          <w:highlight w:val="none"/>
          <w:lang w:val="en-US" w:eastAsia="zh-CN" w:bidi="ar-SA"/>
        </w:rPr>
        <w:t>2023年本年收入合计181.54万元，其中：一般公共预算财政拨款收入165.76万元，占91.31%；其他收入15.78万元，占</w:t>
      </w:r>
      <w:bookmarkEnd w:id="30"/>
      <w:r>
        <w:rPr>
          <w:rFonts w:hint="eastAsia" w:ascii="仿宋" w:hAnsi="仿宋" w:eastAsia="仿宋" w:cs="Times New Roman"/>
          <w:color w:val="auto"/>
          <w:kern w:val="2"/>
          <w:sz w:val="32"/>
          <w:szCs w:val="32"/>
          <w:highlight w:val="none"/>
          <w:lang w:val="en-US" w:eastAsia="zh-CN" w:bidi="ar-SA"/>
        </w:rPr>
        <w:t>8.69%。</w:t>
      </w:r>
    </w:p>
    <w:p w14:paraId="733E951C">
      <w:pPr>
        <w:pStyle w:val="8"/>
        <w:jc w:val="left"/>
        <w:rPr>
          <w:rFonts w:hint="eastAsia" w:ascii="仿宋" w:hAnsi="仿宋" w:eastAsia="仿宋" w:cs="Times New Roman"/>
          <w:color w:val="auto"/>
          <w:kern w:val="2"/>
          <w:sz w:val="32"/>
          <w:szCs w:val="32"/>
          <w:highlight w:val="none"/>
          <w:lang w:val="en-US" w:eastAsia="zh-CN" w:bidi="ar-SA"/>
        </w:rPr>
      </w:pPr>
    </w:p>
    <w:p w14:paraId="5C2D33B0">
      <w:pPr>
        <w:pStyle w:val="8"/>
        <w:ind w:left="0" w:leftChars="0" w:firstLine="0" w:firstLineChars="0"/>
        <w:jc w:val="left"/>
        <w:rPr>
          <w:rFonts w:ascii="仿宋" w:hAnsi="仿宋" w:eastAsia="仿宋"/>
          <w:color w:val="auto"/>
          <w:sz w:val="32"/>
          <w:szCs w:val="32"/>
          <w:highlight w:val="none"/>
        </w:rPr>
      </w:pPr>
      <w:r>
        <w:rPr>
          <w:highlight w:val="none"/>
        </w:rPr>
        <w:drawing>
          <wp:inline distT="0" distB="0" distL="114300" distR="114300">
            <wp:extent cx="5174615" cy="2696210"/>
            <wp:effectExtent l="4445" t="4445" r="21590" b="234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064535">
      <w:pPr>
        <w:spacing w:line="600" w:lineRule="exact"/>
        <w:ind w:firstLine="640" w:firstLineChars="200"/>
        <w:rPr>
          <w:rFonts w:ascii="仿宋_GB2312" w:eastAsia="仿宋_GB2312"/>
          <w:color w:val="auto"/>
          <w:sz w:val="32"/>
          <w:szCs w:val="32"/>
          <w:highlight w:val="none"/>
        </w:rPr>
      </w:pPr>
    </w:p>
    <w:p w14:paraId="200AC36B">
      <w:pPr>
        <w:pStyle w:val="28"/>
        <w:numPr>
          <w:ilvl w:val="0"/>
          <w:numId w:val="2"/>
        </w:numPr>
        <w:spacing w:line="600" w:lineRule="exact"/>
        <w:ind w:left="0" w:leftChars="0" w:firstLine="640" w:firstLineChars="200"/>
        <w:outlineLvl w:val="1"/>
        <w:rPr>
          <w:rStyle w:val="30"/>
          <w:rFonts w:ascii="黑体" w:hAnsi="黑体" w:eastAsia="黑体"/>
          <w:b w:val="0"/>
          <w:color w:val="auto"/>
          <w:highlight w:val="none"/>
        </w:rPr>
      </w:pPr>
      <w:bookmarkStart w:id="31" w:name="_Toc15396605"/>
      <w:bookmarkStart w:id="32" w:name="_Toc15377207"/>
      <w:bookmarkStart w:id="33" w:name="_Toc16639"/>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31"/>
      <w:bookmarkEnd w:id="32"/>
      <w:bookmarkEnd w:id="33"/>
    </w:p>
    <w:p w14:paraId="656E04F7">
      <w:pPr>
        <w:spacing w:line="600" w:lineRule="exact"/>
        <w:ind w:left="-2" w:leftChars="0" w:firstLine="640" w:firstLineChars="200"/>
        <w:outlineLvl w:val="1"/>
        <w:rPr>
          <w:rFonts w:ascii="仿宋" w:hAnsi="仿宋" w:eastAsia="仿宋"/>
          <w:color w:val="auto"/>
          <w:sz w:val="32"/>
          <w:szCs w:val="32"/>
          <w:highlight w:val="none"/>
        </w:rPr>
      </w:pPr>
      <w:bookmarkStart w:id="34" w:name="_Toc12560"/>
      <w:bookmarkStart w:id="35" w:name="_Toc5524"/>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s="仿宋"/>
          <w:sz w:val="32"/>
          <w:szCs w:val="32"/>
          <w:highlight w:val="none"/>
          <w:lang w:val="en-US" w:eastAsia="zh-CN"/>
        </w:rPr>
        <w:t>204.97</w:t>
      </w:r>
      <w:r>
        <w:rPr>
          <w:rFonts w:hint="eastAsia" w:ascii="仿宋" w:hAnsi="仿宋" w:eastAsia="仿宋"/>
          <w:color w:val="auto"/>
          <w:sz w:val="32"/>
          <w:szCs w:val="32"/>
          <w:highlight w:val="none"/>
        </w:rPr>
        <w:t>万元，其中：基本支出</w:t>
      </w:r>
      <w:r>
        <w:rPr>
          <w:rFonts w:hint="eastAsia" w:ascii="仿宋" w:hAnsi="仿宋" w:eastAsia="仿宋" w:cs="仿宋"/>
          <w:sz w:val="32"/>
          <w:szCs w:val="32"/>
          <w:highlight w:val="none"/>
          <w:lang w:val="en-US" w:eastAsia="zh-CN"/>
        </w:rPr>
        <w:t>133.48</w:t>
      </w:r>
      <w:r>
        <w:rPr>
          <w:rFonts w:hint="eastAsia" w:ascii="仿宋" w:hAnsi="仿宋" w:eastAsia="仿宋"/>
          <w:color w:val="auto"/>
          <w:sz w:val="32"/>
          <w:szCs w:val="32"/>
          <w:highlight w:val="none"/>
        </w:rPr>
        <w:t>万元，占</w:t>
      </w:r>
      <w:r>
        <w:rPr>
          <w:rFonts w:hint="eastAsia" w:ascii="仿宋" w:hAnsi="仿宋" w:eastAsia="仿宋" w:cs="仿宋"/>
          <w:sz w:val="32"/>
          <w:szCs w:val="32"/>
          <w:highlight w:val="none"/>
          <w:lang w:val="en-US" w:eastAsia="zh-CN"/>
        </w:rPr>
        <w:t>65.12%</w:t>
      </w:r>
      <w:r>
        <w:rPr>
          <w:rFonts w:hint="eastAsia" w:ascii="仿宋" w:hAnsi="仿宋" w:eastAsia="仿宋"/>
          <w:color w:val="auto"/>
          <w:sz w:val="32"/>
          <w:szCs w:val="32"/>
          <w:highlight w:val="none"/>
        </w:rPr>
        <w:t>；项目支出</w:t>
      </w:r>
      <w:r>
        <w:rPr>
          <w:rFonts w:hint="eastAsia" w:ascii="仿宋" w:hAnsi="仿宋" w:eastAsia="仿宋" w:cs="仿宋"/>
          <w:sz w:val="32"/>
          <w:szCs w:val="32"/>
          <w:highlight w:val="none"/>
          <w:lang w:val="en-US" w:eastAsia="zh-CN"/>
        </w:rPr>
        <w:t>71.49</w:t>
      </w:r>
      <w:r>
        <w:rPr>
          <w:rFonts w:hint="eastAsia" w:ascii="仿宋" w:hAnsi="仿宋" w:eastAsia="仿宋"/>
          <w:color w:val="auto"/>
          <w:sz w:val="32"/>
          <w:szCs w:val="32"/>
          <w:highlight w:val="none"/>
        </w:rPr>
        <w:t>万元，占</w:t>
      </w:r>
      <w:r>
        <w:rPr>
          <w:rFonts w:hint="eastAsia" w:ascii="仿宋" w:hAnsi="仿宋" w:eastAsia="仿宋" w:cs="仿宋"/>
          <w:sz w:val="32"/>
          <w:szCs w:val="32"/>
          <w:highlight w:val="none"/>
          <w:lang w:val="en-US" w:eastAsia="zh-CN"/>
        </w:rPr>
        <w:t>34.88%</w:t>
      </w:r>
      <w:r>
        <w:rPr>
          <w:rFonts w:hint="eastAsia" w:ascii="仿宋" w:hAnsi="仿宋" w:eastAsia="仿宋"/>
          <w:color w:val="auto"/>
          <w:sz w:val="32"/>
          <w:szCs w:val="32"/>
          <w:highlight w:val="none"/>
        </w:rPr>
        <w:t>。</w:t>
      </w:r>
      <w:bookmarkEnd w:id="34"/>
      <w:bookmarkEnd w:id="35"/>
    </w:p>
    <w:p w14:paraId="5B778A4A">
      <w:pPr>
        <w:spacing w:line="600" w:lineRule="exact"/>
        <w:rPr>
          <w:rFonts w:ascii="仿宋_GB2312" w:eastAsia="仿宋_GB2312"/>
          <w:color w:val="auto"/>
          <w:sz w:val="32"/>
          <w:szCs w:val="32"/>
          <w:highlight w:val="none"/>
        </w:rPr>
      </w:pPr>
    </w:p>
    <w:p w14:paraId="0A631EE4">
      <w:pPr>
        <w:spacing w:line="600" w:lineRule="exact"/>
        <w:rPr>
          <w:rFonts w:ascii="仿宋_GB2312" w:eastAsia="仿宋_GB2312"/>
          <w:color w:val="auto"/>
          <w:sz w:val="32"/>
          <w:szCs w:val="32"/>
          <w:highlight w:val="none"/>
        </w:rPr>
      </w:pPr>
      <w:r>
        <w:rPr>
          <w:rFonts w:hint="eastAsia" w:ascii="仿宋" w:hAnsi="仿宋" w:eastAsia="仿宋"/>
          <w:color w:val="000000"/>
          <w:sz w:val="32"/>
          <w:szCs w:val="32"/>
          <w:highlight w:val="none"/>
          <w:lang w:eastAsia="zh-CN"/>
        </w:rPr>
        <w:drawing>
          <wp:anchor distT="0" distB="0" distL="114300" distR="114300" simplePos="0" relativeHeight="251659264" behindDoc="0" locked="0" layoutInCell="1" allowOverlap="1">
            <wp:simplePos x="0" y="0"/>
            <wp:positionH relativeFrom="column">
              <wp:posOffset>-3810</wp:posOffset>
            </wp:positionH>
            <wp:positionV relativeFrom="paragraph">
              <wp:posOffset>242570</wp:posOffset>
            </wp:positionV>
            <wp:extent cx="5182870" cy="2536190"/>
            <wp:effectExtent l="4445" t="4445" r="13335" b="1206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53EDDDD">
      <w:pPr>
        <w:spacing w:line="600" w:lineRule="exact"/>
        <w:ind w:left="0" w:leftChars="0" w:firstLine="640" w:firstLineChars="200"/>
        <w:outlineLvl w:val="9"/>
        <w:rPr>
          <w:rFonts w:hint="eastAsia" w:ascii="黑体" w:hAnsi="黑体" w:eastAsia="黑体"/>
          <w:color w:val="auto"/>
          <w:sz w:val="32"/>
          <w:szCs w:val="32"/>
          <w:highlight w:val="none"/>
        </w:rPr>
      </w:pPr>
      <w:bookmarkStart w:id="36" w:name="_Toc15377208"/>
      <w:bookmarkStart w:id="37" w:name="_Toc15396606"/>
    </w:p>
    <w:p w14:paraId="45FBD1FA">
      <w:pPr>
        <w:spacing w:line="600" w:lineRule="exact"/>
        <w:ind w:left="0" w:leftChars="0" w:firstLine="640" w:firstLineChars="200"/>
        <w:outlineLvl w:val="1"/>
        <w:rPr>
          <w:rStyle w:val="30"/>
          <w:rFonts w:ascii="黑体" w:hAnsi="黑体" w:eastAsia="黑体"/>
          <w:b w:val="0"/>
          <w:color w:val="auto"/>
          <w:highlight w:val="none"/>
        </w:rPr>
      </w:pPr>
      <w:bookmarkStart w:id="38" w:name="_Toc3837"/>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36"/>
      <w:bookmarkEnd w:id="37"/>
      <w:bookmarkEnd w:id="38"/>
    </w:p>
    <w:p w14:paraId="2C220D4D">
      <w:pPr>
        <w:snapToGrid w:val="0"/>
        <w:spacing w:line="520" w:lineRule="exact"/>
        <w:ind w:left="0" w:leftChars="0" w:firstLine="640" w:firstLineChars="200"/>
        <w:rPr>
          <w:rFonts w:hint="eastAsia" w:ascii="仿宋_GB2312" w:hAnsi="仿宋" w:eastAsia="仿宋_GB2312"/>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s="仿宋"/>
          <w:sz w:val="32"/>
          <w:szCs w:val="32"/>
          <w:highlight w:val="none"/>
          <w:lang w:val="en-US" w:eastAsia="zh-CN"/>
        </w:rPr>
        <w:t>165.76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eastAsia="zh-CN"/>
        </w:rPr>
        <w:t>减少</w:t>
      </w:r>
      <w:r>
        <w:rPr>
          <w:rFonts w:hint="eastAsia" w:ascii="仿宋" w:hAnsi="仿宋" w:eastAsia="仿宋" w:cs="仿宋"/>
          <w:sz w:val="32"/>
          <w:szCs w:val="32"/>
          <w:highlight w:val="none"/>
          <w:lang w:val="en-US" w:eastAsia="zh-CN"/>
        </w:rPr>
        <w:t>39.92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19.41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w:t>
      </w:r>
      <w:r>
        <w:rPr>
          <w:rFonts w:hint="eastAsia" w:ascii="仿宋_GB2312" w:hAnsi="仿宋" w:eastAsia="仿宋_GB2312"/>
          <w:sz w:val="32"/>
          <w:szCs w:val="32"/>
          <w:highlight w:val="none"/>
          <w:lang w:val="en-US" w:eastAsia="zh-CN"/>
        </w:rPr>
        <w:t>2023年减少妇儿驿家、“两癌”患病妇女资金（民生项目）、2022年防疫资金等项目支出。</w:t>
      </w:r>
    </w:p>
    <w:p w14:paraId="6568FE80">
      <w:pPr>
        <w:pStyle w:val="2"/>
        <w:rPr>
          <w:rFonts w:hint="eastAsia" w:ascii="仿宋_GB2312" w:hAnsi="仿宋" w:eastAsia="仿宋_GB2312"/>
          <w:sz w:val="32"/>
          <w:szCs w:val="32"/>
          <w:highlight w:val="none"/>
          <w:lang w:val="en-US" w:eastAsia="zh-CN"/>
        </w:rPr>
      </w:pPr>
    </w:p>
    <w:p w14:paraId="557C33D9">
      <w:pPr>
        <w:pStyle w:val="3"/>
        <w:rPr>
          <w:rFonts w:hint="eastAsia"/>
          <w:lang w:val="en-US" w:eastAsia="zh-CN"/>
        </w:rPr>
      </w:pPr>
    </w:p>
    <w:p w14:paraId="380C4391">
      <w:pPr>
        <w:pStyle w:val="8"/>
        <w:rPr>
          <w:rFonts w:ascii="仿宋" w:hAnsi="仿宋" w:eastAsia="仿宋"/>
          <w:b/>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-122555</wp:posOffset>
            </wp:positionH>
            <wp:positionV relativeFrom="paragraph">
              <wp:posOffset>142875</wp:posOffset>
            </wp:positionV>
            <wp:extent cx="5269865" cy="2285365"/>
            <wp:effectExtent l="4445" t="4445" r="21590" b="1524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CAE35EF">
      <w:pPr>
        <w:spacing w:line="600" w:lineRule="exact"/>
        <w:ind w:firstLine="640" w:firstLineChars="200"/>
        <w:outlineLvl w:val="1"/>
        <w:rPr>
          <w:rStyle w:val="30"/>
          <w:rFonts w:ascii="黑体" w:hAnsi="黑体" w:eastAsia="黑体"/>
          <w:b w:val="0"/>
          <w:color w:val="auto"/>
          <w:highlight w:val="none"/>
        </w:rPr>
      </w:pPr>
      <w:bookmarkStart w:id="39" w:name="_Toc15396607"/>
      <w:bookmarkStart w:id="40" w:name="_Toc15377209"/>
      <w:bookmarkStart w:id="41" w:name="_Toc15863"/>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39"/>
      <w:bookmarkEnd w:id="40"/>
      <w:bookmarkEnd w:id="41"/>
    </w:p>
    <w:p w14:paraId="1F19BA7F">
      <w:pPr>
        <w:spacing w:line="600" w:lineRule="exact"/>
        <w:ind w:firstLine="643" w:firstLineChars="200"/>
        <w:outlineLvl w:val="2"/>
        <w:rPr>
          <w:rFonts w:ascii="仿宋" w:hAnsi="仿宋" w:eastAsia="仿宋"/>
          <w:b/>
          <w:color w:val="auto"/>
          <w:sz w:val="32"/>
          <w:szCs w:val="32"/>
          <w:highlight w:val="none"/>
        </w:rPr>
      </w:pPr>
      <w:bookmarkStart w:id="42" w:name="_Toc15377210"/>
      <w:r>
        <w:rPr>
          <w:rFonts w:hint="eastAsia" w:ascii="仿宋" w:hAnsi="仿宋" w:eastAsia="仿宋"/>
          <w:b/>
          <w:color w:val="auto"/>
          <w:sz w:val="32"/>
          <w:szCs w:val="32"/>
          <w:highlight w:val="none"/>
        </w:rPr>
        <w:t>（一）一般公共预算财政拨款支出决算总体情况</w:t>
      </w:r>
      <w:bookmarkEnd w:id="42"/>
    </w:p>
    <w:p w14:paraId="31D5814A">
      <w:pPr>
        <w:snapToGrid w:val="0"/>
        <w:spacing w:line="520" w:lineRule="exact"/>
        <w:ind w:firstLine="640" w:firstLineChars="200"/>
        <w:rPr>
          <w:rFonts w:hint="eastAsia" w:ascii="仿宋_GB2312" w:hAnsi="仿宋" w:eastAsia="仿宋_GB2312"/>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年一般公共预算财政拨款支出165.76万元，占本年支出合计的</w:t>
      </w:r>
      <w:r>
        <w:rPr>
          <w:rFonts w:hint="eastAsia" w:ascii="仿宋" w:hAnsi="仿宋" w:eastAsia="仿宋"/>
          <w:color w:val="auto"/>
          <w:sz w:val="32"/>
          <w:szCs w:val="32"/>
          <w:highlight w:val="none"/>
          <w:lang w:val="en-US" w:eastAsia="zh-CN"/>
        </w:rPr>
        <w:t>80.87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支出减少</w:t>
      </w:r>
      <w:r>
        <w:rPr>
          <w:rFonts w:hint="eastAsia" w:ascii="仿宋" w:hAnsi="仿宋" w:eastAsia="仿宋" w:cs="仿宋"/>
          <w:sz w:val="32"/>
          <w:szCs w:val="32"/>
          <w:highlight w:val="none"/>
          <w:lang w:val="en-US" w:eastAsia="zh-CN"/>
        </w:rPr>
        <w:t>39.92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19.41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sz w:val="32"/>
          <w:szCs w:val="32"/>
          <w:highlight w:val="none"/>
          <w:lang w:val="en-US" w:eastAsia="zh-CN"/>
        </w:rPr>
        <w:t>2023年减少妇儿驿家、“两癌”患病妇女资金（民生项目）、2022年防疫资金等项目支出。</w:t>
      </w:r>
    </w:p>
    <w:p w14:paraId="64AD19CC">
      <w:pPr>
        <w:spacing w:line="600" w:lineRule="exact"/>
        <w:ind w:firstLine="640" w:firstLineChars="200"/>
        <w:rPr>
          <w:rFonts w:ascii="仿宋" w:hAnsi="仿宋" w:eastAsia="仿宋"/>
          <w:color w:val="auto"/>
          <w:sz w:val="32"/>
          <w:szCs w:val="32"/>
          <w:highlight w:val="none"/>
        </w:rPr>
      </w:pPr>
    </w:p>
    <w:p w14:paraId="43172E05">
      <w:pPr>
        <w:pStyle w:val="8"/>
        <w:rPr>
          <w:rFonts w:ascii="仿宋" w:hAnsi="仿宋" w:eastAsia="仿宋"/>
          <w:color w:val="auto"/>
          <w:sz w:val="32"/>
          <w:szCs w:val="32"/>
          <w:highlight w:val="none"/>
        </w:rPr>
      </w:pPr>
      <w:r>
        <w:rPr>
          <w:rFonts w:hint="default" w:ascii="仿宋" w:hAnsi="仿宋" w:eastAsia="仿宋"/>
          <w:color w:val="000000"/>
          <w:sz w:val="32"/>
          <w:szCs w:val="32"/>
          <w:highlight w:val="none"/>
          <w:lang w:val="en-US" w:eastAsia="zh-CN"/>
        </w:rPr>
        <w:drawing>
          <wp:anchor distT="0" distB="0" distL="114300" distR="114300" simplePos="0" relativeHeight="251661312" behindDoc="0" locked="0" layoutInCell="1" allowOverlap="1">
            <wp:simplePos x="0" y="0"/>
            <wp:positionH relativeFrom="column">
              <wp:posOffset>31750</wp:posOffset>
            </wp:positionH>
            <wp:positionV relativeFrom="paragraph">
              <wp:posOffset>553720</wp:posOffset>
            </wp:positionV>
            <wp:extent cx="5270500" cy="2155190"/>
            <wp:effectExtent l="5080" t="4445" r="20320" b="1206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7C3AE97">
      <w:pPr>
        <w:spacing w:line="600" w:lineRule="exact"/>
        <w:rPr>
          <w:rFonts w:ascii="仿宋" w:hAnsi="仿宋" w:eastAsia="仿宋"/>
          <w:color w:val="auto"/>
          <w:sz w:val="32"/>
          <w:szCs w:val="32"/>
          <w:highlight w:val="none"/>
        </w:rPr>
      </w:pPr>
    </w:p>
    <w:p w14:paraId="7631489F">
      <w:pPr>
        <w:spacing w:line="600" w:lineRule="exact"/>
        <w:ind w:firstLine="643" w:firstLineChars="200"/>
        <w:outlineLvl w:val="2"/>
        <w:rPr>
          <w:rFonts w:ascii="仿宋" w:hAnsi="仿宋" w:eastAsia="仿宋"/>
          <w:b/>
          <w:color w:val="auto"/>
          <w:sz w:val="32"/>
          <w:szCs w:val="32"/>
          <w:highlight w:val="none"/>
        </w:rPr>
      </w:pPr>
      <w:bookmarkStart w:id="43" w:name="_Toc15377211"/>
      <w:r>
        <w:rPr>
          <w:rFonts w:hint="eastAsia" w:ascii="仿宋" w:hAnsi="仿宋" w:eastAsia="仿宋"/>
          <w:b/>
          <w:color w:val="auto"/>
          <w:sz w:val="32"/>
          <w:szCs w:val="32"/>
          <w:highlight w:val="none"/>
        </w:rPr>
        <w:t>（二）一般公共预算财政拨款支出决算结构情况</w:t>
      </w:r>
      <w:bookmarkEnd w:id="43"/>
    </w:p>
    <w:p w14:paraId="55B3C84C">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165.76</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139.</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83.98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9.97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8.69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5.24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7.90万元，占</w:t>
      </w:r>
      <w:r>
        <w:rPr>
          <w:rFonts w:hint="eastAsia" w:ascii="仿宋" w:hAnsi="仿宋" w:eastAsia="仿宋"/>
          <w:color w:val="auto"/>
          <w:sz w:val="32"/>
          <w:szCs w:val="32"/>
          <w:highlight w:val="none"/>
          <w:lang w:val="en-US" w:eastAsia="zh-CN"/>
        </w:rPr>
        <w:t>4.77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2C78E6A">
      <w:pPr>
        <w:spacing w:line="600" w:lineRule="exact"/>
        <w:ind w:firstLine="640"/>
        <w:rPr>
          <w:rFonts w:ascii="仿宋" w:hAnsi="仿宋" w:eastAsia="仿宋"/>
          <w:b/>
          <w:color w:val="auto"/>
          <w:sz w:val="32"/>
          <w:szCs w:val="32"/>
          <w:highlight w:val="none"/>
        </w:rPr>
      </w:pPr>
    </w:p>
    <w:p w14:paraId="63CCC06C">
      <w:pPr>
        <w:pStyle w:val="8"/>
        <w:rPr>
          <w:rFonts w:ascii="仿宋" w:hAnsi="仿宋" w:eastAsia="仿宋"/>
          <w:color w:val="auto"/>
          <w:sz w:val="32"/>
          <w:szCs w:val="32"/>
          <w:highlight w:val="none"/>
        </w:rPr>
      </w:pPr>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107950</wp:posOffset>
            </wp:positionH>
            <wp:positionV relativeFrom="paragraph">
              <wp:posOffset>332740</wp:posOffset>
            </wp:positionV>
            <wp:extent cx="5241290" cy="2505075"/>
            <wp:effectExtent l="4445" t="4445" r="12065" b="508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986DF92">
      <w:pPr>
        <w:pStyle w:val="8"/>
        <w:rPr>
          <w:rFonts w:ascii="仿宋" w:hAnsi="仿宋" w:eastAsia="仿宋"/>
          <w:color w:val="auto"/>
          <w:sz w:val="32"/>
          <w:szCs w:val="32"/>
          <w:highlight w:val="none"/>
        </w:rPr>
      </w:pPr>
    </w:p>
    <w:p w14:paraId="7D30CD07">
      <w:pPr>
        <w:spacing w:line="600" w:lineRule="exact"/>
        <w:ind w:firstLine="640" w:firstLineChars="200"/>
        <w:rPr>
          <w:rFonts w:ascii="仿宋" w:hAnsi="仿宋" w:eastAsia="仿宋"/>
          <w:color w:val="auto"/>
          <w:sz w:val="32"/>
          <w:szCs w:val="32"/>
          <w:highlight w:val="none"/>
        </w:rPr>
      </w:pPr>
    </w:p>
    <w:p w14:paraId="001F904E">
      <w:pPr>
        <w:spacing w:line="600" w:lineRule="exact"/>
        <w:ind w:firstLine="643" w:firstLineChars="200"/>
        <w:outlineLvl w:val="2"/>
        <w:rPr>
          <w:rFonts w:ascii="仿宋" w:hAnsi="仿宋" w:eastAsia="仿宋"/>
          <w:b/>
          <w:color w:val="auto"/>
          <w:sz w:val="32"/>
          <w:szCs w:val="32"/>
          <w:highlight w:val="none"/>
        </w:rPr>
      </w:pPr>
      <w:bookmarkStart w:id="44" w:name="_Toc15377212"/>
      <w:r>
        <w:rPr>
          <w:rFonts w:hint="eastAsia" w:ascii="仿宋" w:hAnsi="仿宋" w:eastAsia="仿宋"/>
          <w:b/>
          <w:color w:val="auto"/>
          <w:sz w:val="32"/>
          <w:szCs w:val="32"/>
          <w:highlight w:val="none"/>
        </w:rPr>
        <w:t>（三）一般公共预算财政拨款支出决算具体情况</w:t>
      </w:r>
      <w:bookmarkEnd w:id="44"/>
    </w:p>
    <w:p w14:paraId="37BCDB26">
      <w:pPr>
        <w:spacing w:line="600" w:lineRule="exact"/>
        <w:ind w:firstLine="643" w:firstLineChars="200"/>
        <w:outlineLvl w:val="1"/>
        <w:rPr>
          <w:rFonts w:ascii="仿宋" w:hAnsi="仿宋" w:eastAsia="仿宋"/>
          <w:color w:val="auto"/>
          <w:sz w:val="32"/>
          <w:szCs w:val="32"/>
          <w:highlight w:val="none"/>
        </w:rPr>
      </w:pPr>
      <w:bookmarkStart w:id="45" w:name="_Toc15378460"/>
      <w:bookmarkStart w:id="46" w:name="_Toc10921"/>
      <w:bookmarkStart w:id="47" w:name="_Toc15377213"/>
      <w:bookmarkStart w:id="48" w:name="_Toc7509"/>
      <w:bookmarkStart w:id="49"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般公共预算支出决算数为205.68</w:t>
      </w:r>
      <w:r>
        <w:rPr>
          <w:rFonts w:hint="eastAsia" w:ascii="仿宋" w:hAnsi="仿宋" w:eastAsia="仿宋"/>
          <w:b/>
          <w:color w:val="auto"/>
          <w:sz w:val="32"/>
          <w:szCs w:val="32"/>
          <w:highlight w:val="none"/>
          <w:lang w:eastAsia="zh-CN"/>
        </w:rPr>
        <w:t>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45"/>
      <w:bookmarkEnd w:id="46"/>
      <w:bookmarkEnd w:id="47"/>
      <w:bookmarkEnd w:id="48"/>
      <w:bookmarkEnd w:id="49"/>
    </w:p>
    <w:p w14:paraId="0919D3F6">
      <w:pPr>
        <w:numPr>
          <w:ilvl w:val="0"/>
          <w:numId w:val="0"/>
        </w:num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1</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群众团体事务</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29</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 xml:space="preserve"> 行政运行</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101.94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1248626F">
      <w:pPr>
        <w:numPr>
          <w:ilvl w:val="0"/>
          <w:numId w:val="0"/>
        </w:num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群众团体事务</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29</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一般行政管理事务</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2.21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57381DA9">
      <w:p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群众团体事务</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29</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其他群众团体事务支出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35.05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2599CC86">
      <w:p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4.</w:t>
      </w:r>
      <w:r>
        <w:rPr>
          <w:rStyle w:val="18"/>
          <w:rFonts w:hint="eastAsia" w:ascii="仿宋" w:hAnsi="仿宋" w:eastAsia="仿宋"/>
          <w:bCs/>
          <w:color w:val="auto"/>
          <w:sz w:val="32"/>
          <w:szCs w:val="32"/>
          <w:highlight w:val="none"/>
        </w:rPr>
        <w:t>社会保障和就业支出（</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行政事业单位养老支出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 xml:space="preserve">  行政单位离退休</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0.11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4672D93A">
      <w:p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5.</w:t>
      </w:r>
      <w:r>
        <w:rPr>
          <w:rStyle w:val="18"/>
          <w:rFonts w:hint="eastAsia" w:ascii="仿宋" w:hAnsi="仿宋" w:eastAsia="仿宋"/>
          <w:bCs/>
          <w:color w:val="auto"/>
          <w:sz w:val="32"/>
          <w:szCs w:val="32"/>
          <w:highlight w:val="none"/>
        </w:rPr>
        <w:t>社会保障和就业支出（</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行政事业单位养老支出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机关事业单位基本养老保险缴费支出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9.71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0F7FD1F5">
      <w:pPr>
        <w:numPr>
          <w:ilvl w:val="0"/>
          <w:numId w:val="0"/>
        </w:num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6.</w:t>
      </w:r>
      <w:r>
        <w:rPr>
          <w:rStyle w:val="18"/>
          <w:rFonts w:hint="eastAsia" w:ascii="仿宋" w:hAnsi="仿宋" w:eastAsia="仿宋"/>
          <w:bCs/>
          <w:color w:val="auto"/>
          <w:sz w:val="32"/>
          <w:szCs w:val="32"/>
          <w:highlight w:val="none"/>
        </w:rPr>
        <w:t>社会保障和就业支出（</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其他社会保障和就业支出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其他社会保障和就业支出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0.15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00E3AC3A">
      <w:pPr>
        <w:numPr>
          <w:ilvl w:val="0"/>
          <w:numId w:val="0"/>
        </w:numPr>
        <w:spacing w:line="600" w:lineRule="exact"/>
        <w:ind w:firstLine="643" w:firstLineChars="200"/>
        <w:rPr>
          <w:rFonts w:hint="default"/>
          <w:highlight w:val="none"/>
          <w:lang w:val="en-US" w:eastAsia="zh-CN"/>
        </w:rPr>
      </w:pPr>
      <w:r>
        <w:rPr>
          <w:rStyle w:val="18"/>
          <w:rFonts w:hint="eastAsia" w:ascii="仿宋" w:hAnsi="仿宋" w:eastAsia="仿宋"/>
          <w:bCs/>
          <w:color w:val="auto"/>
          <w:sz w:val="32"/>
          <w:szCs w:val="32"/>
          <w:highlight w:val="none"/>
          <w:lang w:val="en-US" w:eastAsia="zh-CN"/>
        </w:rPr>
        <w:t>7.</w:t>
      </w:r>
      <w:r>
        <w:rPr>
          <w:rFonts w:hint="eastAsia" w:ascii="仿宋" w:hAnsi="仿宋" w:eastAsia="仿宋"/>
          <w:b/>
          <w:bCs/>
          <w:color w:val="auto"/>
          <w:sz w:val="32"/>
          <w:szCs w:val="32"/>
          <w:highlight w:val="none"/>
          <w:lang w:eastAsia="zh-CN"/>
        </w:rPr>
        <w:t>卫</w:t>
      </w:r>
      <w:r>
        <w:rPr>
          <w:rFonts w:hint="eastAsia" w:ascii="仿宋" w:hAnsi="仿宋" w:eastAsia="仿宋"/>
          <w:b/>
          <w:bCs/>
          <w:color w:val="auto"/>
          <w:sz w:val="32"/>
          <w:szCs w:val="32"/>
          <w:highlight w:val="none"/>
        </w:rPr>
        <w:t>生健康</w:t>
      </w:r>
      <w:r>
        <w:rPr>
          <w:rFonts w:hint="eastAsia" w:ascii="仿宋" w:hAnsi="仿宋" w:eastAsia="仿宋"/>
          <w:b/>
          <w:bCs/>
          <w:color w:val="auto"/>
          <w:sz w:val="32"/>
          <w:szCs w:val="32"/>
          <w:highlight w:val="none"/>
          <w:lang w:eastAsia="zh-CN"/>
        </w:rPr>
        <w:t>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210</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计划生育事务</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07</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其他计划生育事务支出（99）</w:t>
      </w:r>
      <w:r>
        <w:rPr>
          <w:rStyle w:val="18"/>
          <w:rFonts w:hint="eastAsia" w:ascii="仿宋" w:hAnsi="仿宋" w:eastAsia="仿宋"/>
          <w:b w:val="0"/>
          <w:bCs/>
          <w:color w:val="auto"/>
          <w:sz w:val="32"/>
          <w:szCs w:val="32"/>
          <w:highlight w:val="none"/>
          <w:lang w:val="en-US"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4.73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07B1B2B3">
      <w:pPr>
        <w:numPr>
          <w:ilvl w:val="0"/>
          <w:numId w:val="0"/>
        </w:numPr>
        <w:spacing w:line="600" w:lineRule="exact"/>
        <w:ind w:firstLine="643" w:firstLineChars="200"/>
        <w:rPr>
          <w:rStyle w:val="18"/>
          <w:rFonts w:hint="eastAsia" w:ascii="仿宋" w:hAnsi="仿宋" w:eastAsia="仿宋"/>
          <w:b w:val="0"/>
          <w:bCs/>
          <w:color w:val="auto"/>
          <w:sz w:val="32"/>
          <w:szCs w:val="32"/>
          <w:highlight w:val="none"/>
          <w:lang w:eastAsia="zh-CN"/>
        </w:rPr>
      </w:pPr>
      <w:r>
        <w:rPr>
          <w:rFonts w:hint="eastAsia" w:ascii="仿宋" w:hAnsi="仿宋" w:eastAsia="仿宋"/>
          <w:b/>
          <w:bCs/>
          <w:color w:val="auto"/>
          <w:sz w:val="32"/>
          <w:szCs w:val="32"/>
          <w:highlight w:val="none"/>
          <w:lang w:val="en-US" w:eastAsia="zh-CN"/>
        </w:rPr>
        <w:t>8.卫</w:t>
      </w:r>
      <w:r>
        <w:rPr>
          <w:rFonts w:hint="eastAsia" w:ascii="仿宋" w:hAnsi="仿宋" w:eastAsia="仿宋"/>
          <w:b/>
          <w:bCs/>
          <w:color w:val="auto"/>
          <w:sz w:val="32"/>
          <w:szCs w:val="32"/>
          <w:highlight w:val="none"/>
        </w:rPr>
        <w:t>生健康</w:t>
      </w:r>
      <w:r>
        <w:rPr>
          <w:rFonts w:hint="eastAsia" w:ascii="仿宋" w:hAnsi="仿宋" w:eastAsia="仿宋"/>
          <w:b/>
          <w:bCs/>
          <w:color w:val="auto"/>
          <w:sz w:val="32"/>
          <w:szCs w:val="32"/>
          <w:highlight w:val="none"/>
          <w:lang w:eastAsia="zh-CN"/>
        </w:rPr>
        <w:t>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210</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行政事业单位医疗</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 xml:space="preserve">  行政单位医疗</w:t>
      </w:r>
      <w:r>
        <w:rPr>
          <w:rStyle w:val="18"/>
          <w:rFonts w:hint="eastAsia" w:ascii="仿宋" w:hAnsi="仿宋" w:eastAsia="仿宋"/>
          <w:bCs/>
          <w:color w:val="000000"/>
          <w:sz w:val="32"/>
          <w:szCs w:val="32"/>
          <w:highlight w:val="none"/>
        </w:rPr>
        <w:t>（</w:t>
      </w:r>
      <w:r>
        <w:rPr>
          <w:rStyle w:val="18"/>
          <w:rFonts w:hint="eastAsia" w:ascii="仿宋" w:hAnsi="仿宋" w:eastAsia="仿宋"/>
          <w:bCs/>
          <w:color w:val="000000"/>
          <w:sz w:val="32"/>
          <w:szCs w:val="32"/>
          <w:highlight w:val="none"/>
          <w:lang w:val="en-US" w:eastAsia="zh-CN"/>
        </w:rPr>
        <w:t>01</w:t>
      </w:r>
      <w:r>
        <w:rPr>
          <w:rStyle w:val="18"/>
          <w:rFonts w:hint="eastAsia" w:ascii="仿宋" w:hAnsi="仿宋" w:eastAsia="仿宋"/>
          <w:bCs/>
          <w:color w:val="000000"/>
          <w:sz w:val="32"/>
          <w:szCs w:val="32"/>
          <w:highlight w:val="none"/>
        </w:rPr>
        <w:t>）</w:t>
      </w:r>
      <w:r>
        <w:rPr>
          <w:rStyle w:val="18"/>
          <w:rFonts w:hint="eastAsia" w:ascii="仿宋" w:hAnsi="仿宋" w:eastAsia="仿宋"/>
          <w:bCs/>
          <w:color w:val="000000"/>
          <w:sz w:val="32"/>
          <w:szCs w:val="32"/>
          <w:highlight w:val="none"/>
          <w:lang w:eastAsia="zh-CN"/>
        </w:rPr>
        <w:t>：</w:t>
      </w:r>
      <w:r>
        <w:rPr>
          <w:rStyle w:val="18"/>
          <w:rFonts w:hint="eastAsia" w:ascii="仿宋" w:hAnsi="仿宋" w:eastAsia="仿宋"/>
          <w:b w:val="0"/>
          <w:bCs/>
          <w:color w:val="000000"/>
          <w:sz w:val="32"/>
          <w:szCs w:val="32"/>
          <w:highlight w:val="none"/>
        </w:rPr>
        <w:t>支出决算为</w:t>
      </w:r>
      <w:r>
        <w:rPr>
          <w:rStyle w:val="18"/>
          <w:rFonts w:hint="eastAsia" w:ascii="仿宋" w:hAnsi="仿宋" w:eastAsia="仿宋"/>
          <w:b w:val="0"/>
          <w:bCs/>
          <w:color w:val="000000"/>
          <w:sz w:val="32"/>
          <w:szCs w:val="32"/>
          <w:highlight w:val="none"/>
          <w:lang w:val="en-US" w:eastAsia="zh-CN"/>
        </w:rPr>
        <w:t>3.04</w:t>
      </w:r>
      <w:r>
        <w:rPr>
          <w:rStyle w:val="18"/>
          <w:rFonts w:hint="eastAsia" w:ascii="仿宋" w:hAnsi="仿宋" w:eastAsia="仿宋"/>
          <w:b w:val="0"/>
          <w:bCs/>
          <w:color w:val="000000"/>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46E9ACEB">
      <w:pPr>
        <w:numPr>
          <w:ilvl w:val="0"/>
          <w:numId w:val="0"/>
        </w:numPr>
        <w:spacing w:line="600" w:lineRule="exact"/>
        <w:ind w:firstLine="643" w:firstLineChars="200"/>
        <w:rPr>
          <w:rStyle w:val="18"/>
          <w:rFonts w:hint="eastAsia" w:ascii="仿宋" w:hAnsi="仿宋" w:eastAsia="仿宋"/>
          <w:b w:val="0"/>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9.</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210</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行政事业单位医疗</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公务</w:t>
      </w:r>
      <w:r>
        <w:rPr>
          <w:rStyle w:val="18"/>
          <w:rFonts w:hint="eastAsia" w:ascii="仿宋" w:hAnsi="仿宋" w:eastAsia="仿宋"/>
          <w:bCs/>
          <w:color w:val="000000"/>
          <w:sz w:val="32"/>
          <w:szCs w:val="32"/>
          <w:highlight w:val="none"/>
          <w:lang w:eastAsia="zh-CN"/>
        </w:rPr>
        <w:t>员医疗补助</w:t>
      </w:r>
      <w:r>
        <w:rPr>
          <w:rStyle w:val="18"/>
          <w:rFonts w:hint="eastAsia" w:ascii="仿宋" w:hAnsi="仿宋" w:eastAsia="仿宋"/>
          <w:bCs/>
          <w:color w:val="000000"/>
          <w:sz w:val="32"/>
          <w:szCs w:val="32"/>
          <w:highlight w:val="none"/>
        </w:rPr>
        <w:t>（</w:t>
      </w:r>
      <w:r>
        <w:rPr>
          <w:rStyle w:val="18"/>
          <w:rFonts w:hint="eastAsia" w:ascii="仿宋" w:hAnsi="仿宋" w:eastAsia="仿宋"/>
          <w:bCs/>
          <w:color w:val="000000"/>
          <w:sz w:val="32"/>
          <w:szCs w:val="32"/>
          <w:highlight w:val="none"/>
          <w:lang w:val="en-US" w:eastAsia="zh-CN"/>
        </w:rPr>
        <w:t>03</w:t>
      </w:r>
      <w:r>
        <w:rPr>
          <w:rStyle w:val="18"/>
          <w:rFonts w:hint="eastAsia" w:ascii="仿宋" w:hAnsi="仿宋" w:eastAsia="仿宋"/>
          <w:bCs/>
          <w:color w:val="000000"/>
          <w:sz w:val="32"/>
          <w:szCs w:val="32"/>
          <w:highlight w:val="none"/>
        </w:rPr>
        <w:t>）</w:t>
      </w:r>
      <w:r>
        <w:rPr>
          <w:rStyle w:val="18"/>
          <w:rFonts w:ascii="仿宋" w:hAnsi="仿宋" w:eastAsia="仿宋"/>
          <w:bCs/>
          <w:color w:val="000000"/>
          <w:sz w:val="32"/>
          <w:szCs w:val="32"/>
          <w:highlight w:val="none"/>
        </w:rPr>
        <w:t>:</w:t>
      </w:r>
      <w:r>
        <w:rPr>
          <w:rStyle w:val="18"/>
          <w:rFonts w:hint="eastAsia" w:ascii="仿宋" w:hAnsi="仿宋" w:eastAsia="仿宋"/>
          <w:b w:val="0"/>
          <w:bCs/>
          <w:color w:val="000000"/>
          <w:sz w:val="32"/>
          <w:szCs w:val="32"/>
          <w:highlight w:val="none"/>
        </w:rPr>
        <w:t>支出决算为</w:t>
      </w:r>
      <w:r>
        <w:rPr>
          <w:rStyle w:val="18"/>
          <w:rFonts w:hint="eastAsia" w:ascii="仿宋" w:hAnsi="仿宋" w:eastAsia="仿宋"/>
          <w:b w:val="0"/>
          <w:bCs/>
          <w:color w:val="000000"/>
          <w:sz w:val="32"/>
          <w:szCs w:val="32"/>
          <w:highlight w:val="none"/>
          <w:lang w:val="en-US" w:eastAsia="zh-CN"/>
        </w:rPr>
        <w:t>0.92</w:t>
      </w:r>
      <w:r>
        <w:rPr>
          <w:rStyle w:val="18"/>
          <w:rFonts w:hint="eastAsia" w:ascii="仿宋" w:hAnsi="仿宋" w:eastAsia="仿宋"/>
          <w:b w:val="0"/>
          <w:bCs/>
          <w:color w:val="000000"/>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55F772AC">
      <w:pPr>
        <w:numPr>
          <w:ilvl w:val="0"/>
          <w:numId w:val="0"/>
        </w:numPr>
        <w:spacing w:line="600" w:lineRule="exact"/>
        <w:ind w:firstLine="643" w:firstLineChars="200"/>
        <w:rPr>
          <w:rStyle w:val="18"/>
          <w:rFonts w:hint="eastAsia" w:ascii="仿宋" w:hAnsi="仿宋" w:eastAsia="仿宋"/>
          <w:b w:val="0"/>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10.</w:t>
      </w:r>
      <w:r>
        <w:rPr>
          <w:rFonts w:hint="eastAsia" w:ascii="仿宋" w:hAnsi="仿宋" w:eastAsia="仿宋"/>
          <w:b/>
          <w:bCs/>
          <w:color w:val="auto"/>
          <w:sz w:val="32"/>
          <w:szCs w:val="32"/>
          <w:highlight w:val="none"/>
          <w:lang w:eastAsia="zh-CN"/>
        </w:rPr>
        <w:t>住房保障支出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221</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住房改革支出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住房公积金</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7.90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00270F6B">
      <w:pPr>
        <w:spacing w:line="600" w:lineRule="exact"/>
        <w:rPr>
          <w:rFonts w:ascii="仿宋" w:hAnsi="仿宋" w:eastAsia="仿宋"/>
          <w:b/>
          <w:color w:val="auto"/>
          <w:sz w:val="32"/>
          <w:szCs w:val="32"/>
          <w:highlight w:val="none"/>
        </w:rPr>
      </w:pPr>
    </w:p>
    <w:p w14:paraId="2F91FABA">
      <w:pPr>
        <w:tabs>
          <w:tab w:val="right" w:pos="8306"/>
        </w:tabs>
        <w:spacing w:line="600" w:lineRule="exact"/>
        <w:ind w:firstLine="640"/>
        <w:outlineLvl w:val="1"/>
        <w:rPr>
          <w:rStyle w:val="30"/>
          <w:color w:val="auto"/>
          <w:highlight w:val="none"/>
        </w:rPr>
      </w:pPr>
      <w:bookmarkStart w:id="50" w:name="_Toc15396608"/>
      <w:bookmarkStart w:id="51" w:name="_Toc15377214"/>
      <w:bookmarkStart w:id="52" w:name="_Toc16521"/>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50"/>
      <w:bookmarkEnd w:id="51"/>
      <w:bookmarkEnd w:id="52"/>
      <w:r>
        <w:rPr>
          <w:rStyle w:val="30"/>
          <w:rFonts w:ascii="黑体" w:hAnsi="黑体" w:eastAsia="黑体"/>
          <w:b w:val="0"/>
          <w:color w:val="auto"/>
          <w:highlight w:val="none"/>
        </w:rPr>
        <w:tab/>
      </w:r>
    </w:p>
    <w:p w14:paraId="61E58A6E">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123.77</w:t>
      </w:r>
      <w:r>
        <w:rPr>
          <w:rFonts w:hint="eastAsia" w:ascii="仿宋" w:hAnsi="仿宋" w:eastAsia="仿宋"/>
          <w:color w:val="auto"/>
          <w:sz w:val="32"/>
          <w:szCs w:val="32"/>
          <w:highlight w:val="none"/>
        </w:rPr>
        <w:t>万元，其中：</w:t>
      </w:r>
    </w:p>
    <w:p w14:paraId="48357212">
      <w:pPr>
        <w:spacing w:line="600" w:lineRule="exact"/>
        <w:ind w:firstLine="645"/>
        <w:rPr>
          <w:rFonts w:ascii="仿宋" w:hAnsi="仿宋" w:eastAsia="仿宋"/>
          <w:b/>
          <w:color w:val="auto"/>
          <w:sz w:val="32"/>
          <w:szCs w:val="32"/>
          <w:highlight w:val="none"/>
        </w:rPr>
      </w:pPr>
      <w:r>
        <w:rPr>
          <w:rFonts w:hint="eastAsia" w:ascii="仿宋" w:hAnsi="仿宋" w:eastAsia="仿宋"/>
          <w:color w:val="000000"/>
          <w:sz w:val="32"/>
          <w:szCs w:val="32"/>
          <w:highlight w:val="none"/>
        </w:rPr>
        <w:t>人员经费</w:t>
      </w:r>
      <w:r>
        <w:rPr>
          <w:rFonts w:hint="eastAsia" w:ascii="仿宋" w:hAnsi="仿宋" w:eastAsia="仿宋"/>
          <w:color w:val="000000"/>
          <w:sz w:val="32"/>
          <w:szCs w:val="32"/>
          <w:highlight w:val="none"/>
          <w:lang w:val="en-US" w:eastAsia="zh-CN"/>
        </w:rPr>
        <w:t>92.17</w:t>
      </w:r>
      <w:r>
        <w:rPr>
          <w:rFonts w:hint="eastAsia" w:ascii="仿宋" w:hAnsi="仿宋" w:eastAsia="仿宋"/>
          <w:color w:val="000000"/>
          <w:sz w:val="32"/>
          <w:szCs w:val="32"/>
          <w:highlight w:val="none"/>
        </w:rPr>
        <w:t>万元，主要包括：基本工资、津贴补贴、奖金、机关事业单位基本养老保险缴费</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职工基本医疗保险缴费、公务员医疗补助缴费</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其他社会保障缴费、其他工资福利支出、住房公积金</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其他个人和家庭的补助支出。</w:t>
      </w:r>
      <w:r>
        <w:rPr>
          <w:rFonts w:ascii="仿宋" w:hAnsi="仿宋" w:eastAsia="仿宋"/>
          <w:color w:val="000000"/>
          <w:sz w:val="32"/>
          <w:szCs w:val="32"/>
          <w:highlight w:val="none"/>
        </w:rPr>
        <w:br w:type="textWrapping"/>
      </w:r>
      <w:r>
        <w:rPr>
          <w:rFonts w:hint="eastAsia" w:ascii="仿宋" w:hAnsi="仿宋" w:eastAsia="仿宋"/>
          <w:color w:val="000000"/>
          <w:sz w:val="32"/>
          <w:szCs w:val="32"/>
          <w:highlight w:val="none"/>
        </w:rPr>
        <w:t>　　日常公用经费</w:t>
      </w:r>
      <w:r>
        <w:rPr>
          <w:rFonts w:hint="eastAsia" w:ascii="仿宋" w:hAnsi="仿宋" w:eastAsia="仿宋"/>
          <w:color w:val="000000"/>
          <w:sz w:val="32"/>
          <w:szCs w:val="32"/>
          <w:highlight w:val="none"/>
          <w:lang w:val="en-US" w:eastAsia="zh-CN"/>
        </w:rPr>
        <w:t>31.60</w:t>
      </w:r>
      <w:r>
        <w:rPr>
          <w:rFonts w:hint="eastAsia" w:ascii="仿宋" w:hAnsi="仿宋" w:eastAsia="仿宋"/>
          <w:color w:val="000000"/>
          <w:sz w:val="32"/>
          <w:szCs w:val="32"/>
          <w:highlight w:val="none"/>
        </w:rPr>
        <w:t>万元，主要包括：</w:t>
      </w:r>
      <w:r>
        <w:rPr>
          <w:rFonts w:hint="eastAsia" w:ascii="仿宋" w:hAnsi="仿宋" w:eastAsia="仿宋"/>
          <w:color w:val="000000"/>
          <w:sz w:val="32"/>
          <w:szCs w:val="32"/>
          <w:highlight w:val="none"/>
          <w:lang w:eastAsia="zh-CN"/>
        </w:rPr>
        <w:t>办公费、印刷费</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eastAsia="zh-CN"/>
        </w:rPr>
        <w:t>邮电费、差旅费、维修（护）费、会议费、培训费、</w:t>
      </w:r>
      <w:r>
        <w:rPr>
          <w:rFonts w:hint="eastAsia" w:ascii="仿宋" w:hAnsi="仿宋" w:eastAsia="仿宋"/>
          <w:color w:val="000000"/>
          <w:sz w:val="32"/>
          <w:szCs w:val="32"/>
          <w:highlight w:val="none"/>
        </w:rPr>
        <w:t>公务接待费、</w:t>
      </w:r>
      <w:r>
        <w:rPr>
          <w:rFonts w:hint="eastAsia" w:ascii="仿宋" w:hAnsi="仿宋" w:eastAsia="仿宋"/>
          <w:color w:val="000000"/>
          <w:sz w:val="32"/>
          <w:szCs w:val="32"/>
          <w:highlight w:val="none"/>
          <w:lang w:eastAsia="zh-CN"/>
        </w:rPr>
        <w:t>劳务费、  委托业务费、</w:t>
      </w:r>
      <w:r>
        <w:rPr>
          <w:rFonts w:hint="eastAsia" w:ascii="仿宋" w:hAnsi="仿宋" w:eastAsia="仿宋"/>
          <w:color w:val="000000"/>
          <w:sz w:val="32"/>
          <w:szCs w:val="32"/>
          <w:highlight w:val="none"/>
        </w:rPr>
        <w:t>福利费、其他交通费、其他商品和服务支出。</w:t>
      </w:r>
    </w:p>
    <w:p w14:paraId="7EDAC9E2">
      <w:pPr>
        <w:spacing w:line="600" w:lineRule="exact"/>
        <w:ind w:firstLine="640"/>
        <w:outlineLvl w:val="1"/>
        <w:rPr>
          <w:rStyle w:val="30"/>
          <w:rFonts w:ascii="黑体" w:hAnsi="黑体" w:eastAsia="黑体"/>
          <w:b w:val="0"/>
          <w:color w:val="auto"/>
          <w:highlight w:val="none"/>
        </w:rPr>
      </w:pPr>
      <w:bookmarkStart w:id="53" w:name="_Toc16502"/>
      <w:bookmarkStart w:id="54" w:name="_Toc15377215"/>
      <w:bookmarkStart w:id="55" w:name="_Toc15396609"/>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bookmarkEnd w:id="53"/>
      <w:bookmarkEnd w:id="54"/>
      <w:bookmarkEnd w:id="55"/>
    </w:p>
    <w:p w14:paraId="62EFB82D">
      <w:pPr>
        <w:spacing w:line="600" w:lineRule="exact"/>
        <w:ind w:firstLine="640"/>
        <w:outlineLvl w:val="2"/>
        <w:rPr>
          <w:rFonts w:ascii="仿宋" w:hAnsi="仿宋" w:eastAsia="仿宋"/>
          <w:b/>
          <w:color w:val="auto"/>
          <w:sz w:val="32"/>
          <w:szCs w:val="32"/>
          <w:highlight w:val="none"/>
        </w:rPr>
      </w:pPr>
      <w:bookmarkStart w:id="56" w:name="_Toc15377216"/>
      <w:r>
        <w:rPr>
          <w:rFonts w:hint="eastAsia" w:ascii="仿宋" w:hAnsi="仿宋" w:eastAsia="仿宋"/>
          <w:b/>
          <w:color w:val="auto"/>
          <w:sz w:val="32"/>
          <w:szCs w:val="32"/>
          <w:highlight w:val="none"/>
        </w:rPr>
        <w:t>（一）“三公”经费财政拨款支出决算总体情况说明</w:t>
      </w:r>
      <w:bookmarkEnd w:id="56"/>
    </w:p>
    <w:p w14:paraId="23442139">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0.15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减少0.25万元，下降62.50%。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rPr>
        <w:t>预算数</w:t>
      </w:r>
      <w:r>
        <w:rPr>
          <w:rFonts w:hint="eastAsia" w:ascii="仿宋" w:hAnsi="仿宋" w:eastAsia="仿宋"/>
          <w:color w:val="auto"/>
          <w:sz w:val="32"/>
          <w:szCs w:val="32"/>
          <w:highlight w:val="none"/>
          <w:lang w:eastAsia="zh-CN"/>
        </w:rPr>
        <w:t>持平</w:t>
      </w:r>
      <w:r>
        <w:rPr>
          <w:rFonts w:hint="eastAsia" w:ascii="仿宋" w:hAnsi="仿宋" w:eastAsia="仿宋"/>
          <w:color w:val="auto"/>
          <w:sz w:val="32"/>
          <w:szCs w:val="32"/>
          <w:highlight w:val="none"/>
        </w:rPr>
        <w:t>。</w:t>
      </w:r>
    </w:p>
    <w:p w14:paraId="4B46D592">
      <w:pPr>
        <w:spacing w:line="600" w:lineRule="exact"/>
        <w:ind w:firstLine="640"/>
        <w:outlineLvl w:val="2"/>
        <w:rPr>
          <w:rFonts w:ascii="仿宋" w:hAnsi="仿宋" w:eastAsia="仿宋"/>
          <w:b/>
          <w:color w:val="auto"/>
          <w:sz w:val="32"/>
          <w:szCs w:val="32"/>
          <w:highlight w:val="none"/>
        </w:rPr>
      </w:pPr>
      <w:bookmarkStart w:id="57" w:name="_Toc15377217"/>
      <w:r>
        <w:rPr>
          <w:rFonts w:hint="eastAsia" w:ascii="仿宋" w:hAnsi="仿宋" w:eastAsia="仿宋"/>
          <w:b/>
          <w:color w:val="auto"/>
          <w:sz w:val="32"/>
          <w:szCs w:val="32"/>
          <w:highlight w:val="none"/>
        </w:rPr>
        <w:t>（二）“三公”经费财政拨款支出决算具体情况说明</w:t>
      </w:r>
      <w:bookmarkEnd w:id="57"/>
    </w:p>
    <w:p w14:paraId="513A9F69">
      <w:pPr>
        <w:spacing w:line="600" w:lineRule="exact"/>
        <w:rPr>
          <w:rFonts w:ascii="仿宋" w:hAnsi="仿宋" w:eastAsia="仿宋"/>
          <w:color w:val="auto"/>
          <w:sz w:val="32"/>
          <w:szCs w:val="32"/>
          <w:highlight w:val="none"/>
        </w:rPr>
      </w:pPr>
    </w:p>
    <w:p w14:paraId="5F38136B">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1C88E96F">
      <w:pPr>
        <w:pStyle w:val="8"/>
        <w:rPr>
          <w:rFonts w:hint="eastAsia" w:ascii="仿宋" w:hAnsi="仿宋" w:eastAsia="仿宋"/>
          <w:color w:val="auto"/>
          <w:sz w:val="32"/>
          <w:szCs w:val="32"/>
          <w:highlight w:val="none"/>
        </w:rPr>
      </w:pPr>
      <w:r>
        <w:rPr>
          <w:rFonts w:hint="eastAsia" w:ascii="仿宋" w:hAnsi="仿宋" w:eastAsia="仿宋"/>
          <w:color w:val="000000"/>
          <w:sz w:val="32"/>
          <w:szCs w:val="32"/>
          <w:highlight w:val="none"/>
          <w:lang w:eastAsia="zh-CN"/>
        </w:rPr>
        <w:drawing>
          <wp:anchor distT="0" distB="0" distL="114300" distR="114300" simplePos="0" relativeHeight="251663360" behindDoc="0" locked="0" layoutInCell="1" allowOverlap="1">
            <wp:simplePos x="0" y="0"/>
            <wp:positionH relativeFrom="column">
              <wp:posOffset>186690</wp:posOffset>
            </wp:positionH>
            <wp:positionV relativeFrom="paragraph">
              <wp:posOffset>333375</wp:posOffset>
            </wp:positionV>
            <wp:extent cx="5080000" cy="2380615"/>
            <wp:effectExtent l="5080" t="4445" r="20320" b="1524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19F82CE">
      <w:pPr>
        <w:pStyle w:val="8"/>
        <w:rPr>
          <w:rFonts w:hint="eastAsia" w:ascii="仿宋" w:hAnsi="仿宋" w:eastAsia="仿宋"/>
          <w:color w:val="auto"/>
          <w:sz w:val="32"/>
          <w:szCs w:val="32"/>
          <w:highlight w:val="none"/>
        </w:rPr>
      </w:pPr>
    </w:p>
    <w:p w14:paraId="3EC3B438">
      <w:pPr>
        <w:numPr>
          <w:ilvl w:val="0"/>
          <w:numId w:val="3"/>
        </w:numPr>
        <w:spacing w:line="600" w:lineRule="exact"/>
        <w:ind w:firstLine="640"/>
        <w:rPr>
          <w:rFonts w:hint="eastAsia" w:ascii="仿宋_GB2312" w:eastAsia="仿宋_GB2312"/>
          <w:b/>
          <w:color w:val="000000"/>
          <w:sz w:val="32"/>
          <w:szCs w:val="32"/>
          <w:highlight w:val="none"/>
          <w:lang w:val="en-US" w:eastAsia="zh-CN"/>
        </w:rPr>
      </w:pP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000000"/>
          <w:sz w:val="32"/>
          <w:szCs w:val="32"/>
          <w:highlight w:val="none"/>
          <w:lang w:val="en-US" w:eastAsia="zh-CN"/>
        </w:rPr>
        <w:t>2023年未安</w:t>
      </w:r>
      <w:r>
        <w:rPr>
          <w:rFonts w:hint="eastAsia" w:ascii="仿宋_GB2312" w:eastAsia="仿宋_GB2312"/>
          <w:b w:val="0"/>
          <w:bCs w:val="0"/>
          <w:color w:val="000000"/>
          <w:sz w:val="32"/>
          <w:szCs w:val="32"/>
          <w:highlight w:val="none"/>
          <w:lang w:val="en-US" w:eastAsia="zh-CN"/>
        </w:rPr>
        <w:t>排</w:t>
      </w:r>
      <w:r>
        <w:rPr>
          <w:rFonts w:hint="eastAsia" w:ascii="仿宋_GB2312" w:eastAsia="仿宋_GB2312"/>
          <w:b w:val="0"/>
          <w:bCs w:val="0"/>
          <w:color w:val="000000"/>
          <w:sz w:val="32"/>
          <w:szCs w:val="32"/>
          <w:highlight w:val="none"/>
        </w:rPr>
        <w:t>因公出国（境）经费支出</w:t>
      </w:r>
      <w:r>
        <w:rPr>
          <w:rFonts w:hint="eastAsia" w:ascii="仿宋_GB2312" w:eastAsia="仿宋_GB2312"/>
          <w:b/>
          <w:color w:val="000000"/>
          <w:sz w:val="32"/>
          <w:szCs w:val="32"/>
          <w:highlight w:val="none"/>
          <w:lang w:val="en-US" w:eastAsia="zh-CN"/>
        </w:rPr>
        <w:t>。</w:t>
      </w:r>
    </w:p>
    <w:p w14:paraId="7DE33A3A">
      <w:pPr>
        <w:numPr>
          <w:ilvl w:val="0"/>
          <w:numId w:val="3"/>
        </w:numPr>
        <w:spacing w:line="600" w:lineRule="exact"/>
        <w:ind w:firstLine="640"/>
        <w:rPr>
          <w:rFonts w:ascii="仿宋_GB2312" w:eastAsia="仿宋_GB2312"/>
          <w:b/>
          <w:color w:val="auto"/>
          <w:sz w:val="32"/>
          <w:szCs w:val="32"/>
          <w:highlight w:val="none"/>
        </w:rPr>
      </w:pP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000000"/>
          <w:sz w:val="32"/>
          <w:szCs w:val="32"/>
          <w:highlight w:val="none"/>
          <w:lang w:val="en-US" w:eastAsia="zh-CN"/>
        </w:rPr>
        <w:t>2023年未安</w:t>
      </w:r>
      <w:r>
        <w:rPr>
          <w:rFonts w:hint="eastAsia" w:ascii="仿宋_GB2312" w:eastAsia="仿宋_GB2312"/>
          <w:b w:val="0"/>
          <w:bCs w:val="0"/>
          <w:color w:val="000000"/>
          <w:sz w:val="32"/>
          <w:szCs w:val="32"/>
          <w:highlight w:val="none"/>
          <w:lang w:val="en-US" w:eastAsia="zh-CN"/>
        </w:rPr>
        <w:t>排</w:t>
      </w:r>
      <w:r>
        <w:rPr>
          <w:rFonts w:hint="eastAsia" w:ascii="仿宋_GB2312" w:eastAsia="仿宋_GB2312"/>
          <w:b w:val="0"/>
          <w:bCs w:val="0"/>
          <w:color w:val="000000"/>
          <w:sz w:val="32"/>
          <w:szCs w:val="32"/>
          <w:highlight w:val="none"/>
        </w:rPr>
        <w:t>公务用车购置及运行维护费支出</w:t>
      </w:r>
      <w:r>
        <w:rPr>
          <w:rFonts w:hint="eastAsia" w:ascii="仿宋_GB2312" w:eastAsia="仿宋_GB2312"/>
          <w:b w:val="0"/>
          <w:bCs w:val="0"/>
          <w:color w:val="000000"/>
          <w:sz w:val="32"/>
          <w:szCs w:val="32"/>
          <w:highlight w:val="none"/>
          <w:lang w:val="en-US" w:eastAsia="zh-CN"/>
        </w:rPr>
        <w:t>.与预算持平。</w:t>
      </w:r>
    </w:p>
    <w:p w14:paraId="7F283FBC">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7B64A524">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F3B2131">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0.15</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0.25</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62.50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2023年公务接待减少</w:t>
      </w:r>
      <w:r>
        <w:rPr>
          <w:rFonts w:hint="eastAsia" w:ascii="仿宋_GB2312" w:eastAsia="仿宋_GB2312"/>
          <w:color w:val="auto"/>
          <w:sz w:val="32"/>
          <w:szCs w:val="32"/>
          <w:highlight w:val="none"/>
        </w:rPr>
        <w:t>。其中：</w:t>
      </w:r>
    </w:p>
    <w:p w14:paraId="1AA0307E">
      <w:pPr>
        <w:spacing w:line="600" w:lineRule="exact"/>
        <w:ind w:firstLine="640"/>
        <w:rPr>
          <w:rFonts w:ascii="仿宋_GB2312" w:eastAsia="仿宋_GB2312"/>
          <w:color w:val="auto"/>
          <w:sz w:val="32"/>
          <w:szCs w:val="32"/>
          <w:highlight w:val="yellow"/>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0.15</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接待省妇联用餐费</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0.15</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接待省妇联考察组</w:t>
      </w:r>
      <w:r>
        <w:rPr>
          <w:rFonts w:hint="eastAsia" w:ascii="仿宋_GB2312" w:eastAsia="仿宋_GB2312"/>
          <w:color w:val="auto"/>
          <w:sz w:val="32"/>
          <w:szCs w:val="32"/>
          <w:highlight w:val="none"/>
          <w:lang w:val="en-US" w:eastAsia="zh-CN"/>
        </w:rPr>
        <w:t>1批次6人次0.07万元、接待四川中衡安信会计师事务所调研组1批次5人次0.08万元</w:t>
      </w:r>
      <w:r>
        <w:rPr>
          <w:rFonts w:hint="eastAsia" w:ascii="仿宋_GB2312" w:eastAsia="仿宋_GB2312"/>
          <w:color w:val="auto"/>
          <w:sz w:val="32"/>
          <w:szCs w:val="32"/>
          <w:highlight w:val="none"/>
        </w:rPr>
        <w:t>。</w:t>
      </w:r>
    </w:p>
    <w:p w14:paraId="08ECAC38">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D5BAD76">
      <w:pPr>
        <w:spacing w:line="600" w:lineRule="exact"/>
        <w:ind w:firstLine="640"/>
        <w:outlineLvl w:val="9"/>
        <w:rPr>
          <w:rFonts w:ascii="黑体" w:eastAsia="黑体"/>
          <w:color w:val="auto"/>
          <w:sz w:val="32"/>
          <w:szCs w:val="32"/>
          <w:highlight w:val="none"/>
        </w:rPr>
      </w:pPr>
      <w:bookmarkStart w:id="58" w:name="_Toc15377218"/>
      <w:bookmarkStart w:id="59" w:name="_Toc15396610"/>
    </w:p>
    <w:p w14:paraId="1EDBF126">
      <w:pPr>
        <w:spacing w:line="600" w:lineRule="exact"/>
        <w:ind w:firstLine="640"/>
        <w:outlineLvl w:val="1"/>
        <w:rPr>
          <w:rStyle w:val="30"/>
          <w:rFonts w:ascii="黑体" w:hAnsi="黑体" w:eastAsia="黑体"/>
          <w:color w:val="auto"/>
          <w:highlight w:val="none"/>
        </w:rPr>
      </w:pPr>
      <w:bookmarkStart w:id="60" w:name="_Toc15298"/>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58"/>
      <w:bookmarkEnd w:id="59"/>
      <w:bookmarkEnd w:id="60"/>
    </w:p>
    <w:p w14:paraId="341EA7E4">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0E8072F">
      <w:pPr>
        <w:spacing w:line="600" w:lineRule="exact"/>
        <w:ind w:firstLine="640"/>
        <w:rPr>
          <w:rFonts w:ascii="仿宋_GB2312" w:eastAsia="仿宋_GB2312"/>
          <w:color w:val="auto"/>
          <w:sz w:val="32"/>
          <w:szCs w:val="32"/>
          <w:highlight w:val="none"/>
        </w:rPr>
      </w:pPr>
    </w:p>
    <w:p w14:paraId="02C62062">
      <w:pPr>
        <w:numPr>
          <w:ilvl w:val="0"/>
          <w:numId w:val="4"/>
        </w:numPr>
        <w:spacing w:line="600" w:lineRule="exact"/>
        <w:ind w:firstLine="640"/>
        <w:outlineLvl w:val="1"/>
        <w:rPr>
          <w:rStyle w:val="30"/>
          <w:rFonts w:ascii="黑体" w:hAnsi="黑体" w:eastAsia="黑体"/>
          <w:b w:val="0"/>
          <w:color w:val="auto"/>
          <w:highlight w:val="none"/>
        </w:rPr>
      </w:pPr>
      <w:bookmarkStart w:id="61" w:name="_Toc15396611"/>
      <w:bookmarkStart w:id="62" w:name="_Toc29080"/>
      <w:bookmarkStart w:id="63" w:name="_Toc15377219"/>
      <w:r>
        <w:rPr>
          <w:rStyle w:val="30"/>
          <w:rFonts w:hint="eastAsia" w:ascii="黑体" w:hAnsi="黑体" w:eastAsia="黑体"/>
          <w:b w:val="0"/>
          <w:color w:val="auto"/>
          <w:highlight w:val="none"/>
        </w:rPr>
        <w:t>国有资本经营预算支出决算情况说明</w:t>
      </w:r>
      <w:bookmarkEnd w:id="61"/>
      <w:bookmarkEnd w:id="62"/>
      <w:bookmarkEnd w:id="63"/>
    </w:p>
    <w:p w14:paraId="6056D24A">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0C9315D">
      <w:pPr>
        <w:spacing w:line="580" w:lineRule="exact"/>
        <w:jc w:val="center"/>
        <w:rPr>
          <w:rFonts w:ascii="方正小标宋简体" w:hAnsi="方正小标宋简体" w:eastAsia="方正小标宋简体" w:cs="方正小标宋简体"/>
          <w:color w:val="auto"/>
          <w:sz w:val="44"/>
          <w:szCs w:val="44"/>
          <w:highlight w:val="none"/>
        </w:rPr>
      </w:pPr>
    </w:p>
    <w:p w14:paraId="5D74AAF2">
      <w:pPr>
        <w:numPr>
          <w:ilvl w:val="0"/>
          <w:numId w:val="4"/>
        </w:numPr>
        <w:spacing w:line="600" w:lineRule="exact"/>
        <w:ind w:firstLine="640"/>
        <w:outlineLvl w:val="1"/>
        <w:rPr>
          <w:rStyle w:val="30"/>
          <w:rFonts w:hint="eastAsia" w:ascii="黑体" w:hAnsi="黑体" w:eastAsia="黑体"/>
          <w:b w:val="0"/>
          <w:color w:val="auto"/>
          <w:highlight w:val="none"/>
        </w:rPr>
      </w:pPr>
      <w:bookmarkStart w:id="64" w:name="_Toc19989"/>
      <w:bookmarkStart w:id="65" w:name="_Toc15377221"/>
      <w:bookmarkStart w:id="66" w:name="_Toc15396612"/>
      <w:r>
        <w:rPr>
          <w:rStyle w:val="30"/>
          <w:rFonts w:hint="eastAsia" w:ascii="黑体" w:hAnsi="黑体" w:eastAsia="黑体"/>
          <w:b w:val="0"/>
          <w:color w:val="auto"/>
          <w:highlight w:val="none"/>
        </w:rPr>
        <w:t>其他重要事项的情况说明</w:t>
      </w:r>
      <w:bookmarkEnd w:id="64"/>
      <w:bookmarkEnd w:id="65"/>
      <w:bookmarkEnd w:id="66"/>
    </w:p>
    <w:p w14:paraId="11866D29">
      <w:pPr>
        <w:spacing w:line="600" w:lineRule="exact"/>
        <w:ind w:firstLine="643" w:firstLineChars="200"/>
        <w:outlineLvl w:val="2"/>
        <w:rPr>
          <w:rFonts w:ascii="仿宋" w:hAnsi="仿宋" w:eastAsia="仿宋"/>
          <w:color w:val="auto"/>
          <w:sz w:val="32"/>
          <w:szCs w:val="32"/>
          <w:highlight w:val="none"/>
        </w:rPr>
      </w:pPr>
      <w:bookmarkStart w:id="67" w:name="_Toc15377222"/>
      <w:r>
        <w:rPr>
          <w:rFonts w:hint="eastAsia" w:ascii="仿宋" w:hAnsi="仿宋" w:eastAsia="仿宋"/>
          <w:b/>
          <w:color w:val="auto"/>
          <w:sz w:val="32"/>
          <w:szCs w:val="32"/>
          <w:highlight w:val="none"/>
        </w:rPr>
        <w:t>（一）机关运行经费支出情况</w:t>
      </w:r>
      <w:bookmarkEnd w:id="67"/>
    </w:p>
    <w:p w14:paraId="5BCD1A84">
      <w:pPr>
        <w:spacing w:line="600" w:lineRule="exact"/>
        <w:ind w:firstLine="640" w:firstLineChars="200"/>
        <w:rPr>
          <w:rFonts w:hint="eastAsia" w:ascii="仿宋_GB2312" w:eastAsia="仿宋_GB2312"/>
          <w:color w:val="auto"/>
          <w:sz w:val="32"/>
          <w:szCs w:val="32"/>
          <w:highlight w:val="yellow"/>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船山区妇联</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31.60</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11.81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59.68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增加广告费、办公费等支出。</w:t>
      </w:r>
    </w:p>
    <w:p w14:paraId="20DCE7D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8" w:name="_Toc15377223"/>
      <w:r>
        <w:rPr>
          <w:rFonts w:hint="eastAsia" w:ascii="仿宋" w:hAnsi="仿宋" w:eastAsia="仿宋"/>
          <w:b/>
          <w:color w:val="auto"/>
          <w:sz w:val="32"/>
          <w:szCs w:val="32"/>
          <w:highlight w:val="none"/>
        </w:rPr>
        <w:t>（二）政府采购支出情况</w:t>
      </w:r>
      <w:bookmarkEnd w:id="68"/>
    </w:p>
    <w:p w14:paraId="2B5EEA36">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船山区妇联</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53F73C0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9" w:name="_Toc15377224"/>
      <w:r>
        <w:rPr>
          <w:rFonts w:hint="eastAsia" w:ascii="仿宋" w:hAnsi="仿宋" w:eastAsia="仿宋"/>
          <w:b/>
          <w:color w:val="auto"/>
          <w:sz w:val="32"/>
          <w:szCs w:val="32"/>
          <w:highlight w:val="none"/>
        </w:rPr>
        <w:t>（三）国有资产占有使用情况</w:t>
      </w:r>
      <w:bookmarkEnd w:id="69"/>
    </w:p>
    <w:p w14:paraId="19613677">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船山区妇联</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54071CB4">
      <w:pPr>
        <w:numPr>
          <w:ilvl w:val="0"/>
          <w:numId w:val="5"/>
        </w:numPr>
        <w:autoSpaceDE w:val="0"/>
        <w:autoSpaceDN w:val="0"/>
        <w:adjustRightInd w:val="0"/>
        <w:spacing w:line="600" w:lineRule="exact"/>
        <w:ind w:firstLine="643" w:firstLineChars="200"/>
        <w:jc w:val="left"/>
        <w:outlineLvl w:val="2"/>
        <w:rPr>
          <w:rFonts w:ascii="仿宋_GB2312" w:eastAsia="仿宋_GB2312"/>
          <w:b/>
          <w:color w:val="auto"/>
          <w:sz w:val="32"/>
          <w:szCs w:val="32"/>
          <w:highlight w:val="none"/>
        </w:rPr>
      </w:pPr>
      <w:r>
        <w:rPr>
          <w:rFonts w:hint="eastAsia" w:ascii="仿宋" w:hAnsi="仿宋" w:eastAsia="仿宋"/>
          <w:b/>
          <w:color w:val="auto"/>
          <w:sz w:val="32"/>
          <w:szCs w:val="32"/>
          <w:highlight w:val="none"/>
        </w:rPr>
        <w:t>预算绩效管理情况</w:t>
      </w:r>
      <w:bookmarkStart w:id="70" w:name="_Toc15396613"/>
      <w:bookmarkStart w:id="71" w:name="_Toc15377225"/>
    </w:p>
    <w:p w14:paraId="2D1DB8C6">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Times New Roman" w:eastAsia="仿宋_GB2312" w:cs="Times New Roman"/>
          <w:color w:val="auto"/>
          <w:kern w:val="2"/>
          <w:sz w:val="32"/>
          <w:szCs w:val="32"/>
          <w:highlight w:val="none"/>
          <w:lang w:val="en-US" w:eastAsia="zh-CN" w:bidi="ar-SA"/>
        </w:rPr>
        <w:t>妇女保障经费、区级“两癌”保险、“妇儿驿家”建设经费</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8个项目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14:paraId="269D392B">
      <w:pPr>
        <w:snapToGrid w:val="0"/>
        <w:spacing w:line="520" w:lineRule="exact"/>
        <w:ind w:firstLine="640" w:firstLineChars="200"/>
        <w:rPr>
          <w:rFonts w:hint="eastAsia" w:ascii="仿宋" w:hAnsi="仿宋" w:eastAsia="仿宋"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遂宁市船山区妇女联合会关于2023年部门整体支出绩效自评报告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遂宁市船山区妇女联合会关于2023年项目支出绩效自评报告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w:t>
      </w:r>
      <w:r>
        <w:rPr>
          <w:rFonts w:hint="eastAsia" w:ascii="仿宋_GB2312" w:eastAsia="仿宋_GB2312"/>
          <w:color w:val="auto"/>
          <w:sz w:val="32"/>
          <w:szCs w:val="32"/>
          <w:highlight w:val="none"/>
          <w:lang w:eastAsia="zh-CN"/>
        </w:rPr>
        <w:t>船山区妇联</w:t>
      </w:r>
      <w:r>
        <w:rPr>
          <w:rFonts w:hint="eastAsia" w:ascii="仿宋_GB2312" w:hAnsi="仿宋_GB2312" w:eastAsia="仿宋_GB2312" w:cs="仿宋_GB2312"/>
          <w:color w:val="auto"/>
          <w:sz w:val="32"/>
          <w:szCs w:val="32"/>
          <w:highlight w:val="none"/>
          <w:lang w:val="en-US" w:eastAsia="zh-CN"/>
        </w:rPr>
        <w:t>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绩效自评得分为87分，绩效自评综述：</w:t>
      </w:r>
      <w:r>
        <w:rPr>
          <w:rFonts w:hint="eastAsia" w:ascii="仿宋" w:hAnsi="仿宋" w:eastAsia="仿宋" w:cs="Times New Roman"/>
          <w:color w:val="auto"/>
          <w:sz w:val="32"/>
          <w:szCs w:val="32"/>
          <w:highlight w:val="none"/>
          <w:lang w:val="en-US" w:eastAsia="zh-CN"/>
        </w:rPr>
        <w:t>本部门机关运行良好，认真履行职能职责，</w:t>
      </w:r>
      <w:r>
        <w:rPr>
          <w:rFonts w:hint="eastAsia" w:ascii="仿宋" w:hAnsi="仿宋" w:eastAsia="仿宋" w:cs="Times New Roman"/>
          <w:color w:val="auto"/>
          <w:sz w:val="32"/>
          <w:szCs w:val="32"/>
          <w:highlight w:val="none"/>
        </w:rPr>
        <w:t>贯彻执行</w:t>
      </w:r>
      <w:r>
        <w:rPr>
          <w:rFonts w:hint="eastAsia" w:ascii="仿宋" w:hAnsi="仿宋" w:eastAsia="仿宋" w:cs="Times New Roman"/>
          <w:color w:val="auto"/>
          <w:sz w:val="32"/>
          <w:szCs w:val="32"/>
          <w:highlight w:val="none"/>
          <w:lang w:eastAsia="zh-CN"/>
        </w:rPr>
        <w:t>妇联</w:t>
      </w:r>
      <w:r>
        <w:rPr>
          <w:rFonts w:hint="eastAsia" w:ascii="仿宋" w:hAnsi="仿宋" w:eastAsia="仿宋" w:cs="Times New Roman"/>
          <w:color w:val="auto"/>
          <w:sz w:val="32"/>
          <w:szCs w:val="32"/>
          <w:highlight w:val="none"/>
        </w:rPr>
        <w:t>的组织制度和民主制度；研究指导</w:t>
      </w:r>
      <w:r>
        <w:rPr>
          <w:rFonts w:hint="eastAsia" w:ascii="仿宋" w:hAnsi="仿宋" w:eastAsia="仿宋" w:cs="Times New Roman"/>
          <w:color w:val="auto"/>
          <w:sz w:val="32"/>
          <w:szCs w:val="32"/>
          <w:highlight w:val="none"/>
          <w:lang w:eastAsia="zh-CN"/>
        </w:rPr>
        <w:t>妇联</w:t>
      </w:r>
      <w:r>
        <w:rPr>
          <w:rFonts w:hint="eastAsia" w:ascii="仿宋" w:hAnsi="仿宋" w:eastAsia="仿宋" w:cs="Times New Roman"/>
          <w:color w:val="auto"/>
          <w:sz w:val="32"/>
          <w:szCs w:val="32"/>
          <w:highlight w:val="none"/>
        </w:rPr>
        <w:t>自身改革和建设；指导基层</w:t>
      </w:r>
      <w:r>
        <w:rPr>
          <w:rFonts w:hint="eastAsia" w:ascii="仿宋" w:hAnsi="仿宋" w:eastAsia="仿宋" w:cs="Times New Roman"/>
          <w:color w:val="auto"/>
          <w:sz w:val="32"/>
          <w:szCs w:val="32"/>
          <w:highlight w:val="none"/>
          <w:lang w:eastAsia="zh-CN"/>
        </w:rPr>
        <w:t>妇联</w:t>
      </w:r>
      <w:r>
        <w:rPr>
          <w:rFonts w:hint="eastAsia" w:ascii="仿宋" w:hAnsi="仿宋" w:eastAsia="仿宋" w:cs="Times New Roman"/>
          <w:color w:val="auto"/>
          <w:sz w:val="32"/>
          <w:szCs w:val="32"/>
          <w:highlight w:val="none"/>
        </w:rPr>
        <w:t>组织开展</w:t>
      </w:r>
      <w:r>
        <w:rPr>
          <w:rFonts w:hint="eastAsia" w:ascii="仿宋" w:hAnsi="仿宋" w:eastAsia="仿宋" w:cs="Times New Roman"/>
          <w:color w:val="auto"/>
          <w:sz w:val="32"/>
          <w:szCs w:val="32"/>
          <w:highlight w:val="none"/>
          <w:lang w:eastAsia="zh-CN"/>
        </w:rPr>
        <w:t>服务妇女儿童的相关工作，做好了帮扶工作，引导了全区广大妇女树立了四自精神，带领全区广大妇女为经济社会建设贡献了巾帼力量；</w:t>
      </w:r>
    </w:p>
    <w:p w14:paraId="1F55F5DB">
      <w:pPr>
        <w:snapToGrid w:val="0"/>
        <w:spacing w:line="520" w:lineRule="exact"/>
        <w:ind w:firstLine="640" w:firstLineChars="200"/>
        <w:rPr>
          <w:rFonts w:hint="eastAsia"/>
          <w:lang w:eastAsia="zh-CN"/>
        </w:rPr>
      </w:pPr>
      <w:r>
        <w:rPr>
          <w:rFonts w:hint="eastAsia" w:ascii="仿宋" w:hAnsi="仿宋" w:eastAsia="仿宋" w:cs="Times New Roman"/>
          <w:color w:val="auto"/>
          <w:sz w:val="32"/>
          <w:szCs w:val="32"/>
          <w:highlight w:val="none"/>
          <w:lang w:eastAsia="zh-CN"/>
        </w:rPr>
        <w:t>妇女保障经费项目</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算项目绩效自评得分为97分，绩效自评综述：</w:t>
      </w:r>
      <w:r>
        <w:rPr>
          <w:rFonts w:hint="eastAsia" w:ascii="仿宋" w:hAnsi="仿宋" w:eastAsia="仿宋" w:cs="仿宋"/>
          <w:sz w:val="32"/>
          <w:szCs w:val="32"/>
        </w:rPr>
        <w:t>围绕中心，服务大局，面向基层，推动</w:t>
      </w:r>
      <w:r>
        <w:rPr>
          <w:rFonts w:hint="eastAsia" w:ascii="仿宋" w:hAnsi="仿宋" w:eastAsia="仿宋" w:cs="仿宋"/>
          <w:sz w:val="32"/>
          <w:szCs w:val="32"/>
          <w:lang w:val="en-US" w:eastAsia="zh-CN"/>
        </w:rPr>
        <w:t>本区</w:t>
      </w:r>
      <w:r>
        <w:rPr>
          <w:rFonts w:hint="eastAsia" w:ascii="仿宋" w:hAnsi="仿宋" w:eastAsia="仿宋" w:cs="仿宋"/>
          <w:sz w:val="32"/>
          <w:szCs w:val="32"/>
        </w:rPr>
        <w:t>妇女事业持续稳定健康发展；围绕文明城市创建活动，积极开展各项法治宣传活动，及时回应重大社会关切，引导社会妇女同胞知法、懂法、用法，让男女平等基本国策深入人心</w:t>
      </w:r>
      <w:r>
        <w:rPr>
          <w:rFonts w:hint="eastAsia" w:ascii="仿宋" w:hAnsi="仿宋" w:eastAsia="仿宋" w:cs="仿宋"/>
          <w:sz w:val="32"/>
          <w:szCs w:val="32"/>
          <w:lang w:eastAsia="zh-CN"/>
        </w:rPr>
        <w:t>；</w:t>
      </w:r>
    </w:p>
    <w:p w14:paraId="42969972">
      <w:pPr>
        <w:pStyle w:val="8"/>
        <w:ind w:firstLine="640" w:firstLineChars="200"/>
        <w:rPr>
          <w:rFonts w:ascii="仿宋_GB2312" w:eastAsia="仿宋_GB2312"/>
          <w:b/>
          <w:color w:val="auto"/>
          <w:sz w:val="32"/>
          <w:szCs w:val="32"/>
          <w:highlight w:val="none"/>
        </w:rPr>
      </w:pPr>
      <w:r>
        <w:rPr>
          <w:rFonts w:hint="eastAsia" w:ascii="仿宋" w:hAnsi="仿宋" w:eastAsia="仿宋" w:cs="Times New Roman"/>
          <w:color w:val="auto"/>
          <w:sz w:val="32"/>
          <w:szCs w:val="32"/>
          <w:highlight w:val="none"/>
          <w:lang w:eastAsia="zh-CN"/>
        </w:rPr>
        <w:t>“两癌”救助、“两癌”保险项目</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算项目绩效自评得分为97分，绩效自评综述：</w:t>
      </w:r>
      <w:r>
        <w:rPr>
          <w:rFonts w:hint="eastAsia" w:ascii="仿宋" w:hAnsi="仿宋" w:eastAsia="仿宋" w:cs="仿宋"/>
          <w:sz w:val="32"/>
          <w:szCs w:val="32"/>
        </w:rPr>
        <w:t>牢牢把握“代表和维护妇女权益，促进男女平等”工作主线，紧紧“围绕中心、服务大局”工作理念，为“两癌”妇女提供帮助和关心。坚定正确政治方向，帮助妇女摆脱病痛之苦。找准中心工作切入点，为“两癌”妇女提供帮助；砥砺履行职责，增强妇女获得感、安全感、幸福感。围绕中心，服务大局，面向基层，推动船山区妇女事业持续稳定健康发展</w:t>
      </w:r>
      <w:r>
        <w:rPr>
          <w:rFonts w:hint="eastAsia" w:ascii="仿宋" w:hAnsi="仿宋" w:eastAsia="仿宋" w:cs="仿宋"/>
          <w:sz w:val="32"/>
          <w:szCs w:val="32"/>
          <w:lang w:eastAsia="zh-CN"/>
        </w:rPr>
        <w:t>。</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绩效自评报告详见附件。</w:t>
      </w:r>
    </w:p>
    <w:p w14:paraId="6660656A">
      <w:pPr>
        <w:pStyle w:val="8"/>
        <w:rPr>
          <w:rFonts w:ascii="仿宋_GB2312" w:eastAsia="仿宋_GB2312"/>
          <w:b/>
          <w:color w:val="auto"/>
          <w:sz w:val="32"/>
          <w:szCs w:val="32"/>
          <w:highlight w:val="none"/>
        </w:rPr>
      </w:pPr>
    </w:p>
    <w:p w14:paraId="7FB4E2AC">
      <w:pPr>
        <w:pStyle w:val="8"/>
        <w:rPr>
          <w:rFonts w:ascii="仿宋_GB2312" w:eastAsia="仿宋_GB2312"/>
          <w:b/>
          <w:color w:val="auto"/>
          <w:sz w:val="32"/>
          <w:szCs w:val="32"/>
          <w:highlight w:val="none"/>
        </w:rPr>
      </w:pPr>
    </w:p>
    <w:p w14:paraId="52F35EF1">
      <w:pPr>
        <w:pStyle w:val="8"/>
        <w:rPr>
          <w:rFonts w:ascii="仿宋_GB2312" w:eastAsia="仿宋_GB2312"/>
          <w:b/>
          <w:color w:val="auto"/>
          <w:sz w:val="32"/>
          <w:szCs w:val="32"/>
          <w:highlight w:val="none"/>
        </w:rPr>
      </w:pPr>
    </w:p>
    <w:p w14:paraId="0E6E8936">
      <w:pPr>
        <w:pStyle w:val="8"/>
        <w:rPr>
          <w:rFonts w:ascii="仿宋_GB2312" w:eastAsia="仿宋_GB2312"/>
          <w:b/>
          <w:color w:val="auto"/>
          <w:sz w:val="32"/>
          <w:szCs w:val="32"/>
          <w:highlight w:val="none"/>
        </w:rPr>
      </w:pPr>
    </w:p>
    <w:p w14:paraId="023A4B95">
      <w:pPr>
        <w:pStyle w:val="8"/>
        <w:rPr>
          <w:rFonts w:ascii="仿宋_GB2312" w:eastAsia="仿宋_GB2312"/>
          <w:b/>
          <w:color w:val="auto"/>
          <w:sz w:val="32"/>
          <w:szCs w:val="32"/>
          <w:highlight w:val="none"/>
        </w:rPr>
      </w:pPr>
      <w:bookmarkStart w:id="105" w:name="_GoBack"/>
      <w:bookmarkEnd w:id="105"/>
    </w:p>
    <w:p w14:paraId="2FB2D83E">
      <w:pPr>
        <w:pStyle w:val="8"/>
        <w:rPr>
          <w:rFonts w:ascii="仿宋_GB2312" w:eastAsia="仿宋_GB2312"/>
          <w:b/>
          <w:color w:val="auto"/>
          <w:sz w:val="32"/>
          <w:szCs w:val="32"/>
          <w:highlight w:val="none"/>
        </w:rPr>
      </w:pPr>
    </w:p>
    <w:p w14:paraId="7F1A89A3">
      <w:pPr>
        <w:pStyle w:val="8"/>
        <w:rPr>
          <w:rFonts w:ascii="仿宋_GB2312" w:eastAsia="仿宋_GB2312"/>
          <w:b/>
          <w:color w:val="auto"/>
          <w:sz w:val="32"/>
          <w:szCs w:val="32"/>
          <w:highlight w:val="none"/>
        </w:rPr>
      </w:pPr>
    </w:p>
    <w:p w14:paraId="149537F4">
      <w:pPr>
        <w:pStyle w:val="8"/>
        <w:rPr>
          <w:rFonts w:ascii="仿宋_GB2312" w:eastAsia="仿宋_GB2312"/>
          <w:b/>
          <w:color w:val="auto"/>
          <w:sz w:val="32"/>
          <w:szCs w:val="32"/>
          <w:highlight w:val="none"/>
        </w:rPr>
      </w:pPr>
    </w:p>
    <w:p w14:paraId="0A4A4CE5">
      <w:pPr>
        <w:pStyle w:val="8"/>
        <w:rPr>
          <w:rFonts w:ascii="仿宋_GB2312" w:eastAsia="仿宋_GB2312"/>
          <w:b/>
          <w:color w:val="auto"/>
          <w:sz w:val="32"/>
          <w:szCs w:val="32"/>
          <w:highlight w:val="none"/>
        </w:rPr>
      </w:pPr>
    </w:p>
    <w:p w14:paraId="764874EF">
      <w:pPr>
        <w:pStyle w:val="8"/>
        <w:rPr>
          <w:rFonts w:ascii="仿宋_GB2312" w:eastAsia="仿宋_GB2312"/>
          <w:b/>
          <w:color w:val="auto"/>
          <w:sz w:val="32"/>
          <w:szCs w:val="32"/>
          <w:highlight w:val="none"/>
        </w:rPr>
      </w:pPr>
    </w:p>
    <w:p w14:paraId="61501A55">
      <w:pPr>
        <w:pStyle w:val="8"/>
        <w:rPr>
          <w:rFonts w:ascii="仿宋_GB2312" w:eastAsia="仿宋_GB2312"/>
          <w:b/>
          <w:color w:val="auto"/>
          <w:sz w:val="32"/>
          <w:szCs w:val="32"/>
          <w:highlight w:val="none"/>
        </w:rPr>
      </w:pPr>
    </w:p>
    <w:p w14:paraId="656A9F1F">
      <w:pPr>
        <w:pStyle w:val="8"/>
        <w:rPr>
          <w:rFonts w:ascii="仿宋_GB2312" w:eastAsia="仿宋_GB2312"/>
          <w:b/>
          <w:color w:val="auto"/>
          <w:sz w:val="32"/>
          <w:szCs w:val="32"/>
          <w:highlight w:val="none"/>
        </w:rPr>
      </w:pPr>
    </w:p>
    <w:p w14:paraId="6D5FD098">
      <w:pPr>
        <w:pStyle w:val="8"/>
        <w:rPr>
          <w:rFonts w:ascii="仿宋_GB2312" w:eastAsia="仿宋_GB2312"/>
          <w:b/>
          <w:color w:val="auto"/>
          <w:sz w:val="32"/>
          <w:szCs w:val="32"/>
          <w:highlight w:val="none"/>
        </w:rPr>
      </w:pPr>
    </w:p>
    <w:p w14:paraId="6DA32EEE">
      <w:pPr>
        <w:pStyle w:val="8"/>
        <w:rPr>
          <w:rFonts w:ascii="仿宋_GB2312" w:eastAsia="仿宋_GB2312"/>
          <w:b/>
          <w:color w:val="auto"/>
          <w:sz w:val="32"/>
          <w:szCs w:val="32"/>
          <w:highlight w:val="none"/>
        </w:rPr>
      </w:pPr>
    </w:p>
    <w:p w14:paraId="4248ED58">
      <w:pPr>
        <w:pStyle w:val="8"/>
        <w:rPr>
          <w:rFonts w:ascii="仿宋_GB2312" w:eastAsia="仿宋_GB2312"/>
          <w:b/>
          <w:color w:val="auto"/>
          <w:sz w:val="32"/>
          <w:szCs w:val="32"/>
          <w:highlight w:val="none"/>
        </w:rPr>
      </w:pPr>
    </w:p>
    <w:p w14:paraId="7F3787B3">
      <w:pPr>
        <w:pStyle w:val="8"/>
        <w:rPr>
          <w:rFonts w:ascii="仿宋_GB2312" w:eastAsia="仿宋_GB2312"/>
          <w:b/>
          <w:color w:val="auto"/>
          <w:sz w:val="32"/>
          <w:szCs w:val="32"/>
          <w:highlight w:val="none"/>
        </w:rPr>
      </w:pPr>
    </w:p>
    <w:p w14:paraId="101D4A49">
      <w:pPr>
        <w:numPr>
          <w:ilvl w:val="0"/>
          <w:numId w:val="6"/>
        </w:numPr>
        <w:spacing w:line="600" w:lineRule="exact"/>
        <w:ind w:firstLine="660" w:firstLineChars="150"/>
        <w:jc w:val="center"/>
        <w:outlineLvl w:val="0"/>
        <w:rPr>
          <w:rStyle w:val="29"/>
          <w:rFonts w:ascii="黑体" w:hAnsi="黑体" w:eastAsia="黑体"/>
          <w:b w:val="0"/>
          <w:color w:val="auto"/>
          <w:highlight w:val="none"/>
        </w:rPr>
      </w:pPr>
      <w:bookmarkStart w:id="72" w:name="_Toc7956"/>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70"/>
      <w:bookmarkEnd w:id="71"/>
      <w:bookmarkEnd w:id="72"/>
    </w:p>
    <w:p w14:paraId="3E4FB778">
      <w:pPr>
        <w:spacing w:line="600" w:lineRule="exact"/>
        <w:jc w:val="left"/>
        <w:rPr>
          <w:rFonts w:ascii="宋体"/>
          <w:b/>
          <w:color w:val="auto"/>
          <w:sz w:val="44"/>
          <w:szCs w:val="44"/>
          <w:highlight w:val="none"/>
        </w:rPr>
      </w:pPr>
    </w:p>
    <w:p w14:paraId="7DF99E36">
      <w:pPr>
        <w:pStyle w:val="27"/>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财政拨款收入：指单位从同级财政部门取得的财政预算资金。</w:t>
      </w:r>
    </w:p>
    <w:p w14:paraId="49D39E58">
      <w:pPr>
        <w:pStyle w:val="27"/>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事业收入：指事业单位开展专业业务活动及辅助活动取得的收入。</w:t>
      </w:r>
    </w:p>
    <w:p w14:paraId="774F6FBD">
      <w:pPr>
        <w:pStyle w:val="27"/>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198A1202">
      <w:pPr>
        <w:pStyle w:val="27"/>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68D55F0B">
      <w:pPr>
        <w:pStyle w:val="27"/>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4F879EDB">
      <w:pPr>
        <w:pStyle w:val="27"/>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02324BD7">
      <w:pPr>
        <w:pStyle w:val="27"/>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2608718C">
      <w:pPr>
        <w:pStyle w:val="27"/>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年末结转和结余：指单位按有关规定结转到下年或以后年度继续使用的资金。</w:t>
      </w:r>
    </w:p>
    <w:p w14:paraId="3C5FF8FD">
      <w:pPr>
        <w:numPr>
          <w:ilvl w:val="0"/>
          <w:numId w:val="7"/>
        </w:numPr>
        <w:spacing w:line="60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一般公共服务（201）群众团体事务（29</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行政运行（0</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反映行政单位（包括实行公务员管理的事业单位）的基本支出。</w:t>
      </w:r>
    </w:p>
    <w:p w14:paraId="17AD692A">
      <w:pPr>
        <w:numPr>
          <w:ilvl w:val="0"/>
          <w:numId w:val="7"/>
        </w:numPr>
        <w:spacing w:line="60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一般公共服务（201）群众团体事务（29）一般行政管理事务（02）: 反映行政单位（包括实行公务员管理的事业单位）未单独设置项级科目的其他项目支出。</w:t>
      </w:r>
    </w:p>
    <w:p w14:paraId="3033D74B">
      <w:pPr>
        <w:numPr>
          <w:ilvl w:val="0"/>
          <w:numId w:val="7"/>
        </w:numPr>
        <w:spacing w:line="60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一般公共服务（201）群众团体事务（29）其他群众团体事务支出（</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rPr>
        <w:t>）: 指反映</w:t>
      </w:r>
      <w:r>
        <w:rPr>
          <w:rFonts w:hint="eastAsia" w:ascii="仿宋_GB2312" w:eastAsia="仿宋_GB2312"/>
          <w:color w:val="auto"/>
          <w:sz w:val="32"/>
          <w:szCs w:val="32"/>
          <w:highlight w:val="none"/>
          <w:lang w:eastAsia="zh-CN"/>
        </w:rPr>
        <w:t>除上述项目以外其他用于群众团体事务方面的支出</w:t>
      </w:r>
      <w:r>
        <w:rPr>
          <w:rFonts w:hint="eastAsia" w:ascii="仿宋_GB2312" w:eastAsia="仿宋_GB2312"/>
          <w:color w:val="auto"/>
          <w:sz w:val="32"/>
          <w:szCs w:val="32"/>
          <w:highlight w:val="none"/>
        </w:rPr>
        <w:t>。</w:t>
      </w:r>
    </w:p>
    <w:p w14:paraId="24214504">
      <w:pPr>
        <w:numPr>
          <w:ilvl w:val="0"/>
          <w:numId w:val="7"/>
        </w:numPr>
        <w:spacing w:line="60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社会保障和就业支出（208）行政事业单位养老支出（05）行政单位离退休（01）:反映行政单位（包括实行公务员管理的事业单位）开支的离退休经费。</w:t>
      </w:r>
    </w:p>
    <w:p w14:paraId="508AF176">
      <w:pPr>
        <w:numPr>
          <w:ilvl w:val="0"/>
          <w:numId w:val="7"/>
        </w:numPr>
        <w:spacing w:line="60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社会保障和就业支出（208）行政事业单位养老支出（05）机关事业单位基本养老保险缴费支出（05）: 反映机关事业单位实施养老保险制度由单位缴纳的基本养老保险支出。</w:t>
      </w:r>
    </w:p>
    <w:p w14:paraId="2FDF58A5">
      <w:pPr>
        <w:numPr>
          <w:ilvl w:val="0"/>
          <w:numId w:val="7"/>
        </w:numPr>
        <w:spacing w:line="60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社会保障和就业支出（208）其他社会保障和就业支出（99）其他社会保障和就业支出（99）: </w:t>
      </w:r>
      <w:r>
        <w:rPr>
          <w:rFonts w:hint="eastAsia" w:ascii="仿宋_GB2312" w:eastAsia="仿宋_GB2312"/>
          <w:color w:val="auto"/>
          <w:sz w:val="32"/>
          <w:szCs w:val="32"/>
          <w:highlight w:val="none"/>
          <w:lang w:eastAsia="zh-CN"/>
        </w:rPr>
        <w:t>反映</w:t>
      </w:r>
      <w:r>
        <w:rPr>
          <w:rFonts w:hint="eastAsia" w:ascii="仿宋_GB2312" w:eastAsia="仿宋_GB2312"/>
          <w:color w:val="auto"/>
          <w:sz w:val="32"/>
          <w:szCs w:val="32"/>
          <w:highlight w:val="none"/>
        </w:rPr>
        <w:t>除上述项目外，其他用于社会保障和就业方面的支出。</w:t>
      </w:r>
    </w:p>
    <w:p w14:paraId="708A2FEC">
      <w:pPr>
        <w:numPr>
          <w:ilvl w:val="0"/>
          <w:numId w:val="7"/>
        </w:numPr>
        <w:spacing w:line="60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卫生健康支出（210）计划生育事务（07）其他计划生育事务支出（99）：</w:t>
      </w:r>
      <w:r>
        <w:rPr>
          <w:rFonts w:hint="eastAsia" w:ascii="仿宋_GB2312" w:eastAsia="仿宋_GB2312"/>
          <w:color w:val="auto"/>
          <w:sz w:val="32"/>
          <w:szCs w:val="32"/>
          <w:highlight w:val="none"/>
          <w:lang w:eastAsia="zh-CN"/>
        </w:rPr>
        <w:t>反映除上述项目以外其他用于计划生育管理事务方面的支出</w:t>
      </w:r>
      <w:r>
        <w:rPr>
          <w:rFonts w:hint="eastAsia" w:ascii="仿宋_GB2312" w:eastAsia="仿宋_GB2312"/>
          <w:color w:val="auto"/>
          <w:sz w:val="32"/>
          <w:szCs w:val="32"/>
          <w:highlight w:val="none"/>
        </w:rPr>
        <w:t>。</w:t>
      </w:r>
    </w:p>
    <w:p w14:paraId="5541D149">
      <w:pPr>
        <w:numPr>
          <w:ilvl w:val="0"/>
          <w:numId w:val="7"/>
        </w:numPr>
        <w:spacing w:line="60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卫生健康支出（210）行政事业单位医疗（11）  行政单位医疗（01）：反映财政部门安排的行政单位（包括实行公务员管理的事业单位）基本医疗保险缴费经费，未参加医疗保险的行政单位的公费医疗经费，按国家规定享受离休人员、红军老战士待遇人员的医疗经费。</w:t>
      </w:r>
    </w:p>
    <w:p w14:paraId="1A601C57">
      <w:pPr>
        <w:numPr>
          <w:ilvl w:val="0"/>
          <w:numId w:val="7"/>
        </w:numPr>
        <w:spacing w:line="60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卫生健康支出（210）行政事业单位医疗（11）公务员医疗补助（03）:反映财政部门安排的公务员医疗补助经费。</w:t>
      </w:r>
    </w:p>
    <w:p w14:paraId="391B5A03">
      <w:pPr>
        <w:numPr>
          <w:ilvl w:val="0"/>
          <w:numId w:val="7"/>
        </w:numPr>
        <w:spacing w:line="60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住房保障支出（221）住房改革支出（02）住房公积金（01）:反映行政事业单位按人力资源和社会保障部、财政部规定的基本工资和津贴补贴以及规定比例为职工缴纳的住房公积金。</w:t>
      </w:r>
    </w:p>
    <w:p w14:paraId="195DCCCF">
      <w:pPr>
        <w:numPr>
          <w:ilvl w:val="0"/>
          <w:numId w:val="7"/>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14:paraId="426F0CD5">
      <w:pPr>
        <w:numPr>
          <w:ilvl w:val="0"/>
          <w:numId w:val="7"/>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6452B33C">
      <w:pPr>
        <w:numPr>
          <w:ilvl w:val="0"/>
          <w:numId w:val="7"/>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5B519651">
      <w:pPr>
        <w:pStyle w:val="27"/>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BE19637">
      <w:pPr>
        <w:pStyle w:val="27"/>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8A1EDE3">
      <w:pPr>
        <w:pStyle w:val="27"/>
        <w:spacing w:line="560" w:lineRule="exact"/>
        <w:ind w:firstLine="640" w:firstLineChars="200"/>
        <w:rPr>
          <w:rFonts w:ascii="仿宋_GB2312" w:eastAsia="仿宋_GB2312" w:cs="黑体"/>
          <w:color w:val="auto"/>
          <w:sz w:val="32"/>
          <w:szCs w:val="32"/>
          <w:highlight w:val="none"/>
        </w:rPr>
      </w:pPr>
    </w:p>
    <w:p w14:paraId="41D08DC5">
      <w:pPr>
        <w:spacing w:line="600" w:lineRule="exact"/>
        <w:jc w:val="center"/>
        <w:outlineLvl w:val="0"/>
        <w:rPr>
          <w:rStyle w:val="29"/>
          <w:rFonts w:hint="eastAsia" w:ascii="黑体" w:hAnsi="黑体" w:eastAsia="黑体"/>
          <w:b w:val="0"/>
          <w:color w:val="auto"/>
          <w:highlight w:val="yellow"/>
          <w:lang w:eastAsia="zh-CN"/>
        </w:rPr>
      </w:pPr>
      <w:bookmarkStart w:id="73" w:name="_Toc15377226"/>
      <w:r>
        <w:rPr>
          <w:rFonts w:ascii="宋体"/>
          <w:b/>
          <w:color w:val="auto"/>
          <w:sz w:val="44"/>
          <w:szCs w:val="44"/>
          <w:highlight w:val="none"/>
        </w:rPr>
        <w:br w:type="page"/>
      </w:r>
      <w:bookmarkEnd w:id="73"/>
      <w:bookmarkStart w:id="74" w:name="_Toc5983"/>
      <w:bookmarkStart w:id="75" w:name="_Toc15396614"/>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74"/>
      <w:bookmarkEnd w:id="75"/>
    </w:p>
    <w:p w14:paraId="35FF393A">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FF0000"/>
          <w:sz w:val="32"/>
          <w:szCs w:val="32"/>
          <w:highlight w:val="yellow"/>
        </w:rPr>
      </w:pPr>
    </w:p>
    <w:p w14:paraId="255DACB4">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bookmarkStart w:id="76" w:name="_Toc20631"/>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76"/>
    </w:p>
    <w:p w14:paraId="4804D356">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eastAsia" w:eastAsia="方正小标宋简体" w:cs="Times New Roman"/>
          <w:b w:val="0"/>
          <w:bCs/>
          <w:sz w:val="44"/>
          <w:szCs w:val="44"/>
          <w:highlight w:val="none"/>
          <w:shd w:val="clear" w:color="auto" w:fill="FFFFFF"/>
          <w:lang w:val="en-US" w:eastAsia="zh-CN"/>
        </w:rPr>
        <w:t>整体</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3CFF6808">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yellow"/>
          <w:shd w:val="clear" w:color="auto" w:fill="FFFFFF"/>
        </w:rPr>
      </w:pPr>
    </w:p>
    <w:p w14:paraId="7E21BAD7">
      <w:pPr>
        <w:snapToGrid w:val="0"/>
        <w:spacing w:line="520" w:lineRule="exact"/>
        <w:ind w:firstLine="640" w:firstLineChars="20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rPr>
        <w:t>一、</w:t>
      </w:r>
      <w:r>
        <w:rPr>
          <w:rFonts w:hint="eastAsia" w:ascii="仿宋" w:hAnsi="仿宋" w:eastAsia="仿宋" w:cs="Times New Roman"/>
          <w:color w:val="auto"/>
          <w:sz w:val="32"/>
          <w:szCs w:val="32"/>
          <w:highlight w:val="none"/>
          <w:lang w:val="zh-CN"/>
        </w:rPr>
        <w:t>单位概况</w:t>
      </w:r>
    </w:p>
    <w:p w14:paraId="07C27DF5">
      <w:pPr>
        <w:snapToGrid w:val="0"/>
        <w:spacing w:line="520" w:lineRule="exact"/>
        <w:ind w:firstLine="640" w:firstLineChars="20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（一）机构组成</w:t>
      </w:r>
    </w:p>
    <w:p w14:paraId="26E3C8CA">
      <w:pPr>
        <w:snapToGrid w:val="0"/>
        <w:spacing w:line="52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区妇联为</w:t>
      </w:r>
      <w:r>
        <w:rPr>
          <w:rFonts w:hint="eastAsia" w:ascii="仿宋" w:hAnsi="仿宋" w:eastAsia="仿宋" w:cs="Times New Roman"/>
          <w:color w:val="auto"/>
          <w:sz w:val="32"/>
          <w:szCs w:val="32"/>
          <w:highlight w:val="none"/>
        </w:rPr>
        <w:t>参照公务员法管理的事业单位</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下属二级单位</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个，其中行政单位</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个，参照公务员法管理的事业单位</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个，其他事业单位</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个。</w:t>
      </w:r>
    </w:p>
    <w:p w14:paraId="73078900">
      <w:pPr>
        <w:snapToGrid w:val="0"/>
        <w:spacing w:line="520" w:lineRule="exact"/>
        <w:ind w:firstLine="640" w:firstLineChars="20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（二）机构职能</w:t>
      </w:r>
    </w:p>
    <w:p w14:paraId="194EEC6E">
      <w:pPr>
        <w:snapToGrid w:val="0"/>
        <w:spacing w:line="52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1.</w:t>
      </w:r>
      <w:r>
        <w:rPr>
          <w:rFonts w:hint="eastAsia" w:ascii="仿宋" w:hAnsi="仿宋" w:eastAsia="仿宋" w:cs="Times New Roman"/>
          <w:color w:val="auto"/>
          <w:sz w:val="32"/>
          <w:szCs w:val="32"/>
          <w:highlight w:val="none"/>
        </w:rPr>
        <w:t xml:space="preserve">团结、动员妇女投身改革开放和社会主义现代化建设，促进经济发展和社会全面进步； </w:t>
      </w:r>
    </w:p>
    <w:p w14:paraId="793C732C">
      <w:pPr>
        <w:snapToGrid w:val="0"/>
        <w:spacing w:line="52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rPr>
        <w:t xml:space="preserve">教育、引导广大妇女，增强自尊、自信、自立、自强的精神，全面提高素质，促进妇女人才成长； </w:t>
      </w:r>
    </w:p>
    <w:p w14:paraId="1AD77578">
      <w:pPr>
        <w:snapToGrid w:val="0"/>
        <w:spacing w:line="52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 xml:space="preserve">代表妇女参与国家和社会事务的民主管理、民主监督，参与有关妇女、儿童法律、法规、规章的制定，维护妇女儿童合法权益； </w:t>
      </w:r>
    </w:p>
    <w:p w14:paraId="7A6A385A">
      <w:pPr>
        <w:snapToGrid w:val="0"/>
        <w:spacing w:line="52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4.</w:t>
      </w:r>
      <w:r>
        <w:rPr>
          <w:rFonts w:hint="eastAsia" w:ascii="仿宋" w:hAnsi="仿宋" w:eastAsia="仿宋" w:cs="Times New Roman"/>
          <w:color w:val="auto"/>
          <w:sz w:val="32"/>
          <w:szCs w:val="32"/>
          <w:highlight w:val="none"/>
        </w:rPr>
        <w:t>为妇女儿童服务，加强与社会各界的联系，协调和推动社会各界为妇女儿童办实事、办好事；</w:t>
      </w:r>
    </w:p>
    <w:p w14:paraId="14C476CC">
      <w:pPr>
        <w:snapToGrid w:val="0"/>
        <w:spacing w:line="52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5.</w:t>
      </w:r>
      <w:r>
        <w:rPr>
          <w:rFonts w:hint="eastAsia" w:ascii="仿宋" w:hAnsi="仿宋" w:eastAsia="仿宋" w:cs="Times New Roman"/>
          <w:color w:val="auto"/>
          <w:sz w:val="32"/>
          <w:szCs w:val="32"/>
          <w:highlight w:val="none"/>
        </w:rPr>
        <w:t>巩固和扩大各族各界妇女的大团结，加强同各地妇女的联谊，积极发展同各地妇女的友好交往，增进了解和友谊，维护和平稳定。</w:t>
      </w:r>
    </w:p>
    <w:p w14:paraId="42FA40D4">
      <w:pPr>
        <w:snapToGrid w:val="0"/>
        <w:spacing w:line="520" w:lineRule="exact"/>
        <w:ind w:firstLine="640" w:firstLineChars="20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eastAsia="zh-CN"/>
        </w:rPr>
        <w:t>（三）</w:t>
      </w:r>
      <w:r>
        <w:rPr>
          <w:rFonts w:hint="eastAsia" w:ascii="仿宋" w:hAnsi="仿宋" w:eastAsia="仿宋" w:cs="Times New Roman"/>
          <w:color w:val="auto"/>
          <w:sz w:val="32"/>
          <w:szCs w:val="32"/>
          <w:highlight w:val="none"/>
          <w:lang w:val="zh-CN"/>
        </w:rPr>
        <w:t>人员概况</w:t>
      </w:r>
    </w:p>
    <w:p w14:paraId="59AE5B83">
      <w:pPr>
        <w:snapToGrid w:val="0"/>
        <w:spacing w:line="52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遂宁市船山区妇联</w:t>
      </w:r>
      <w:r>
        <w:rPr>
          <w:rFonts w:hint="eastAsia" w:ascii="仿宋" w:hAnsi="仿宋" w:eastAsia="仿宋" w:cs="Times New Roman"/>
          <w:color w:val="auto"/>
          <w:sz w:val="32"/>
          <w:szCs w:val="32"/>
          <w:highlight w:val="none"/>
          <w:lang w:val="en-US" w:eastAsia="zh-CN"/>
        </w:rPr>
        <w:t>现有在职人员6个，行政人员2人，参照公务员法管理事业人员4人。退休人员1人。</w:t>
      </w:r>
      <w:r>
        <w:rPr>
          <w:rFonts w:hint="eastAsia" w:ascii="仿宋" w:hAnsi="仿宋" w:eastAsia="仿宋" w:cs="Times New Roman"/>
          <w:color w:val="auto"/>
          <w:sz w:val="32"/>
          <w:szCs w:val="32"/>
          <w:highlight w:val="none"/>
        </w:rPr>
        <w:br w:type="textWrapping"/>
      </w:r>
      <w:r>
        <w:rPr>
          <w:rFonts w:hint="eastAsia" w:ascii="仿宋" w:hAnsi="仿宋" w:eastAsia="仿宋" w:cs="Times New Roman"/>
          <w:color w:val="auto"/>
          <w:sz w:val="32"/>
          <w:szCs w:val="32"/>
          <w:highlight w:val="none"/>
          <w:lang w:val="en-US" w:eastAsia="zh-CN"/>
        </w:rPr>
        <w:t xml:space="preserve">     </w:t>
      </w:r>
      <w:r>
        <w:rPr>
          <w:rFonts w:hint="eastAsia" w:ascii="仿宋" w:hAnsi="仿宋" w:eastAsia="仿宋" w:cs="Times New Roman"/>
          <w:color w:val="auto"/>
          <w:sz w:val="32"/>
          <w:szCs w:val="32"/>
          <w:highlight w:val="none"/>
        </w:rPr>
        <w:t>二、</w:t>
      </w:r>
      <w:r>
        <w:rPr>
          <w:rFonts w:hint="eastAsia" w:ascii="仿宋" w:hAnsi="仿宋" w:eastAsia="仿宋" w:cs="Times New Roman"/>
          <w:color w:val="auto"/>
          <w:sz w:val="32"/>
          <w:szCs w:val="32"/>
          <w:highlight w:val="none"/>
          <w:lang w:eastAsia="zh-CN"/>
        </w:rPr>
        <w:t>部门</w:t>
      </w:r>
      <w:r>
        <w:rPr>
          <w:rFonts w:hint="eastAsia" w:ascii="仿宋" w:hAnsi="仿宋" w:eastAsia="仿宋" w:cs="Times New Roman"/>
          <w:color w:val="auto"/>
          <w:sz w:val="32"/>
          <w:szCs w:val="32"/>
          <w:highlight w:val="none"/>
        </w:rPr>
        <w:t>财政资金收支情况</w:t>
      </w:r>
    </w:p>
    <w:p w14:paraId="31C9F470">
      <w:pPr>
        <w:snapToGrid w:val="0"/>
        <w:spacing w:line="520" w:lineRule="exact"/>
        <w:ind w:firstLine="640" w:firstLineChars="20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rPr>
        <w:t>按照综合预算的原则，</w:t>
      </w:r>
      <w:r>
        <w:rPr>
          <w:rFonts w:hint="eastAsia" w:ascii="仿宋" w:hAnsi="仿宋" w:eastAsia="仿宋" w:cs="Times New Roman"/>
          <w:color w:val="auto"/>
          <w:sz w:val="32"/>
          <w:szCs w:val="32"/>
          <w:highlight w:val="none"/>
          <w:lang w:eastAsia="zh-CN"/>
        </w:rPr>
        <w:t>区妇联</w:t>
      </w:r>
      <w:r>
        <w:rPr>
          <w:rFonts w:hint="eastAsia" w:ascii="仿宋" w:hAnsi="仿宋" w:eastAsia="仿宋" w:cs="Times New Roman"/>
          <w:color w:val="auto"/>
          <w:sz w:val="32"/>
          <w:szCs w:val="32"/>
          <w:highlight w:val="none"/>
        </w:rPr>
        <w:t>所有收入和支出均纳入部门预算管理。收入包括：一般公共预算拨款收入；支出包括：一般公共服务支出、</w:t>
      </w:r>
      <w:r>
        <w:rPr>
          <w:rFonts w:hint="eastAsia" w:ascii="仿宋" w:hAnsi="仿宋" w:eastAsia="仿宋" w:cs="Times New Roman"/>
          <w:color w:val="auto"/>
          <w:sz w:val="32"/>
          <w:szCs w:val="32"/>
          <w:highlight w:val="none"/>
          <w:lang w:eastAsia="zh-CN"/>
        </w:rPr>
        <w:t>社会保障和就业支出</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卫生健康支出</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住房保障支出</w:t>
      </w:r>
      <w:r>
        <w:rPr>
          <w:rFonts w:hint="eastAsia" w:ascii="仿宋" w:hAnsi="仿宋" w:eastAsia="仿宋" w:cs="Times New Roman"/>
          <w:color w:val="auto"/>
          <w:sz w:val="32"/>
          <w:szCs w:val="32"/>
          <w:highlight w:val="none"/>
        </w:rPr>
        <w:t>。202</w:t>
      </w:r>
      <w:r>
        <w:rPr>
          <w:rFonts w:hint="eastAsia" w:ascii="仿宋" w:hAnsi="仿宋" w:eastAsia="仿宋" w:cs="Times New Roman"/>
          <w:color w:val="auto"/>
          <w:sz w:val="32"/>
          <w:szCs w:val="32"/>
          <w:highlight w:val="none"/>
          <w:lang w:val="en-US" w:eastAsia="zh-CN"/>
        </w:rPr>
        <w:t>3</w:t>
      </w:r>
      <w:r>
        <w:rPr>
          <w:rFonts w:hint="eastAsia" w:ascii="仿宋" w:hAnsi="仿宋" w:eastAsia="仿宋" w:cs="Times New Roman"/>
          <w:color w:val="auto"/>
          <w:sz w:val="32"/>
          <w:szCs w:val="32"/>
          <w:highlight w:val="none"/>
        </w:rPr>
        <w:t>年</w:t>
      </w:r>
      <w:r>
        <w:rPr>
          <w:rFonts w:hint="eastAsia" w:ascii="仿宋" w:hAnsi="仿宋" w:eastAsia="仿宋" w:cs="Times New Roman"/>
          <w:color w:val="auto"/>
          <w:sz w:val="32"/>
          <w:szCs w:val="32"/>
          <w:highlight w:val="none"/>
          <w:lang w:eastAsia="zh-CN"/>
        </w:rPr>
        <w:t>调整后</w:t>
      </w:r>
      <w:r>
        <w:rPr>
          <w:rFonts w:hint="eastAsia" w:ascii="仿宋" w:hAnsi="仿宋" w:eastAsia="仿宋" w:cs="Times New Roman"/>
          <w:color w:val="auto"/>
          <w:sz w:val="32"/>
          <w:szCs w:val="32"/>
          <w:highlight w:val="none"/>
        </w:rPr>
        <w:t>收支总预算</w:t>
      </w:r>
      <w:r>
        <w:rPr>
          <w:rFonts w:hint="eastAsia" w:ascii="仿宋" w:hAnsi="仿宋" w:eastAsia="仿宋" w:cs="Times New Roman"/>
          <w:color w:val="auto"/>
          <w:sz w:val="32"/>
          <w:szCs w:val="32"/>
          <w:highlight w:val="none"/>
          <w:lang w:val="en-US" w:eastAsia="zh-CN"/>
        </w:rPr>
        <w:t>220.00</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较20</w:t>
      </w:r>
      <w:r>
        <w:rPr>
          <w:rFonts w:hint="eastAsia" w:ascii="仿宋" w:hAnsi="仿宋" w:eastAsia="仿宋" w:cs="Times New Roman"/>
          <w:color w:val="auto"/>
          <w:sz w:val="32"/>
          <w:szCs w:val="32"/>
          <w:highlight w:val="none"/>
          <w:lang w:val="en-US" w:eastAsia="zh-CN"/>
        </w:rPr>
        <w:t>22</w:t>
      </w:r>
      <w:r>
        <w:rPr>
          <w:rFonts w:hint="eastAsia" w:ascii="仿宋" w:hAnsi="仿宋" w:eastAsia="仿宋" w:cs="Times New Roman"/>
          <w:color w:val="auto"/>
          <w:sz w:val="32"/>
          <w:szCs w:val="32"/>
          <w:highlight w:val="none"/>
        </w:rPr>
        <w:t>年收支预算总数</w:t>
      </w:r>
      <w:r>
        <w:rPr>
          <w:rFonts w:hint="eastAsia" w:ascii="仿宋" w:hAnsi="仿宋" w:eastAsia="仿宋" w:cs="Times New Roman"/>
          <w:color w:val="auto"/>
          <w:sz w:val="32"/>
          <w:szCs w:val="32"/>
          <w:highlight w:val="none"/>
          <w:lang w:val="en-US" w:eastAsia="zh-CN"/>
        </w:rPr>
        <w:t>下降73.40万元，下降25.02%，</w:t>
      </w:r>
      <w:r>
        <w:rPr>
          <w:rFonts w:hint="eastAsia" w:ascii="仿宋" w:hAnsi="仿宋" w:eastAsia="仿宋" w:cs="Times New Roman"/>
          <w:color w:val="auto"/>
          <w:sz w:val="32"/>
          <w:szCs w:val="32"/>
          <w:highlight w:val="none"/>
        </w:rPr>
        <w:t>主要是</w:t>
      </w:r>
      <w:r>
        <w:rPr>
          <w:rFonts w:hint="eastAsia" w:ascii="仿宋_GB2312" w:hAnsi="仿宋" w:eastAsia="仿宋_GB2312"/>
          <w:sz w:val="32"/>
          <w:szCs w:val="32"/>
          <w:highlight w:val="none"/>
          <w:lang w:val="en-US" w:eastAsia="zh-CN"/>
        </w:rPr>
        <w:t>2023年减少妇儿驿家、“两癌”患病妇女资金（民生项目）、2022年防疫资金等项目支出。</w:t>
      </w:r>
    </w:p>
    <w:p w14:paraId="7298D8EB">
      <w:pPr>
        <w:snapToGrid w:val="0"/>
        <w:spacing w:line="520" w:lineRule="exact"/>
        <w:ind w:firstLine="640" w:firstLineChars="20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（一）收入预算情况</w:t>
      </w:r>
    </w:p>
    <w:p w14:paraId="1BD3C795">
      <w:pPr>
        <w:snapToGrid w:val="0"/>
        <w:spacing w:line="52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区妇联2</w:t>
      </w:r>
      <w:r>
        <w:rPr>
          <w:rFonts w:hint="eastAsia" w:ascii="仿宋" w:hAnsi="仿宋" w:eastAsia="仿宋" w:cs="Times New Roman"/>
          <w:color w:val="auto"/>
          <w:sz w:val="32"/>
          <w:szCs w:val="32"/>
          <w:highlight w:val="none"/>
          <w:lang w:val="en-US" w:eastAsia="zh-CN"/>
        </w:rPr>
        <w:t>023</w:t>
      </w:r>
      <w:r>
        <w:rPr>
          <w:rFonts w:hint="eastAsia" w:ascii="仿宋" w:hAnsi="仿宋" w:eastAsia="仿宋" w:cs="Times New Roman"/>
          <w:color w:val="auto"/>
          <w:sz w:val="32"/>
          <w:szCs w:val="32"/>
          <w:highlight w:val="none"/>
        </w:rPr>
        <w:t>年收入</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支出总合计</w:t>
      </w:r>
      <w:r>
        <w:rPr>
          <w:rFonts w:hint="eastAsia" w:ascii="仿宋" w:hAnsi="仿宋" w:eastAsia="仿宋" w:cs="Times New Roman"/>
          <w:color w:val="auto"/>
          <w:sz w:val="32"/>
          <w:szCs w:val="32"/>
          <w:highlight w:val="none"/>
        </w:rPr>
        <w:t>220.00万元，其中：上年结转</w:t>
      </w:r>
      <w:r>
        <w:rPr>
          <w:rFonts w:hint="eastAsia" w:ascii="仿宋" w:hAnsi="仿宋" w:eastAsia="仿宋" w:cs="Times New Roman"/>
          <w:color w:val="auto"/>
          <w:sz w:val="32"/>
          <w:szCs w:val="32"/>
          <w:highlight w:val="none"/>
          <w:lang w:val="en-US" w:eastAsia="zh-CN"/>
        </w:rPr>
        <w:t>38.47</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17.49%</w:t>
      </w:r>
      <w:r>
        <w:rPr>
          <w:rFonts w:hint="eastAsia" w:ascii="仿宋" w:hAnsi="仿宋" w:eastAsia="仿宋" w:cs="Times New Roman"/>
          <w:color w:val="auto"/>
          <w:sz w:val="32"/>
          <w:szCs w:val="32"/>
          <w:highlight w:val="none"/>
        </w:rPr>
        <w:t>；一般公共预算拨款收入</w:t>
      </w:r>
      <w:r>
        <w:rPr>
          <w:rFonts w:hint="eastAsia" w:ascii="仿宋" w:hAnsi="仿宋" w:eastAsia="仿宋" w:cs="Times New Roman"/>
          <w:color w:val="auto"/>
          <w:sz w:val="32"/>
          <w:szCs w:val="32"/>
          <w:highlight w:val="none"/>
          <w:lang w:val="en-US" w:eastAsia="zh-CN"/>
        </w:rPr>
        <w:t>165.76</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75.34%；</w:t>
      </w:r>
      <w:r>
        <w:rPr>
          <w:rFonts w:hint="eastAsia" w:ascii="仿宋" w:hAnsi="仿宋" w:eastAsia="仿宋" w:cs="Times New Roman"/>
          <w:color w:val="auto"/>
          <w:sz w:val="32"/>
          <w:szCs w:val="32"/>
          <w:highlight w:val="none"/>
          <w:lang w:eastAsia="zh-CN"/>
        </w:rPr>
        <w:t>其他收入</w:t>
      </w:r>
      <w:r>
        <w:rPr>
          <w:rFonts w:hint="eastAsia" w:ascii="仿宋" w:hAnsi="仿宋" w:eastAsia="仿宋" w:cs="Times New Roman"/>
          <w:color w:val="auto"/>
          <w:sz w:val="32"/>
          <w:szCs w:val="32"/>
          <w:highlight w:val="none"/>
          <w:lang w:val="en-US" w:eastAsia="zh-CN"/>
        </w:rPr>
        <w:t xml:space="preserve">15.77 </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 xml:space="preserve">7.17% </w:t>
      </w:r>
      <w:r>
        <w:rPr>
          <w:rFonts w:hint="eastAsia" w:ascii="仿宋" w:hAnsi="仿宋" w:eastAsia="仿宋" w:cs="Times New Roman"/>
          <w:color w:val="auto"/>
          <w:sz w:val="32"/>
          <w:szCs w:val="32"/>
          <w:highlight w:val="none"/>
        </w:rPr>
        <w:t>。</w:t>
      </w:r>
    </w:p>
    <w:p w14:paraId="15EFBC10">
      <w:pPr>
        <w:snapToGrid w:val="0"/>
        <w:spacing w:line="520" w:lineRule="exact"/>
        <w:ind w:firstLine="640" w:firstLineChars="20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（二）支出预算情况</w:t>
      </w:r>
    </w:p>
    <w:p w14:paraId="7CCC4A4E">
      <w:pPr>
        <w:snapToGrid w:val="0"/>
        <w:spacing w:line="52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区妇联2</w:t>
      </w:r>
      <w:r>
        <w:rPr>
          <w:rFonts w:hint="eastAsia" w:ascii="仿宋" w:hAnsi="仿宋" w:eastAsia="仿宋" w:cs="Times New Roman"/>
          <w:color w:val="auto"/>
          <w:sz w:val="32"/>
          <w:szCs w:val="32"/>
          <w:highlight w:val="none"/>
          <w:lang w:val="en-US" w:eastAsia="zh-CN"/>
        </w:rPr>
        <w:t>023</w:t>
      </w:r>
      <w:r>
        <w:rPr>
          <w:rFonts w:hint="eastAsia" w:ascii="仿宋" w:hAnsi="仿宋" w:eastAsia="仿宋" w:cs="Times New Roman"/>
          <w:color w:val="auto"/>
          <w:sz w:val="32"/>
          <w:szCs w:val="32"/>
          <w:highlight w:val="none"/>
        </w:rPr>
        <w:t>年</w:t>
      </w:r>
      <w:r>
        <w:rPr>
          <w:rFonts w:hint="eastAsia" w:ascii="仿宋" w:hAnsi="仿宋" w:eastAsia="仿宋" w:cs="Times New Roman"/>
          <w:color w:val="auto"/>
          <w:sz w:val="32"/>
          <w:szCs w:val="32"/>
          <w:highlight w:val="none"/>
          <w:lang w:val="en-US" w:eastAsia="zh-CN"/>
        </w:rPr>
        <w:t>本年</w:t>
      </w:r>
      <w:r>
        <w:rPr>
          <w:rFonts w:hint="eastAsia" w:ascii="仿宋" w:hAnsi="仿宋" w:eastAsia="仿宋" w:cs="Times New Roman"/>
          <w:color w:val="auto"/>
          <w:sz w:val="32"/>
          <w:szCs w:val="32"/>
          <w:highlight w:val="none"/>
        </w:rPr>
        <w:t>支出</w:t>
      </w:r>
      <w:r>
        <w:rPr>
          <w:rFonts w:hint="eastAsia" w:ascii="仿宋" w:hAnsi="仿宋" w:eastAsia="仿宋" w:cs="Times New Roman"/>
          <w:color w:val="auto"/>
          <w:sz w:val="32"/>
          <w:szCs w:val="32"/>
          <w:highlight w:val="none"/>
          <w:lang w:val="en-US" w:eastAsia="zh-CN"/>
        </w:rPr>
        <w:t>合计204.97</w:t>
      </w:r>
      <w:r>
        <w:rPr>
          <w:rFonts w:hint="eastAsia" w:ascii="仿宋" w:hAnsi="仿宋" w:eastAsia="仿宋" w:cs="Times New Roman"/>
          <w:color w:val="auto"/>
          <w:sz w:val="32"/>
          <w:szCs w:val="32"/>
          <w:highlight w:val="none"/>
        </w:rPr>
        <w:t>万元，其中：基本支出</w:t>
      </w:r>
      <w:r>
        <w:rPr>
          <w:rFonts w:hint="eastAsia" w:ascii="仿宋" w:hAnsi="仿宋" w:eastAsia="仿宋" w:cs="Times New Roman"/>
          <w:color w:val="auto"/>
          <w:sz w:val="32"/>
          <w:szCs w:val="32"/>
          <w:highlight w:val="none"/>
          <w:lang w:val="en-US" w:eastAsia="zh-CN"/>
        </w:rPr>
        <w:t>133.48</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65.12%</w:t>
      </w:r>
      <w:r>
        <w:rPr>
          <w:rFonts w:hint="eastAsia" w:ascii="仿宋" w:hAnsi="仿宋" w:eastAsia="仿宋" w:cs="Times New Roman"/>
          <w:color w:val="auto"/>
          <w:sz w:val="32"/>
          <w:szCs w:val="32"/>
          <w:highlight w:val="none"/>
        </w:rPr>
        <w:t>；项目支出</w:t>
      </w:r>
      <w:r>
        <w:rPr>
          <w:rFonts w:hint="eastAsia" w:ascii="仿宋" w:hAnsi="仿宋" w:eastAsia="仿宋" w:cs="Times New Roman"/>
          <w:color w:val="auto"/>
          <w:sz w:val="32"/>
          <w:szCs w:val="32"/>
          <w:highlight w:val="none"/>
          <w:lang w:val="en-US" w:eastAsia="zh-CN"/>
        </w:rPr>
        <w:t>71.49</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34.88%</w:t>
      </w:r>
      <w:r>
        <w:rPr>
          <w:rFonts w:hint="eastAsia" w:ascii="仿宋" w:hAnsi="仿宋" w:eastAsia="仿宋" w:cs="Times New Roman"/>
          <w:color w:val="auto"/>
          <w:sz w:val="32"/>
          <w:szCs w:val="32"/>
          <w:highlight w:val="none"/>
        </w:rPr>
        <w:t>。</w:t>
      </w:r>
    </w:p>
    <w:p w14:paraId="32D59883">
      <w:pPr>
        <w:snapToGrid w:val="0"/>
        <w:spacing w:line="52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三</w:t>
      </w:r>
      <w:r>
        <w:rPr>
          <w:rFonts w:hint="eastAsia" w:ascii="仿宋" w:hAnsi="仿宋" w:eastAsia="仿宋" w:cs="Times New Roman"/>
          <w:color w:val="auto"/>
          <w:sz w:val="32"/>
          <w:szCs w:val="32"/>
          <w:highlight w:val="none"/>
        </w:rPr>
        <w:t>、财政拨款收支预算情况说明</w:t>
      </w:r>
    </w:p>
    <w:p w14:paraId="4B501F60">
      <w:pPr>
        <w:snapToGrid w:val="0"/>
        <w:spacing w:line="52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船山区妇联20</w:t>
      </w:r>
      <w:r>
        <w:rPr>
          <w:rFonts w:hint="eastAsia" w:ascii="仿宋" w:hAnsi="仿宋" w:eastAsia="仿宋" w:cs="Times New Roman"/>
          <w:color w:val="auto"/>
          <w:sz w:val="32"/>
          <w:szCs w:val="32"/>
          <w:highlight w:val="none"/>
          <w:lang w:val="en-US" w:eastAsia="zh-CN"/>
        </w:rPr>
        <w:t>23</w:t>
      </w:r>
      <w:r>
        <w:rPr>
          <w:rFonts w:hint="eastAsia" w:ascii="仿宋" w:hAnsi="仿宋" w:eastAsia="仿宋" w:cs="Times New Roman"/>
          <w:color w:val="auto"/>
          <w:sz w:val="32"/>
          <w:szCs w:val="32"/>
          <w:highlight w:val="none"/>
        </w:rPr>
        <w:t>年财政拨款收支总预算</w:t>
      </w:r>
      <w:r>
        <w:rPr>
          <w:rFonts w:hint="eastAsia" w:ascii="仿宋" w:hAnsi="仿宋" w:eastAsia="仿宋" w:cs="仿宋"/>
          <w:sz w:val="32"/>
          <w:szCs w:val="32"/>
          <w:highlight w:val="none"/>
          <w:lang w:val="en-US" w:eastAsia="zh-CN"/>
        </w:rPr>
        <w:t>165.76</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，较</w:t>
      </w:r>
      <w:r>
        <w:rPr>
          <w:rFonts w:hint="eastAsia" w:ascii="仿宋" w:hAnsi="仿宋" w:eastAsia="仿宋" w:cs="Times New Roman"/>
          <w:color w:val="auto"/>
          <w:sz w:val="32"/>
          <w:szCs w:val="32"/>
          <w:highlight w:val="none"/>
          <w:lang w:val="en-US" w:eastAsia="zh-CN"/>
        </w:rPr>
        <w:t>2022年收支预算总数下降39.92万元，下降19.41%，</w:t>
      </w:r>
      <w:r>
        <w:rPr>
          <w:rFonts w:hint="eastAsia" w:ascii="仿宋" w:hAnsi="仿宋" w:eastAsia="仿宋" w:cs="Times New Roman"/>
          <w:color w:val="auto"/>
          <w:sz w:val="32"/>
          <w:szCs w:val="32"/>
          <w:highlight w:val="none"/>
        </w:rPr>
        <w:t>主要是</w:t>
      </w:r>
      <w:r>
        <w:rPr>
          <w:rFonts w:hint="eastAsia" w:ascii="仿宋_GB2312" w:hAnsi="仿宋" w:eastAsia="仿宋_GB2312"/>
          <w:sz w:val="32"/>
          <w:szCs w:val="32"/>
          <w:highlight w:val="none"/>
          <w:lang w:val="en-US" w:eastAsia="zh-CN"/>
        </w:rPr>
        <w:t>2023年减少妇儿驿家、“两癌”患病妇女资金（民生项目）、2022年防疫资金等项目支出。</w:t>
      </w:r>
    </w:p>
    <w:p w14:paraId="24029790">
      <w:pPr>
        <w:snapToGrid w:val="0"/>
        <w:spacing w:line="52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收入包括：本年一般公共预算拨款收入</w:t>
      </w:r>
      <w:r>
        <w:rPr>
          <w:rFonts w:hint="eastAsia" w:ascii="仿宋" w:hAnsi="仿宋" w:eastAsia="仿宋" w:cs="仿宋"/>
          <w:sz w:val="32"/>
          <w:szCs w:val="32"/>
          <w:highlight w:val="none"/>
          <w:lang w:val="en-US" w:eastAsia="zh-CN"/>
        </w:rPr>
        <w:t>165.76</w:t>
      </w:r>
      <w:r>
        <w:rPr>
          <w:rFonts w:hint="eastAsia" w:ascii="仿宋" w:hAnsi="仿宋" w:eastAsia="仿宋" w:cs="Times New Roman"/>
          <w:color w:val="auto"/>
          <w:sz w:val="32"/>
          <w:szCs w:val="32"/>
          <w:highlight w:val="none"/>
        </w:rPr>
        <w:t>万元、上年结转一般公共预算拨款收入</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万元；支出包括：一般公共服务支出算</w:t>
      </w:r>
      <w:r>
        <w:rPr>
          <w:rFonts w:hint="eastAsia" w:ascii="仿宋" w:hAnsi="仿宋" w:eastAsia="仿宋" w:cs="Times New Roman"/>
          <w:color w:val="auto"/>
          <w:sz w:val="32"/>
          <w:szCs w:val="32"/>
          <w:highlight w:val="none"/>
          <w:lang w:val="en-US" w:eastAsia="zh-CN"/>
        </w:rPr>
        <w:t>139.19万</w:t>
      </w:r>
      <w:r>
        <w:rPr>
          <w:rFonts w:hint="eastAsia" w:ascii="仿宋" w:hAnsi="仿宋" w:eastAsia="仿宋" w:cs="Times New Roman"/>
          <w:color w:val="auto"/>
          <w:sz w:val="32"/>
          <w:szCs w:val="32"/>
          <w:highlight w:val="none"/>
        </w:rPr>
        <w:t>元、社会保障和就业支出</w:t>
      </w:r>
      <w:r>
        <w:rPr>
          <w:rFonts w:hint="eastAsia" w:ascii="仿宋" w:hAnsi="仿宋" w:eastAsia="仿宋" w:cs="Times New Roman"/>
          <w:color w:val="auto"/>
          <w:sz w:val="32"/>
          <w:szCs w:val="32"/>
          <w:highlight w:val="none"/>
          <w:lang w:val="en-US" w:eastAsia="zh-CN"/>
        </w:rPr>
        <w:t>9.97</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卫生健康</w:t>
      </w:r>
      <w:r>
        <w:rPr>
          <w:rFonts w:hint="eastAsia" w:ascii="仿宋" w:hAnsi="仿宋" w:eastAsia="仿宋" w:cs="Times New Roman"/>
          <w:color w:val="auto"/>
          <w:sz w:val="32"/>
          <w:szCs w:val="32"/>
          <w:highlight w:val="none"/>
        </w:rPr>
        <w:t>支出</w:t>
      </w:r>
      <w:r>
        <w:rPr>
          <w:rFonts w:hint="eastAsia" w:ascii="仿宋" w:hAnsi="仿宋" w:eastAsia="仿宋" w:cs="Times New Roman"/>
          <w:color w:val="auto"/>
          <w:sz w:val="32"/>
          <w:szCs w:val="32"/>
          <w:highlight w:val="none"/>
          <w:lang w:val="en-US" w:eastAsia="zh-CN"/>
        </w:rPr>
        <w:t>8.70</w:t>
      </w:r>
      <w:r>
        <w:rPr>
          <w:rFonts w:hint="eastAsia" w:ascii="仿宋" w:hAnsi="仿宋" w:eastAsia="仿宋" w:cs="Times New Roman"/>
          <w:color w:val="auto"/>
          <w:sz w:val="32"/>
          <w:szCs w:val="32"/>
          <w:highlight w:val="none"/>
        </w:rPr>
        <w:t>万元、住房保障支出</w:t>
      </w:r>
      <w:r>
        <w:rPr>
          <w:rFonts w:hint="eastAsia" w:ascii="仿宋" w:hAnsi="仿宋" w:eastAsia="仿宋" w:cs="Times New Roman"/>
          <w:color w:val="auto"/>
          <w:sz w:val="32"/>
          <w:szCs w:val="32"/>
          <w:highlight w:val="none"/>
          <w:lang w:val="en-US" w:eastAsia="zh-CN"/>
        </w:rPr>
        <w:t xml:space="preserve"> 7.90</w:t>
      </w:r>
      <w:r>
        <w:rPr>
          <w:rFonts w:hint="eastAsia" w:ascii="仿宋" w:hAnsi="仿宋" w:eastAsia="仿宋" w:cs="Times New Roman"/>
          <w:color w:val="auto"/>
          <w:sz w:val="32"/>
          <w:szCs w:val="32"/>
          <w:highlight w:val="none"/>
        </w:rPr>
        <w:t>万元。</w:t>
      </w:r>
    </w:p>
    <w:p w14:paraId="6733A661">
      <w:pPr>
        <w:snapToGrid w:val="0"/>
        <w:spacing w:line="52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四</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eastAsia="zh-CN"/>
        </w:rPr>
        <w:t>部门</w:t>
      </w:r>
      <w:r>
        <w:rPr>
          <w:rFonts w:hint="eastAsia" w:ascii="仿宋" w:hAnsi="仿宋" w:eastAsia="仿宋" w:cs="Times New Roman"/>
          <w:color w:val="auto"/>
          <w:sz w:val="32"/>
          <w:szCs w:val="32"/>
          <w:highlight w:val="none"/>
        </w:rPr>
        <w:t>财政支出管理情况</w:t>
      </w:r>
    </w:p>
    <w:p w14:paraId="50D58943">
      <w:pPr>
        <w:snapToGrid w:val="0"/>
        <w:spacing w:line="520" w:lineRule="exact"/>
        <w:ind w:firstLine="640" w:firstLineChars="200"/>
        <w:rPr>
          <w:rFonts w:hint="eastAsia" w:ascii="仿宋" w:hAnsi="仿宋" w:eastAsia="仿宋" w:cs="Times New Roman"/>
          <w:color w:val="auto"/>
          <w:sz w:val="32"/>
          <w:szCs w:val="32"/>
          <w:highlight w:val="none"/>
          <w:lang w:val="zh-CN" w:eastAsia="zh-CN"/>
        </w:rPr>
      </w:pPr>
      <w:r>
        <w:rPr>
          <w:rFonts w:hint="eastAsia" w:ascii="仿宋" w:hAnsi="仿宋" w:eastAsia="仿宋" w:cs="Times New Roman"/>
          <w:color w:val="auto"/>
          <w:sz w:val="32"/>
          <w:szCs w:val="32"/>
          <w:highlight w:val="none"/>
          <w:lang w:val="zh-CN" w:eastAsia="zh-CN"/>
        </w:rPr>
        <w:t>（一）预算编制情况</w:t>
      </w:r>
    </w:p>
    <w:p w14:paraId="0E2BFF9B">
      <w:pPr>
        <w:snapToGrid w:val="0"/>
        <w:spacing w:line="52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 xml:space="preserve"> 我单位严格执行预算编制的有关要求，按时完成2023年预算编制工作，</w:t>
      </w:r>
      <w:r>
        <w:rPr>
          <w:rFonts w:hint="eastAsia" w:ascii="仿宋" w:hAnsi="仿宋" w:eastAsia="仿宋" w:cs="Times New Roman"/>
          <w:color w:val="auto"/>
          <w:sz w:val="32"/>
          <w:szCs w:val="32"/>
          <w:highlight w:val="none"/>
          <w:lang w:eastAsia="zh-CN"/>
        </w:rPr>
        <w:t>填报单位预算报表，提交部门预算编制说明，按专项资金要求及时上报财政专项资金用款计划，</w:t>
      </w:r>
      <w:r>
        <w:rPr>
          <w:rFonts w:hint="eastAsia" w:ascii="仿宋" w:hAnsi="仿宋" w:eastAsia="仿宋" w:cs="Times New Roman"/>
          <w:color w:val="auto"/>
          <w:sz w:val="32"/>
          <w:szCs w:val="32"/>
          <w:highlight w:val="none"/>
          <w:lang w:val="en-US" w:eastAsia="zh-CN"/>
        </w:rPr>
        <w:t>预算编制全面、科学。</w:t>
      </w:r>
    </w:p>
    <w:p w14:paraId="0A64FEE8">
      <w:pPr>
        <w:snapToGrid w:val="0"/>
        <w:spacing w:line="520" w:lineRule="exact"/>
        <w:ind w:firstLine="640" w:firstLineChars="200"/>
        <w:rPr>
          <w:rFonts w:hint="eastAsia" w:ascii="仿宋" w:hAnsi="仿宋" w:eastAsia="仿宋" w:cs="Times New Roman"/>
          <w:color w:val="auto"/>
          <w:sz w:val="32"/>
          <w:szCs w:val="32"/>
          <w:highlight w:val="none"/>
          <w:lang w:val="zh-CN" w:eastAsia="zh-CN"/>
        </w:rPr>
      </w:pPr>
      <w:r>
        <w:rPr>
          <w:rFonts w:hint="eastAsia" w:ascii="仿宋" w:hAnsi="仿宋" w:eastAsia="仿宋" w:cs="Times New Roman"/>
          <w:color w:val="auto"/>
          <w:sz w:val="32"/>
          <w:szCs w:val="32"/>
          <w:highlight w:val="none"/>
          <w:lang w:val="zh-CN" w:eastAsia="zh-CN"/>
        </w:rPr>
        <w:t>（二）执行管理情况</w:t>
      </w:r>
    </w:p>
    <w:p w14:paraId="444C8538">
      <w:pPr>
        <w:snapToGrid w:val="0"/>
        <w:spacing w:line="52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 xml:space="preserve">  根据财政预算资金安排，我单位各项经费全部按预算执行。全区妇联保障经费、妇联工作专项经费在年初预算下达之时及时拨付，中期评估无调整取消资金，执行进度为100%。2023年我单位认真贯彻落实中央关于厉行节约的要求，加强内部财务管理，严格按“三公”经费预算执行，杜绝奢侈浪费。</w:t>
      </w:r>
    </w:p>
    <w:p w14:paraId="16ECD4A7">
      <w:pPr>
        <w:snapToGrid w:val="0"/>
        <w:spacing w:line="520" w:lineRule="exact"/>
        <w:ind w:firstLine="640" w:firstLineChars="200"/>
        <w:rPr>
          <w:rFonts w:hint="eastAsia" w:ascii="仿宋" w:hAnsi="仿宋" w:eastAsia="仿宋" w:cs="Times New Roman"/>
          <w:color w:val="auto"/>
          <w:sz w:val="32"/>
          <w:szCs w:val="32"/>
          <w:highlight w:val="none"/>
          <w:lang w:val="zh-CN" w:eastAsia="zh-CN"/>
        </w:rPr>
      </w:pPr>
      <w:r>
        <w:rPr>
          <w:rFonts w:hint="eastAsia" w:ascii="仿宋" w:hAnsi="仿宋" w:eastAsia="仿宋" w:cs="Times New Roman"/>
          <w:color w:val="auto"/>
          <w:sz w:val="32"/>
          <w:szCs w:val="32"/>
          <w:highlight w:val="none"/>
          <w:lang w:val="zh-CN" w:eastAsia="zh-CN"/>
        </w:rPr>
        <w:t>（三）综合管理情况</w:t>
      </w:r>
    </w:p>
    <w:p w14:paraId="66E4ED27">
      <w:pPr>
        <w:snapToGrid w:val="0"/>
        <w:spacing w:line="52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2023年我单位没有政府性债务非税收收入；无政府采购计划。固定资产管理规范，内控制度完善。2023年决算编制说明、2023年预算编制说明及其他重要财务执行情况均根据区财政要求及时精细公开。</w:t>
      </w:r>
    </w:p>
    <w:p w14:paraId="531CF342">
      <w:pPr>
        <w:snapToGrid w:val="0"/>
        <w:spacing w:line="520" w:lineRule="exact"/>
        <w:ind w:firstLine="640" w:firstLineChars="200"/>
        <w:rPr>
          <w:rFonts w:hint="eastAsia" w:ascii="仿宋" w:hAnsi="仿宋" w:eastAsia="仿宋" w:cs="Times New Roman"/>
          <w:color w:val="auto"/>
          <w:sz w:val="32"/>
          <w:szCs w:val="32"/>
          <w:highlight w:val="none"/>
          <w:lang w:val="zh-CN" w:eastAsia="zh-CN"/>
        </w:rPr>
      </w:pPr>
      <w:r>
        <w:rPr>
          <w:rFonts w:hint="eastAsia" w:ascii="仿宋" w:hAnsi="仿宋" w:eastAsia="仿宋" w:cs="Times New Roman"/>
          <w:color w:val="auto"/>
          <w:sz w:val="32"/>
          <w:szCs w:val="32"/>
          <w:highlight w:val="none"/>
          <w:lang w:val="zh-CN" w:eastAsia="zh-CN"/>
        </w:rPr>
        <w:t>（四）整体绩效</w:t>
      </w:r>
    </w:p>
    <w:p w14:paraId="02E9F104">
      <w:pPr>
        <w:snapToGrid w:val="0"/>
        <w:spacing w:line="520" w:lineRule="exact"/>
        <w:ind w:firstLine="640" w:firstLineChars="20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en-US" w:eastAsia="zh-CN"/>
        </w:rPr>
        <w:t>2023年，本部门机关运行良好，认真履行职能职责，</w:t>
      </w:r>
      <w:r>
        <w:rPr>
          <w:rFonts w:hint="eastAsia" w:ascii="仿宋" w:hAnsi="仿宋" w:eastAsia="仿宋" w:cs="Times New Roman"/>
          <w:color w:val="auto"/>
          <w:sz w:val="32"/>
          <w:szCs w:val="32"/>
          <w:highlight w:val="none"/>
        </w:rPr>
        <w:t>贯彻执行</w:t>
      </w:r>
      <w:r>
        <w:rPr>
          <w:rFonts w:hint="eastAsia" w:ascii="仿宋" w:hAnsi="仿宋" w:eastAsia="仿宋" w:cs="Times New Roman"/>
          <w:color w:val="auto"/>
          <w:sz w:val="32"/>
          <w:szCs w:val="32"/>
          <w:highlight w:val="none"/>
          <w:lang w:eastAsia="zh-CN"/>
        </w:rPr>
        <w:t>妇联</w:t>
      </w:r>
      <w:r>
        <w:rPr>
          <w:rFonts w:hint="eastAsia" w:ascii="仿宋" w:hAnsi="仿宋" w:eastAsia="仿宋" w:cs="Times New Roman"/>
          <w:color w:val="auto"/>
          <w:sz w:val="32"/>
          <w:szCs w:val="32"/>
          <w:highlight w:val="none"/>
        </w:rPr>
        <w:t>的组织制度和民主制度；研究指导</w:t>
      </w:r>
      <w:r>
        <w:rPr>
          <w:rFonts w:hint="eastAsia" w:ascii="仿宋" w:hAnsi="仿宋" w:eastAsia="仿宋" w:cs="Times New Roman"/>
          <w:color w:val="auto"/>
          <w:sz w:val="32"/>
          <w:szCs w:val="32"/>
          <w:highlight w:val="none"/>
          <w:lang w:eastAsia="zh-CN"/>
        </w:rPr>
        <w:t>妇联</w:t>
      </w:r>
      <w:r>
        <w:rPr>
          <w:rFonts w:hint="eastAsia" w:ascii="仿宋" w:hAnsi="仿宋" w:eastAsia="仿宋" w:cs="Times New Roman"/>
          <w:color w:val="auto"/>
          <w:sz w:val="32"/>
          <w:szCs w:val="32"/>
          <w:highlight w:val="none"/>
        </w:rPr>
        <w:t>自身改革和建设；指导基层</w:t>
      </w:r>
      <w:r>
        <w:rPr>
          <w:rFonts w:hint="eastAsia" w:ascii="仿宋" w:hAnsi="仿宋" w:eastAsia="仿宋" w:cs="Times New Roman"/>
          <w:color w:val="auto"/>
          <w:sz w:val="32"/>
          <w:szCs w:val="32"/>
          <w:highlight w:val="none"/>
          <w:lang w:eastAsia="zh-CN"/>
        </w:rPr>
        <w:t>妇联</w:t>
      </w:r>
      <w:r>
        <w:rPr>
          <w:rFonts w:hint="eastAsia" w:ascii="仿宋" w:hAnsi="仿宋" w:eastAsia="仿宋" w:cs="Times New Roman"/>
          <w:color w:val="auto"/>
          <w:sz w:val="32"/>
          <w:szCs w:val="32"/>
          <w:highlight w:val="none"/>
        </w:rPr>
        <w:t>组织开展</w:t>
      </w:r>
      <w:r>
        <w:rPr>
          <w:rFonts w:hint="eastAsia" w:ascii="仿宋" w:hAnsi="仿宋" w:eastAsia="仿宋" w:cs="Times New Roman"/>
          <w:color w:val="auto"/>
          <w:sz w:val="32"/>
          <w:szCs w:val="32"/>
          <w:highlight w:val="none"/>
          <w:lang w:eastAsia="zh-CN"/>
        </w:rPr>
        <w:t>服务妇女儿童的相关工作，做好了帮扶工作，引导了全区广大妇女树立了四自精神，带领全区广大妇女为经济社会建设贡献了巾帼力量。</w:t>
      </w:r>
    </w:p>
    <w:p w14:paraId="43356E7A">
      <w:pPr>
        <w:snapToGrid w:val="0"/>
        <w:spacing w:line="52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四、评价结论及建议</w:t>
      </w:r>
    </w:p>
    <w:p w14:paraId="3C904CD8">
      <w:pPr>
        <w:snapToGrid w:val="0"/>
        <w:spacing w:line="520" w:lineRule="exact"/>
        <w:ind w:firstLine="640" w:firstLineChars="20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（一）评价结论</w:t>
      </w:r>
    </w:p>
    <w:p w14:paraId="2D0E5B5E">
      <w:pPr>
        <w:snapToGrid w:val="0"/>
        <w:spacing w:line="52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 xml:space="preserve">2023年度我单位预算安排较为合理，基本经费保障了我会工作的正常运转；项目经费做到了专款专用，资金使用效果较好。 </w:t>
      </w:r>
    </w:p>
    <w:p w14:paraId="532E8DCB">
      <w:pPr>
        <w:snapToGrid w:val="0"/>
        <w:spacing w:line="520" w:lineRule="exact"/>
        <w:ind w:firstLine="640" w:firstLineChars="20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（二）存在问题</w:t>
      </w:r>
    </w:p>
    <w:p w14:paraId="152F2C44">
      <w:pPr>
        <w:snapToGrid w:val="0"/>
        <w:spacing w:line="520" w:lineRule="exact"/>
        <w:ind w:firstLine="640" w:firstLineChars="20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en-US" w:eastAsia="zh-CN"/>
        </w:rPr>
        <w:t>1.工作人员业务水平素质有待提高。</w:t>
      </w:r>
      <w:r>
        <w:rPr>
          <w:rFonts w:hint="eastAsia" w:ascii="仿宋" w:hAnsi="仿宋" w:eastAsia="仿宋" w:cs="Times New Roman"/>
          <w:color w:val="auto"/>
          <w:sz w:val="32"/>
          <w:szCs w:val="32"/>
          <w:highlight w:val="none"/>
          <w:lang w:val="zh-CN"/>
        </w:rPr>
        <w:t>由于预决算绩效管理的专业性、复杂性，经办人员在预算编制时细化度不足，业务水平有待进一步提高。</w:t>
      </w:r>
    </w:p>
    <w:p w14:paraId="3F0F3826">
      <w:pPr>
        <w:snapToGrid w:val="0"/>
        <w:spacing w:line="52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2.绩效编报质量有待提高。绩效目标编报的质量还有待提高，存在绩效指标的量化还不够，时效指标、质量指标还不是非常完整。绩效管理理念有待进一步增强。</w:t>
      </w:r>
    </w:p>
    <w:p w14:paraId="4DD97E68">
      <w:pPr>
        <w:snapToGrid w:val="0"/>
        <w:spacing w:line="520" w:lineRule="exact"/>
        <w:ind w:firstLine="640" w:firstLineChars="20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（三）改进建议</w:t>
      </w:r>
    </w:p>
    <w:p w14:paraId="4A4DAB0E">
      <w:pPr>
        <w:snapToGrid w:val="0"/>
        <w:spacing w:line="52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1. 细化预算编制工作，认真做好预算的编制。进一步加强预算管理意识，严格按照预算编制的相关制度和要求进行预算编制，强化监督，进一步提高预算编制的科学性、严谨性和可控性。</w:t>
      </w:r>
    </w:p>
    <w:p w14:paraId="1EF5A147">
      <w:pPr>
        <w:snapToGrid w:val="0"/>
        <w:spacing w:line="52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 加强财务管理，严格财务审核。在费用报账支付时，按照预算规定的费用项目和用途进行资金使用审核、列报支付、财务核算。</w:t>
      </w:r>
    </w:p>
    <w:p w14:paraId="58F4447B">
      <w:pPr>
        <w:pStyle w:val="8"/>
        <w:rPr>
          <w:rFonts w:hint="eastAsia" w:ascii="仿宋" w:hAnsi="仿宋" w:eastAsia="仿宋" w:cs="Times New Roman"/>
          <w:color w:val="auto"/>
          <w:sz w:val="32"/>
          <w:szCs w:val="32"/>
          <w:highlight w:val="none"/>
          <w:lang w:val="en-US" w:eastAsia="zh-CN"/>
        </w:rPr>
      </w:pPr>
    </w:p>
    <w:p w14:paraId="47CA3CBF">
      <w:pPr>
        <w:pStyle w:val="8"/>
        <w:rPr>
          <w:rFonts w:hint="eastAsia" w:ascii="仿宋" w:hAnsi="仿宋" w:eastAsia="仿宋" w:cs="Times New Roman"/>
          <w:color w:val="auto"/>
          <w:sz w:val="32"/>
          <w:szCs w:val="32"/>
          <w:highlight w:val="none"/>
          <w:lang w:val="en-US" w:eastAsia="zh-CN"/>
        </w:rPr>
      </w:pPr>
    </w:p>
    <w:p w14:paraId="5AA85577">
      <w:pPr>
        <w:pStyle w:val="8"/>
        <w:rPr>
          <w:rFonts w:hint="eastAsia" w:ascii="仿宋" w:hAnsi="仿宋" w:eastAsia="仿宋" w:cs="Times New Roman"/>
          <w:color w:val="auto"/>
          <w:sz w:val="32"/>
          <w:szCs w:val="32"/>
          <w:highlight w:val="none"/>
          <w:lang w:val="en-US" w:eastAsia="zh-CN"/>
        </w:rPr>
      </w:pPr>
    </w:p>
    <w:p w14:paraId="20DBDE98">
      <w:pPr>
        <w:pStyle w:val="8"/>
        <w:rPr>
          <w:rFonts w:hint="eastAsia" w:ascii="仿宋" w:hAnsi="仿宋" w:eastAsia="仿宋" w:cs="Times New Roman"/>
          <w:color w:val="auto"/>
          <w:sz w:val="32"/>
          <w:szCs w:val="32"/>
          <w:highlight w:val="none"/>
          <w:lang w:val="en-US" w:eastAsia="zh-CN"/>
        </w:rPr>
      </w:pPr>
    </w:p>
    <w:p w14:paraId="6AFBEAEC">
      <w:pPr>
        <w:pStyle w:val="8"/>
        <w:rPr>
          <w:rFonts w:hint="eastAsia" w:ascii="仿宋" w:hAnsi="仿宋" w:eastAsia="仿宋" w:cs="Times New Roman"/>
          <w:color w:val="auto"/>
          <w:sz w:val="32"/>
          <w:szCs w:val="32"/>
          <w:highlight w:val="none"/>
          <w:lang w:val="en-US" w:eastAsia="zh-CN"/>
        </w:rPr>
      </w:pPr>
    </w:p>
    <w:p w14:paraId="398E1D44">
      <w:pPr>
        <w:pStyle w:val="8"/>
        <w:rPr>
          <w:rFonts w:hint="eastAsia" w:ascii="仿宋" w:hAnsi="仿宋" w:eastAsia="仿宋" w:cs="Times New Roman"/>
          <w:color w:val="auto"/>
          <w:sz w:val="32"/>
          <w:szCs w:val="32"/>
          <w:highlight w:val="none"/>
          <w:lang w:val="en-US" w:eastAsia="zh-CN"/>
        </w:rPr>
      </w:pPr>
    </w:p>
    <w:p w14:paraId="4F3F994E">
      <w:pPr>
        <w:keepNext w:val="0"/>
        <w:keepLines w:val="0"/>
        <w:widowControl/>
        <w:suppressLineNumbers w:val="0"/>
        <w:jc w:val="both"/>
        <w:textAlignment w:val="center"/>
        <w:rPr>
          <w:rFonts w:hint="default" w:ascii="方正小标宋简体" w:hAnsi="方正小标宋简体" w:eastAsia="方正小标宋简体" w:cs="方正小标宋简体"/>
          <w:i w:val="0"/>
          <w:color w:val="000000"/>
          <w:kern w:val="0"/>
          <w:sz w:val="48"/>
          <w:szCs w:val="48"/>
          <w:u w:val="none"/>
          <w:lang w:val="en-US" w:eastAsia="zh-CN" w:bidi="ar"/>
        </w:rPr>
        <w:sectPr>
          <w:footerReference r:id="rId7" w:type="default"/>
          <w:pgSz w:w="11906" w:h="16838"/>
          <w:pgMar w:top="1440" w:right="1800" w:bottom="1440" w:left="1800" w:header="851" w:footer="992" w:gutter="0"/>
          <w:pgNumType w:fmt="decimal" w:start="1"/>
          <w:cols w:space="425" w:num="1"/>
          <w:docGrid w:type="lines" w:linePitch="312" w:charSpace="0"/>
        </w:sectPr>
      </w:pPr>
    </w:p>
    <w:tbl>
      <w:tblPr>
        <w:tblStyle w:val="16"/>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055"/>
        <w:gridCol w:w="1769"/>
        <w:gridCol w:w="2265"/>
        <w:gridCol w:w="526"/>
        <w:gridCol w:w="1679"/>
        <w:gridCol w:w="526"/>
        <w:gridCol w:w="1096"/>
        <w:gridCol w:w="510"/>
        <w:gridCol w:w="450"/>
        <w:gridCol w:w="2549"/>
      </w:tblGrid>
      <w:tr w14:paraId="3C1F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EB653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部门预算整体绩效自评表（2023年度）</w:t>
            </w:r>
          </w:p>
        </w:tc>
      </w:tr>
      <w:tr w14:paraId="16CB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7A0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961E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整体绩效</w:t>
            </w:r>
          </w:p>
        </w:tc>
      </w:tr>
      <w:tr w14:paraId="0A171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985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604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四川省遂宁市船山区妇女联合会部门</w:t>
            </w:r>
          </w:p>
        </w:tc>
        <w:tc>
          <w:tcPr>
            <w:tcW w:w="1096" w:type="dxa"/>
            <w:tcBorders>
              <w:top w:val="nil"/>
              <w:left w:val="nil"/>
              <w:bottom w:val="nil"/>
              <w:right w:val="nil"/>
            </w:tcBorders>
            <w:shd w:val="clear" w:color="auto" w:fill="auto"/>
            <w:vAlign w:val="center"/>
          </w:tcPr>
          <w:p w14:paraId="3B1A402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5B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四川省遂宁市船山区妇女联合会</w:t>
            </w:r>
          </w:p>
        </w:tc>
      </w:tr>
      <w:tr w14:paraId="4C9EF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AAE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A53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476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8B864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259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23960">
            <w:pPr>
              <w:rPr>
                <w:rFonts w:hint="eastAsia" w:ascii="宋体" w:hAnsi="宋体" w:eastAsia="宋体" w:cs="宋体"/>
                <w:i w:val="0"/>
                <w:iCs w:val="0"/>
                <w:color w:val="000000"/>
                <w:sz w:val="18"/>
                <w:szCs w:val="18"/>
                <w:u w:val="none"/>
              </w:rPr>
            </w:pPr>
          </w:p>
        </w:tc>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310F4">
            <w:pPr>
              <w:rPr>
                <w:rFonts w:hint="eastAsia" w:ascii="宋体" w:hAnsi="宋体" w:eastAsia="宋体" w:cs="宋体"/>
                <w:i w:val="0"/>
                <w:iCs w:val="0"/>
                <w:color w:val="000000"/>
                <w:sz w:val="18"/>
                <w:szCs w:val="18"/>
                <w:u w:val="none"/>
              </w:rPr>
            </w:pPr>
          </w:p>
        </w:tc>
        <w:tc>
          <w:tcPr>
            <w:tcW w:w="6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8FD2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团结、动员妇女投身改革开放和社会主义现代化建设，促进经济发展和社会全面进步，教育、引导广大妇女，增强自尊、自信、自立、自强的精神，全面提高素质，促进妇女人才成长</w:t>
            </w:r>
          </w:p>
        </w:tc>
        <w:tc>
          <w:tcPr>
            <w:tcW w:w="46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38D0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巩固和扩大各族各界妇女的大团结，加强同各地妇女的联谊，积极发展同各地妇女的友好交往，增进了解和友谊，维护和平稳定</w:t>
            </w:r>
          </w:p>
        </w:tc>
      </w:tr>
      <w:tr w14:paraId="6EFF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8B92F">
            <w:pPr>
              <w:rPr>
                <w:rFonts w:hint="eastAsia" w:ascii="宋体" w:hAnsi="宋体" w:eastAsia="宋体" w:cs="宋体"/>
                <w:i w:val="0"/>
                <w:iCs w:val="0"/>
                <w:color w:val="000000"/>
                <w:sz w:val="18"/>
                <w:szCs w:val="18"/>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07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9288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代表妇女参与国家和社会事务的民主管理、民主监督，参与有关妇女、儿童法律、法规、规章的制定，维护妇女儿童合法权益；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为妇女儿童服务，加强与社会各界的联系，协调和推动社会各界为妇女儿童办实事、办好事</w:t>
            </w:r>
          </w:p>
        </w:tc>
      </w:tr>
      <w:tr w14:paraId="2F78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81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8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2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D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F3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2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3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B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F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F8E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7F8D9">
            <w:pPr>
              <w:jc w:val="center"/>
              <w:rPr>
                <w:rFonts w:hint="eastAsia" w:ascii="宋体" w:hAnsi="宋体" w:eastAsia="宋体" w:cs="宋体"/>
                <w:i w:val="0"/>
                <w:iCs w:val="0"/>
                <w:color w:val="000000"/>
                <w:sz w:val="18"/>
                <w:szCs w:val="18"/>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8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7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173.95</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F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173.95</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37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173.95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8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7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5672">
            <w:pPr>
              <w:jc w:val="center"/>
              <w:rPr>
                <w:rFonts w:hint="eastAsia" w:ascii="宋体" w:hAnsi="宋体" w:eastAsia="宋体" w:cs="宋体"/>
                <w:i w:val="0"/>
                <w:iCs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20E0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E81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C6B94">
            <w:pPr>
              <w:jc w:val="center"/>
              <w:rPr>
                <w:rFonts w:hint="eastAsia" w:ascii="宋体" w:hAnsi="宋体" w:eastAsia="宋体" w:cs="宋体"/>
                <w:i w:val="0"/>
                <w:iCs w:val="0"/>
                <w:color w:val="000000"/>
                <w:sz w:val="18"/>
                <w:szCs w:val="18"/>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E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3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173.95</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8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173.95</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2F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173.95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8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D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9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0632E">
            <w:pPr>
              <w:rPr>
                <w:rFonts w:hint="eastAsia" w:ascii="黑体" w:hAnsi="黑体" w:eastAsia="黑体" w:cs="黑体"/>
                <w:i/>
                <w:iCs/>
                <w:color w:val="000000"/>
                <w:sz w:val="18"/>
                <w:szCs w:val="18"/>
                <w:u w:val="none"/>
              </w:rPr>
            </w:pPr>
          </w:p>
        </w:tc>
      </w:tr>
      <w:tr w14:paraId="6FE9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19EF1">
            <w:pPr>
              <w:jc w:val="center"/>
              <w:rPr>
                <w:rFonts w:hint="eastAsia" w:ascii="宋体" w:hAnsi="宋体" w:eastAsia="宋体" w:cs="宋体"/>
                <w:i w:val="0"/>
                <w:iCs w:val="0"/>
                <w:color w:val="000000"/>
                <w:sz w:val="18"/>
                <w:szCs w:val="18"/>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F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9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2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1D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C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4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D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AD255">
            <w:pPr>
              <w:rPr>
                <w:rFonts w:hint="eastAsia" w:ascii="黑体" w:hAnsi="黑体" w:eastAsia="黑体" w:cs="黑体"/>
                <w:i/>
                <w:iCs/>
                <w:color w:val="000000"/>
                <w:sz w:val="18"/>
                <w:szCs w:val="18"/>
                <w:u w:val="none"/>
              </w:rPr>
            </w:pPr>
          </w:p>
        </w:tc>
      </w:tr>
      <w:tr w14:paraId="1F62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C46AC">
            <w:pPr>
              <w:jc w:val="center"/>
              <w:rPr>
                <w:rFonts w:hint="eastAsia" w:ascii="宋体" w:hAnsi="宋体" w:eastAsia="宋体" w:cs="宋体"/>
                <w:i w:val="0"/>
                <w:iCs w:val="0"/>
                <w:color w:val="000000"/>
                <w:sz w:val="18"/>
                <w:szCs w:val="18"/>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2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4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D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B4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1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7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8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EC8E6">
            <w:pPr>
              <w:rPr>
                <w:rFonts w:hint="eastAsia" w:ascii="黑体" w:hAnsi="黑体" w:eastAsia="黑体" w:cs="黑体"/>
                <w:i/>
                <w:iCs/>
                <w:color w:val="000000"/>
                <w:sz w:val="18"/>
                <w:szCs w:val="18"/>
                <w:u w:val="none"/>
              </w:rPr>
            </w:pPr>
          </w:p>
        </w:tc>
      </w:tr>
      <w:tr w14:paraId="5C3B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73C4C">
            <w:pPr>
              <w:jc w:val="center"/>
              <w:rPr>
                <w:rFonts w:hint="eastAsia" w:ascii="宋体" w:hAnsi="宋体" w:eastAsia="宋体" w:cs="宋体"/>
                <w:i w:val="0"/>
                <w:iCs w:val="0"/>
                <w:color w:val="000000"/>
                <w:sz w:val="18"/>
                <w:szCs w:val="18"/>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B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61DB">
            <w:pPr>
              <w:jc w:val="center"/>
              <w:rPr>
                <w:rFonts w:hint="eastAsia" w:ascii="微软雅黑" w:hAnsi="微软雅黑" w:eastAsia="微软雅黑" w:cs="微软雅黑"/>
                <w:i/>
                <w:iCs/>
                <w:color w:val="000000"/>
                <w:sz w:val="16"/>
                <w:szCs w:val="16"/>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FDCF">
            <w:pPr>
              <w:jc w:val="center"/>
              <w:rPr>
                <w:rFonts w:hint="eastAsia" w:ascii="微软雅黑" w:hAnsi="微软雅黑" w:eastAsia="微软雅黑" w:cs="微软雅黑"/>
                <w:i/>
                <w:iCs/>
                <w:color w:val="000000"/>
                <w:sz w:val="16"/>
                <w:szCs w:val="16"/>
                <w:u w:val="none"/>
              </w:rPr>
            </w:pP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6B097">
            <w:pPr>
              <w:jc w:val="center"/>
              <w:rPr>
                <w:rFonts w:hint="eastAsia" w:ascii="微软雅黑" w:hAnsi="微软雅黑" w:eastAsia="微软雅黑" w:cs="微软雅黑"/>
                <w:i/>
                <w:iCs/>
                <w:color w:val="000000"/>
                <w:sz w:val="16"/>
                <w:szCs w:val="16"/>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E7FB">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8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3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90CE9">
            <w:pPr>
              <w:rPr>
                <w:rFonts w:hint="eastAsia" w:ascii="黑体" w:hAnsi="黑体" w:eastAsia="黑体" w:cs="黑体"/>
                <w:i/>
                <w:iCs/>
                <w:color w:val="000000"/>
                <w:sz w:val="18"/>
                <w:szCs w:val="18"/>
                <w:u w:val="none"/>
              </w:rPr>
            </w:pPr>
          </w:p>
        </w:tc>
      </w:tr>
      <w:tr w14:paraId="17E1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45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3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F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E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E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0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E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8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9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D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8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813A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47A7C">
            <w:pPr>
              <w:jc w:val="center"/>
              <w:rPr>
                <w:rFonts w:hint="eastAsia" w:ascii="宋体" w:hAnsi="宋体" w:eastAsia="宋体" w:cs="宋体"/>
                <w:i w:val="0"/>
                <w:iCs w:val="0"/>
                <w:color w:val="000000"/>
                <w:sz w:val="18"/>
                <w:szCs w:val="18"/>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3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9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0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A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C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3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0E89">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9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CF85">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B829">
            <w:pPr>
              <w:jc w:val="center"/>
              <w:rPr>
                <w:rFonts w:hint="eastAsia" w:ascii="微软雅黑" w:hAnsi="微软雅黑" w:eastAsia="微软雅黑" w:cs="微软雅黑"/>
                <w:i/>
                <w:iCs/>
                <w:color w:val="000000"/>
                <w:sz w:val="16"/>
                <w:szCs w:val="16"/>
                <w:u w:val="none"/>
              </w:rPr>
            </w:pPr>
          </w:p>
        </w:tc>
      </w:tr>
      <w:tr w14:paraId="01A6E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15669">
            <w:pPr>
              <w:jc w:val="center"/>
              <w:rPr>
                <w:rFonts w:hint="eastAsia" w:ascii="宋体" w:hAnsi="宋体" w:eastAsia="宋体" w:cs="宋体"/>
                <w:i w:val="0"/>
                <w:iCs w:val="0"/>
                <w:color w:val="000000"/>
                <w:sz w:val="18"/>
                <w:szCs w:val="18"/>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9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5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7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B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D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B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8892">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A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780A">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DFE6">
            <w:pPr>
              <w:jc w:val="center"/>
              <w:rPr>
                <w:rFonts w:hint="eastAsia" w:ascii="微软雅黑" w:hAnsi="微软雅黑" w:eastAsia="微软雅黑" w:cs="微软雅黑"/>
                <w:i/>
                <w:iCs/>
                <w:color w:val="000000"/>
                <w:sz w:val="16"/>
                <w:szCs w:val="16"/>
                <w:u w:val="none"/>
              </w:rPr>
            </w:pPr>
          </w:p>
        </w:tc>
      </w:tr>
      <w:tr w14:paraId="7BA80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9BF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B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DA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1FB2">
            <w:pPr>
              <w:rPr>
                <w:rFonts w:hint="eastAsia" w:ascii="宋体" w:hAnsi="宋体" w:eastAsia="宋体" w:cs="宋体"/>
                <w:i w:val="0"/>
                <w:iCs w:val="0"/>
                <w:color w:val="000000"/>
                <w:sz w:val="18"/>
                <w:szCs w:val="18"/>
                <w:u w:val="none"/>
              </w:rPr>
            </w:pPr>
          </w:p>
        </w:tc>
      </w:tr>
      <w:tr w14:paraId="4662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1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A7AB2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2023年度我单位预算项目安排较为合理，项目经费保障了我会日常工作的正常运转，项目经费做到了专款专用，资金使用效果较好，项目绩效自评得分87分</w:t>
            </w:r>
          </w:p>
        </w:tc>
      </w:tr>
      <w:tr w14:paraId="6FA0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3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4D0C8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支出科目设置不够细化，不能完整反映项目资金使用情况</w:t>
            </w:r>
          </w:p>
        </w:tc>
      </w:tr>
      <w:tr w14:paraId="61336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4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7618A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规范账务处理，提高财务信息质量。严格按照《会计法》、《行政单位会计制度》、《行政单位财务规则》等规定，结合实际情况，科学设置支出科目，规范财务核算，完整反映相关信息。</w:t>
            </w:r>
          </w:p>
        </w:tc>
      </w:tr>
      <w:tr w14:paraId="7B33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57118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7A15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1DCDE6A3">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yellow"/>
          <w:lang w:val="zh-CN" w:eastAsia="zh-CN"/>
        </w:rPr>
      </w:pPr>
    </w:p>
    <w:p w14:paraId="6482E242">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yellow"/>
          <w:lang w:val="zh-CN" w:eastAsia="zh-CN"/>
        </w:rPr>
      </w:pPr>
    </w:p>
    <w:p w14:paraId="40EC9E39">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yellow"/>
          <w:lang w:val="zh-CN" w:eastAsia="zh-CN"/>
        </w:rPr>
      </w:pPr>
    </w:p>
    <w:p w14:paraId="496BF200">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yellow"/>
          <w:lang w:val="zh-CN" w:eastAsia="zh-CN"/>
        </w:rPr>
      </w:pPr>
    </w:p>
    <w:p w14:paraId="2556BBF7">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yellow"/>
          <w:lang w:val="zh-CN" w:eastAsia="zh-CN"/>
        </w:rPr>
      </w:pPr>
    </w:p>
    <w:p w14:paraId="49ADAE84">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yellow"/>
          <w:lang w:val="zh-CN" w:eastAsia="zh-CN"/>
        </w:rPr>
      </w:pPr>
    </w:p>
    <w:p w14:paraId="0BC25DB6">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yellow"/>
          <w:lang w:val="zh-CN" w:eastAsia="zh-CN"/>
        </w:rPr>
        <w:sectPr>
          <w:type w:val="continuous"/>
          <w:pgSz w:w="16838" w:h="11906" w:orient="landscape"/>
          <w:pgMar w:top="1800" w:right="1440" w:bottom="1800" w:left="1440" w:header="851" w:footer="992" w:gutter="0"/>
          <w:pgNumType w:fmt="decimal"/>
          <w:cols w:space="425" w:num="1"/>
          <w:titlePg/>
          <w:docGrid w:type="lines" w:linePitch="312" w:charSpace="0"/>
        </w:sectPr>
      </w:pPr>
    </w:p>
    <w:p w14:paraId="3F429250">
      <w:pPr>
        <w:keepNext w:val="0"/>
        <w:keepLines w:val="0"/>
        <w:pageBreakBefore w:val="0"/>
        <w:widowControl w:val="0"/>
        <w:kinsoku/>
        <w:wordWrap/>
        <w:overflowPunct/>
        <w:topLinePunct w:val="0"/>
        <w:autoSpaceDE/>
        <w:autoSpaceDN/>
        <w:bidi w:val="0"/>
        <w:adjustRightInd/>
        <w:snapToGrid/>
        <w:spacing w:line="572" w:lineRule="exact"/>
        <w:jc w:val="left"/>
        <w:textAlignment w:val="auto"/>
        <w:outlineLvl w:val="1"/>
        <w:rPr>
          <w:rFonts w:hint="default" w:ascii="方正小标宋简体" w:hAnsi="方正小标宋简体" w:eastAsia="黑体" w:cs="方正小标宋简体"/>
          <w:color w:val="auto"/>
          <w:sz w:val="44"/>
          <w:szCs w:val="44"/>
          <w:highlight w:val="none"/>
          <w:lang w:val="en-US" w:eastAsia="zh-CN"/>
        </w:rPr>
      </w:pPr>
      <w:bookmarkStart w:id="77" w:name="_Toc21207"/>
      <w:r>
        <w:rPr>
          <w:rFonts w:hint="eastAsia" w:ascii="黑体" w:hAnsi="黑体" w:eastAsia="黑体" w:cs="黑体"/>
          <w:color w:val="auto"/>
          <w:sz w:val="32"/>
          <w:szCs w:val="32"/>
          <w:highlight w:val="none"/>
        </w:rPr>
        <w:t>附件</w:t>
      </w:r>
      <w:bookmarkEnd w:id="77"/>
      <w:r>
        <w:rPr>
          <w:rFonts w:hint="eastAsia" w:ascii="黑体" w:hAnsi="黑体" w:eastAsia="黑体" w:cs="黑体"/>
          <w:color w:val="auto"/>
          <w:sz w:val="32"/>
          <w:szCs w:val="32"/>
          <w:highlight w:val="none"/>
          <w:lang w:val="en-US" w:eastAsia="zh-CN"/>
        </w:rPr>
        <w:t>2</w:t>
      </w:r>
    </w:p>
    <w:p w14:paraId="5E4EE51A">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jc w:val="center"/>
        <w:textAlignment w:val="auto"/>
        <w:outlineLvl w:val="9"/>
        <w:rPr>
          <w:rFonts w:hint="eastAsia" w:ascii="方正小标宋简体" w:hAnsi="方正小标宋简体" w:eastAsia="方正小标宋简体" w:cs="方正小标宋简体"/>
          <w:color w:val="auto"/>
          <w:sz w:val="44"/>
          <w:szCs w:val="44"/>
          <w:highlight w:val="none"/>
          <w:shd w:val="clear" w:color="auto" w:fill="FFFFFF"/>
          <w:lang w:eastAsia="zh-CN"/>
        </w:rPr>
      </w:pPr>
      <w:r>
        <w:rPr>
          <w:rFonts w:hint="eastAsia" w:ascii="方正小标宋简体" w:hAnsi="方正小标宋简体" w:eastAsia="方正小标宋简体" w:cs="方正小标宋简体"/>
          <w:color w:val="auto"/>
          <w:sz w:val="44"/>
          <w:szCs w:val="44"/>
          <w:highlight w:val="none"/>
          <w:shd w:val="clear" w:color="auto" w:fill="FFFFFF"/>
          <w:lang w:eastAsia="zh-CN"/>
        </w:rPr>
        <w:t>妇女保障经费项目支出绩效自评报告</w:t>
      </w:r>
    </w:p>
    <w:p w14:paraId="072FF3DF">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jc w:val="center"/>
        <w:textAlignment w:val="auto"/>
        <w:rPr>
          <w:rFonts w:hint="eastAsia" w:ascii="黑体" w:hAnsi="黑体" w:eastAsia="黑体" w:cs="黑体"/>
          <w:b/>
          <w:bCs/>
          <w:sz w:val="32"/>
          <w:szCs w:val="32"/>
        </w:rPr>
      </w:pPr>
    </w:p>
    <w:p w14:paraId="4EEEA21B">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基本情况</w:t>
      </w:r>
    </w:p>
    <w:p w14:paraId="1D76083B">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w:t>
      </w:r>
      <w:r>
        <w:rPr>
          <w:rFonts w:hint="eastAsia" w:ascii="仿宋" w:hAnsi="仿宋" w:eastAsia="仿宋" w:cs="仿宋"/>
          <w:sz w:val="32"/>
          <w:szCs w:val="32"/>
        </w:rPr>
        <w:t>年我会</w:t>
      </w:r>
      <w:r>
        <w:rPr>
          <w:rFonts w:hint="eastAsia" w:ascii="仿宋" w:hAnsi="仿宋" w:eastAsia="仿宋" w:cs="仿宋"/>
          <w:sz w:val="32"/>
          <w:szCs w:val="32"/>
          <w:lang w:eastAsia="zh-CN"/>
        </w:rPr>
        <w:t>部门预算项目支出</w:t>
      </w:r>
      <w:r>
        <w:rPr>
          <w:rFonts w:hint="eastAsia" w:ascii="仿宋" w:hAnsi="仿宋" w:eastAsia="仿宋" w:cs="仿宋"/>
          <w:sz w:val="32"/>
          <w:szCs w:val="32"/>
        </w:rPr>
        <w:t>包括：妇女</w:t>
      </w:r>
      <w:r>
        <w:rPr>
          <w:rFonts w:hint="eastAsia" w:ascii="仿宋" w:hAnsi="仿宋" w:eastAsia="仿宋" w:cs="仿宋"/>
          <w:sz w:val="32"/>
          <w:szCs w:val="32"/>
          <w:lang w:eastAsia="zh-CN"/>
        </w:rPr>
        <w:t>保障</w:t>
      </w:r>
      <w:r>
        <w:rPr>
          <w:rFonts w:hint="eastAsia" w:ascii="仿宋" w:hAnsi="仿宋" w:eastAsia="仿宋" w:cs="仿宋"/>
          <w:sz w:val="32"/>
          <w:szCs w:val="32"/>
        </w:rPr>
        <w:t>经费</w:t>
      </w:r>
      <w:r>
        <w:rPr>
          <w:rFonts w:hint="eastAsia" w:ascii="仿宋" w:hAnsi="仿宋" w:eastAsia="仿宋" w:cs="仿宋"/>
          <w:sz w:val="32"/>
          <w:szCs w:val="32"/>
          <w:lang w:val="en-US" w:eastAsia="zh-CN"/>
        </w:rPr>
        <w:t>200000</w:t>
      </w:r>
      <w:r>
        <w:rPr>
          <w:rFonts w:hint="eastAsia" w:ascii="仿宋" w:hAnsi="仿宋" w:eastAsia="仿宋" w:cs="仿宋"/>
          <w:sz w:val="32"/>
          <w:szCs w:val="32"/>
        </w:rPr>
        <w:t>元。</w:t>
      </w: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基本性质、用途：</w:t>
      </w:r>
      <w:r>
        <w:rPr>
          <w:rFonts w:hint="eastAsia" w:ascii="仿宋" w:hAnsi="仿宋" w:eastAsia="仿宋" w:cs="仿宋"/>
          <w:sz w:val="32"/>
          <w:szCs w:val="32"/>
        </w:rPr>
        <w:t>妇女</w:t>
      </w:r>
      <w:r>
        <w:rPr>
          <w:rFonts w:hint="eastAsia" w:ascii="仿宋" w:hAnsi="仿宋" w:eastAsia="仿宋" w:cs="仿宋"/>
          <w:sz w:val="32"/>
          <w:szCs w:val="32"/>
          <w:lang w:eastAsia="zh-CN"/>
        </w:rPr>
        <w:t>保障</w:t>
      </w:r>
      <w:r>
        <w:rPr>
          <w:rFonts w:hint="eastAsia" w:ascii="仿宋" w:hAnsi="仿宋" w:eastAsia="仿宋" w:cs="仿宋"/>
          <w:sz w:val="32"/>
          <w:szCs w:val="32"/>
        </w:rPr>
        <w:t>经费主要用于团结凝聚各级妇联干部队伍，加大妇女培训力度，广泛为基层妇女和家庭开展服务，逐步完善“妇女儿童之家”建设，婚姻调解工作，开展妇女群众喜闻乐见、特色鲜明丰富多彩的活动载体和服务措施。</w:t>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lang w:val="en-US" w:eastAsia="zh-CN"/>
        </w:rPr>
        <w:t>2.主要内容、涉及范围：</w:t>
      </w:r>
      <w:r>
        <w:rPr>
          <w:rFonts w:hint="eastAsia" w:ascii="仿宋" w:hAnsi="仿宋" w:eastAsia="仿宋" w:cs="仿宋"/>
          <w:sz w:val="32"/>
          <w:szCs w:val="32"/>
        </w:rPr>
        <w:t>妇女事业发展专项工作；妇女事业发展之“家庭教育”宣传活动；妇女事业发展之“妇女维权”宣传活动；助力扶贫攻坚；婚姻调解工作。</w:t>
      </w:r>
      <w:r>
        <w:rPr>
          <w:rFonts w:hint="eastAsia" w:ascii="黑体" w:hAnsi="黑体" w:eastAsia="黑体" w:cs="黑体"/>
          <w:b/>
          <w:bCs/>
          <w:sz w:val="32"/>
          <w:szCs w:val="32"/>
          <w:lang w:eastAsia="zh-CN"/>
        </w:rPr>
        <w:br w:type="textWrapping"/>
      </w:r>
      <w:r>
        <w:rPr>
          <w:rFonts w:hint="eastAsia" w:ascii="黑体" w:hAnsi="黑体" w:eastAsia="黑体" w:cs="黑体"/>
          <w:b/>
          <w:bCs/>
          <w:sz w:val="32"/>
          <w:szCs w:val="32"/>
          <w:lang w:val="en-US" w:eastAsia="zh-CN"/>
        </w:rPr>
        <w:t xml:space="preserve">    </w:t>
      </w:r>
      <w:r>
        <w:rPr>
          <w:rFonts w:hint="eastAsia" w:ascii="黑体" w:hAnsi="黑体" w:eastAsia="黑体" w:cs="黑体"/>
          <w:b w:val="0"/>
          <w:bCs w:val="0"/>
          <w:sz w:val="32"/>
          <w:szCs w:val="32"/>
          <w:lang w:eastAsia="zh-CN"/>
        </w:rPr>
        <w:t>二、评价工作开展情况</w:t>
      </w:r>
      <w:r>
        <w:rPr>
          <w:rFonts w:hint="eastAsia" w:ascii="黑体" w:hAnsi="黑体" w:eastAsia="黑体" w:cs="黑体"/>
          <w:b w:val="0"/>
          <w:bCs w:val="0"/>
          <w:sz w:val="32"/>
          <w:szCs w:val="32"/>
          <w:lang w:eastAsia="zh-CN"/>
        </w:rPr>
        <w:br w:type="textWrapping"/>
      </w:r>
      <w:r>
        <w:rPr>
          <w:rFonts w:hint="eastAsia" w:ascii="仿宋" w:hAnsi="仿宋" w:eastAsia="仿宋" w:cs="仿宋"/>
          <w:sz w:val="32"/>
          <w:szCs w:val="32"/>
          <w:lang w:val="en-US" w:eastAsia="zh-CN"/>
        </w:rPr>
        <w:t xml:space="preserve">  </w:t>
      </w:r>
      <w:r>
        <w:rPr>
          <w:rFonts w:hint="eastAsia" w:ascii="华文楷体" w:hAnsi="华文楷体" w:eastAsia="华文楷体" w:cs="华文楷体"/>
          <w:b/>
          <w:bCs/>
          <w:sz w:val="32"/>
          <w:szCs w:val="32"/>
          <w:lang w:val="en-US" w:eastAsia="zh-CN"/>
        </w:rPr>
        <w:t xml:space="preserve"> </w:t>
      </w:r>
      <w:r>
        <w:rPr>
          <w:rFonts w:hint="eastAsia" w:ascii="楷体" w:hAnsi="楷体" w:eastAsia="楷体" w:cs="楷体"/>
          <w:b/>
          <w:bCs/>
          <w:sz w:val="32"/>
          <w:szCs w:val="32"/>
          <w:lang w:val="en-US" w:eastAsia="zh-CN"/>
        </w:rPr>
        <w:t xml:space="preserve"> 1.项目绩效总目标：</w:t>
      </w:r>
      <w:r>
        <w:rPr>
          <w:rFonts w:hint="eastAsia" w:ascii="仿宋" w:hAnsi="仿宋" w:eastAsia="仿宋" w:cs="仿宋"/>
          <w:sz w:val="32"/>
          <w:szCs w:val="32"/>
        </w:rPr>
        <w:t>牢牢把握“代表和维护妇女权益，促进男女平等”工作主线，紧紧“围绕中心、服务大局”工作理念，创造性地开展一系列富有成效的工作和活动，团结带领</w:t>
      </w:r>
      <w:r>
        <w:rPr>
          <w:rFonts w:hint="eastAsia" w:ascii="仿宋" w:hAnsi="仿宋" w:eastAsia="仿宋" w:cs="仿宋"/>
          <w:sz w:val="32"/>
          <w:szCs w:val="32"/>
          <w:lang w:eastAsia="zh-CN"/>
        </w:rPr>
        <w:t>全区</w:t>
      </w:r>
      <w:r>
        <w:rPr>
          <w:rFonts w:hint="eastAsia" w:ascii="仿宋" w:hAnsi="仿宋" w:eastAsia="仿宋" w:cs="仿宋"/>
          <w:sz w:val="32"/>
          <w:szCs w:val="32"/>
        </w:rPr>
        <w:t>妇女为南县经济发展做出积极贡献。</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lang w:val="en-US" w:eastAsia="zh-CN"/>
        </w:rPr>
        <w:t xml:space="preserve">   2.项目绩效阶段性目标：</w:t>
      </w:r>
      <w:r>
        <w:rPr>
          <w:rFonts w:hint="eastAsia" w:ascii="仿宋" w:hAnsi="仿宋" w:eastAsia="仿宋" w:cs="仿宋"/>
          <w:sz w:val="32"/>
          <w:szCs w:val="32"/>
        </w:rPr>
        <w:t>坚定正确政治方向，引领妇女践行社会主义核心价值观。找准中心工作切入点，组织动员妇女贡献巾帼力量；砥砺履行职责，增强妇女儿童获得感、安全感、幸福感。</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lang w:val="en-US" w:eastAsia="zh-CN"/>
        </w:rPr>
        <w:t xml:space="preserve"> 3.预期主要的生态、社会和经济效益：</w:t>
      </w:r>
      <w:r>
        <w:rPr>
          <w:rFonts w:hint="eastAsia" w:ascii="仿宋" w:hAnsi="仿宋" w:eastAsia="仿宋" w:cs="仿宋"/>
          <w:sz w:val="32"/>
          <w:szCs w:val="32"/>
        </w:rPr>
        <w:t>围绕中心，服务大局，面向基层，推动</w:t>
      </w:r>
      <w:r>
        <w:rPr>
          <w:rFonts w:hint="eastAsia" w:ascii="仿宋" w:hAnsi="仿宋" w:eastAsia="仿宋" w:cs="仿宋"/>
          <w:sz w:val="32"/>
          <w:szCs w:val="32"/>
          <w:lang w:val="en-US" w:eastAsia="zh-CN"/>
        </w:rPr>
        <w:t>船山区</w:t>
      </w:r>
      <w:r>
        <w:rPr>
          <w:rFonts w:hint="eastAsia" w:ascii="仿宋" w:hAnsi="仿宋" w:eastAsia="仿宋" w:cs="仿宋"/>
          <w:sz w:val="32"/>
          <w:szCs w:val="32"/>
        </w:rPr>
        <w:t>妇女事业持续稳定健康发展；围绕文明城市创建活动，积极开展各项法治宣传活动，及时回应重大社会关切，引导社会妇女同胞知法、懂法、用法，让男女平等基本国策深入人心。</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lang w:eastAsia="zh-CN"/>
        </w:rPr>
        <w:t>三、项目资金使用及管理情况</w:t>
      </w:r>
      <w:r>
        <w:rPr>
          <w:rFonts w:hint="eastAsia" w:ascii="黑体" w:hAnsi="黑体" w:eastAsia="黑体" w:cs="黑体"/>
          <w:b w:val="0"/>
          <w:bCs w:val="0"/>
          <w:sz w:val="32"/>
          <w:szCs w:val="32"/>
          <w:lang w:eastAsia="zh-CN"/>
        </w:rPr>
        <w:br w:type="textWrapping"/>
      </w:r>
      <w:r>
        <w:rPr>
          <w:rFonts w:hint="eastAsia" w:ascii="黑体" w:hAnsi="黑体" w:eastAsia="黑体" w:cs="黑体"/>
          <w:b w:val="0"/>
          <w:bCs w:val="0"/>
          <w:sz w:val="32"/>
          <w:szCs w:val="32"/>
          <w:lang w:val="en-US" w:eastAsia="zh-CN"/>
        </w:rPr>
        <w:t xml:space="preserve">  </w:t>
      </w:r>
      <w:r>
        <w:rPr>
          <w:rFonts w:hint="eastAsia" w:ascii="楷体" w:hAnsi="楷体" w:eastAsia="楷体" w:cs="楷体"/>
          <w:b/>
          <w:bCs/>
          <w:sz w:val="32"/>
          <w:szCs w:val="32"/>
          <w:lang w:val="en-US" w:eastAsia="zh-CN"/>
        </w:rPr>
        <w:t>（一）项目资金到位情况分析</w:t>
      </w:r>
      <w:r>
        <w:rPr>
          <w:rFonts w:hint="eastAsia" w:ascii="楷体" w:hAnsi="楷体" w:eastAsia="楷体" w:cs="楷体"/>
          <w:b/>
          <w:bCs/>
          <w:sz w:val="32"/>
          <w:szCs w:val="32"/>
          <w:lang w:val="en-US" w:eastAsia="zh-CN"/>
        </w:rPr>
        <w:br w:type="textWrapping"/>
      </w:r>
      <w:r>
        <w:rPr>
          <w:rFonts w:hint="eastAsia" w:ascii="仿宋" w:hAnsi="仿宋" w:eastAsia="仿宋" w:cs="仿宋"/>
          <w:sz w:val="32"/>
          <w:szCs w:val="32"/>
          <w:lang w:val="en-US" w:eastAsia="zh-CN"/>
        </w:rPr>
        <w:t xml:space="preserve">    2023年初船山区财政局</w:t>
      </w:r>
      <w:r>
        <w:rPr>
          <w:rFonts w:hint="eastAsia" w:ascii="仿宋" w:hAnsi="仿宋" w:eastAsia="仿宋" w:cs="仿宋"/>
          <w:sz w:val="32"/>
          <w:szCs w:val="32"/>
        </w:rPr>
        <w:t>批复部门预算妇女</w:t>
      </w:r>
      <w:r>
        <w:rPr>
          <w:rFonts w:hint="eastAsia" w:ascii="仿宋" w:hAnsi="仿宋" w:eastAsia="仿宋" w:cs="仿宋"/>
          <w:sz w:val="32"/>
          <w:szCs w:val="32"/>
          <w:lang w:eastAsia="zh-CN"/>
        </w:rPr>
        <w:t>保障</w:t>
      </w:r>
      <w:r>
        <w:rPr>
          <w:rFonts w:hint="eastAsia" w:ascii="仿宋" w:hAnsi="仿宋" w:eastAsia="仿宋" w:cs="仿宋"/>
          <w:sz w:val="32"/>
          <w:szCs w:val="32"/>
        </w:rPr>
        <w:t>经费</w:t>
      </w:r>
      <w:r>
        <w:rPr>
          <w:rFonts w:hint="eastAsia" w:ascii="仿宋" w:hAnsi="仿宋" w:eastAsia="仿宋" w:cs="仿宋"/>
          <w:sz w:val="32"/>
          <w:szCs w:val="32"/>
          <w:lang w:val="en-US" w:eastAsia="zh-CN"/>
        </w:rPr>
        <w:t>200000</w:t>
      </w:r>
      <w:r>
        <w:rPr>
          <w:rFonts w:hint="eastAsia" w:ascii="仿宋" w:hAnsi="仿宋" w:eastAsia="仿宋" w:cs="仿宋"/>
          <w:sz w:val="32"/>
          <w:szCs w:val="32"/>
        </w:rPr>
        <w:t>元，实际到位率为100%。</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lang w:val="en-US" w:eastAsia="zh-CN"/>
        </w:rPr>
        <w:t>（二）项目资金实际使用情况分析</w:t>
      </w:r>
      <w:r>
        <w:rPr>
          <w:rFonts w:hint="eastAsia" w:ascii="楷体" w:hAnsi="楷体" w:eastAsia="楷体" w:cs="楷体"/>
          <w:b/>
          <w:bCs/>
          <w:sz w:val="32"/>
          <w:szCs w:val="32"/>
          <w:lang w:val="en-US" w:eastAsia="zh-CN"/>
        </w:rPr>
        <w:br w:type="textWrapping"/>
      </w:r>
      <w:r>
        <w:rPr>
          <w:rFonts w:hint="eastAsia" w:ascii="仿宋" w:hAnsi="仿宋" w:eastAsia="仿宋" w:cs="仿宋"/>
          <w:sz w:val="32"/>
          <w:szCs w:val="32"/>
          <w:lang w:val="en-US" w:eastAsia="zh-CN"/>
        </w:rPr>
        <w:t xml:space="preserve">    2023</w:t>
      </w:r>
      <w:r>
        <w:rPr>
          <w:rFonts w:hint="eastAsia" w:ascii="仿宋" w:hAnsi="仿宋" w:eastAsia="仿宋" w:cs="仿宋"/>
          <w:sz w:val="32"/>
          <w:szCs w:val="32"/>
        </w:rPr>
        <w:t>年</w:t>
      </w:r>
      <w:r>
        <w:rPr>
          <w:rFonts w:hint="eastAsia" w:ascii="仿宋" w:hAnsi="仿宋" w:eastAsia="仿宋" w:cs="仿宋"/>
          <w:sz w:val="32"/>
          <w:szCs w:val="32"/>
          <w:lang w:eastAsia="zh-CN"/>
        </w:rPr>
        <w:t>妇女保障经费</w:t>
      </w:r>
      <w:r>
        <w:rPr>
          <w:rFonts w:hint="eastAsia" w:ascii="仿宋" w:hAnsi="仿宋" w:eastAsia="仿宋" w:cs="仿宋"/>
          <w:sz w:val="32"/>
          <w:szCs w:val="32"/>
        </w:rPr>
        <w:t>实际使用</w:t>
      </w:r>
      <w:r>
        <w:rPr>
          <w:rFonts w:hint="eastAsia" w:ascii="仿宋" w:hAnsi="仿宋" w:eastAsia="仿宋" w:cs="仿宋"/>
          <w:sz w:val="32"/>
          <w:szCs w:val="32"/>
          <w:lang w:val="en-US" w:eastAsia="zh-CN"/>
        </w:rPr>
        <w:t>200000</w:t>
      </w:r>
      <w:r>
        <w:rPr>
          <w:rFonts w:hint="eastAsia" w:ascii="仿宋" w:hAnsi="仿宋" w:eastAsia="仿宋" w:cs="仿宋"/>
          <w:sz w:val="32"/>
          <w:szCs w:val="32"/>
        </w:rPr>
        <w:t>元</w:t>
      </w:r>
    </w:p>
    <w:p w14:paraId="30C0EDE9">
      <w:pPr>
        <w:keepNext w:val="0"/>
        <w:keepLines w:val="0"/>
        <w:pageBreakBefore w:val="0"/>
        <w:widowControl w:val="0"/>
        <w:kinsoku/>
        <w:wordWrap/>
        <w:overflowPunct/>
        <w:topLinePunct w:val="0"/>
        <w:autoSpaceDE/>
        <w:autoSpaceDN/>
        <w:bidi w:val="0"/>
        <w:adjustRightInd w:val="0"/>
        <w:snapToGrid w:val="0"/>
        <w:spacing w:line="640" w:lineRule="exact"/>
        <w:textAlignment w:val="auto"/>
        <w:rPr>
          <w:rFonts w:hint="eastAsia" w:ascii="楷体" w:hAnsi="楷体" w:eastAsia="楷体" w:cs="楷体"/>
          <w:b/>
          <w:bCs/>
          <w:sz w:val="32"/>
          <w:szCs w:val="32"/>
          <w:lang w:val="en-US" w:eastAsia="zh-CN"/>
        </w:rPr>
      </w:pP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lang w:val="en-US" w:eastAsia="zh-CN"/>
        </w:rPr>
        <w:t>（三）项目资金管理情况分析</w:t>
      </w:r>
      <w:r>
        <w:rPr>
          <w:rFonts w:hint="eastAsia" w:ascii="楷体" w:hAnsi="楷体" w:eastAsia="楷体" w:cs="楷体"/>
          <w:b/>
          <w:bCs/>
          <w:sz w:val="32"/>
          <w:szCs w:val="32"/>
          <w:lang w:val="en-US" w:eastAsia="zh-CN"/>
        </w:rPr>
        <w:br w:type="textWrapping"/>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专项资金均按计划拨付、使用，无虚列项目支出情况，无超标准开支情况。资金管理制度健全，项目资料齐全，有申报表及申报依据、预算明细表、专项支出预算绩效目标表、收付款原始凭证、活动总结及汇报材料等。</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lang w:eastAsia="zh-CN"/>
        </w:rPr>
        <w:t>四、项目组织实施情况</w:t>
      </w:r>
      <w:r>
        <w:rPr>
          <w:rFonts w:hint="eastAsia" w:ascii="黑体" w:hAnsi="黑体" w:eastAsia="黑体" w:cs="黑体"/>
          <w:b w:val="0"/>
          <w:bCs w:val="0"/>
          <w:sz w:val="32"/>
          <w:szCs w:val="32"/>
          <w:lang w:eastAsia="zh-CN"/>
        </w:rPr>
        <w:br w:type="textWrapping"/>
      </w:r>
      <w:r>
        <w:rPr>
          <w:rFonts w:hint="eastAsia" w:ascii="楷体" w:hAnsi="楷体" w:eastAsia="楷体" w:cs="楷体"/>
          <w:b/>
          <w:bCs/>
          <w:sz w:val="32"/>
          <w:szCs w:val="32"/>
          <w:lang w:val="en-US" w:eastAsia="zh-CN"/>
        </w:rPr>
        <w:t xml:space="preserve">  （一）项目组织情况分析</w:t>
      </w:r>
    </w:p>
    <w:p w14:paraId="462C2F29">
      <w:pPr>
        <w:keepNext w:val="0"/>
        <w:keepLines w:val="0"/>
        <w:pageBreakBefore w:val="0"/>
        <w:widowControl w:val="0"/>
        <w:kinsoku/>
        <w:wordWrap/>
        <w:overflowPunct/>
        <w:topLinePunct w:val="0"/>
        <w:autoSpaceDE/>
        <w:autoSpaceDN/>
        <w:bidi w:val="0"/>
        <w:adjustRightInd w:val="0"/>
        <w:snapToGrid w:val="0"/>
        <w:spacing w:line="640" w:lineRule="exact"/>
        <w:ind w:left="210" w:leftChars="100" w:firstLine="320" w:firstLineChars="100"/>
        <w:textAlignment w:val="auto"/>
        <w:rPr>
          <w:rFonts w:hint="eastAsia" w:ascii="楷体" w:hAnsi="楷体" w:eastAsia="楷体" w:cs="楷体"/>
          <w:b/>
          <w:bCs/>
          <w:sz w:val="32"/>
          <w:szCs w:val="32"/>
          <w:lang w:val="en-US" w:eastAsia="zh-CN"/>
        </w:rPr>
      </w:pPr>
      <w:r>
        <w:rPr>
          <w:rFonts w:hint="eastAsia" w:ascii="仿宋" w:hAnsi="仿宋" w:eastAsia="仿宋" w:cs="仿宋"/>
          <w:sz w:val="32"/>
          <w:szCs w:val="32"/>
        </w:rPr>
        <w:t>建立健全</w:t>
      </w:r>
      <w:r>
        <w:rPr>
          <w:rFonts w:hint="eastAsia" w:ascii="仿宋" w:hAnsi="仿宋" w:eastAsia="仿宋" w:cs="仿宋"/>
          <w:sz w:val="32"/>
          <w:szCs w:val="32"/>
          <w:lang w:eastAsia="zh-CN"/>
        </w:rPr>
        <w:t>妇女保障经费</w:t>
      </w:r>
      <w:r>
        <w:rPr>
          <w:rFonts w:hint="eastAsia" w:ascii="仿宋" w:hAnsi="仿宋" w:eastAsia="仿宋" w:cs="仿宋"/>
          <w:sz w:val="32"/>
          <w:szCs w:val="32"/>
        </w:rPr>
        <w:t>管理的机构和人员，做到分工明确。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br w:type="textWrapping"/>
      </w:r>
      <w:r>
        <w:rPr>
          <w:rFonts w:hint="eastAsia" w:ascii="楷体" w:hAnsi="楷体" w:eastAsia="楷体" w:cs="楷体"/>
          <w:b/>
          <w:bCs/>
          <w:sz w:val="32"/>
          <w:szCs w:val="32"/>
          <w:lang w:val="en-US" w:eastAsia="zh-CN"/>
        </w:rPr>
        <w:t xml:space="preserve">  （二）项目管理情况分析</w:t>
      </w:r>
    </w:p>
    <w:p w14:paraId="05EEA9F9">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楷体" w:hAnsi="楷体" w:eastAsia="楷体" w:cs="楷体"/>
          <w:b/>
          <w:bCs/>
          <w:sz w:val="32"/>
          <w:szCs w:val="32"/>
          <w:lang w:val="en-US" w:eastAsia="zh-CN"/>
        </w:rPr>
      </w:pPr>
      <w:r>
        <w:rPr>
          <w:rFonts w:hint="eastAsia" w:ascii="仿宋" w:hAnsi="仿宋" w:eastAsia="仿宋" w:cs="仿宋"/>
          <w:sz w:val="32"/>
          <w:szCs w:val="32"/>
        </w:rPr>
        <w:t>建立健全</w:t>
      </w:r>
      <w:r>
        <w:rPr>
          <w:rFonts w:hint="eastAsia" w:ascii="仿宋" w:hAnsi="仿宋" w:eastAsia="仿宋" w:cs="仿宋"/>
          <w:sz w:val="32"/>
          <w:szCs w:val="32"/>
          <w:lang w:eastAsia="zh-CN"/>
        </w:rPr>
        <w:t>妇女保障经费</w:t>
      </w:r>
      <w:r>
        <w:rPr>
          <w:rFonts w:hint="eastAsia" w:ascii="仿宋" w:hAnsi="仿宋" w:eastAsia="仿宋" w:cs="仿宋"/>
          <w:sz w:val="32"/>
          <w:szCs w:val="32"/>
        </w:rPr>
        <w:t>管理制度，严格执行相关管理制度，相关资料齐全并及时归档。</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、项目绩效情况</w:t>
      </w:r>
      <w:r>
        <w:rPr>
          <w:rFonts w:hint="eastAsia" w:ascii="黑体" w:hAnsi="黑体" w:eastAsia="黑体" w:cs="黑体"/>
          <w:b w:val="0"/>
          <w:bCs w:val="0"/>
          <w:sz w:val="32"/>
          <w:szCs w:val="32"/>
        </w:rPr>
        <w:br w:type="textWrapping"/>
      </w:r>
      <w:r>
        <w:rPr>
          <w:rFonts w:hint="eastAsia" w:ascii="楷体" w:hAnsi="楷体" w:eastAsia="楷体" w:cs="楷体"/>
          <w:b/>
          <w:bCs/>
          <w:sz w:val="32"/>
          <w:szCs w:val="32"/>
          <w:lang w:val="en-US" w:eastAsia="zh-CN"/>
        </w:rPr>
        <w:t xml:space="preserve">   （一）项目经济性分析</w:t>
      </w:r>
    </w:p>
    <w:p w14:paraId="42EC4252">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项目成本（预算）控制和节约情况：</w:t>
      </w:r>
      <w:r>
        <w:rPr>
          <w:rFonts w:hint="eastAsia" w:ascii="仿宋" w:hAnsi="仿宋" w:eastAsia="仿宋" w:cs="仿宋"/>
          <w:sz w:val="32"/>
          <w:szCs w:val="32"/>
          <w:lang w:val="en-US" w:eastAsia="zh-CN"/>
        </w:rPr>
        <w:t>2023</w:t>
      </w:r>
      <w:r>
        <w:rPr>
          <w:rFonts w:hint="eastAsia" w:ascii="仿宋" w:hAnsi="仿宋" w:eastAsia="仿宋" w:cs="仿宋"/>
          <w:sz w:val="32"/>
          <w:szCs w:val="32"/>
        </w:rPr>
        <w:t>年</w:t>
      </w:r>
      <w:r>
        <w:rPr>
          <w:rFonts w:hint="eastAsia" w:ascii="仿宋" w:hAnsi="仿宋" w:eastAsia="仿宋" w:cs="仿宋"/>
          <w:sz w:val="32"/>
          <w:szCs w:val="32"/>
          <w:lang w:eastAsia="zh-CN"/>
        </w:rPr>
        <w:t>妇女保障经费</w:t>
      </w:r>
      <w:r>
        <w:rPr>
          <w:rFonts w:hint="eastAsia" w:ascii="仿宋" w:hAnsi="仿宋" w:eastAsia="仿宋" w:cs="仿宋"/>
          <w:sz w:val="32"/>
          <w:szCs w:val="32"/>
        </w:rPr>
        <w:t>预算资金</w:t>
      </w:r>
      <w:r>
        <w:rPr>
          <w:rFonts w:hint="eastAsia" w:ascii="仿宋" w:hAnsi="仿宋" w:eastAsia="仿宋" w:cs="仿宋"/>
          <w:sz w:val="32"/>
          <w:szCs w:val="32"/>
          <w:lang w:val="en-US" w:eastAsia="zh-CN"/>
        </w:rPr>
        <w:t>200000</w:t>
      </w:r>
      <w:r>
        <w:rPr>
          <w:rFonts w:hint="eastAsia" w:ascii="仿宋" w:hAnsi="仿宋" w:eastAsia="仿宋" w:cs="仿宋"/>
          <w:sz w:val="32"/>
          <w:szCs w:val="32"/>
        </w:rPr>
        <w:t>元，实际支出</w:t>
      </w:r>
      <w:r>
        <w:rPr>
          <w:rFonts w:hint="eastAsia" w:ascii="仿宋" w:hAnsi="仿宋" w:eastAsia="仿宋" w:cs="仿宋"/>
          <w:sz w:val="32"/>
          <w:szCs w:val="32"/>
          <w:lang w:eastAsia="zh-CN"/>
        </w:rPr>
        <w:t>妇女保障经费</w:t>
      </w:r>
      <w:r>
        <w:rPr>
          <w:rFonts w:hint="eastAsia" w:ascii="仿宋" w:hAnsi="仿宋" w:eastAsia="仿宋" w:cs="仿宋"/>
          <w:sz w:val="32"/>
          <w:szCs w:val="32"/>
          <w:lang w:val="en-US" w:eastAsia="zh-CN"/>
        </w:rPr>
        <w:t>200000</w:t>
      </w:r>
      <w:r>
        <w:rPr>
          <w:rFonts w:hint="eastAsia" w:ascii="仿宋" w:hAnsi="仿宋" w:eastAsia="仿宋" w:cs="仿宋"/>
          <w:sz w:val="32"/>
          <w:szCs w:val="32"/>
        </w:rPr>
        <w:t>元</w:t>
      </w:r>
      <w:r>
        <w:rPr>
          <w:rFonts w:hint="eastAsia" w:ascii="仿宋" w:hAnsi="仿宋" w:eastAsia="仿宋" w:cs="仿宋"/>
          <w:sz w:val="32"/>
          <w:szCs w:val="32"/>
          <w:lang w:eastAsia="zh-CN"/>
        </w:rPr>
        <w:t>。</w:t>
      </w:r>
    </w:p>
    <w:p w14:paraId="0765E5CB">
      <w:pPr>
        <w:keepNext w:val="0"/>
        <w:keepLines w:val="0"/>
        <w:pageBreakBefore w:val="0"/>
        <w:widowControl w:val="0"/>
        <w:numPr>
          <w:ilvl w:val="0"/>
          <w:numId w:val="8"/>
        </w:numPr>
        <w:kinsoku/>
        <w:wordWrap/>
        <w:overflowPunct/>
        <w:topLinePunct w:val="0"/>
        <w:autoSpaceDE/>
        <w:autoSpaceDN/>
        <w:bidi w:val="0"/>
        <w:adjustRightInd w:val="0"/>
        <w:snapToGrid w:val="0"/>
        <w:spacing w:beforeAutospacing="0" w:afterAutospacing="0" w:line="640" w:lineRule="exact"/>
        <w:ind w:firstLine="321" w:firstLineChars="100"/>
        <w:jc w:val="both"/>
        <w:textAlignment w:val="auto"/>
        <w:outlineLvl w:val="9"/>
        <w:rPr>
          <w:rFonts w:hint="eastAsia" w:ascii="仿宋" w:hAnsi="仿宋" w:eastAsia="仿宋" w:cs="仿宋"/>
          <w:sz w:val="32"/>
          <w:szCs w:val="32"/>
        </w:rPr>
      </w:pPr>
      <w:r>
        <w:rPr>
          <w:rFonts w:hint="eastAsia" w:ascii="楷体" w:hAnsi="楷体" w:eastAsia="楷体" w:cs="楷体"/>
          <w:b/>
          <w:bCs/>
          <w:sz w:val="32"/>
          <w:szCs w:val="32"/>
          <w:lang w:val="en-US" w:eastAsia="zh-CN"/>
        </w:rPr>
        <w:t>项目效率性分析</w:t>
      </w:r>
      <w:r>
        <w:rPr>
          <w:rFonts w:hint="eastAsia" w:ascii="楷体" w:hAnsi="楷体" w:eastAsia="楷体" w:cs="楷体"/>
          <w:b/>
          <w:bCs/>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1.项目的实施进度。项目实施进度在</w:t>
      </w:r>
      <w:r>
        <w:rPr>
          <w:rFonts w:hint="eastAsia" w:ascii="仿宋" w:hAnsi="仿宋" w:eastAsia="仿宋" w:cs="仿宋"/>
          <w:sz w:val="32"/>
          <w:szCs w:val="32"/>
          <w:lang w:val="en-US" w:eastAsia="zh-CN"/>
        </w:rPr>
        <w:t>2023</w:t>
      </w:r>
      <w:r>
        <w:rPr>
          <w:rFonts w:hint="eastAsia" w:ascii="仿宋" w:hAnsi="仿宋" w:eastAsia="仿宋" w:cs="仿宋"/>
          <w:sz w:val="32"/>
          <w:szCs w:val="32"/>
        </w:rPr>
        <w:t>年底全面完成。</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2.项目完成质量。项目实施及效果跟踪管理、项目资金绩效管理的力度不断加大，较好地发挥了项目效益，保质保量完成了目标任务。</w:t>
      </w:r>
      <w:r>
        <w:rPr>
          <w:rFonts w:hint="eastAsia" w:ascii="仿宋" w:hAnsi="仿宋" w:eastAsia="仿宋" w:cs="仿宋"/>
          <w:sz w:val="32"/>
          <w:szCs w:val="32"/>
        </w:rPr>
        <w:br w:type="textWrapping"/>
      </w:r>
      <w:r>
        <w:rPr>
          <w:rFonts w:hint="eastAsia" w:ascii="楷体" w:hAnsi="楷体" w:eastAsia="楷体" w:cs="楷体"/>
          <w:b/>
          <w:bCs/>
          <w:sz w:val="32"/>
          <w:szCs w:val="32"/>
          <w:lang w:val="en-US" w:eastAsia="zh-CN"/>
        </w:rPr>
        <w:t xml:space="preserve">  （三）项目效益性分析</w:t>
      </w:r>
      <w:r>
        <w:rPr>
          <w:rFonts w:hint="eastAsia" w:ascii="楷体" w:hAnsi="楷体" w:eastAsia="楷体" w:cs="楷体"/>
          <w:b/>
          <w:bCs/>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1.项目预期目标完成程度。预期目标完成程度达到100%。</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2.项目实施对经济和社会的影响。妇联紧跟</w:t>
      </w:r>
      <w:r>
        <w:rPr>
          <w:rFonts w:hint="eastAsia" w:ascii="仿宋" w:hAnsi="仿宋" w:eastAsia="仿宋" w:cs="仿宋"/>
          <w:sz w:val="32"/>
          <w:szCs w:val="32"/>
          <w:lang w:eastAsia="zh-CN"/>
        </w:rPr>
        <w:t>区委</w:t>
      </w:r>
      <w:r>
        <w:rPr>
          <w:rFonts w:hint="eastAsia" w:ascii="仿宋" w:hAnsi="仿宋" w:eastAsia="仿宋" w:cs="仿宋"/>
          <w:sz w:val="32"/>
          <w:szCs w:val="32"/>
        </w:rPr>
        <w:t>、</w:t>
      </w:r>
      <w:r>
        <w:rPr>
          <w:rFonts w:hint="eastAsia" w:ascii="仿宋" w:hAnsi="仿宋" w:eastAsia="仿宋" w:cs="仿宋"/>
          <w:sz w:val="32"/>
          <w:szCs w:val="32"/>
          <w:lang w:eastAsia="zh-CN"/>
        </w:rPr>
        <w:t>区政府</w:t>
      </w:r>
      <w:r>
        <w:rPr>
          <w:rFonts w:hint="eastAsia" w:ascii="仿宋" w:hAnsi="仿宋" w:eastAsia="仿宋" w:cs="仿宋"/>
          <w:sz w:val="32"/>
          <w:szCs w:val="32"/>
        </w:rPr>
        <w:t>步伐，履行职责，服务大局、服务</w:t>
      </w:r>
      <w:r>
        <w:rPr>
          <w:rFonts w:hint="eastAsia" w:ascii="仿宋" w:hAnsi="仿宋" w:eastAsia="仿宋" w:cs="仿宋"/>
          <w:sz w:val="32"/>
          <w:szCs w:val="32"/>
          <w:lang w:eastAsia="zh-CN"/>
        </w:rPr>
        <w:t>全区</w:t>
      </w:r>
      <w:r>
        <w:rPr>
          <w:rFonts w:hint="eastAsia" w:ascii="仿宋" w:hAnsi="仿宋" w:eastAsia="仿宋" w:cs="仿宋"/>
          <w:sz w:val="32"/>
          <w:szCs w:val="32"/>
        </w:rPr>
        <w:t>妇女儿童，使各项工作实现历史新跨越。</w:t>
      </w:r>
      <w:r>
        <w:rPr>
          <w:rFonts w:hint="eastAsia" w:ascii="仿宋" w:hAnsi="仿宋" w:eastAsia="仿宋" w:cs="仿宋"/>
          <w:sz w:val="32"/>
          <w:szCs w:val="32"/>
        </w:rPr>
        <w:br w:type="textWrapping"/>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六、存在的问题</w:t>
      </w:r>
      <w:r>
        <w:rPr>
          <w:rFonts w:hint="eastAsia" w:ascii="黑体" w:hAnsi="黑体" w:eastAsia="黑体" w:cs="黑体"/>
          <w:b w:val="0"/>
          <w:bCs w:val="0"/>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支出科目设置不够细化，不能完整反映</w:t>
      </w:r>
      <w:r>
        <w:rPr>
          <w:rFonts w:hint="eastAsia" w:ascii="仿宋" w:hAnsi="仿宋" w:eastAsia="仿宋" w:cs="仿宋"/>
          <w:sz w:val="32"/>
          <w:szCs w:val="32"/>
          <w:lang w:eastAsia="zh-CN"/>
        </w:rPr>
        <w:t>项目</w:t>
      </w:r>
      <w:r>
        <w:rPr>
          <w:rFonts w:hint="eastAsia" w:ascii="仿宋" w:hAnsi="仿宋" w:eastAsia="仿宋" w:cs="仿宋"/>
          <w:sz w:val="32"/>
          <w:szCs w:val="32"/>
        </w:rPr>
        <w:t>资金使用情况。</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rPr>
        <w:t>七、改进措施和有关建议</w:t>
      </w:r>
      <w:r>
        <w:rPr>
          <w:rFonts w:hint="eastAsia" w:ascii="黑体" w:hAnsi="黑体" w:eastAsia="黑体" w:cs="黑体"/>
          <w:b w:val="0"/>
          <w:bCs w:val="0"/>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规范账务处理，提高财务信息质量。严格按照《会计法》、《行政单位会计制度》、《行政单位财务规则》等规定，结合实际情况，科学设置支出科目，规范财务核算，完整反映相关信息</w:t>
      </w:r>
      <w:r>
        <w:rPr>
          <w:rFonts w:hint="eastAsia" w:ascii="仿宋" w:hAnsi="仿宋" w:eastAsia="仿宋" w:cs="仿宋"/>
          <w:sz w:val="32"/>
          <w:szCs w:val="32"/>
          <w:lang w:eastAsia="zh-CN"/>
        </w:rPr>
        <w:t>。</w:t>
      </w:r>
      <w:r>
        <w:rPr>
          <w:rFonts w:hint="eastAsia" w:ascii="仿宋" w:hAnsi="仿宋" w:eastAsia="仿宋" w:cs="仿宋"/>
          <w:sz w:val="32"/>
          <w:szCs w:val="32"/>
        </w:rPr>
        <w:br w:type="textWrapping"/>
      </w:r>
    </w:p>
    <w:p w14:paraId="07CB03B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jc w:val="both"/>
        <w:textAlignment w:val="auto"/>
        <w:outlineLvl w:val="9"/>
        <w:rPr>
          <w:rFonts w:hint="eastAsia" w:ascii="方正小标宋简体" w:hAnsi="方正小标宋简体" w:eastAsia="方正小标宋简体" w:cs="方正小标宋简体"/>
          <w:color w:val="auto"/>
          <w:sz w:val="44"/>
          <w:szCs w:val="44"/>
          <w:highlight w:val="none"/>
          <w:shd w:val="clear" w:color="auto" w:fill="FFFFFF"/>
          <w:lang w:eastAsia="zh-CN"/>
        </w:rPr>
      </w:pPr>
    </w:p>
    <w:p w14:paraId="167EF29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jc w:val="both"/>
        <w:textAlignment w:val="auto"/>
        <w:outlineLvl w:val="9"/>
        <w:rPr>
          <w:rFonts w:hint="eastAsia" w:ascii="方正小标宋简体" w:hAnsi="方正小标宋简体" w:eastAsia="方正小标宋简体" w:cs="方正小标宋简体"/>
          <w:color w:val="auto"/>
          <w:sz w:val="44"/>
          <w:szCs w:val="44"/>
          <w:highlight w:val="none"/>
          <w:shd w:val="clear" w:color="auto" w:fill="FFFFFF"/>
          <w:lang w:eastAsia="zh-CN"/>
        </w:rPr>
      </w:pPr>
    </w:p>
    <w:p w14:paraId="7CF2EA1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jc w:val="both"/>
        <w:textAlignment w:val="auto"/>
        <w:outlineLvl w:val="9"/>
        <w:rPr>
          <w:rFonts w:hint="eastAsia" w:ascii="方正小标宋简体" w:hAnsi="方正小标宋简体" w:eastAsia="方正小标宋简体" w:cs="方正小标宋简体"/>
          <w:color w:val="auto"/>
          <w:sz w:val="44"/>
          <w:szCs w:val="44"/>
          <w:highlight w:val="none"/>
          <w:shd w:val="clear" w:color="auto" w:fill="FFFFFF"/>
          <w:lang w:eastAsia="zh-CN"/>
        </w:rPr>
      </w:pPr>
    </w:p>
    <w:p w14:paraId="6D99CAA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jc w:val="both"/>
        <w:textAlignment w:val="auto"/>
        <w:outlineLvl w:val="9"/>
        <w:rPr>
          <w:rFonts w:hint="eastAsia" w:ascii="方正小标宋简体" w:hAnsi="方正小标宋简体" w:eastAsia="方正小标宋简体" w:cs="方正小标宋简体"/>
          <w:color w:val="auto"/>
          <w:sz w:val="44"/>
          <w:szCs w:val="44"/>
          <w:highlight w:val="none"/>
          <w:shd w:val="clear" w:color="auto" w:fill="FFFFFF"/>
          <w:lang w:eastAsia="zh-CN"/>
        </w:rPr>
      </w:pPr>
    </w:p>
    <w:p w14:paraId="26BF092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jc w:val="both"/>
        <w:textAlignment w:val="auto"/>
        <w:outlineLvl w:val="9"/>
        <w:rPr>
          <w:rFonts w:hint="eastAsia" w:ascii="方正小标宋简体" w:hAnsi="方正小标宋简体" w:eastAsia="方正小标宋简体" w:cs="方正小标宋简体"/>
          <w:color w:val="auto"/>
          <w:sz w:val="44"/>
          <w:szCs w:val="44"/>
          <w:highlight w:val="none"/>
          <w:shd w:val="clear" w:color="auto" w:fill="FFFFFF"/>
          <w:lang w:eastAsia="zh-CN"/>
        </w:rPr>
      </w:pPr>
    </w:p>
    <w:p w14:paraId="493DD19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jc w:val="both"/>
        <w:textAlignment w:val="auto"/>
        <w:outlineLvl w:val="9"/>
        <w:rPr>
          <w:rFonts w:hint="eastAsia" w:ascii="方正小标宋简体" w:hAnsi="方正小标宋简体" w:eastAsia="方正小标宋简体" w:cs="方正小标宋简体"/>
          <w:color w:val="auto"/>
          <w:sz w:val="44"/>
          <w:szCs w:val="44"/>
          <w:highlight w:val="none"/>
          <w:shd w:val="clear" w:color="auto" w:fill="FFFFFF"/>
          <w:lang w:eastAsia="zh-CN"/>
        </w:rPr>
      </w:pPr>
    </w:p>
    <w:p w14:paraId="05CF1DB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jc w:val="both"/>
        <w:textAlignment w:val="auto"/>
        <w:outlineLvl w:val="9"/>
        <w:rPr>
          <w:rFonts w:hint="eastAsia" w:ascii="方正小标宋简体" w:hAnsi="方正小标宋简体" w:eastAsia="方正小标宋简体" w:cs="方正小标宋简体"/>
          <w:color w:val="auto"/>
          <w:sz w:val="44"/>
          <w:szCs w:val="44"/>
          <w:highlight w:val="none"/>
          <w:shd w:val="clear" w:color="auto" w:fill="FFFFFF"/>
          <w:lang w:eastAsia="zh-CN"/>
        </w:rPr>
      </w:pPr>
    </w:p>
    <w:p w14:paraId="78C8250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jc w:val="both"/>
        <w:textAlignment w:val="auto"/>
        <w:outlineLvl w:val="9"/>
        <w:rPr>
          <w:rFonts w:hint="eastAsia" w:ascii="方正小标宋简体" w:hAnsi="方正小标宋简体" w:eastAsia="方正小标宋简体" w:cs="方正小标宋简体"/>
          <w:color w:val="auto"/>
          <w:sz w:val="44"/>
          <w:szCs w:val="44"/>
          <w:highlight w:val="none"/>
          <w:shd w:val="clear" w:color="auto" w:fill="FFFFFF"/>
          <w:lang w:eastAsia="zh-CN"/>
        </w:rPr>
      </w:pPr>
    </w:p>
    <w:p w14:paraId="0993BCE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jc w:val="both"/>
        <w:textAlignment w:val="auto"/>
        <w:outlineLvl w:val="9"/>
        <w:rPr>
          <w:rFonts w:hint="eastAsia" w:ascii="方正小标宋简体" w:hAnsi="方正小标宋简体" w:eastAsia="方正小标宋简体" w:cs="方正小标宋简体"/>
          <w:color w:val="auto"/>
          <w:sz w:val="44"/>
          <w:szCs w:val="44"/>
          <w:highlight w:val="none"/>
          <w:shd w:val="clear" w:color="auto" w:fill="FFFFFF"/>
          <w:lang w:eastAsia="zh-CN"/>
        </w:rPr>
      </w:pPr>
    </w:p>
    <w:p w14:paraId="27974E7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jc w:val="both"/>
        <w:textAlignment w:val="auto"/>
        <w:outlineLvl w:val="9"/>
        <w:rPr>
          <w:rFonts w:hint="eastAsia" w:ascii="方正小标宋简体" w:hAnsi="方正小标宋简体" w:eastAsia="方正小标宋简体" w:cs="方正小标宋简体"/>
          <w:color w:val="auto"/>
          <w:sz w:val="44"/>
          <w:szCs w:val="44"/>
          <w:highlight w:val="none"/>
          <w:shd w:val="clear" w:color="auto" w:fill="FFFFFF"/>
          <w:lang w:eastAsia="zh-CN"/>
        </w:rPr>
      </w:pPr>
    </w:p>
    <w:p w14:paraId="4B911E2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jc w:val="both"/>
        <w:textAlignment w:val="auto"/>
        <w:outlineLvl w:val="9"/>
        <w:rPr>
          <w:rFonts w:hint="eastAsia" w:ascii="方正小标宋简体" w:hAnsi="方正小标宋简体" w:eastAsia="方正小标宋简体" w:cs="方正小标宋简体"/>
          <w:color w:val="auto"/>
          <w:sz w:val="44"/>
          <w:szCs w:val="44"/>
          <w:highlight w:val="none"/>
          <w:shd w:val="clear" w:color="auto" w:fill="FFFFFF"/>
          <w:lang w:eastAsia="zh-CN"/>
        </w:rPr>
      </w:pPr>
    </w:p>
    <w:p w14:paraId="1D18B10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jc w:val="both"/>
        <w:textAlignment w:val="auto"/>
        <w:outlineLvl w:val="9"/>
        <w:rPr>
          <w:rFonts w:hint="eastAsia" w:ascii="方正小标宋简体" w:hAnsi="方正小标宋简体" w:eastAsia="方正小标宋简体" w:cs="方正小标宋简体"/>
          <w:color w:val="auto"/>
          <w:sz w:val="44"/>
          <w:szCs w:val="44"/>
          <w:highlight w:val="none"/>
          <w:shd w:val="clear" w:color="auto" w:fill="FFFFFF"/>
          <w:lang w:eastAsia="zh-CN"/>
        </w:rPr>
      </w:pPr>
    </w:p>
    <w:p w14:paraId="3955522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jc w:val="both"/>
        <w:textAlignment w:val="auto"/>
        <w:outlineLvl w:val="9"/>
        <w:rPr>
          <w:rFonts w:hint="eastAsia" w:ascii="方正小标宋简体" w:hAnsi="方正小标宋简体" w:eastAsia="方正小标宋简体" w:cs="方正小标宋简体"/>
          <w:color w:val="auto"/>
          <w:sz w:val="44"/>
          <w:szCs w:val="44"/>
          <w:highlight w:val="none"/>
          <w:shd w:val="clear" w:color="auto" w:fill="FFFFFF"/>
          <w:lang w:eastAsia="zh-CN"/>
        </w:rPr>
      </w:pPr>
    </w:p>
    <w:p w14:paraId="124A1DC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40" w:lineRule="exact"/>
        <w:jc w:val="both"/>
        <w:textAlignment w:val="auto"/>
        <w:outlineLvl w:val="9"/>
        <w:rPr>
          <w:rFonts w:hint="eastAsia" w:ascii="方正小标宋简体" w:hAnsi="方正小标宋简体" w:eastAsia="方正小标宋简体" w:cs="方正小标宋简体"/>
          <w:color w:val="auto"/>
          <w:sz w:val="44"/>
          <w:szCs w:val="44"/>
          <w:highlight w:val="none"/>
          <w:shd w:val="clear" w:color="auto" w:fill="FFFFFF"/>
          <w:lang w:eastAsia="zh-CN"/>
        </w:rPr>
      </w:pPr>
    </w:p>
    <w:p w14:paraId="107C489A">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jc w:val="center"/>
        <w:textAlignment w:val="auto"/>
        <w:outlineLvl w:val="9"/>
        <w:rPr>
          <w:rFonts w:hint="eastAsia" w:ascii="方正小标宋简体" w:hAnsi="方正小标宋简体" w:eastAsia="方正小标宋简体" w:cs="方正小标宋简体"/>
          <w:color w:val="auto"/>
          <w:sz w:val="44"/>
          <w:szCs w:val="44"/>
          <w:highlight w:val="none"/>
          <w:shd w:val="clear" w:color="auto" w:fill="FFFFFF"/>
          <w:lang w:eastAsia="zh-CN"/>
        </w:rPr>
      </w:pPr>
      <w:r>
        <w:rPr>
          <w:rFonts w:hint="default" w:ascii="方正小标宋简体" w:hAnsi="方正小标宋简体" w:eastAsia="方正小标宋简体" w:cs="方正小标宋简体"/>
          <w:color w:val="auto"/>
          <w:sz w:val="44"/>
          <w:szCs w:val="44"/>
          <w:highlight w:val="none"/>
          <w:shd w:val="clear" w:color="auto" w:fill="FFFFFF"/>
          <w:lang w:val="en-US" w:eastAsia="zh-CN"/>
        </w:rPr>
        <w:t>“</w:t>
      </w:r>
      <w:r>
        <w:rPr>
          <w:rFonts w:hint="eastAsia" w:ascii="方正小标宋简体" w:hAnsi="方正小标宋简体" w:eastAsia="方正小标宋简体" w:cs="方正小标宋简体"/>
          <w:color w:val="auto"/>
          <w:sz w:val="44"/>
          <w:szCs w:val="44"/>
          <w:highlight w:val="none"/>
          <w:shd w:val="clear" w:color="auto" w:fill="FFFFFF"/>
          <w:lang w:val="en-US" w:eastAsia="zh-CN"/>
        </w:rPr>
        <w:t>两癌</w:t>
      </w:r>
      <w:r>
        <w:rPr>
          <w:rFonts w:hint="default" w:ascii="方正小标宋简体" w:hAnsi="方正小标宋简体" w:eastAsia="方正小标宋简体" w:cs="方正小标宋简体"/>
          <w:color w:val="auto"/>
          <w:sz w:val="44"/>
          <w:szCs w:val="44"/>
          <w:highlight w:val="none"/>
          <w:shd w:val="clear" w:color="auto" w:fill="FFFFFF"/>
          <w:lang w:val="en-US" w:eastAsia="zh-CN"/>
        </w:rPr>
        <w:t>”</w:t>
      </w:r>
      <w:r>
        <w:rPr>
          <w:rFonts w:hint="eastAsia" w:ascii="方正小标宋简体" w:hAnsi="方正小标宋简体" w:eastAsia="方正小标宋简体" w:cs="方正小标宋简体"/>
          <w:color w:val="auto"/>
          <w:sz w:val="44"/>
          <w:szCs w:val="44"/>
          <w:highlight w:val="none"/>
          <w:shd w:val="clear" w:color="auto" w:fill="FFFFFF"/>
          <w:lang w:val="en-US" w:eastAsia="zh-CN"/>
        </w:rPr>
        <w:t>救助、</w:t>
      </w:r>
      <w:r>
        <w:rPr>
          <w:rFonts w:hint="default" w:ascii="方正小标宋简体" w:hAnsi="方正小标宋简体" w:eastAsia="方正小标宋简体" w:cs="方正小标宋简体"/>
          <w:color w:val="auto"/>
          <w:sz w:val="44"/>
          <w:szCs w:val="44"/>
          <w:highlight w:val="none"/>
          <w:shd w:val="clear" w:color="auto" w:fill="FFFFFF"/>
          <w:lang w:val="en-US" w:eastAsia="zh-CN"/>
        </w:rPr>
        <w:t>“</w:t>
      </w:r>
      <w:r>
        <w:rPr>
          <w:rFonts w:hint="eastAsia" w:ascii="方正小标宋简体" w:hAnsi="方正小标宋简体" w:eastAsia="方正小标宋简体" w:cs="方正小标宋简体"/>
          <w:color w:val="auto"/>
          <w:sz w:val="44"/>
          <w:szCs w:val="44"/>
          <w:highlight w:val="none"/>
          <w:shd w:val="clear" w:color="auto" w:fill="FFFFFF"/>
          <w:lang w:val="en-US" w:eastAsia="zh-CN"/>
        </w:rPr>
        <w:t>两癌</w:t>
      </w:r>
      <w:r>
        <w:rPr>
          <w:rFonts w:hint="default" w:ascii="方正小标宋简体" w:hAnsi="方正小标宋简体" w:eastAsia="方正小标宋简体" w:cs="方正小标宋简体"/>
          <w:color w:val="auto"/>
          <w:sz w:val="44"/>
          <w:szCs w:val="44"/>
          <w:highlight w:val="none"/>
          <w:shd w:val="clear" w:color="auto" w:fill="FFFFFF"/>
          <w:lang w:val="en-US" w:eastAsia="zh-CN"/>
        </w:rPr>
        <w:t>”</w:t>
      </w:r>
      <w:r>
        <w:rPr>
          <w:rFonts w:hint="eastAsia" w:ascii="方正小标宋简体" w:hAnsi="方正小标宋简体" w:eastAsia="方正小标宋简体" w:cs="方正小标宋简体"/>
          <w:color w:val="auto"/>
          <w:sz w:val="44"/>
          <w:szCs w:val="44"/>
          <w:highlight w:val="none"/>
          <w:shd w:val="clear" w:color="auto" w:fill="FFFFFF"/>
          <w:lang w:val="en-US" w:eastAsia="zh-CN"/>
        </w:rPr>
        <w:t>保险</w:t>
      </w:r>
      <w:r>
        <w:rPr>
          <w:rFonts w:hint="eastAsia" w:ascii="方正小标宋简体" w:hAnsi="方正小标宋简体" w:eastAsia="方正小标宋简体" w:cs="方正小标宋简体"/>
          <w:color w:val="auto"/>
          <w:sz w:val="44"/>
          <w:szCs w:val="44"/>
          <w:highlight w:val="none"/>
          <w:shd w:val="clear" w:color="auto" w:fill="FFFFFF"/>
          <w:lang w:eastAsia="zh-CN"/>
        </w:rPr>
        <w:t>项目支出绩效自评报告</w:t>
      </w:r>
    </w:p>
    <w:p w14:paraId="28AC3341">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基本情况</w:t>
      </w:r>
    </w:p>
    <w:p w14:paraId="292ABF49">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2023</w:t>
      </w:r>
      <w:r>
        <w:rPr>
          <w:rFonts w:hint="eastAsia" w:ascii="仿宋" w:hAnsi="仿宋" w:eastAsia="仿宋" w:cs="仿宋"/>
          <w:sz w:val="32"/>
          <w:szCs w:val="32"/>
        </w:rPr>
        <w:t>年我会</w:t>
      </w:r>
      <w:r>
        <w:rPr>
          <w:rFonts w:hint="eastAsia" w:ascii="仿宋" w:hAnsi="仿宋" w:eastAsia="仿宋" w:cs="仿宋"/>
          <w:sz w:val="32"/>
          <w:szCs w:val="32"/>
          <w:lang w:eastAsia="zh-CN"/>
        </w:rPr>
        <w:t>部门预算项目支出合计</w:t>
      </w:r>
      <w:r>
        <w:rPr>
          <w:rFonts w:hint="eastAsia" w:ascii="仿宋" w:hAnsi="仿宋" w:eastAsia="仿宋" w:cs="仿宋"/>
          <w:sz w:val="32"/>
          <w:szCs w:val="32"/>
          <w:lang w:val="en-US" w:eastAsia="zh-CN"/>
        </w:rPr>
        <w:t>191900元，主要</w:t>
      </w:r>
      <w:r>
        <w:rPr>
          <w:rFonts w:hint="eastAsia" w:ascii="仿宋" w:hAnsi="仿宋" w:eastAsia="仿宋" w:cs="仿宋"/>
          <w:sz w:val="32"/>
          <w:szCs w:val="32"/>
        </w:rPr>
        <w:t>包括：</w:t>
      </w:r>
      <w:r>
        <w:rPr>
          <w:rFonts w:hint="eastAsia" w:ascii="仿宋" w:hAnsi="仿宋" w:eastAsia="仿宋" w:cs="仿宋"/>
          <w:sz w:val="32"/>
          <w:szCs w:val="32"/>
          <w:lang w:val="en-US" w:eastAsia="zh-CN"/>
        </w:rPr>
        <w:t>“两癌”保险补助163900元和“两癌”贫困妇女救28000元</w:t>
      </w:r>
      <w:r>
        <w:rPr>
          <w:rFonts w:hint="eastAsia" w:ascii="仿宋" w:hAnsi="仿宋" w:eastAsia="仿宋" w:cs="仿宋"/>
          <w:sz w:val="32"/>
          <w:szCs w:val="32"/>
        </w:rPr>
        <w:t>。</w:t>
      </w: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基本性质、用途：</w:t>
      </w:r>
      <w:r>
        <w:rPr>
          <w:rFonts w:hint="eastAsia" w:ascii="仿宋" w:hAnsi="仿宋" w:eastAsia="仿宋" w:cs="仿宋"/>
          <w:sz w:val="32"/>
          <w:szCs w:val="32"/>
          <w:lang w:val="en-US" w:eastAsia="zh-CN"/>
        </w:rPr>
        <w:t>提高患病妇女生活质量，阻断因病返贫，使两癌患病妇女得到保障。</w:t>
      </w:r>
      <w:r>
        <w:rPr>
          <w:rFonts w:hint="eastAsia" w:ascii="楷体" w:hAnsi="楷体" w:eastAsia="楷体" w:cs="楷体"/>
          <w:b/>
          <w:bCs/>
          <w:sz w:val="32"/>
          <w:szCs w:val="32"/>
          <w:lang w:val="en-US" w:eastAsia="zh-CN"/>
        </w:rPr>
        <w:t>2.主要内容、涉及范围：</w:t>
      </w:r>
      <w:r>
        <w:rPr>
          <w:rFonts w:hint="eastAsia" w:ascii="仿宋" w:hAnsi="仿宋" w:eastAsia="仿宋" w:cs="仿宋"/>
          <w:sz w:val="32"/>
          <w:szCs w:val="32"/>
          <w:lang w:val="en-US" w:eastAsia="zh-CN"/>
        </w:rPr>
        <w:t>救助和帮助两癌妇女。</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lang w:eastAsia="zh-CN"/>
        </w:rPr>
        <w:t>二、评价工作开展情况</w:t>
      </w:r>
      <w:r>
        <w:rPr>
          <w:rFonts w:hint="eastAsia" w:ascii="黑体" w:hAnsi="黑体" w:eastAsia="黑体" w:cs="黑体"/>
          <w:b w:val="0"/>
          <w:bCs w:val="0"/>
          <w:sz w:val="32"/>
          <w:szCs w:val="32"/>
        </w:rPr>
        <w:br w:type="textWrapping"/>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1.项目绩效总目标：</w:t>
      </w:r>
      <w:r>
        <w:rPr>
          <w:rFonts w:hint="eastAsia" w:ascii="仿宋" w:hAnsi="仿宋" w:eastAsia="仿宋" w:cs="仿宋"/>
          <w:sz w:val="32"/>
          <w:szCs w:val="32"/>
        </w:rPr>
        <w:t>牢牢把握“代表和维护妇女权益，促进男女平等”工作主线，紧紧“围绕中心、服务大局”工作理念，</w:t>
      </w:r>
      <w:r>
        <w:rPr>
          <w:rFonts w:hint="eastAsia" w:ascii="仿宋" w:hAnsi="仿宋" w:eastAsia="仿宋" w:cs="仿宋"/>
          <w:sz w:val="32"/>
          <w:szCs w:val="32"/>
          <w:lang w:eastAsia="zh-CN"/>
        </w:rPr>
        <w:t>为“两癌”妇女提供帮助和关心。</w:t>
      </w:r>
    </w:p>
    <w:p w14:paraId="6FD48689">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31"/>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2.项目绩效阶段性目标：</w:t>
      </w:r>
      <w:r>
        <w:rPr>
          <w:rFonts w:hint="eastAsia" w:ascii="仿宋" w:hAnsi="仿宋" w:eastAsia="仿宋" w:cs="仿宋"/>
          <w:sz w:val="32"/>
          <w:szCs w:val="32"/>
        </w:rPr>
        <w:t>坚定正确政治方向，</w:t>
      </w:r>
      <w:r>
        <w:rPr>
          <w:rFonts w:hint="eastAsia" w:ascii="仿宋" w:hAnsi="仿宋" w:eastAsia="仿宋" w:cs="仿宋"/>
          <w:sz w:val="32"/>
          <w:szCs w:val="32"/>
          <w:lang w:eastAsia="zh-CN"/>
        </w:rPr>
        <w:t>帮助</w:t>
      </w:r>
      <w:r>
        <w:rPr>
          <w:rFonts w:hint="eastAsia" w:ascii="仿宋" w:hAnsi="仿宋" w:eastAsia="仿宋" w:cs="仿宋"/>
          <w:sz w:val="32"/>
          <w:szCs w:val="32"/>
        </w:rPr>
        <w:t>妇女</w:t>
      </w:r>
      <w:r>
        <w:rPr>
          <w:rFonts w:hint="eastAsia" w:ascii="仿宋" w:hAnsi="仿宋" w:eastAsia="仿宋" w:cs="仿宋"/>
          <w:sz w:val="32"/>
          <w:szCs w:val="32"/>
          <w:lang w:eastAsia="zh-CN"/>
        </w:rPr>
        <w:t>摆脱病痛之苦</w:t>
      </w:r>
      <w:r>
        <w:rPr>
          <w:rFonts w:hint="eastAsia" w:ascii="仿宋" w:hAnsi="仿宋" w:eastAsia="仿宋" w:cs="仿宋"/>
          <w:sz w:val="32"/>
          <w:szCs w:val="32"/>
        </w:rPr>
        <w:t>。找准中心工作切入点，</w:t>
      </w:r>
      <w:r>
        <w:rPr>
          <w:rFonts w:hint="eastAsia" w:ascii="仿宋" w:hAnsi="仿宋" w:eastAsia="仿宋" w:cs="仿宋"/>
          <w:sz w:val="32"/>
          <w:szCs w:val="32"/>
          <w:lang w:eastAsia="zh-CN"/>
        </w:rPr>
        <w:t>为“两癌”妇女提供帮助</w:t>
      </w:r>
      <w:r>
        <w:rPr>
          <w:rFonts w:hint="eastAsia" w:ascii="仿宋" w:hAnsi="仿宋" w:eastAsia="仿宋" w:cs="仿宋"/>
          <w:sz w:val="32"/>
          <w:szCs w:val="32"/>
        </w:rPr>
        <w:t>；砥砺履行职责，增强妇女获得感、安全感、幸福感。</w:t>
      </w:r>
      <w:r>
        <w:rPr>
          <w:rFonts w:hint="eastAsia" w:ascii="仿宋" w:hAnsi="仿宋" w:eastAsia="仿宋" w:cs="仿宋"/>
          <w:sz w:val="32"/>
          <w:szCs w:val="32"/>
        </w:rPr>
        <w:br w:type="textWrapping"/>
      </w:r>
      <w:r>
        <w:rPr>
          <w:rFonts w:hint="eastAsia" w:ascii="楷体" w:hAnsi="楷体" w:eastAsia="楷体" w:cs="楷体"/>
          <w:b/>
          <w:bCs/>
          <w:sz w:val="32"/>
          <w:szCs w:val="32"/>
          <w:lang w:val="en-US" w:eastAsia="zh-CN"/>
        </w:rPr>
        <w:t xml:space="preserve">    3.预期主要的生态、社会和经济效益：</w:t>
      </w:r>
      <w:r>
        <w:rPr>
          <w:rFonts w:hint="eastAsia" w:ascii="仿宋" w:hAnsi="仿宋" w:eastAsia="仿宋" w:cs="仿宋"/>
          <w:sz w:val="32"/>
          <w:szCs w:val="32"/>
        </w:rPr>
        <w:t>围绕中心，服务大局，面向基层，推动</w:t>
      </w:r>
      <w:r>
        <w:rPr>
          <w:rFonts w:hint="eastAsia" w:ascii="仿宋" w:hAnsi="仿宋" w:eastAsia="仿宋" w:cs="仿宋"/>
          <w:sz w:val="32"/>
          <w:szCs w:val="32"/>
          <w:lang w:eastAsia="zh-CN"/>
        </w:rPr>
        <w:t>船山区</w:t>
      </w:r>
      <w:r>
        <w:rPr>
          <w:rFonts w:hint="eastAsia" w:ascii="仿宋" w:hAnsi="仿宋" w:eastAsia="仿宋" w:cs="仿宋"/>
          <w:sz w:val="32"/>
          <w:szCs w:val="32"/>
        </w:rPr>
        <w:t>妇女事业持续稳定健康发展；</w:t>
      </w:r>
    </w:p>
    <w:p w14:paraId="2A738234">
      <w:pPr>
        <w:keepNext w:val="0"/>
        <w:keepLines w:val="0"/>
        <w:pageBreakBefore w:val="0"/>
        <w:widowControl w:val="0"/>
        <w:kinsoku/>
        <w:wordWrap/>
        <w:overflowPunct/>
        <w:topLinePunct w:val="0"/>
        <w:autoSpaceDE/>
        <w:autoSpaceDN/>
        <w:bidi w:val="0"/>
        <w:adjustRightInd w:val="0"/>
        <w:snapToGrid w:val="0"/>
        <w:spacing w:line="640" w:lineRule="exact"/>
        <w:ind w:left="420" w:leftChars="200" w:firstLine="0" w:firstLineChars="0"/>
        <w:textAlignment w:val="auto"/>
        <w:rPr>
          <w:rFonts w:hint="eastAsia" w:ascii="楷体" w:hAnsi="楷体" w:eastAsia="楷体" w:cs="楷体"/>
          <w:b/>
          <w:bCs/>
          <w:sz w:val="32"/>
          <w:szCs w:val="32"/>
          <w:lang w:val="en-US" w:eastAsia="zh-CN"/>
        </w:rPr>
      </w:pPr>
      <w:r>
        <w:rPr>
          <w:rFonts w:hint="eastAsia" w:ascii="黑体" w:hAnsi="黑体" w:eastAsia="黑体" w:cs="黑体"/>
          <w:b w:val="0"/>
          <w:bCs w:val="0"/>
          <w:sz w:val="32"/>
          <w:szCs w:val="32"/>
          <w:lang w:eastAsia="zh-CN"/>
        </w:rPr>
        <w:t>三、项目资金使用及管理情况</w:t>
      </w:r>
      <w:r>
        <w:rPr>
          <w:rFonts w:hint="eastAsia" w:ascii="黑体" w:hAnsi="黑体" w:eastAsia="黑体" w:cs="黑体"/>
          <w:b w:val="0"/>
          <w:bCs w:val="0"/>
          <w:sz w:val="32"/>
          <w:szCs w:val="32"/>
          <w:lang w:eastAsia="zh-CN"/>
        </w:rPr>
        <w:br w:type="textWrapping"/>
      </w:r>
      <w:r>
        <w:rPr>
          <w:rFonts w:hint="eastAsia" w:ascii="楷体" w:hAnsi="楷体" w:eastAsia="楷体" w:cs="楷体"/>
          <w:b/>
          <w:bCs/>
          <w:sz w:val="32"/>
          <w:szCs w:val="32"/>
          <w:lang w:val="en-US" w:eastAsia="zh-CN"/>
        </w:rPr>
        <w:t>（一）项目资金到位情况分析</w:t>
      </w:r>
    </w:p>
    <w:p w14:paraId="4F35876A">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2023年初船山区财政局</w:t>
      </w:r>
      <w:r>
        <w:rPr>
          <w:rFonts w:hint="eastAsia" w:ascii="仿宋" w:hAnsi="仿宋" w:eastAsia="仿宋" w:cs="仿宋"/>
          <w:sz w:val="32"/>
          <w:szCs w:val="32"/>
        </w:rPr>
        <w:t>批复部门预算</w:t>
      </w:r>
      <w:r>
        <w:rPr>
          <w:rFonts w:hint="eastAsia" w:ascii="仿宋" w:hAnsi="仿宋" w:eastAsia="仿宋" w:cs="仿宋"/>
          <w:sz w:val="32"/>
          <w:szCs w:val="32"/>
          <w:lang w:val="en-US" w:eastAsia="zh-CN"/>
        </w:rPr>
        <w:t>“两癌”保险补助163900元和“两癌”贫困妇女救助28000元</w:t>
      </w:r>
      <w:r>
        <w:rPr>
          <w:rFonts w:hint="eastAsia" w:ascii="仿宋" w:hAnsi="仿宋" w:eastAsia="仿宋" w:cs="仿宋"/>
          <w:sz w:val="32"/>
          <w:szCs w:val="32"/>
        </w:rPr>
        <w:t>。</w:t>
      </w:r>
    </w:p>
    <w:p w14:paraId="1CCEC082">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（二）项目资金实际使用情况分析</w:t>
      </w:r>
      <w:r>
        <w:rPr>
          <w:rFonts w:hint="eastAsia" w:ascii="楷体" w:hAnsi="楷体" w:eastAsia="楷体" w:cs="楷体"/>
          <w:b/>
          <w:bCs/>
          <w:sz w:val="32"/>
          <w:szCs w:val="32"/>
          <w:lang w:val="en-US" w:eastAsia="zh-CN"/>
        </w:rPr>
        <w:br w:type="textWrapping"/>
      </w:r>
      <w:r>
        <w:rPr>
          <w:rFonts w:hint="eastAsia" w:ascii="仿宋" w:hAnsi="仿宋" w:eastAsia="仿宋" w:cs="仿宋"/>
          <w:sz w:val="32"/>
          <w:szCs w:val="32"/>
          <w:lang w:val="en-US" w:eastAsia="zh-CN"/>
        </w:rPr>
        <w:t xml:space="preserve">    2023</w:t>
      </w:r>
      <w:r>
        <w:rPr>
          <w:rFonts w:hint="eastAsia" w:ascii="仿宋" w:hAnsi="仿宋" w:eastAsia="仿宋" w:cs="仿宋"/>
          <w:sz w:val="32"/>
          <w:szCs w:val="32"/>
        </w:rPr>
        <w:t>年</w:t>
      </w:r>
      <w:r>
        <w:rPr>
          <w:rFonts w:hint="eastAsia" w:ascii="仿宋" w:hAnsi="仿宋" w:eastAsia="仿宋" w:cs="仿宋"/>
          <w:sz w:val="32"/>
          <w:szCs w:val="32"/>
          <w:lang w:eastAsia="zh-CN"/>
        </w:rPr>
        <w:t>“两癌”患病妇女资金实际到账</w:t>
      </w:r>
      <w:r>
        <w:rPr>
          <w:rFonts w:hint="eastAsia" w:ascii="仿宋" w:hAnsi="仿宋" w:eastAsia="仿宋" w:cs="仿宋"/>
          <w:sz w:val="32"/>
          <w:szCs w:val="32"/>
          <w:lang w:val="en-US" w:eastAsia="zh-CN"/>
        </w:rPr>
        <w:t>191900元、“两癌”保险补助</w:t>
      </w:r>
      <w:r>
        <w:rPr>
          <w:rFonts w:hint="eastAsia" w:ascii="仿宋" w:hAnsi="仿宋" w:eastAsia="仿宋" w:cs="仿宋"/>
          <w:sz w:val="32"/>
          <w:szCs w:val="32"/>
          <w:lang w:eastAsia="zh-CN"/>
        </w:rPr>
        <w:t>实际到账</w:t>
      </w:r>
      <w:r>
        <w:rPr>
          <w:rFonts w:hint="eastAsia" w:ascii="仿宋" w:hAnsi="仿宋" w:eastAsia="仿宋" w:cs="仿宋"/>
          <w:sz w:val="32"/>
          <w:szCs w:val="32"/>
          <w:lang w:val="en-US" w:eastAsia="zh-CN"/>
        </w:rPr>
        <w:t>163900元和“两癌”贫困妇女救助</w:t>
      </w:r>
      <w:r>
        <w:rPr>
          <w:rFonts w:hint="eastAsia" w:ascii="仿宋" w:hAnsi="仿宋" w:eastAsia="仿宋" w:cs="仿宋"/>
          <w:sz w:val="32"/>
          <w:szCs w:val="32"/>
          <w:lang w:eastAsia="zh-CN"/>
        </w:rPr>
        <w:t>实际到账</w:t>
      </w:r>
      <w:r>
        <w:rPr>
          <w:rFonts w:hint="eastAsia" w:ascii="仿宋" w:hAnsi="仿宋" w:eastAsia="仿宋" w:cs="仿宋"/>
          <w:sz w:val="32"/>
          <w:szCs w:val="32"/>
          <w:lang w:val="en-US" w:eastAsia="zh-CN"/>
        </w:rPr>
        <w:t>28000元</w:t>
      </w:r>
      <w:r>
        <w:rPr>
          <w:rFonts w:hint="eastAsia" w:ascii="仿宋" w:hAnsi="仿宋" w:eastAsia="仿宋" w:cs="仿宋"/>
          <w:sz w:val="32"/>
          <w:szCs w:val="32"/>
        </w:rPr>
        <w:t>。</w:t>
      </w:r>
    </w:p>
    <w:p w14:paraId="3367A059">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（三）项目资金管理情况分析</w:t>
      </w:r>
      <w:r>
        <w:rPr>
          <w:rFonts w:hint="eastAsia" w:ascii="楷体" w:hAnsi="楷体" w:eastAsia="楷体" w:cs="楷体"/>
          <w:b/>
          <w:bCs/>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专项资金均按计划拨付、使用，无虚列项目支出情况，无超标准开支情况。资金管理制度健全，项目资料齐全，有申报表及申报依据、预算明细表、专项支出预算绩效目标表、收付款原始凭证、活动总结及汇报材料等。</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lang w:eastAsia="zh-CN"/>
        </w:rPr>
        <w:t>四、项目组织实施情况</w:t>
      </w:r>
      <w:r>
        <w:rPr>
          <w:rFonts w:hint="eastAsia" w:ascii="黑体" w:hAnsi="黑体" w:eastAsia="黑体" w:cs="黑体"/>
          <w:b w:val="0"/>
          <w:bCs w:val="0"/>
          <w:sz w:val="32"/>
          <w:szCs w:val="32"/>
          <w:lang w:eastAsia="zh-CN"/>
        </w:rPr>
        <w:br w:type="textWrapping"/>
      </w:r>
      <w:r>
        <w:rPr>
          <w:rFonts w:hint="eastAsia" w:ascii="楷体" w:hAnsi="楷体" w:eastAsia="楷体" w:cs="楷体"/>
          <w:b/>
          <w:bCs/>
          <w:sz w:val="32"/>
          <w:szCs w:val="32"/>
          <w:lang w:val="en-US" w:eastAsia="zh-CN"/>
        </w:rPr>
        <w:t xml:space="preserve">  （一）项目组织情况分析</w:t>
      </w:r>
    </w:p>
    <w:p w14:paraId="3CA6E2DC">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楷体" w:hAnsi="楷体" w:eastAsia="楷体" w:cs="楷体"/>
          <w:b/>
          <w:bCs/>
          <w:sz w:val="32"/>
          <w:szCs w:val="32"/>
          <w:lang w:val="en-US" w:eastAsia="zh-CN"/>
        </w:rPr>
      </w:pPr>
      <w:r>
        <w:rPr>
          <w:rFonts w:hint="eastAsia" w:ascii="仿宋" w:hAnsi="仿宋" w:eastAsia="仿宋" w:cs="仿宋"/>
          <w:sz w:val="32"/>
          <w:szCs w:val="32"/>
        </w:rPr>
        <w:t>建立健全</w:t>
      </w:r>
      <w:r>
        <w:rPr>
          <w:rFonts w:hint="eastAsia" w:ascii="仿宋" w:hAnsi="仿宋" w:eastAsia="仿宋" w:cs="仿宋"/>
          <w:sz w:val="32"/>
          <w:szCs w:val="32"/>
          <w:lang w:eastAsia="zh-CN"/>
        </w:rPr>
        <w:t>“两癌”经费</w:t>
      </w:r>
      <w:r>
        <w:rPr>
          <w:rFonts w:hint="eastAsia" w:ascii="仿宋" w:hAnsi="仿宋" w:eastAsia="仿宋" w:cs="仿宋"/>
          <w:sz w:val="32"/>
          <w:szCs w:val="32"/>
        </w:rPr>
        <w:t>管理的机构和人员，做到分工明确。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br w:type="textWrapping"/>
      </w:r>
      <w:r>
        <w:rPr>
          <w:rFonts w:hint="eastAsia" w:ascii="楷体" w:hAnsi="楷体" w:eastAsia="楷体" w:cs="楷体"/>
          <w:b/>
          <w:bCs/>
          <w:sz w:val="32"/>
          <w:szCs w:val="32"/>
          <w:lang w:val="en-US" w:eastAsia="zh-CN"/>
        </w:rPr>
        <w:t xml:space="preserve">  （二）项目管理情况分析</w:t>
      </w:r>
      <w:r>
        <w:rPr>
          <w:rFonts w:hint="eastAsia" w:ascii="楷体" w:hAnsi="楷体" w:eastAsia="楷体" w:cs="楷体"/>
          <w:b/>
          <w:bCs/>
          <w:sz w:val="32"/>
          <w:szCs w:val="32"/>
          <w:lang w:val="en-US" w:eastAsia="zh-CN"/>
        </w:rPr>
        <w:br w:type="textWrapping"/>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建立健全</w:t>
      </w:r>
      <w:r>
        <w:rPr>
          <w:rFonts w:hint="eastAsia" w:ascii="仿宋" w:hAnsi="仿宋" w:eastAsia="仿宋" w:cs="仿宋"/>
          <w:sz w:val="32"/>
          <w:szCs w:val="32"/>
          <w:lang w:eastAsia="zh-CN"/>
        </w:rPr>
        <w:t>“两癌”经费</w:t>
      </w:r>
      <w:r>
        <w:rPr>
          <w:rFonts w:hint="eastAsia" w:ascii="仿宋" w:hAnsi="仿宋" w:eastAsia="仿宋" w:cs="仿宋"/>
          <w:sz w:val="32"/>
          <w:szCs w:val="32"/>
        </w:rPr>
        <w:t>管理制度，严格执行相关管理制度，相关资料齐全并及时归档。</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lang w:eastAsia="zh-CN"/>
        </w:rPr>
        <w:t>五、项目绩效情况</w:t>
      </w:r>
      <w:r>
        <w:rPr>
          <w:rFonts w:hint="eastAsia" w:ascii="黑体" w:hAnsi="黑体" w:eastAsia="黑体" w:cs="黑体"/>
          <w:b w:val="0"/>
          <w:bCs w:val="0"/>
          <w:sz w:val="32"/>
          <w:szCs w:val="32"/>
          <w:lang w:eastAsia="zh-CN"/>
        </w:rPr>
        <w:br w:type="textWrapping"/>
      </w:r>
      <w:r>
        <w:rPr>
          <w:rFonts w:hint="eastAsia" w:ascii="楷体" w:hAnsi="楷体" w:eastAsia="楷体" w:cs="楷体"/>
          <w:b/>
          <w:bCs/>
          <w:sz w:val="32"/>
          <w:szCs w:val="32"/>
          <w:lang w:val="en-US" w:eastAsia="zh-CN"/>
        </w:rPr>
        <w:t xml:space="preserve">   （一）项目经济性分析</w:t>
      </w:r>
    </w:p>
    <w:p w14:paraId="2BF2F335">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黑体" w:hAnsi="黑体" w:eastAsia="黑体" w:cs="黑体"/>
          <w:b w:val="0"/>
          <w:bCs w:val="0"/>
          <w:sz w:val="32"/>
          <w:szCs w:val="32"/>
          <w:lang w:eastAsia="zh-CN"/>
        </w:rPr>
      </w:pPr>
      <w:r>
        <w:rPr>
          <w:rFonts w:hint="eastAsia" w:ascii="仿宋" w:hAnsi="仿宋" w:eastAsia="仿宋" w:cs="仿宋"/>
          <w:sz w:val="32"/>
          <w:szCs w:val="32"/>
        </w:rPr>
        <w:t>项目成本（预算）控制情况：</w:t>
      </w:r>
      <w:r>
        <w:rPr>
          <w:rFonts w:hint="eastAsia" w:ascii="仿宋" w:hAnsi="仿宋" w:eastAsia="仿宋" w:cs="仿宋"/>
          <w:sz w:val="32"/>
          <w:szCs w:val="32"/>
          <w:lang w:val="en-US" w:eastAsia="zh-CN"/>
        </w:rPr>
        <w:t>2023</w:t>
      </w:r>
      <w:r>
        <w:rPr>
          <w:rFonts w:hint="eastAsia" w:ascii="仿宋" w:hAnsi="仿宋" w:eastAsia="仿宋" w:cs="仿宋"/>
          <w:sz w:val="32"/>
          <w:szCs w:val="32"/>
        </w:rPr>
        <w:t>年</w:t>
      </w:r>
      <w:r>
        <w:rPr>
          <w:rFonts w:hint="eastAsia" w:ascii="仿宋" w:hAnsi="仿宋" w:eastAsia="仿宋" w:cs="仿宋"/>
          <w:sz w:val="32"/>
          <w:szCs w:val="32"/>
          <w:lang w:eastAsia="zh-CN"/>
        </w:rPr>
        <w:t>“两癌”患病妇女资金</w:t>
      </w:r>
      <w:r>
        <w:rPr>
          <w:rFonts w:hint="eastAsia" w:ascii="仿宋" w:hAnsi="仿宋" w:eastAsia="仿宋" w:cs="仿宋"/>
          <w:sz w:val="32"/>
          <w:szCs w:val="32"/>
          <w:lang w:val="en-US" w:eastAsia="zh-CN"/>
        </w:rPr>
        <w:t>191900元、“两癌”保险补助163900元和“两癌”贫困妇女救助28000元</w:t>
      </w:r>
      <w:r>
        <w:rPr>
          <w:rFonts w:hint="eastAsia" w:ascii="仿宋" w:hAnsi="仿宋" w:eastAsia="仿宋" w:cs="仿宋"/>
          <w:sz w:val="32"/>
          <w:szCs w:val="32"/>
        </w:rPr>
        <w:t>。实际支出</w:t>
      </w:r>
      <w:r>
        <w:rPr>
          <w:rFonts w:hint="eastAsia" w:ascii="仿宋" w:hAnsi="仿宋" w:eastAsia="仿宋" w:cs="仿宋"/>
          <w:sz w:val="32"/>
          <w:szCs w:val="32"/>
          <w:lang w:eastAsia="zh-CN"/>
        </w:rPr>
        <w:t>“两癌”患病妇女资金</w:t>
      </w:r>
      <w:r>
        <w:rPr>
          <w:rFonts w:hint="eastAsia" w:ascii="仿宋" w:hAnsi="仿宋" w:eastAsia="仿宋" w:cs="仿宋"/>
          <w:sz w:val="32"/>
          <w:szCs w:val="32"/>
          <w:lang w:val="en-US" w:eastAsia="zh-CN"/>
        </w:rPr>
        <w:t>191900元、“两癌”保险补助163900元和“两癌”贫困妇女救助28000元</w:t>
      </w:r>
      <w:r>
        <w:rPr>
          <w:rFonts w:hint="eastAsia" w:ascii="仿宋" w:hAnsi="仿宋" w:eastAsia="仿宋" w:cs="仿宋"/>
          <w:sz w:val="32"/>
          <w:szCs w:val="32"/>
        </w:rPr>
        <w:t>。</w:t>
      </w:r>
      <w:r>
        <w:rPr>
          <w:rFonts w:hint="eastAsia" w:ascii="仿宋" w:hAnsi="仿宋" w:eastAsia="仿宋" w:cs="仿宋"/>
          <w:sz w:val="32"/>
          <w:szCs w:val="32"/>
        </w:rPr>
        <w:br w:type="textWrapping"/>
      </w:r>
      <w:r>
        <w:rPr>
          <w:rFonts w:hint="eastAsia" w:ascii="楷体" w:hAnsi="楷体" w:eastAsia="楷体" w:cs="楷体"/>
          <w:b/>
          <w:bCs/>
          <w:sz w:val="32"/>
          <w:szCs w:val="32"/>
          <w:lang w:val="en-US" w:eastAsia="zh-CN"/>
        </w:rPr>
        <w:t xml:space="preserve">   （二）项目效率性分析</w:t>
      </w:r>
      <w:r>
        <w:rPr>
          <w:rFonts w:hint="eastAsia" w:ascii="楷体" w:hAnsi="楷体" w:eastAsia="楷体" w:cs="楷体"/>
          <w:b/>
          <w:bCs/>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1.项目的实施进度。项目实施进度在</w:t>
      </w:r>
      <w:r>
        <w:rPr>
          <w:rFonts w:hint="eastAsia" w:ascii="仿宋" w:hAnsi="仿宋" w:eastAsia="仿宋" w:cs="仿宋"/>
          <w:sz w:val="32"/>
          <w:szCs w:val="32"/>
          <w:lang w:val="en-US" w:eastAsia="zh-CN"/>
        </w:rPr>
        <w:t>2023</w:t>
      </w:r>
      <w:r>
        <w:rPr>
          <w:rFonts w:hint="eastAsia" w:ascii="仿宋" w:hAnsi="仿宋" w:eastAsia="仿宋" w:cs="仿宋"/>
          <w:sz w:val="32"/>
          <w:szCs w:val="32"/>
        </w:rPr>
        <w:t>年底全面完成。</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2.项目完成质量。项目实施及效果跟踪管理、项目资金绩效管理的力度不断加大，较好地发挥了项目效益，保质保量完成了目标任务。</w:t>
      </w:r>
      <w:r>
        <w:rPr>
          <w:rFonts w:hint="eastAsia" w:ascii="仿宋" w:hAnsi="仿宋" w:eastAsia="仿宋" w:cs="仿宋"/>
          <w:sz w:val="32"/>
          <w:szCs w:val="32"/>
        </w:rPr>
        <w:br w:type="textWrapping"/>
      </w:r>
      <w:r>
        <w:rPr>
          <w:rFonts w:hint="eastAsia" w:ascii="楷体" w:hAnsi="楷体" w:eastAsia="楷体" w:cs="楷体"/>
          <w:b/>
          <w:bCs/>
          <w:sz w:val="32"/>
          <w:szCs w:val="32"/>
          <w:lang w:val="en-US" w:eastAsia="zh-CN"/>
        </w:rPr>
        <w:t xml:space="preserve">  （三）项目效益性分析</w:t>
      </w:r>
      <w:r>
        <w:rPr>
          <w:rFonts w:hint="eastAsia" w:ascii="楷体" w:hAnsi="楷体" w:eastAsia="楷体" w:cs="楷体"/>
          <w:b/>
          <w:bCs/>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1.项目预期目标完成程度。预期目标完成程度达到100%。</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2.项目实施对经济和社会的影响。妇联紧跟</w:t>
      </w:r>
      <w:r>
        <w:rPr>
          <w:rFonts w:hint="eastAsia" w:ascii="仿宋" w:hAnsi="仿宋" w:eastAsia="仿宋" w:cs="仿宋"/>
          <w:sz w:val="32"/>
          <w:szCs w:val="32"/>
          <w:lang w:eastAsia="zh-CN"/>
        </w:rPr>
        <w:t>区委</w:t>
      </w:r>
      <w:r>
        <w:rPr>
          <w:rFonts w:hint="eastAsia" w:ascii="仿宋" w:hAnsi="仿宋" w:eastAsia="仿宋" w:cs="仿宋"/>
          <w:sz w:val="32"/>
          <w:szCs w:val="32"/>
        </w:rPr>
        <w:t>、</w:t>
      </w:r>
      <w:r>
        <w:rPr>
          <w:rFonts w:hint="eastAsia" w:ascii="仿宋" w:hAnsi="仿宋" w:eastAsia="仿宋" w:cs="仿宋"/>
          <w:sz w:val="32"/>
          <w:szCs w:val="32"/>
          <w:lang w:eastAsia="zh-CN"/>
        </w:rPr>
        <w:t>区政府</w:t>
      </w:r>
      <w:r>
        <w:rPr>
          <w:rFonts w:hint="eastAsia" w:ascii="仿宋" w:hAnsi="仿宋" w:eastAsia="仿宋" w:cs="仿宋"/>
          <w:sz w:val="32"/>
          <w:szCs w:val="32"/>
        </w:rPr>
        <w:t>步伐，履行职责，服务大局、服务</w:t>
      </w:r>
      <w:r>
        <w:rPr>
          <w:rFonts w:hint="eastAsia" w:ascii="仿宋" w:hAnsi="仿宋" w:eastAsia="仿宋" w:cs="仿宋"/>
          <w:sz w:val="32"/>
          <w:szCs w:val="32"/>
          <w:lang w:eastAsia="zh-CN"/>
        </w:rPr>
        <w:t>全区</w:t>
      </w:r>
      <w:r>
        <w:rPr>
          <w:rFonts w:hint="eastAsia" w:ascii="仿宋" w:hAnsi="仿宋" w:eastAsia="仿宋" w:cs="仿宋"/>
          <w:sz w:val="32"/>
          <w:szCs w:val="32"/>
        </w:rPr>
        <w:t>妇女儿童，使各项工作实现历史新跨越。</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lang w:eastAsia="zh-CN"/>
        </w:rPr>
        <w:t>六、存在的问题</w:t>
      </w:r>
    </w:p>
    <w:p w14:paraId="4753A4C9">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支出科目设置不够细化，不能完整反映</w:t>
      </w:r>
      <w:r>
        <w:rPr>
          <w:rFonts w:hint="eastAsia" w:ascii="仿宋" w:hAnsi="仿宋" w:eastAsia="仿宋" w:cs="仿宋"/>
          <w:sz w:val="32"/>
          <w:szCs w:val="32"/>
          <w:lang w:eastAsia="zh-CN"/>
        </w:rPr>
        <w:t>项目</w:t>
      </w:r>
      <w:r>
        <w:rPr>
          <w:rFonts w:hint="eastAsia" w:ascii="仿宋" w:hAnsi="仿宋" w:eastAsia="仿宋" w:cs="仿宋"/>
          <w:sz w:val="32"/>
          <w:szCs w:val="32"/>
        </w:rPr>
        <w:t>资金使用情况。</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lang w:eastAsia="zh-CN"/>
        </w:rPr>
        <w:t>七、改进措施和有关建议</w:t>
      </w:r>
      <w:r>
        <w:rPr>
          <w:rFonts w:hint="eastAsia" w:ascii="仿宋" w:hAnsi="仿宋" w:eastAsia="仿宋" w:cs="仿宋"/>
          <w:sz w:val="32"/>
          <w:szCs w:val="32"/>
          <w:lang w:val="en-US" w:eastAsia="zh-CN"/>
        </w:rPr>
        <w:t xml:space="preserve">    </w:t>
      </w:r>
    </w:p>
    <w:p w14:paraId="6CA3677B">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规范账务处理，提高财务信息质量。严格按照《会计法》、《行政单位会计制度》、《行政单位财务规则》等规定，结合实际情况，科学设置支出科目，规范财务核算，完整反映相关信息</w:t>
      </w:r>
      <w:r>
        <w:rPr>
          <w:rFonts w:hint="eastAsia" w:ascii="仿宋" w:hAnsi="仿宋" w:eastAsia="仿宋" w:cs="仿宋"/>
          <w:sz w:val="32"/>
          <w:szCs w:val="32"/>
          <w:lang w:eastAsia="zh-CN"/>
        </w:rPr>
        <w:t>。</w:t>
      </w:r>
    </w:p>
    <w:p w14:paraId="78E94608">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yellow"/>
          <w:lang w:val="zh-CN" w:eastAsia="zh-CN"/>
        </w:rPr>
        <w:sectPr>
          <w:pgSz w:w="11906" w:h="16838"/>
          <w:pgMar w:top="1440" w:right="1800" w:bottom="1440" w:left="1800" w:header="851" w:footer="992" w:gutter="0"/>
          <w:pgNumType w:fmt="decimal"/>
          <w:cols w:space="425" w:num="1"/>
          <w:titlePg/>
          <w:docGrid w:type="lines" w:linePitch="312" w:charSpace="0"/>
        </w:sectPr>
      </w:pPr>
    </w:p>
    <w:p w14:paraId="57715AEA">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yellow"/>
          <w:lang w:val="zh-CN" w:eastAsia="zh-CN"/>
        </w:rPr>
      </w:pPr>
    </w:p>
    <w:tbl>
      <w:tblPr>
        <w:tblStyle w:val="16"/>
        <w:tblW w:w="14115" w:type="dxa"/>
        <w:tblInd w:w="0" w:type="dxa"/>
        <w:shd w:val="clear" w:color="auto" w:fill="auto"/>
        <w:tblLayout w:type="fixed"/>
        <w:tblCellMar>
          <w:top w:w="0" w:type="dxa"/>
          <w:left w:w="0" w:type="dxa"/>
          <w:bottom w:w="0" w:type="dxa"/>
          <w:right w:w="0" w:type="dxa"/>
        </w:tblCellMar>
      </w:tblPr>
      <w:tblGrid>
        <w:gridCol w:w="690"/>
        <w:gridCol w:w="2055"/>
        <w:gridCol w:w="1770"/>
        <w:gridCol w:w="2265"/>
        <w:gridCol w:w="525"/>
        <w:gridCol w:w="1680"/>
        <w:gridCol w:w="525"/>
        <w:gridCol w:w="1095"/>
        <w:gridCol w:w="510"/>
        <w:gridCol w:w="450"/>
        <w:gridCol w:w="2550"/>
      </w:tblGrid>
      <w:tr w14:paraId="474862EE">
        <w:tblPrEx>
          <w:tblCellMar>
            <w:top w:w="0" w:type="dxa"/>
            <w:left w:w="0" w:type="dxa"/>
            <w:bottom w:w="0" w:type="dxa"/>
            <w:right w:w="0"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BD20D">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39A6AFBC">
        <w:tblPrEx>
          <w:shd w:val="clear" w:color="auto" w:fill="auto"/>
          <w:tblCellMar>
            <w:top w:w="0" w:type="dxa"/>
            <w:left w:w="0" w:type="dxa"/>
            <w:bottom w:w="0" w:type="dxa"/>
            <w:right w:w="0"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99C2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066A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51090322T000000362442-妇女保障经费</w:t>
            </w:r>
          </w:p>
        </w:tc>
      </w:tr>
      <w:tr w14:paraId="13AA0D6E">
        <w:tblPrEx>
          <w:tblCellMar>
            <w:top w:w="0" w:type="dxa"/>
            <w:left w:w="0" w:type="dxa"/>
            <w:bottom w:w="0" w:type="dxa"/>
            <w:right w:w="0"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A628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A7C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四川省遂宁市船山区妇女联合会部门</w:t>
            </w:r>
          </w:p>
        </w:tc>
        <w:tc>
          <w:tcPr>
            <w:tcW w:w="1095" w:type="dxa"/>
            <w:tcBorders>
              <w:top w:val="nil"/>
              <w:left w:val="nil"/>
              <w:bottom w:val="nil"/>
              <w:right w:val="nil"/>
            </w:tcBorders>
            <w:shd w:val="clear" w:color="auto" w:fill="auto"/>
            <w:tcMar>
              <w:top w:w="15" w:type="dxa"/>
              <w:left w:w="15" w:type="dxa"/>
              <w:right w:w="15" w:type="dxa"/>
            </w:tcMar>
            <w:vAlign w:val="center"/>
          </w:tcPr>
          <w:p w14:paraId="64CFF595">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05B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w:t>
            </w:r>
          </w:p>
        </w:tc>
      </w:tr>
      <w:tr w14:paraId="42C8E101">
        <w:tblPrEx>
          <w:tblCellMar>
            <w:top w:w="0" w:type="dxa"/>
            <w:left w:w="0" w:type="dxa"/>
            <w:bottom w:w="0" w:type="dxa"/>
            <w:right w:w="0"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A68A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401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38A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BB7A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39D90B8">
        <w:tblPrEx>
          <w:tblCellMar>
            <w:top w:w="0" w:type="dxa"/>
            <w:left w:w="0" w:type="dxa"/>
            <w:bottom w:w="0" w:type="dxa"/>
            <w:right w:w="0"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F124A">
            <w:pP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3EE7C">
            <w:pPr>
              <w:rPr>
                <w:rFonts w:hint="eastAsia" w:ascii="宋体" w:hAnsi="宋体" w:eastAsia="宋体" w:cs="宋体"/>
                <w:i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ECD3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服务全区妇女儿童发展，提升妇女思想素质能力，保障妇女儿童合法权益</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0EAB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该项目实施可以加强我会对全区妇女事业发展、家庭活动宣传、妇女维权工作的掌握，提高全区妇女素质产生积极促进作用。培训妇女就业5场次，慰问留守儿童、困难妇女5次；</w:t>
            </w:r>
          </w:p>
        </w:tc>
      </w:tr>
      <w:tr w14:paraId="16F85931">
        <w:tblPrEx>
          <w:tblCellMar>
            <w:top w:w="0" w:type="dxa"/>
            <w:left w:w="0" w:type="dxa"/>
            <w:bottom w:w="0" w:type="dxa"/>
            <w:right w:w="0"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90C93">
            <w:pP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7F5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61132">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妇女保障经费主要用于团结凝聚各级妇联干部队伍，加大妇女培训力度，广泛为基层妇女和家庭开展服务,妇女事业发展专项工作；妇女事业发展之“家庭教育”宣传活动；妇女事业发展之“妇女维权”宣传活动；助力扶贫攻坚；婚姻调解工作。</w:t>
            </w:r>
          </w:p>
        </w:tc>
      </w:tr>
      <w:tr w14:paraId="4D723691">
        <w:tblPrEx>
          <w:tblCellMar>
            <w:top w:w="0" w:type="dxa"/>
            <w:left w:w="0" w:type="dxa"/>
            <w:bottom w:w="0" w:type="dxa"/>
            <w:right w:w="0"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86F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A05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D12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FC8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57C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F8D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F4D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12C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BA2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C927FF1">
        <w:tblPrEx>
          <w:tblCellMar>
            <w:top w:w="0" w:type="dxa"/>
            <w:left w:w="0" w:type="dxa"/>
            <w:bottom w:w="0" w:type="dxa"/>
            <w:right w:w="0"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B0A54">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DEC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EAD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E9A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4A8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85A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3E4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5FDBC">
            <w:pPr>
              <w:jc w:val="center"/>
              <w:rPr>
                <w:rFonts w:hint="eastAsia" w:ascii="宋体" w:hAnsi="宋体" w:eastAsia="宋体" w:cs="宋体"/>
                <w:i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F3CE6">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21C563">
        <w:tblPrEx>
          <w:tblCellMar>
            <w:top w:w="0" w:type="dxa"/>
            <w:left w:w="0" w:type="dxa"/>
            <w:bottom w:w="0" w:type="dxa"/>
            <w:right w:w="0"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2FC9B">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886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D25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A39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456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2DB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262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BB6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153F2">
            <w:pPr>
              <w:rPr>
                <w:rFonts w:hint="eastAsia" w:ascii="黑体" w:hAnsi="黑体" w:eastAsia="黑体" w:cs="黑体"/>
                <w:i/>
                <w:color w:val="000000"/>
                <w:sz w:val="18"/>
                <w:szCs w:val="18"/>
                <w:u w:val="none"/>
              </w:rPr>
            </w:pPr>
          </w:p>
        </w:tc>
      </w:tr>
      <w:tr w14:paraId="61C02C4D">
        <w:tblPrEx>
          <w:tblCellMar>
            <w:top w:w="0" w:type="dxa"/>
            <w:left w:w="0" w:type="dxa"/>
            <w:bottom w:w="0" w:type="dxa"/>
            <w:right w:w="0"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19269">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716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558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F17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679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3ED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E24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442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F7904">
            <w:pPr>
              <w:rPr>
                <w:rFonts w:hint="eastAsia" w:ascii="黑体" w:hAnsi="黑体" w:eastAsia="黑体" w:cs="黑体"/>
                <w:i/>
                <w:color w:val="000000"/>
                <w:sz w:val="18"/>
                <w:szCs w:val="18"/>
                <w:u w:val="none"/>
              </w:rPr>
            </w:pPr>
          </w:p>
        </w:tc>
      </w:tr>
      <w:tr w14:paraId="6E86810A">
        <w:tblPrEx>
          <w:shd w:val="clear" w:color="auto" w:fill="auto"/>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09A82">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CEC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629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23F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20B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5A6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FC9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BB4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10824">
            <w:pPr>
              <w:rPr>
                <w:rFonts w:hint="eastAsia" w:ascii="黑体" w:hAnsi="黑体" w:eastAsia="黑体" w:cs="黑体"/>
                <w:i/>
                <w:color w:val="000000"/>
                <w:sz w:val="18"/>
                <w:szCs w:val="18"/>
                <w:u w:val="none"/>
              </w:rPr>
            </w:pPr>
          </w:p>
        </w:tc>
      </w:tr>
      <w:tr w14:paraId="2740FB12">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8C725">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957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58724">
            <w:pPr>
              <w:jc w:val="center"/>
              <w:rPr>
                <w:rFonts w:hint="eastAsia" w:ascii="微软雅黑" w:hAnsi="微软雅黑" w:eastAsia="微软雅黑" w:cs="微软雅黑"/>
                <w:i/>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25304">
            <w:pPr>
              <w:jc w:val="center"/>
              <w:rPr>
                <w:rFonts w:hint="eastAsia" w:ascii="微软雅黑" w:hAnsi="微软雅黑" w:eastAsia="微软雅黑" w:cs="微软雅黑"/>
                <w:i/>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BF781">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EE49A">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9F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616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2AECF">
            <w:pPr>
              <w:rPr>
                <w:rFonts w:hint="eastAsia" w:ascii="黑体" w:hAnsi="黑体" w:eastAsia="黑体" w:cs="黑体"/>
                <w:i/>
                <w:color w:val="000000"/>
                <w:sz w:val="18"/>
                <w:szCs w:val="18"/>
                <w:u w:val="none"/>
              </w:rPr>
            </w:pPr>
          </w:p>
        </w:tc>
      </w:tr>
      <w:tr w14:paraId="7F692555">
        <w:tblPrEx>
          <w:tblCellMar>
            <w:top w:w="0" w:type="dxa"/>
            <w:left w:w="0" w:type="dxa"/>
            <w:bottom w:w="0" w:type="dxa"/>
            <w:right w:w="0"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B15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A01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9A3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855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730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A1F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18A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DB1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52C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198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4FA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AA09783">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64FF9">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C62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692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7C8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职工出差人次</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E13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B3A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4C3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2F34C">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BA5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DED37">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8C4BD">
            <w:pPr>
              <w:jc w:val="center"/>
              <w:rPr>
                <w:rFonts w:hint="eastAsia" w:ascii="微软雅黑" w:hAnsi="微软雅黑" w:eastAsia="微软雅黑" w:cs="微软雅黑"/>
                <w:i/>
                <w:color w:val="000000"/>
                <w:sz w:val="16"/>
                <w:szCs w:val="16"/>
                <w:u w:val="none"/>
              </w:rPr>
            </w:pPr>
          </w:p>
        </w:tc>
      </w:tr>
      <w:tr w14:paraId="1E2CE96E">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617D5">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7EA2B">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B63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9D6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提升妇女素质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81B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7E6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87C42">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99412">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98A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95E15">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84D9F">
            <w:pPr>
              <w:jc w:val="center"/>
              <w:rPr>
                <w:rFonts w:hint="eastAsia" w:ascii="微软雅黑" w:hAnsi="微软雅黑" w:eastAsia="微软雅黑" w:cs="微软雅黑"/>
                <w:i/>
                <w:color w:val="000000"/>
                <w:sz w:val="16"/>
                <w:szCs w:val="16"/>
                <w:u w:val="none"/>
              </w:rPr>
            </w:pPr>
          </w:p>
        </w:tc>
      </w:tr>
      <w:tr w14:paraId="49BFFED9">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5EC60">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7C2DA">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BF8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3F4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资金拨付及时率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3FE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C29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7EA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E0D42">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FFD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D4EF2">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0D3EC">
            <w:pPr>
              <w:jc w:val="center"/>
              <w:rPr>
                <w:rFonts w:hint="eastAsia" w:ascii="微软雅黑" w:hAnsi="微软雅黑" w:eastAsia="微软雅黑" w:cs="微软雅黑"/>
                <w:i/>
                <w:color w:val="000000"/>
                <w:sz w:val="16"/>
                <w:szCs w:val="16"/>
                <w:u w:val="none"/>
              </w:rPr>
            </w:pPr>
          </w:p>
        </w:tc>
      </w:tr>
      <w:tr w14:paraId="0139B36C">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902B9">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8B9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098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1FF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维护妇女儿童权益</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22D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1D6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492E0">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E088C">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9AB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50411">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C65F9">
            <w:pPr>
              <w:jc w:val="center"/>
              <w:rPr>
                <w:rFonts w:hint="eastAsia" w:ascii="微软雅黑" w:hAnsi="微软雅黑" w:eastAsia="微软雅黑" w:cs="微软雅黑"/>
                <w:i/>
                <w:color w:val="000000"/>
                <w:sz w:val="16"/>
                <w:szCs w:val="16"/>
                <w:u w:val="none"/>
              </w:rPr>
            </w:pPr>
          </w:p>
        </w:tc>
      </w:tr>
      <w:tr w14:paraId="2DEA91E5">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D7B93">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87585">
            <w:pPr>
              <w:jc w:val="center"/>
              <w:rPr>
                <w:rFonts w:hint="eastAsia" w:ascii="宋体" w:hAnsi="宋体" w:eastAsia="宋体" w:cs="宋体"/>
                <w:i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96C08">
            <w:pPr>
              <w:jc w:val="center"/>
              <w:rPr>
                <w:rFonts w:hint="eastAsia" w:ascii="宋体" w:hAnsi="宋体" w:eastAsia="宋体" w:cs="宋体"/>
                <w:i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D5A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保障职工外出工作出勤率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AC8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097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214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0D2D1">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325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7699E">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3C960">
            <w:pPr>
              <w:jc w:val="center"/>
              <w:rPr>
                <w:rFonts w:hint="eastAsia" w:ascii="微软雅黑" w:hAnsi="微软雅黑" w:eastAsia="微软雅黑" w:cs="微软雅黑"/>
                <w:i/>
                <w:color w:val="000000"/>
                <w:sz w:val="16"/>
                <w:szCs w:val="16"/>
                <w:u w:val="none"/>
              </w:rPr>
            </w:pPr>
          </w:p>
        </w:tc>
      </w:tr>
      <w:tr w14:paraId="06232923">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8500F">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1DDE5">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848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A94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内控建设健全性</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442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15A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A76F6">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65614">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C22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79BB7">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92315">
            <w:pPr>
              <w:jc w:val="center"/>
              <w:rPr>
                <w:rFonts w:hint="eastAsia" w:ascii="微软雅黑" w:hAnsi="微软雅黑" w:eastAsia="微软雅黑" w:cs="微软雅黑"/>
                <w:i/>
                <w:color w:val="000000"/>
                <w:sz w:val="16"/>
                <w:szCs w:val="16"/>
                <w:u w:val="none"/>
              </w:rPr>
            </w:pPr>
          </w:p>
        </w:tc>
      </w:tr>
      <w:tr w14:paraId="651AEBD6">
        <w:tblPrEx>
          <w:tblCellMar>
            <w:top w:w="0" w:type="dxa"/>
            <w:left w:w="0" w:type="dxa"/>
            <w:bottom w:w="0" w:type="dxa"/>
            <w:right w:w="0"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E72F7">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A14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5FF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71A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职工对差旅保障满意度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D05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DB4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106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610E9">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35B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310C8">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07A5D">
            <w:pPr>
              <w:jc w:val="center"/>
              <w:rPr>
                <w:rFonts w:hint="eastAsia" w:ascii="微软雅黑" w:hAnsi="微软雅黑" w:eastAsia="微软雅黑" w:cs="微软雅黑"/>
                <w:i/>
                <w:color w:val="000000"/>
                <w:sz w:val="16"/>
                <w:szCs w:val="16"/>
                <w:u w:val="none"/>
              </w:rPr>
            </w:pPr>
          </w:p>
        </w:tc>
      </w:tr>
      <w:tr w14:paraId="47BA5454">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9FE6F">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637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BFC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BBC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资金使用数</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0DE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271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67E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57E82">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BAB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979E0">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604A6">
            <w:pPr>
              <w:jc w:val="center"/>
              <w:rPr>
                <w:rFonts w:hint="eastAsia" w:ascii="微软雅黑" w:hAnsi="微软雅黑" w:eastAsia="微软雅黑" w:cs="微软雅黑"/>
                <w:i/>
                <w:color w:val="000000"/>
                <w:sz w:val="16"/>
                <w:szCs w:val="16"/>
                <w:u w:val="none"/>
              </w:rPr>
            </w:pPr>
          </w:p>
        </w:tc>
      </w:tr>
      <w:tr w14:paraId="054D73FA">
        <w:tblPrEx>
          <w:tblCellMar>
            <w:top w:w="0" w:type="dxa"/>
            <w:left w:w="0" w:type="dxa"/>
            <w:bottom w:w="0" w:type="dxa"/>
            <w:right w:w="0"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390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5A6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5E60D">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E354A">
            <w:pPr>
              <w:rPr>
                <w:rFonts w:hint="eastAsia" w:ascii="宋体" w:hAnsi="宋体" w:eastAsia="宋体" w:cs="宋体"/>
                <w:i w:val="0"/>
                <w:color w:val="000000"/>
                <w:sz w:val="18"/>
                <w:szCs w:val="18"/>
                <w:u w:val="none"/>
              </w:rPr>
            </w:pPr>
          </w:p>
        </w:tc>
      </w:tr>
      <w:tr w14:paraId="2A8FB646">
        <w:tblPrEx>
          <w:tblCellMar>
            <w:top w:w="0" w:type="dxa"/>
            <w:left w:w="0" w:type="dxa"/>
            <w:bottom w:w="0" w:type="dxa"/>
            <w:right w:w="0"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E9B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9EC1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仿宋_GB2312"/>
                <w:sz w:val="32"/>
                <w:szCs w:val="32"/>
                <w:lang w:val="en-US" w:eastAsia="zh-CN"/>
              </w:rPr>
              <w:t xml:space="preserve"> </w:t>
            </w: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年度我单位预算项目安排较为合理，项目经费保障了我会日常工作的正常运转，项目经费做到了专款专用，资金使用效果较好，项目绩效自评得分97分</w:t>
            </w:r>
          </w:p>
        </w:tc>
      </w:tr>
      <w:tr w14:paraId="4A2DE3C2">
        <w:tblPrEx>
          <w:tblCellMar>
            <w:top w:w="0" w:type="dxa"/>
            <w:left w:w="0" w:type="dxa"/>
            <w:bottom w:w="0" w:type="dxa"/>
            <w:right w:w="0"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CA9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4D54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支出科目设置不够细化，不能完整反映项目资金使用情况</w:t>
            </w:r>
          </w:p>
        </w:tc>
      </w:tr>
      <w:tr w14:paraId="6C9AE586">
        <w:tblPrEx>
          <w:tblCellMar>
            <w:top w:w="0" w:type="dxa"/>
            <w:left w:w="0" w:type="dxa"/>
            <w:bottom w:w="0" w:type="dxa"/>
            <w:right w:w="0"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748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2FE5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规范账务处理，提高财务信息质量。严格按照《会计法》、《行政单位会计制度》、《行政单位财务规则》等规定，结合实际情况，科学设置支出科目，规范财务核算，完整反映相关信息。</w:t>
            </w:r>
          </w:p>
        </w:tc>
      </w:tr>
      <w:tr w14:paraId="1BEE894D">
        <w:tblPrEx>
          <w:tblCellMar>
            <w:top w:w="0" w:type="dxa"/>
            <w:left w:w="0" w:type="dxa"/>
            <w:bottom w:w="0" w:type="dxa"/>
            <w:right w:w="0"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3548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B3E7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758889B">
        <w:tblPrEx>
          <w:tblCellMar>
            <w:top w:w="0" w:type="dxa"/>
            <w:left w:w="0" w:type="dxa"/>
            <w:bottom w:w="0" w:type="dxa"/>
            <w:right w:w="0" w:type="dxa"/>
          </w:tblCellMar>
        </w:tblPrEx>
        <w:trPr>
          <w:trHeight w:val="322" w:hRule="atLeast"/>
        </w:trPr>
        <w:tc>
          <w:tcPr>
            <w:tcW w:w="690" w:type="dxa"/>
            <w:tcBorders>
              <w:top w:val="nil"/>
              <w:left w:val="nil"/>
              <w:bottom w:val="nil"/>
              <w:right w:val="nil"/>
            </w:tcBorders>
            <w:shd w:val="clear" w:color="auto" w:fill="auto"/>
            <w:tcMar>
              <w:top w:w="15" w:type="dxa"/>
              <w:left w:w="15" w:type="dxa"/>
              <w:right w:w="15" w:type="dxa"/>
            </w:tcMar>
            <w:vAlign w:val="center"/>
          </w:tcPr>
          <w:p w14:paraId="1D8D779C">
            <w:pPr>
              <w:rPr>
                <w:rFonts w:hint="eastAsia" w:ascii="宋体" w:hAnsi="宋体" w:eastAsia="宋体" w:cs="宋体"/>
                <w:i w:val="0"/>
                <w:color w:val="000000"/>
                <w:sz w:val="18"/>
                <w:szCs w:val="18"/>
                <w:u w:val="none"/>
              </w:rPr>
            </w:pPr>
          </w:p>
        </w:tc>
        <w:tc>
          <w:tcPr>
            <w:tcW w:w="2055" w:type="dxa"/>
            <w:tcBorders>
              <w:top w:val="nil"/>
              <w:left w:val="nil"/>
              <w:bottom w:val="nil"/>
              <w:right w:val="nil"/>
            </w:tcBorders>
            <w:shd w:val="clear" w:color="auto" w:fill="auto"/>
            <w:tcMar>
              <w:top w:w="15" w:type="dxa"/>
              <w:left w:w="15" w:type="dxa"/>
              <w:right w:w="15" w:type="dxa"/>
            </w:tcMar>
            <w:vAlign w:val="center"/>
          </w:tcPr>
          <w:p w14:paraId="547D0C23">
            <w:pPr>
              <w:rPr>
                <w:rFonts w:hint="eastAsia" w:ascii="宋体" w:hAnsi="宋体" w:eastAsia="宋体" w:cs="宋体"/>
                <w:i w:val="0"/>
                <w:color w:val="000000"/>
                <w:sz w:val="18"/>
                <w:szCs w:val="18"/>
                <w:u w:val="none"/>
              </w:rPr>
            </w:pPr>
          </w:p>
          <w:p w14:paraId="674FCB64">
            <w:pPr>
              <w:pStyle w:val="8"/>
              <w:rPr>
                <w:rFonts w:hint="eastAsia"/>
              </w:rPr>
            </w:pPr>
          </w:p>
        </w:tc>
        <w:tc>
          <w:tcPr>
            <w:tcW w:w="1770" w:type="dxa"/>
            <w:tcBorders>
              <w:top w:val="nil"/>
              <w:left w:val="nil"/>
              <w:bottom w:val="nil"/>
              <w:right w:val="nil"/>
            </w:tcBorders>
            <w:shd w:val="clear" w:color="auto" w:fill="auto"/>
            <w:tcMar>
              <w:top w:w="15" w:type="dxa"/>
              <w:left w:w="15" w:type="dxa"/>
              <w:right w:w="15" w:type="dxa"/>
            </w:tcMar>
            <w:vAlign w:val="center"/>
          </w:tcPr>
          <w:p w14:paraId="248F3934">
            <w:pPr>
              <w:rPr>
                <w:rFonts w:hint="eastAsia" w:ascii="宋体" w:hAnsi="宋体" w:eastAsia="宋体" w:cs="宋体"/>
                <w:i w:val="0"/>
                <w:color w:val="000000"/>
                <w:sz w:val="18"/>
                <w:szCs w:val="18"/>
                <w:u w:val="none"/>
              </w:rPr>
            </w:pPr>
          </w:p>
        </w:tc>
        <w:tc>
          <w:tcPr>
            <w:tcW w:w="2265" w:type="dxa"/>
            <w:tcBorders>
              <w:top w:val="nil"/>
              <w:left w:val="nil"/>
              <w:bottom w:val="nil"/>
              <w:right w:val="nil"/>
            </w:tcBorders>
            <w:shd w:val="clear" w:color="auto" w:fill="auto"/>
            <w:tcMar>
              <w:top w:w="15" w:type="dxa"/>
              <w:left w:w="15" w:type="dxa"/>
              <w:right w:w="15" w:type="dxa"/>
            </w:tcMar>
            <w:vAlign w:val="center"/>
          </w:tcPr>
          <w:p w14:paraId="25C89E4E">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099FF1A2">
            <w:pPr>
              <w:rPr>
                <w:rFonts w:hint="eastAsia" w:ascii="宋体" w:hAnsi="宋体" w:eastAsia="宋体" w:cs="宋体"/>
                <w:i w:val="0"/>
                <w:color w:val="000000"/>
                <w:sz w:val="18"/>
                <w:szCs w:val="18"/>
                <w:u w:val="none"/>
              </w:rPr>
            </w:pPr>
          </w:p>
        </w:tc>
        <w:tc>
          <w:tcPr>
            <w:tcW w:w="1680" w:type="dxa"/>
            <w:tcBorders>
              <w:top w:val="nil"/>
              <w:left w:val="nil"/>
              <w:bottom w:val="nil"/>
              <w:right w:val="nil"/>
            </w:tcBorders>
            <w:shd w:val="clear" w:color="auto" w:fill="auto"/>
            <w:tcMar>
              <w:top w:w="15" w:type="dxa"/>
              <w:left w:w="15" w:type="dxa"/>
              <w:right w:w="15" w:type="dxa"/>
            </w:tcMar>
            <w:vAlign w:val="center"/>
          </w:tcPr>
          <w:p w14:paraId="04494D0E">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7B6D44C1">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514746ED">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2EDE139F">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4D499B43">
            <w:pPr>
              <w:rPr>
                <w:rFonts w:hint="eastAsia" w:ascii="宋体" w:hAnsi="宋体" w:eastAsia="宋体" w:cs="宋体"/>
                <w:i w:val="0"/>
                <w:color w:val="000000"/>
                <w:sz w:val="18"/>
                <w:szCs w:val="18"/>
                <w:u w:val="none"/>
              </w:rPr>
            </w:pPr>
          </w:p>
        </w:tc>
        <w:tc>
          <w:tcPr>
            <w:tcW w:w="2550" w:type="dxa"/>
            <w:tcBorders>
              <w:top w:val="nil"/>
              <w:left w:val="nil"/>
              <w:bottom w:val="nil"/>
              <w:right w:val="nil"/>
            </w:tcBorders>
            <w:shd w:val="clear" w:color="auto" w:fill="auto"/>
            <w:tcMar>
              <w:top w:w="15" w:type="dxa"/>
              <w:left w:w="15" w:type="dxa"/>
              <w:right w:w="15" w:type="dxa"/>
            </w:tcMar>
            <w:vAlign w:val="center"/>
          </w:tcPr>
          <w:p w14:paraId="3290B822">
            <w:pPr>
              <w:rPr>
                <w:rFonts w:hint="eastAsia" w:ascii="宋体" w:hAnsi="宋体" w:eastAsia="宋体" w:cs="宋体"/>
                <w:i w:val="0"/>
                <w:color w:val="000000"/>
                <w:sz w:val="18"/>
                <w:szCs w:val="18"/>
                <w:u w:val="none"/>
              </w:rPr>
            </w:pPr>
          </w:p>
        </w:tc>
      </w:tr>
      <w:tr w14:paraId="2BCC16D5">
        <w:tblPrEx>
          <w:tblCellMar>
            <w:top w:w="0" w:type="dxa"/>
            <w:left w:w="0" w:type="dxa"/>
            <w:bottom w:w="0" w:type="dxa"/>
            <w:right w:w="0"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AFFDE">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16DEF4EA">
        <w:tblPrEx>
          <w:tblCellMar>
            <w:top w:w="0" w:type="dxa"/>
            <w:left w:w="0" w:type="dxa"/>
            <w:bottom w:w="0" w:type="dxa"/>
            <w:right w:w="0"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8663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6D5B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51090323T000008752571-“两癌”救助</w:t>
            </w:r>
          </w:p>
        </w:tc>
      </w:tr>
      <w:tr w14:paraId="6803001C">
        <w:tblPrEx>
          <w:tblCellMar>
            <w:top w:w="0" w:type="dxa"/>
            <w:left w:w="0" w:type="dxa"/>
            <w:bottom w:w="0" w:type="dxa"/>
            <w:right w:w="0"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C86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56E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四川省遂宁市船山区妇女联合会部门</w:t>
            </w:r>
          </w:p>
        </w:tc>
        <w:tc>
          <w:tcPr>
            <w:tcW w:w="1095" w:type="dxa"/>
            <w:tcBorders>
              <w:top w:val="nil"/>
              <w:left w:val="nil"/>
              <w:bottom w:val="nil"/>
              <w:right w:val="nil"/>
            </w:tcBorders>
            <w:shd w:val="clear" w:color="auto" w:fill="auto"/>
            <w:tcMar>
              <w:top w:w="15" w:type="dxa"/>
              <w:left w:w="15" w:type="dxa"/>
              <w:right w:w="15" w:type="dxa"/>
            </w:tcMar>
            <w:vAlign w:val="center"/>
          </w:tcPr>
          <w:p w14:paraId="7798A8E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D8F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w:t>
            </w:r>
          </w:p>
        </w:tc>
      </w:tr>
      <w:tr w14:paraId="6CB2C53D">
        <w:tblPrEx>
          <w:tblCellMar>
            <w:top w:w="0" w:type="dxa"/>
            <w:left w:w="0" w:type="dxa"/>
            <w:bottom w:w="0" w:type="dxa"/>
            <w:right w:w="0"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A46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CC92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660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4301A">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0C75FC9">
        <w:tblPrEx>
          <w:tblCellMar>
            <w:top w:w="0" w:type="dxa"/>
            <w:left w:w="0" w:type="dxa"/>
            <w:bottom w:w="0" w:type="dxa"/>
            <w:right w:w="0"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D1E42">
            <w:pP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9C9DE">
            <w:pPr>
              <w:rPr>
                <w:rFonts w:hint="eastAsia" w:ascii="宋体" w:hAnsi="宋体" w:eastAsia="宋体" w:cs="宋体"/>
                <w:i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0E234">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提高患病妇女生活质量，阻断因病返贫，使两癌患病妇女得到保障</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DE99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该项目实施可以加强我会了解全区患病妇女的情况。共为</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名妇女</w:t>
            </w:r>
            <w:r>
              <w:rPr>
                <w:rFonts w:hint="eastAsia" w:ascii="宋体" w:hAnsi="宋体" w:cs="宋体"/>
                <w:i w:val="0"/>
                <w:color w:val="000000"/>
                <w:kern w:val="0"/>
                <w:sz w:val="18"/>
                <w:szCs w:val="18"/>
                <w:u w:val="none"/>
                <w:lang w:val="en-US" w:eastAsia="zh-CN" w:bidi="ar"/>
              </w:rPr>
              <w:t>发放救助.</w:t>
            </w:r>
          </w:p>
        </w:tc>
      </w:tr>
      <w:tr w14:paraId="6020E7A1">
        <w:tblPrEx>
          <w:tblCellMar>
            <w:top w:w="0" w:type="dxa"/>
            <w:left w:w="0" w:type="dxa"/>
            <w:bottom w:w="0" w:type="dxa"/>
            <w:right w:w="0"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51724">
            <w:pP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A1EC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00F3B">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坚定正确政治方向，帮助妇女摆脱病痛之苦。找准中心工作切入点，为“两癌”妇女提供帮助；砥砺履行职责，增强妇女获得感、安全感、幸福感</w:t>
            </w:r>
          </w:p>
        </w:tc>
      </w:tr>
      <w:tr w14:paraId="2BF6CFC8">
        <w:tblPrEx>
          <w:tblCellMar>
            <w:top w:w="0" w:type="dxa"/>
            <w:left w:w="0" w:type="dxa"/>
            <w:bottom w:w="0" w:type="dxa"/>
            <w:right w:w="0"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20B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35F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2C7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512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21B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9D5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B89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74D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C14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68043D0">
        <w:tblPrEx>
          <w:tblCellMar>
            <w:top w:w="0" w:type="dxa"/>
            <w:left w:w="0" w:type="dxa"/>
            <w:bottom w:w="0" w:type="dxa"/>
            <w:right w:w="0"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5922E">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114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149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DA6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4E8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497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F4A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05062">
            <w:pPr>
              <w:jc w:val="center"/>
              <w:rPr>
                <w:rFonts w:hint="eastAsia" w:ascii="宋体" w:hAnsi="宋体" w:eastAsia="宋体" w:cs="宋体"/>
                <w:i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96C5A">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0628B64">
        <w:tblPrEx>
          <w:shd w:val="clear" w:color="auto" w:fill="auto"/>
          <w:tblCellMar>
            <w:top w:w="0" w:type="dxa"/>
            <w:left w:w="0" w:type="dxa"/>
            <w:bottom w:w="0" w:type="dxa"/>
            <w:right w:w="0"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0EEC0">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031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A79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52B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D58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8ED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47A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9BA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2232A">
            <w:pPr>
              <w:rPr>
                <w:rFonts w:hint="eastAsia" w:ascii="黑体" w:hAnsi="黑体" w:eastAsia="黑体" w:cs="黑体"/>
                <w:i/>
                <w:color w:val="000000"/>
                <w:sz w:val="18"/>
                <w:szCs w:val="18"/>
                <w:u w:val="none"/>
              </w:rPr>
            </w:pPr>
          </w:p>
        </w:tc>
      </w:tr>
      <w:tr w14:paraId="6F512F4A">
        <w:tblPrEx>
          <w:tblCellMar>
            <w:top w:w="0" w:type="dxa"/>
            <w:left w:w="0" w:type="dxa"/>
            <w:bottom w:w="0" w:type="dxa"/>
            <w:right w:w="0"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78709">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19B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F49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78C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4C6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F1A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758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96B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03789">
            <w:pPr>
              <w:rPr>
                <w:rFonts w:hint="eastAsia" w:ascii="黑体" w:hAnsi="黑体" w:eastAsia="黑体" w:cs="黑体"/>
                <w:i/>
                <w:color w:val="000000"/>
                <w:sz w:val="18"/>
                <w:szCs w:val="18"/>
                <w:u w:val="none"/>
              </w:rPr>
            </w:pPr>
          </w:p>
        </w:tc>
      </w:tr>
      <w:tr w14:paraId="2A0A8945">
        <w:tblPrEx>
          <w:shd w:val="clear" w:color="auto" w:fill="auto"/>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DB9B9">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EFD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1EC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2E6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C15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7B5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BE8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414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D0384">
            <w:pPr>
              <w:rPr>
                <w:rFonts w:hint="eastAsia" w:ascii="黑体" w:hAnsi="黑体" w:eastAsia="黑体" w:cs="黑体"/>
                <w:i/>
                <w:color w:val="000000"/>
                <w:sz w:val="18"/>
                <w:szCs w:val="18"/>
                <w:u w:val="none"/>
              </w:rPr>
            </w:pPr>
          </w:p>
        </w:tc>
      </w:tr>
      <w:tr w14:paraId="5BE951DE">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8A111">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475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2FBE7">
            <w:pPr>
              <w:jc w:val="center"/>
              <w:rPr>
                <w:rFonts w:hint="eastAsia" w:ascii="微软雅黑" w:hAnsi="微软雅黑" w:eastAsia="微软雅黑" w:cs="微软雅黑"/>
                <w:i/>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5CF56">
            <w:pPr>
              <w:jc w:val="center"/>
              <w:rPr>
                <w:rFonts w:hint="eastAsia" w:ascii="微软雅黑" w:hAnsi="微软雅黑" w:eastAsia="微软雅黑" w:cs="微软雅黑"/>
                <w:i/>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5B4F0">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64FD3">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BB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A83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189C6">
            <w:pPr>
              <w:rPr>
                <w:rFonts w:hint="eastAsia" w:ascii="黑体" w:hAnsi="黑体" w:eastAsia="黑体" w:cs="黑体"/>
                <w:i/>
                <w:color w:val="000000"/>
                <w:sz w:val="18"/>
                <w:szCs w:val="18"/>
                <w:u w:val="none"/>
              </w:rPr>
            </w:pPr>
          </w:p>
        </w:tc>
      </w:tr>
      <w:tr w14:paraId="3A7A0C91">
        <w:tblPrEx>
          <w:tblCellMar>
            <w:top w:w="0" w:type="dxa"/>
            <w:left w:w="0" w:type="dxa"/>
            <w:bottom w:w="0" w:type="dxa"/>
            <w:right w:w="0"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5A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A00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27F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C5F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CE0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AA7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45A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CDC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362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1C7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109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BAE7BA1">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68A80">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A8E72">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3B93D">
            <w:pPr>
              <w:jc w:val="center"/>
              <w:rPr>
                <w:rFonts w:hint="eastAsia" w:ascii="宋体" w:hAnsi="宋体" w:eastAsia="宋体" w:cs="宋体"/>
                <w:i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C4586">
            <w:pPr>
              <w:jc w:val="center"/>
              <w:rPr>
                <w:rFonts w:hint="eastAsia" w:ascii="宋体" w:hAnsi="宋体" w:eastAsia="宋体" w:cs="宋体"/>
                <w:i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BDA93">
            <w:pPr>
              <w:jc w:val="center"/>
              <w:rPr>
                <w:rFonts w:hint="eastAsia" w:ascii="宋体" w:hAnsi="宋体" w:eastAsia="宋体" w:cs="宋体"/>
                <w:i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09C27">
            <w:pPr>
              <w:jc w:val="center"/>
              <w:rPr>
                <w:rFonts w:hint="eastAsia" w:ascii="宋体" w:hAnsi="宋体" w:eastAsia="宋体" w:cs="宋体"/>
                <w:i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7A6A3">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DAB87">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AD2F7">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C03CA">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EC5B7">
            <w:pPr>
              <w:jc w:val="center"/>
              <w:rPr>
                <w:rFonts w:hint="eastAsia" w:ascii="微软雅黑" w:hAnsi="微软雅黑" w:eastAsia="微软雅黑" w:cs="微软雅黑"/>
                <w:i/>
                <w:color w:val="000000"/>
                <w:sz w:val="16"/>
                <w:szCs w:val="16"/>
                <w:u w:val="none"/>
              </w:rPr>
            </w:pPr>
          </w:p>
        </w:tc>
      </w:tr>
      <w:tr w14:paraId="0227CF7C">
        <w:tblPrEx>
          <w:tblCellMar>
            <w:top w:w="0" w:type="dxa"/>
            <w:left w:w="0" w:type="dxa"/>
            <w:bottom w:w="0" w:type="dxa"/>
            <w:right w:w="0"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22E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EA0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4DA1B">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C4585">
            <w:pPr>
              <w:rPr>
                <w:rFonts w:hint="eastAsia" w:ascii="宋体" w:hAnsi="宋体" w:eastAsia="宋体" w:cs="宋体"/>
                <w:i w:val="0"/>
                <w:color w:val="000000"/>
                <w:sz w:val="18"/>
                <w:szCs w:val="18"/>
                <w:u w:val="none"/>
              </w:rPr>
            </w:pPr>
          </w:p>
        </w:tc>
      </w:tr>
      <w:tr w14:paraId="3A2989AD">
        <w:tblPrEx>
          <w:tblCellMar>
            <w:top w:w="0" w:type="dxa"/>
            <w:left w:w="0" w:type="dxa"/>
            <w:bottom w:w="0" w:type="dxa"/>
            <w:right w:w="0"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CC6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9F92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仿宋_GB2312"/>
                <w:sz w:val="32"/>
                <w:szCs w:val="32"/>
                <w:lang w:val="en-US" w:eastAsia="zh-CN"/>
              </w:rPr>
              <w:t xml:space="preserve"> </w:t>
            </w: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年度我单位预算项目安排较为合理，项目经费保障了我会日常工作的正常运转，项目经费做到了专款专用，资金使用效果较好，项目绩效自评得分97分</w:t>
            </w:r>
          </w:p>
        </w:tc>
      </w:tr>
      <w:tr w14:paraId="152324EE">
        <w:tblPrEx>
          <w:shd w:val="clear" w:color="auto" w:fill="auto"/>
          <w:tblCellMar>
            <w:top w:w="0" w:type="dxa"/>
            <w:left w:w="0" w:type="dxa"/>
            <w:bottom w:w="0" w:type="dxa"/>
            <w:right w:w="0"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1A4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8C80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支出科目设置不够细化，不能完整反映项目资金使用情况</w:t>
            </w:r>
          </w:p>
        </w:tc>
      </w:tr>
      <w:tr w14:paraId="0BBA0A1A">
        <w:tblPrEx>
          <w:tblCellMar>
            <w:top w:w="0" w:type="dxa"/>
            <w:left w:w="0" w:type="dxa"/>
            <w:bottom w:w="0" w:type="dxa"/>
            <w:right w:w="0"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0F9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230D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规范账务处理，提高财务信息质量。严格按照《会计法》、《行政单位会计制度》、《行政单位财务规则》等规定，结合实际情况，科学设置支出科目，规范财务核算，完整反映相关信息。</w:t>
            </w:r>
            <w:r>
              <w:rPr>
                <w:rFonts w:hint="eastAsia" w:ascii="宋体" w:hAnsi="宋体" w:eastAsia="宋体" w:cs="宋体"/>
                <w:i w:val="0"/>
                <w:color w:val="000000"/>
                <w:kern w:val="0"/>
                <w:sz w:val="18"/>
                <w:szCs w:val="18"/>
                <w:u w:val="none"/>
                <w:lang w:val="en-US" w:eastAsia="zh-CN" w:bidi="ar"/>
              </w:rPr>
              <w:br w:type="textWrapping"/>
            </w:r>
          </w:p>
        </w:tc>
      </w:tr>
      <w:tr w14:paraId="5AB47B55">
        <w:tblPrEx>
          <w:shd w:val="clear" w:color="auto" w:fill="auto"/>
          <w:tblCellMar>
            <w:top w:w="0" w:type="dxa"/>
            <w:left w:w="0" w:type="dxa"/>
            <w:bottom w:w="0" w:type="dxa"/>
            <w:right w:w="0"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2108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56DD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BF4230F">
        <w:tblPrEx>
          <w:shd w:val="clear" w:color="auto" w:fill="auto"/>
          <w:tblCellMar>
            <w:top w:w="0" w:type="dxa"/>
            <w:left w:w="0" w:type="dxa"/>
            <w:bottom w:w="0" w:type="dxa"/>
            <w:right w:w="0" w:type="dxa"/>
          </w:tblCellMar>
        </w:tblPrEx>
        <w:trPr>
          <w:trHeight w:val="285" w:hRule="atLeast"/>
        </w:trPr>
        <w:tc>
          <w:tcPr>
            <w:tcW w:w="690" w:type="dxa"/>
            <w:tcBorders>
              <w:top w:val="nil"/>
              <w:left w:val="nil"/>
              <w:bottom w:val="nil"/>
              <w:right w:val="nil"/>
            </w:tcBorders>
            <w:shd w:val="clear" w:color="auto" w:fill="auto"/>
            <w:tcMar>
              <w:top w:w="15" w:type="dxa"/>
              <w:left w:w="15" w:type="dxa"/>
              <w:right w:w="15" w:type="dxa"/>
            </w:tcMar>
            <w:vAlign w:val="center"/>
          </w:tcPr>
          <w:p w14:paraId="713EAD05">
            <w:pPr>
              <w:rPr>
                <w:rFonts w:hint="eastAsia" w:ascii="宋体" w:hAnsi="宋体" w:eastAsia="宋体" w:cs="宋体"/>
                <w:i w:val="0"/>
                <w:color w:val="000000"/>
                <w:sz w:val="18"/>
                <w:szCs w:val="18"/>
                <w:u w:val="none"/>
              </w:rPr>
            </w:pPr>
          </w:p>
        </w:tc>
        <w:tc>
          <w:tcPr>
            <w:tcW w:w="2055" w:type="dxa"/>
            <w:tcBorders>
              <w:top w:val="nil"/>
              <w:left w:val="nil"/>
              <w:bottom w:val="nil"/>
              <w:right w:val="nil"/>
            </w:tcBorders>
            <w:shd w:val="clear" w:color="auto" w:fill="auto"/>
            <w:tcMar>
              <w:top w:w="15" w:type="dxa"/>
              <w:left w:w="15" w:type="dxa"/>
              <w:right w:w="15" w:type="dxa"/>
            </w:tcMar>
            <w:vAlign w:val="center"/>
          </w:tcPr>
          <w:p w14:paraId="72BAB240">
            <w:pPr>
              <w:rPr>
                <w:rFonts w:hint="eastAsia" w:ascii="宋体" w:hAnsi="宋体" w:eastAsia="宋体" w:cs="宋体"/>
                <w:i w:val="0"/>
                <w:color w:val="000000"/>
                <w:sz w:val="18"/>
                <w:szCs w:val="18"/>
                <w:u w:val="none"/>
              </w:rPr>
            </w:pPr>
          </w:p>
        </w:tc>
        <w:tc>
          <w:tcPr>
            <w:tcW w:w="1770" w:type="dxa"/>
            <w:tcBorders>
              <w:top w:val="nil"/>
              <w:left w:val="nil"/>
              <w:bottom w:val="nil"/>
              <w:right w:val="nil"/>
            </w:tcBorders>
            <w:shd w:val="clear" w:color="auto" w:fill="auto"/>
            <w:tcMar>
              <w:top w:w="15" w:type="dxa"/>
              <w:left w:w="15" w:type="dxa"/>
              <w:right w:w="15" w:type="dxa"/>
            </w:tcMar>
            <w:vAlign w:val="center"/>
          </w:tcPr>
          <w:p w14:paraId="51004F24">
            <w:pPr>
              <w:rPr>
                <w:rFonts w:hint="eastAsia" w:ascii="宋体" w:hAnsi="宋体" w:eastAsia="宋体" w:cs="宋体"/>
                <w:i w:val="0"/>
                <w:color w:val="000000"/>
                <w:sz w:val="18"/>
                <w:szCs w:val="18"/>
                <w:u w:val="none"/>
              </w:rPr>
            </w:pPr>
          </w:p>
          <w:p w14:paraId="78617DA9">
            <w:pPr>
              <w:pStyle w:val="8"/>
              <w:rPr>
                <w:rFonts w:hint="eastAsia"/>
              </w:rPr>
            </w:pPr>
          </w:p>
        </w:tc>
        <w:tc>
          <w:tcPr>
            <w:tcW w:w="2265" w:type="dxa"/>
            <w:tcBorders>
              <w:top w:val="nil"/>
              <w:left w:val="nil"/>
              <w:bottom w:val="nil"/>
              <w:right w:val="nil"/>
            </w:tcBorders>
            <w:shd w:val="clear" w:color="auto" w:fill="auto"/>
            <w:tcMar>
              <w:top w:w="15" w:type="dxa"/>
              <w:left w:w="15" w:type="dxa"/>
              <w:right w:w="15" w:type="dxa"/>
            </w:tcMar>
            <w:vAlign w:val="center"/>
          </w:tcPr>
          <w:p w14:paraId="531E3F61">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2020F300">
            <w:pPr>
              <w:rPr>
                <w:rFonts w:hint="eastAsia" w:ascii="宋体" w:hAnsi="宋体" w:eastAsia="宋体" w:cs="宋体"/>
                <w:i w:val="0"/>
                <w:color w:val="000000"/>
                <w:sz w:val="18"/>
                <w:szCs w:val="18"/>
                <w:u w:val="none"/>
              </w:rPr>
            </w:pPr>
          </w:p>
        </w:tc>
        <w:tc>
          <w:tcPr>
            <w:tcW w:w="1680" w:type="dxa"/>
            <w:tcBorders>
              <w:top w:val="nil"/>
              <w:left w:val="nil"/>
              <w:bottom w:val="nil"/>
              <w:right w:val="nil"/>
            </w:tcBorders>
            <w:shd w:val="clear" w:color="auto" w:fill="auto"/>
            <w:tcMar>
              <w:top w:w="15" w:type="dxa"/>
              <w:left w:w="15" w:type="dxa"/>
              <w:right w:w="15" w:type="dxa"/>
            </w:tcMar>
            <w:vAlign w:val="center"/>
          </w:tcPr>
          <w:p w14:paraId="599F1C1D">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34372047">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7C5B5216">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107DFAA3">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0984050B">
            <w:pPr>
              <w:rPr>
                <w:rFonts w:hint="eastAsia" w:ascii="宋体" w:hAnsi="宋体" w:eastAsia="宋体" w:cs="宋体"/>
                <w:i w:val="0"/>
                <w:color w:val="000000"/>
                <w:sz w:val="18"/>
                <w:szCs w:val="18"/>
                <w:u w:val="none"/>
              </w:rPr>
            </w:pPr>
          </w:p>
        </w:tc>
        <w:tc>
          <w:tcPr>
            <w:tcW w:w="2550" w:type="dxa"/>
            <w:tcBorders>
              <w:top w:val="nil"/>
              <w:left w:val="nil"/>
              <w:bottom w:val="nil"/>
              <w:right w:val="nil"/>
            </w:tcBorders>
            <w:shd w:val="clear" w:color="auto" w:fill="auto"/>
            <w:tcMar>
              <w:top w:w="15" w:type="dxa"/>
              <w:left w:w="15" w:type="dxa"/>
              <w:right w:w="15" w:type="dxa"/>
            </w:tcMar>
            <w:vAlign w:val="center"/>
          </w:tcPr>
          <w:p w14:paraId="75013109">
            <w:pPr>
              <w:rPr>
                <w:rFonts w:hint="eastAsia" w:ascii="宋体" w:hAnsi="宋体" w:eastAsia="宋体" w:cs="宋体"/>
                <w:i w:val="0"/>
                <w:color w:val="000000"/>
                <w:sz w:val="18"/>
                <w:szCs w:val="18"/>
                <w:u w:val="none"/>
              </w:rPr>
            </w:pPr>
          </w:p>
        </w:tc>
      </w:tr>
      <w:tr w14:paraId="2B4EF50D">
        <w:tblPrEx>
          <w:tblCellMar>
            <w:top w:w="0" w:type="dxa"/>
            <w:left w:w="0" w:type="dxa"/>
            <w:bottom w:w="0" w:type="dxa"/>
            <w:right w:w="0"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4D2F2">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0352F016">
        <w:tblPrEx>
          <w:shd w:val="clear" w:color="auto" w:fill="auto"/>
          <w:tblCellMar>
            <w:top w:w="0" w:type="dxa"/>
            <w:left w:w="0" w:type="dxa"/>
            <w:bottom w:w="0" w:type="dxa"/>
            <w:right w:w="0"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724E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2E21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51090323T000009008276-2023年春节慰问</w:t>
            </w:r>
          </w:p>
        </w:tc>
      </w:tr>
      <w:tr w14:paraId="472C7DE7">
        <w:tblPrEx>
          <w:tblCellMar>
            <w:top w:w="0" w:type="dxa"/>
            <w:left w:w="0" w:type="dxa"/>
            <w:bottom w:w="0" w:type="dxa"/>
            <w:right w:w="0"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56F0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6EB7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四川省遂宁市船山区妇女联合会部门</w:t>
            </w:r>
          </w:p>
        </w:tc>
        <w:tc>
          <w:tcPr>
            <w:tcW w:w="1095" w:type="dxa"/>
            <w:tcBorders>
              <w:top w:val="nil"/>
              <w:left w:val="nil"/>
              <w:bottom w:val="nil"/>
              <w:right w:val="nil"/>
            </w:tcBorders>
            <w:shd w:val="clear" w:color="auto" w:fill="auto"/>
            <w:tcMar>
              <w:top w:w="15" w:type="dxa"/>
              <w:left w:w="15" w:type="dxa"/>
              <w:right w:w="15" w:type="dxa"/>
            </w:tcMar>
            <w:vAlign w:val="center"/>
          </w:tcPr>
          <w:p w14:paraId="08BCA6C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3F4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w:t>
            </w:r>
          </w:p>
        </w:tc>
      </w:tr>
      <w:tr w14:paraId="159D36B3">
        <w:tblPrEx>
          <w:shd w:val="clear" w:color="auto" w:fill="auto"/>
          <w:tblCellMar>
            <w:top w:w="0" w:type="dxa"/>
            <w:left w:w="0" w:type="dxa"/>
            <w:bottom w:w="0" w:type="dxa"/>
            <w:right w:w="0"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8FA0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3296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E1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3A425">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82F2F1F">
        <w:tblPrEx>
          <w:tblCellMar>
            <w:top w:w="0" w:type="dxa"/>
            <w:left w:w="0" w:type="dxa"/>
            <w:bottom w:w="0" w:type="dxa"/>
            <w:right w:w="0"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B27D6">
            <w:pP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E22D4">
            <w:pPr>
              <w:rPr>
                <w:rFonts w:hint="eastAsia" w:ascii="宋体" w:hAnsi="宋体" w:eastAsia="宋体" w:cs="宋体"/>
                <w:i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6BAB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2023年春节“送温暖、献爱心”慰问</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B199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牢牢把握“代表和维护妇女权益，促进男女平等”工作主线，紧紧“围绕中心、服务大局”工作理念，让贫困妇女儿童过一个有爱有温暖的春节</w:t>
            </w:r>
          </w:p>
        </w:tc>
      </w:tr>
      <w:tr w14:paraId="4FA217A8">
        <w:tblPrEx>
          <w:tblCellMar>
            <w:top w:w="0" w:type="dxa"/>
            <w:left w:w="0" w:type="dxa"/>
            <w:bottom w:w="0" w:type="dxa"/>
            <w:right w:w="0"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E969F">
            <w:pP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A978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2FBDA">
            <w:pPr>
              <w:numPr>
                <w:ilvl w:val="0"/>
                <w:numId w:val="0"/>
              </w:numPr>
              <w:ind w:firstLine="360" w:firstLineChars="200"/>
              <w:rPr>
                <w:rFonts w:hint="eastAsia" w:ascii="仿宋" w:hAnsi="仿宋" w:eastAsia="仿宋" w:cs="仿宋"/>
                <w:sz w:val="32"/>
                <w:szCs w:val="32"/>
              </w:rPr>
            </w:pPr>
            <w:r>
              <w:rPr>
                <w:rFonts w:hint="eastAsia" w:ascii="宋体" w:hAnsi="宋体" w:eastAsia="宋体" w:cs="宋体"/>
                <w:i w:val="0"/>
                <w:color w:val="000000"/>
                <w:kern w:val="0"/>
                <w:sz w:val="18"/>
                <w:szCs w:val="18"/>
                <w:u w:val="none"/>
                <w:lang w:val="en-US" w:eastAsia="zh-CN" w:bidi="ar"/>
              </w:rPr>
              <w:t>围绕中心，服务大局，面向基层，关心关爱基层妇女儿童，增强妇女儿童获得感、安全感、幸福感。</w:t>
            </w:r>
          </w:p>
          <w:p w14:paraId="0ADBCFCA">
            <w:pPr>
              <w:rPr>
                <w:rFonts w:hint="eastAsia" w:ascii="宋体" w:hAnsi="宋体" w:eastAsia="宋体" w:cs="宋体"/>
                <w:i w:val="0"/>
                <w:color w:val="000000"/>
                <w:sz w:val="18"/>
                <w:szCs w:val="18"/>
                <w:u w:val="none"/>
              </w:rPr>
            </w:pPr>
          </w:p>
        </w:tc>
      </w:tr>
      <w:tr w14:paraId="52FA2A7C">
        <w:tblPrEx>
          <w:shd w:val="clear" w:color="auto" w:fill="auto"/>
          <w:tblCellMar>
            <w:top w:w="0" w:type="dxa"/>
            <w:left w:w="0" w:type="dxa"/>
            <w:bottom w:w="0" w:type="dxa"/>
            <w:right w:w="0"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687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BBB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826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BF6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E8C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E5B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FDC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505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B89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12AC615">
        <w:tblPrEx>
          <w:tblCellMar>
            <w:top w:w="0" w:type="dxa"/>
            <w:left w:w="0" w:type="dxa"/>
            <w:bottom w:w="0" w:type="dxa"/>
            <w:right w:w="0"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4AC01">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6E4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FA3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DB7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2.21</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745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03B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B5D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0517B">
            <w:pPr>
              <w:jc w:val="center"/>
              <w:rPr>
                <w:rFonts w:hint="eastAsia" w:ascii="宋体" w:hAnsi="宋体" w:eastAsia="宋体" w:cs="宋体"/>
                <w:i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C51BC">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F4AF3B9">
        <w:tblPrEx>
          <w:tblCellMar>
            <w:top w:w="0" w:type="dxa"/>
            <w:left w:w="0" w:type="dxa"/>
            <w:bottom w:w="0" w:type="dxa"/>
            <w:right w:w="0"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EFD16">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64C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D98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C02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2.21</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91E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19D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C1A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3A9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038DE">
            <w:pPr>
              <w:rPr>
                <w:rFonts w:hint="eastAsia" w:ascii="黑体" w:hAnsi="黑体" w:eastAsia="黑体" w:cs="黑体"/>
                <w:i/>
                <w:color w:val="000000"/>
                <w:sz w:val="18"/>
                <w:szCs w:val="18"/>
                <w:u w:val="none"/>
              </w:rPr>
            </w:pPr>
          </w:p>
        </w:tc>
      </w:tr>
      <w:tr w14:paraId="741BF283">
        <w:tblPrEx>
          <w:tblCellMar>
            <w:top w:w="0" w:type="dxa"/>
            <w:left w:w="0" w:type="dxa"/>
            <w:bottom w:w="0" w:type="dxa"/>
            <w:right w:w="0"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5A296">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F22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98F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2C3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1C7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A7B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28B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5DA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A5CEE">
            <w:pPr>
              <w:rPr>
                <w:rFonts w:hint="eastAsia" w:ascii="黑体" w:hAnsi="黑体" w:eastAsia="黑体" w:cs="黑体"/>
                <w:i/>
                <w:color w:val="000000"/>
                <w:sz w:val="18"/>
                <w:szCs w:val="18"/>
                <w:u w:val="none"/>
              </w:rPr>
            </w:pPr>
          </w:p>
        </w:tc>
      </w:tr>
      <w:tr w14:paraId="5375FC4E">
        <w:tblPrEx>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6979F">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098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C2A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61D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34D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40E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9AD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C48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436EB">
            <w:pPr>
              <w:rPr>
                <w:rFonts w:hint="eastAsia" w:ascii="黑体" w:hAnsi="黑体" w:eastAsia="黑体" w:cs="黑体"/>
                <w:i/>
                <w:color w:val="000000"/>
                <w:sz w:val="18"/>
                <w:szCs w:val="18"/>
                <w:u w:val="none"/>
              </w:rPr>
            </w:pPr>
          </w:p>
        </w:tc>
      </w:tr>
      <w:tr w14:paraId="0FE67616">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ADEAF">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CD5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105BD">
            <w:pPr>
              <w:jc w:val="center"/>
              <w:rPr>
                <w:rFonts w:hint="eastAsia" w:ascii="微软雅黑" w:hAnsi="微软雅黑" w:eastAsia="微软雅黑" w:cs="微软雅黑"/>
                <w:i/>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E8CC8">
            <w:pPr>
              <w:jc w:val="center"/>
              <w:rPr>
                <w:rFonts w:hint="eastAsia" w:ascii="微软雅黑" w:hAnsi="微软雅黑" w:eastAsia="微软雅黑" w:cs="微软雅黑"/>
                <w:i/>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ADDAC">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577C5">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EEC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99B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121E7">
            <w:pPr>
              <w:rPr>
                <w:rFonts w:hint="eastAsia" w:ascii="黑体" w:hAnsi="黑体" w:eastAsia="黑体" w:cs="黑体"/>
                <w:i/>
                <w:color w:val="000000"/>
                <w:sz w:val="18"/>
                <w:szCs w:val="18"/>
                <w:u w:val="none"/>
              </w:rPr>
            </w:pPr>
          </w:p>
        </w:tc>
      </w:tr>
      <w:tr w14:paraId="3C18CA44">
        <w:tblPrEx>
          <w:tblCellMar>
            <w:top w:w="0" w:type="dxa"/>
            <w:left w:w="0" w:type="dxa"/>
            <w:bottom w:w="0" w:type="dxa"/>
            <w:right w:w="0"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389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92A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945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FA7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7AA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F8C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8FE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24B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92C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605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FD3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E7F645F">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D78B6">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DBC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5D5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67A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慰问人数</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820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53D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668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887B0">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893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5C7BF">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A031E">
            <w:pPr>
              <w:jc w:val="center"/>
              <w:rPr>
                <w:rFonts w:hint="eastAsia" w:ascii="微软雅黑" w:hAnsi="微软雅黑" w:eastAsia="微软雅黑" w:cs="微软雅黑"/>
                <w:i/>
                <w:color w:val="000000"/>
                <w:sz w:val="16"/>
                <w:szCs w:val="16"/>
                <w:u w:val="none"/>
              </w:rPr>
            </w:pPr>
          </w:p>
        </w:tc>
      </w:tr>
      <w:tr w14:paraId="3163F113">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3C22A">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3F88C">
            <w:pPr>
              <w:jc w:val="center"/>
              <w:rPr>
                <w:rFonts w:hint="eastAsia" w:ascii="宋体" w:hAnsi="宋体" w:eastAsia="宋体" w:cs="宋体"/>
                <w:i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497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BBF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5B6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19B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594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C977A">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22B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47D8A">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9C0A3">
            <w:pPr>
              <w:jc w:val="center"/>
              <w:rPr>
                <w:rFonts w:hint="eastAsia" w:ascii="微软雅黑" w:hAnsi="微软雅黑" w:eastAsia="微软雅黑" w:cs="微软雅黑"/>
                <w:i/>
                <w:color w:val="000000"/>
                <w:sz w:val="16"/>
                <w:szCs w:val="16"/>
                <w:u w:val="none"/>
              </w:rPr>
            </w:pPr>
          </w:p>
        </w:tc>
      </w:tr>
      <w:tr w14:paraId="2C00871A">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4F4A0">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B6B84">
            <w:pPr>
              <w:jc w:val="center"/>
              <w:rPr>
                <w:rFonts w:hint="eastAsia" w:ascii="宋体" w:hAnsi="宋体" w:eastAsia="宋体" w:cs="宋体"/>
                <w:i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FB371">
            <w:pPr>
              <w:jc w:val="center"/>
              <w:rPr>
                <w:rFonts w:hint="eastAsia" w:ascii="宋体" w:hAnsi="宋体" w:eastAsia="宋体" w:cs="宋体"/>
                <w:i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5BF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增强妇女儿童幸福感</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AFD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976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5BFC9">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3E827">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B05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E8EA8">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0803D">
            <w:pPr>
              <w:jc w:val="center"/>
              <w:rPr>
                <w:rFonts w:hint="eastAsia" w:ascii="微软雅黑" w:hAnsi="微软雅黑" w:eastAsia="微软雅黑" w:cs="微软雅黑"/>
                <w:i/>
                <w:color w:val="000000"/>
                <w:sz w:val="16"/>
                <w:szCs w:val="16"/>
                <w:u w:val="none"/>
              </w:rPr>
            </w:pPr>
          </w:p>
        </w:tc>
      </w:tr>
      <w:tr w14:paraId="59FD6074">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BDFA5">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A9ECB">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F0D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7F9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资金使用及时率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16B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0D2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8E8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AAD17">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4AE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20CCB">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4FEBF">
            <w:pPr>
              <w:jc w:val="center"/>
              <w:rPr>
                <w:rFonts w:hint="eastAsia" w:ascii="微软雅黑" w:hAnsi="微软雅黑" w:eastAsia="微软雅黑" w:cs="微软雅黑"/>
                <w:i/>
                <w:color w:val="000000"/>
                <w:sz w:val="16"/>
                <w:szCs w:val="16"/>
                <w:u w:val="none"/>
              </w:rPr>
            </w:pPr>
          </w:p>
        </w:tc>
      </w:tr>
      <w:tr w14:paraId="1E1A520F">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E60CC">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DAF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4C8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86E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关爱妇女儿童</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E02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CC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0730D">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BDD79">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39E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F21F3">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EAB37">
            <w:pPr>
              <w:jc w:val="center"/>
              <w:rPr>
                <w:rFonts w:hint="eastAsia" w:ascii="微软雅黑" w:hAnsi="微软雅黑" w:eastAsia="微软雅黑" w:cs="微软雅黑"/>
                <w:i/>
                <w:color w:val="000000"/>
                <w:sz w:val="16"/>
                <w:szCs w:val="16"/>
                <w:u w:val="none"/>
              </w:rPr>
            </w:pPr>
          </w:p>
        </w:tc>
      </w:tr>
      <w:tr w14:paraId="6B46768F">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E2FAA">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59350">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37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337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内控制度健全性</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B04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4E1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09AC">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C7790">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456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25BC2">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F9B1C">
            <w:pPr>
              <w:jc w:val="center"/>
              <w:rPr>
                <w:rFonts w:hint="eastAsia" w:ascii="微软雅黑" w:hAnsi="微软雅黑" w:eastAsia="微软雅黑" w:cs="微软雅黑"/>
                <w:i/>
                <w:color w:val="000000"/>
                <w:sz w:val="16"/>
                <w:szCs w:val="16"/>
                <w:u w:val="none"/>
              </w:rPr>
            </w:pPr>
          </w:p>
        </w:tc>
      </w:tr>
      <w:tr w14:paraId="1DF711EF">
        <w:tblPrEx>
          <w:tblCellMar>
            <w:top w:w="0" w:type="dxa"/>
            <w:left w:w="0" w:type="dxa"/>
            <w:bottom w:w="0" w:type="dxa"/>
            <w:right w:w="0"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523E9">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0C8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A00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BC9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妇女儿童满意度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160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D0D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8E9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18A7B">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E67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A38D1">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B1E3E">
            <w:pPr>
              <w:jc w:val="center"/>
              <w:rPr>
                <w:rFonts w:hint="eastAsia" w:ascii="微软雅黑" w:hAnsi="微软雅黑" w:eastAsia="微软雅黑" w:cs="微软雅黑"/>
                <w:i/>
                <w:color w:val="000000"/>
                <w:sz w:val="16"/>
                <w:szCs w:val="16"/>
                <w:u w:val="none"/>
              </w:rPr>
            </w:pPr>
          </w:p>
        </w:tc>
      </w:tr>
      <w:tr w14:paraId="456E02BB">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DB296">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6D0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1FE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A50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慰问金额</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558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AFC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A88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75A79">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1C9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F88CD">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E6192">
            <w:pPr>
              <w:jc w:val="center"/>
              <w:rPr>
                <w:rFonts w:hint="eastAsia" w:ascii="微软雅黑" w:hAnsi="微软雅黑" w:eastAsia="微软雅黑" w:cs="微软雅黑"/>
                <w:i/>
                <w:color w:val="000000"/>
                <w:sz w:val="16"/>
                <w:szCs w:val="16"/>
                <w:u w:val="none"/>
              </w:rPr>
            </w:pPr>
          </w:p>
        </w:tc>
      </w:tr>
      <w:tr w14:paraId="4A779F64">
        <w:tblPrEx>
          <w:tblCellMar>
            <w:top w:w="0" w:type="dxa"/>
            <w:left w:w="0" w:type="dxa"/>
            <w:bottom w:w="0" w:type="dxa"/>
            <w:right w:w="0"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4FD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D1D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877D6">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30244">
            <w:pPr>
              <w:rPr>
                <w:rFonts w:hint="eastAsia" w:ascii="宋体" w:hAnsi="宋体" w:eastAsia="宋体" w:cs="宋体"/>
                <w:i w:val="0"/>
                <w:color w:val="000000"/>
                <w:sz w:val="18"/>
                <w:szCs w:val="18"/>
                <w:u w:val="none"/>
              </w:rPr>
            </w:pPr>
          </w:p>
        </w:tc>
      </w:tr>
      <w:tr w14:paraId="07EC688F">
        <w:tblPrEx>
          <w:tblCellMar>
            <w:top w:w="0" w:type="dxa"/>
            <w:left w:w="0" w:type="dxa"/>
            <w:bottom w:w="0" w:type="dxa"/>
            <w:right w:w="0"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D7A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99FB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仿宋_GB2312"/>
                <w:sz w:val="32"/>
                <w:szCs w:val="32"/>
                <w:lang w:val="en-US" w:eastAsia="zh-CN"/>
              </w:rPr>
              <w:t xml:space="preserve"> </w:t>
            </w: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年度我单位预算项目安排较为合理，项目经费保障了我会日常工作的正常运转，项目经费做到了专款专用，资金使用效果较好，项目绩效自评得分97分</w:t>
            </w:r>
          </w:p>
        </w:tc>
      </w:tr>
      <w:tr w14:paraId="7C699393">
        <w:tblPrEx>
          <w:tblCellMar>
            <w:top w:w="0" w:type="dxa"/>
            <w:left w:w="0" w:type="dxa"/>
            <w:bottom w:w="0" w:type="dxa"/>
            <w:right w:w="0"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488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F82A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支出科目设置不够细化，不能完整反映项目资金使用情况</w:t>
            </w:r>
          </w:p>
        </w:tc>
      </w:tr>
      <w:tr w14:paraId="07168377">
        <w:tblPrEx>
          <w:tblCellMar>
            <w:top w:w="0" w:type="dxa"/>
            <w:left w:w="0" w:type="dxa"/>
            <w:bottom w:w="0" w:type="dxa"/>
            <w:right w:w="0"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3E8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D00B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规范账务处理，提高财务信息质量。严格按照《会计法》、《行政单位会计制度》、《行政单位财务规则》等规定，结合实际情况，科学设置支出科目，规范财务核算，完整反映相关信息。</w:t>
            </w:r>
            <w:r>
              <w:rPr>
                <w:rFonts w:hint="eastAsia" w:ascii="宋体" w:hAnsi="宋体" w:eastAsia="宋体" w:cs="宋体"/>
                <w:i w:val="0"/>
                <w:color w:val="000000"/>
                <w:kern w:val="0"/>
                <w:sz w:val="18"/>
                <w:szCs w:val="18"/>
                <w:u w:val="none"/>
                <w:lang w:val="en-US" w:eastAsia="zh-CN" w:bidi="ar"/>
              </w:rPr>
              <w:br w:type="textWrapping"/>
            </w:r>
          </w:p>
        </w:tc>
      </w:tr>
      <w:tr w14:paraId="476F9D7F">
        <w:tblPrEx>
          <w:tblCellMar>
            <w:top w:w="0" w:type="dxa"/>
            <w:left w:w="0" w:type="dxa"/>
            <w:bottom w:w="0" w:type="dxa"/>
            <w:right w:w="0"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5C29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FE85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0826CB8">
        <w:tblPrEx>
          <w:shd w:val="clear" w:color="auto" w:fill="auto"/>
          <w:tblCellMar>
            <w:top w:w="0" w:type="dxa"/>
            <w:left w:w="0" w:type="dxa"/>
            <w:bottom w:w="0" w:type="dxa"/>
            <w:right w:w="0" w:type="dxa"/>
          </w:tblCellMar>
        </w:tblPrEx>
        <w:trPr>
          <w:trHeight w:val="285" w:hRule="atLeast"/>
        </w:trPr>
        <w:tc>
          <w:tcPr>
            <w:tcW w:w="690" w:type="dxa"/>
            <w:tcBorders>
              <w:top w:val="nil"/>
              <w:left w:val="nil"/>
              <w:bottom w:val="nil"/>
              <w:right w:val="nil"/>
            </w:tcBorders>
            <w:shd w:val="clear" w:color="auto" w:fill="auto"/>
            <w:tcMar>
              <w:top w:w="15" w:type="dxa"/>
              <w:left w:w="15" w:type="dxa"/>
              <w:right w:w="15" w:type="dxa"/>
            </w:tcMar>
            <w:vAlign w:val="center"/>
          </w:tcPr>
          <w:p w14:paraId="29599EE4">
            <w:pPr>
              <w:rPr>
                <w:rFonts w:hint="eastAsia" w:ascii="宋体" w:hAnsi="宋体" w:eastAsia="宋体" w:cs="宋体"/>
                <w:i w:val="0"/>
                <w:color w:val="000000"/>
                <w:sz w:val="18"/>
                <w:szCs w:val="18"/>
                <w:u w:val="none"/>
              </w:rPr>
            </w:pPr>
          </w:p>
        </w:tc>
        <w:tc>
          <w:tcPr>
            <w:tcW w:w="2055" w:type="dxa"/>
            <w:tcBorders>
              <w:top w:val="nil"/>
              <w:left w:val="nil"/>
              <w:bottom w:val="nil"/>
              <w:right w:val="nil"/>
            </w:tcBorders>
            <w:shd w:val="clear" w:color="auto" w:fill="auto"/>
            <w:tcMar>
              <w:top w:w="15" w:type="dxa"/>
              <w:left w:w="15" w:type="dxa"/>
              <w:right w:w="15" w:type="dxa"/>
            </w:tcMar>
            <w:vAlign w:val="center"/>
          </w:tcPr>
          <w:p w14:paraId="595FE524">
            <w:pPr>
              <w:rPr>
                <w:rFonts w:hint="eastAsia" w:ascii="宋体" w:hAnsi="宋体" w:eastAsia="宋体" w:cs="宋体"/>
                <w:i w:val="0"/>
                <w:color w:val="000000"/>
                <w:sz w:val="18"/>
                <w:szCs w:val="18"/>
                <w:u w:val="none"/>
              </w:rPr>
            </w:pPr>
          </w:p>
        </w:tc>
        <w:tc>
          <w:tcPr>
            <w:tcW w:w="1770" w:type="dxa"/>
            <w:tcBorders>
              <w:top w:val="nil"/>
              <w:left w:val="nil"/>
              <w:bottom w:val="nil"/>
              <w:right w:val="nil"/>
            </w:tcBorders>
            <w:shd w:val="clear" w:color="auto" w:fill="auto"/>
            <w:tcMar>
              <w:top w:w="15" w:type="dxa"/>
              <w:left w:w="15" w:type="dxa"/>
              <w:right w:w="15" w:type="dxa"/>
            </w:tcMar>
            <w:vAlign w:val="center"/>
          </w:tcPr>
          <w:p w14:paraId="2B1F5B0D">
            <w:pPr>
              <w:rPr>
                <w:rFonts w:hint="eastAsia" w:ascii="宋体" w:hAnsi="宋体" w:eastAsia="宋体" w:cs="宋体"/>
                <w:i w:val="0"/>
                <w:color w:val="000000"/>
                <w:sz w:val="18"/>
                <w:szCs w:val="18"/>
                <w:u w:val="none"/>
              </w:rPr>
            </w:pPr>
          </w:p>
        </w:tc>
        <w:tc>
          <w:tcPr>
            <w:tcW w:w="2265" w:type="dxa"/>
            <w:tcBorders>
              <w:top w:val="nil"/>
              <w:left w:val="nil"/>
              <w:bottom w:val="nil"/>
              <w:right w:val="nil"/>
            </w:tcBorders>
            <w:shd w:val="clear" w:color="auto" w:fill="auto"/>
            <w:tcMar>
              <w:top w:w="15" w:type="dxa"/>
              <w:left w:w="15" w:type="dxa"/>
              <w:right w:w="15" w:type="dxa"/>
            </w:tcMar>
            <w:vAlign w:val="center"/>
          </w:tcPr>
          <w:p w14:paraId="3F5508F1">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4BB369D5">
            <w:pPr>
              <w:rPr>
                <w:rFonts w:hint="eastAsia" w:ascii="宋体" w:hAnsi="宋体" w:eastAsia="宋体" w:cs="宋体"/>
                <w:i w:val="0"/>
                <w:color w:val="000000"/>
                <w:sz w:val="18"/>
                <w:szCs w:val="18"/>
                <w:u w:val="none"/>
              </w:rPr>
            </w:pPr>
          </w:p>
        </w:tc>
        <w:tc>
          <w:tcPr>
            <w:tcW w:w="1680" w:type="dxa"/>
            <w:tcBorders>
              <w:top w:val="nil"/>
              <w:left w:val="nil"/>
              <w:bottom w:val="nil"/>
              <w:right w:val="nil"/>
            </w:tcBorders>
            <w:shd w:val="clear" w:color="auto" w:fill="auto"/>
            <w:tcMar>
              <w:top w:w="15" w:type="dxa"/>
              <w:left w:w="15" w:type="dxa"/>
              <w:right w:w="15" w:type="dxa"/>
            </w:tcMar>
            <w:vAlign w:val="center"/>
          </w:tcPr>
          <w:p w14:paraId="709C4024">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4CA4B3D4">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7A23A6A2">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567FBE52">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65826512">
            <w:pPr>
              <w:rPr>
                <w:rFonts w:hint="eastAsia" w:ascii="宋体" w:hAnsi="宋体" w:eastAsia="宋体" w:cs="宋体"/>
                <w:i w:val="0"/>
                <w:color w:val="000000"/>
                <w:sz w:val="18"/>
                <w:szCs w:val="18"/>
                <w:u w:val="none"/>
              </w:rPr>
            </w:pPr>
          </w:p>
        </w:tc>
        <w:tc>
          <w:tcPr>
            <w:tcW w:w="2550" w:type="dxa"/>
            <w:tcBorders>
              <w:top w:val="nil"/>
              <w:left w:val="nil"/>
              <w:bottom w:val="nil"/>
              <w:right w:val="nil"/>
            </w:tcBorders>
            <w:shd w:val="clear" w:color="auto" w:fill="auto"/>
            <w:tcMar>
              <w:top w:w="15" w:type="dxa"/>
              <w:left w:w="15" w:type="dxa"/>
              <w:right w:w="15" w:type="dxa"/>
            </w:tcMar>
            <w:vAlign w:val="center"/>
          </w:tcPr>
          <w:p w14:paraId="6D6BCDD2">
            <w:pPr>
              <w:rPr>
                <w:rFonts w:hint="eastAsia" w:ascii="宋体" w:hAnsi="宋体" w:eastAsia="宋体" w:cs="宋体"/>
                <w:i w:val="0"/>
                <w:color w:val="000000"/>
                <w:sz w:val="18"/>
                <w:szCs w:val="18"/>
                <w:u w:val="none"/>
              </w:rPr>
            </w:pPr>
          </w:p>
        </w:tc>
      </w:tr>
      <w:tr w14:paraId="3DC82324">
        <w:tblPrEx>
          <w:shd w:val="clear" w:color="auto" w:fill="auto"/>
          <w:tblCellMar>
            <w:top w:w="0" w:type="dxa"/>
            <w:left w:w="0" w:type="dxa"/>
            <w:bottom w:w="0" w:type="dxa"/>
            <w:right w:w="0" w:type="dxa"/>
          </w:tblCellMar>
        </w:tblPrEx>
        <w:trPr>
          <w:trHeight w:val="285" w:hRule="atLeast"/>
        </w:trPr>
        <w:tc>
          <w:tcPr>
            <w:tcW w:w="690" w:type="dxa"/>
            <w:tcBorders>
              <w:top w:val="nil"/>
              <w:left w:val="nil"/>
              <w:bottom w:val="nil"/>
              <w:right w:val="nil"/>
            </w:tcBorders>
            <w:shd w:val="clear" w:color="auto" w:fill="auto"/>
            <w:tcMar>
              <w:top w:w="15" w:type="dxa"/>
              <w:left w:w="15" w:type="dxa"/>
              <w:right w:w="15" w:type="dxa"/>
            </w:tcMar>
            <w:vAlign w:val="center"/>
          </w:tcPr>
          <w:p w14:paraId="07827E65">
            <w:pPr>
              <w:rPr>
                <w:rFonts w:hint="eastAsia" w:ascii="宋体" w:hAnsi="宋体" w:eastAsia="宋体" w:cs="宋体"/>
                <w:i w:val="0"/>
                <w:color w:val="000000"/>
                <w:sz w:val="18"/>
                <w:szCs w:val="18"/>
                <w:u w:val="none"/>
              </w:rPr>
            </w:pPr>
          </w:p>
        </w:tc>
        <w:tc>
          <w:tcPr>
            <w:tcW w:w="2055" w:type="dxa"/>
            <w:tcBorders>
              <w:top w:val="nil"/>
              <w:left w:val="nil"/>
              <w:bottom w:val="nil"/>
              <w:right w:val="nil"/>
            </w:tcBorders>
            <w:shd w:val="clear" w:color="auto" w:fill="auto"/>
            <w:tcMar>
              <w:top w:w="15" w:type="dxa"/>
              <w:left w:w="15" w:type="dxa"/>
              <w:right w:w="15" w:type="dxa"/>
            </w:tcMar>
            <w:vAlign w:val="center"/>
          </w:tcPr>
          <w:p w14:paraId="5E738181">
            <w:pPr>
              <w:rPr>
                <w:rFonts w:hint="eastAsia" w:ascii="宋体" w:hAnsi="宋体" w:eastAsia="宋体" w:cs="宋体"/>
                <w:i w:val="0"/>
                <w:color w:val="000000"/>
                <w:sz w:val="18"/>
                <w:szCs w:val="18"/>
                <w:u w:val="none"/>
              </w:rPr>
            </w:pPr>
          </w:p>
        </w:tc>
        <w:tc>
          <w:tcPr>
            <w:tcW w:w="1770" w:type="dxa"/>
            <w:tcBorders>
              <w:top w:val="nil"/>
              <w:left w:val="nil"/>
              <w:bottom w:val="nil"/>
              <w:right w:val="nil"/>
            </w:tcBorders>
            <w:shd w:val="clear" w:color="auto" w:fill="auto"/>
            <w:tcMar>
              <w:top w:w="15" w:type="dxa"/>
              <w:left w:w="15" w:type="dxa"/>
              <w:right w:w="15" w:type="dxa"/>
            </w:tcMar>
            <w:vAlign w:val="center"/>
          </w:tcPr>
          <w:p w14:paraId="5B784677">
            <w:pPr>
              <w:rPr>
                <w:rFonts w:hint="eastAsia" w:ascii="宋体" w:hAnsi="宋体" w:eastAsia="宋体" w:cs="宋体"/>
                <w:i w:val="0"/>
                <w:color w:val="000000"/>
                <w:sz w:val="18"/>
                <w:szCs w:val="18"/>
                <w:u w:val="none"/>
              </w:rPr>
            </w:pPr>
          </w:p>
        </w:tc>
        <w:tc>
          <w:tcPr>
            <w:tcW w:w="2265" w:type="dxa"/>
            <w:tcBorders>
              <w:top w:val="nil"/>
              <w:left w:val="nil"/>
              <w:bottom w:val="nil"/>
              <w:right w:val="nil"/>
            </w:tcBorders>
            <w:shd w:val="clear" w:color="auto" w:fill="auto"/>
            <w:tcMar>
              <w:top w:w="15" w:type="dxa"/>
              <w:left w:w="15" w:type="dxa"/>
              <w:right w:w="15" w:type="dxa"/>
            </w:tcMar>
            <w:vAlign w:val="center"/>
          </w:tcPr>
          <w:p w14:paraId="4E808B82">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4A547716">
            <w:pPr>
              <w:rPr>
                <w:rFonts w:hint="eastAsia" w:ascii="宋体" w:hAnsi="宋体" w:eastAsia="宋体" w:cs="宋体"/>
                <w:i w:val="0"/>
                <w:color w:val="000000"/>
                <w:sz w:val="18"/>
                <w:szCs w:val="18"/>
                <w:u w:val="none"/>
              </w:rPr>
            </w:pPr>
          </w:p>
        </w:tc>
        <w:tc>
          <w:tcPr>
            <w:tcW w:w="1680" w:type="dxa"/>
            <w:tcBorders>
              <w:top w:val="nil"/>
              <w:left w:val="nil"/>
              <w:bottom w:val="nil"/>
              <w:right w:val="nil"/>
            </w:tcBorders>
            <w:shd w:val="clear" w:color="auto" w:fill="auto"/>
            <w:tcMar>
              <w:top w:w="15" w:type="dxa"/>
              <w:left w:w="15" w:type="dxa"/>
              <w:right w:w="15" w:type="dxa"/>
            </w:tcMar>
            <w:vAlign w:val="center"/>
          </w:tcPr>
          <w:p w14:paraId="181BBDA4">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4205C1DE">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32E615F2">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72299AC2">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1F215967">
            <w:pPr>
              <w:rPr>
                <w:rFonts w:hint="eastAsia" w:ascii="宋体" w:hAnsi="宋体" w:eastAsia="宋体" w:cs="宋体"/>
                <w:i w:val="0"/>
                <w:color w:val="000000"/>
                <w:sz w:val="18"/>
                <w:szCs w:val="18"/>
                <w:u w:val="none"/>
              </w:rPr>
            </w:pPr>
          </w:p>
        </w:tc>
        <w:tc>
          <w:tcPr>
            <w:tcW w:w="2550" w:type="dxa"/>
            <w:tcBorders>
              <w:top w:val="nil"/>
              <w:left w:val="nil"/>
              <w:bottom w:val="nil"/>
              <w:right w:val="nil"/>
            </w:tcBorders>
            <w:shd w:val="clear" w:color="auto" w:fill="auto"/>
            <w:tcMar>
              <w:top w:w="15" w:type="dxa"/>
              <w:left w:w="15" w:type="dxa"/>
              <w:right w:w="15" w:type="dxa"/>
            </w:tcMar>
            <w:vAlign w:val="center"/>
          </w:tcPr>
          <w:p w14:paraId="3765A25D">
            <w:pPr>
              <w:rPr>
                <w:rFonts w:hint="eastAsia" w:ascii="宋体" w:hAnsi="宋体" w:eastAsia="宋体" w:cs="宋体"/>
                <w:i w:val="0"/>
                <w:color w:val="000000"/>
                <w:sz w:val="18"/>
                <w:szCs w:val="18"/>
                <w:u w:val="none"/>
              </w:rPr>
            </w:pPr>
          </w:p>
        </w:tc>
      </w:tr>
      <w:tr w14:paraId="59D284F6">
        <w:tblPrEx>
          <w:tblCellMar>
            <w:top w:w="0" w:type="dxa"/>
            <w:left w:w="0" w:type="dxa"/>
            <w:bottom w:w="0" w:type="dxa"/>
            <w:right w:w="0"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546E0">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3A5301A">
        <w:tblPrEx>
          <w:shd w:val="clear" w:color="auto" w:fill="auto"/>
          <w:tblCellMar>
            <w:top w:w="0" w:type="dxa"/>
            <w:left w:w="0" w:type="dxa"/>
            <w:bottom w:w="0" w:type="dxa"/>
            <w:right w:w="0"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DD52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1C46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51090323T000009622957-区级“两癌”救助</w:t>
            </w:r>
          </w:p>
        </w:tc>
      </w:tr>
      <w:tr w14:paraId="1F54B0C1">
        <w:tblPrEx>
          <w:tblCellMar>
            <w:top w:w="0" w:type="dxa"/>
            <w:left w:w="0" w:type="dxa"/>
            <w:bottom w:w="0" w:type="dxa"/>
            <w:right w:w="0"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4399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B655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四川省遂宁市船山区妇女联合会部门</w:t>
            </w:r>
          </w:p>
        </w:tc>
        <w:tc>
          <w:tcPr>
            <w:tcW w:w="1095" w:type="dxa"/>
            <w:tcBorders>
              <w:top w:val="nil"/>
              <w:left w:val="nil"/>
              <w:bottom w:val="nil"/>
              <w:right w:val="nil"/>
            </w:tcBorders>
            <w:shd w:val="clear" w:color="auto" w:fill="auto"/>
            <w:tcMar>
              <w:top w:w="15" w:type="dxa"/>
              <w:left w:w="15" w:type="dxa"/>
              <w:right w:w="15" w:type="dxa"/>
            </w:tcMar>
            <w:vAlign w:val="center"/>
          </w:tcPr>
          <w:p w14:paraId="249103F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2AE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w:t>
            </w:r>
          </w:p>
        </w:tc>
      </w:tr>
      <w:tr w14:paraId="40E4154B">
        <w:tblPrEx>
          <w:tblCellMar>
            <w:top w:w="0" w:type="dxa"/>
            <w:left w:w="0" w:type="dxa"/>
            <w:bottom w:w="0" w:type="dxa"/>
            <w:right w:w="0"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6B5C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2738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937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8C6E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EEFAAE3">
        <w:tblPrEx>
          <w:tblCellMar>
            <w:top w:w="0" w:type="dxa"/>
            <w:left w:w="0" w:type="dxa"/>
            <w:bottom w:w="0" w:type="dxa"/>
            <w:right w:w="0"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6AFCF">
            <w:pP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452E2">
            <w:pPr>
              <w:rPr>
                <w:rFonts w:hint="eastAsia" w:ascii="宋体" w:hAnsi="宋体" w:eastAsia="宋体" w:cs="宋体"/>
                <w:i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FBE9F">
            <w:pP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提高患病妇女生活质量，阻断因病返贫，使两癌患病妇女得到保障</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3191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该项目实施可以加强我会了解全区患病妇女的情况。共为</w:t>
            </w:r>
            <w:r>
              <w:rPr>
                <w:rFonts w:hint="eastAsia" w:ascii="宋体" w:hAnsi="宋体" w:cs="宋体"/>
                <w:i w:val="0"/>
                <w:color w:val="000000"/>
                <w:kern w:val="0"/>
                <w:sz w:val="18"/>
                <w:szCs w:val="18"/>
                <w:u w:val="none"/>
                <w:lang w:val="en-US" w:eastAsia="zh-CN" w:bidi="ar"/>
              </w:rPr>
              <w:t>7</w:t>
            </w:r>
            <w:r>
              <w:rPr>
                <w:rFonts w:hint="eastAsia" w:ascii="宋体" w:hAnsi="宋体" w:eastAsia="宋体" w:cs="宋体"/>
                <w:i w:val="0"/>
                <w:color w:val="000000"/>
                <w:kern w:val="0"/>
                <w:sz w:val="18"/>
                <w:szCs w:val="18"/>
                <w:u w:val="none"/>
                <w:lang w:val="en-US" w:eastAsia="zh-CN" w:bidi="ar"/>
              </w:rPr>
              <w:t>名妇女</w:t>
            </w:r>
            <w:r>
              <w:rPr>
                <w:rFonts w:hint="eastAsia" w:ascii="宋体" w:hAnsi="宋体" w:cs="宋体"/>
                <w:i w:val="0"/>
                <w:color w:val="000000"/>
                <w:kern w:val="0"/>
                <w:sz w:val="18"/>
                <w:szCs w:val="18"/>
                <w:u w:val="none"/>
                <w:lang w:val="en-US" w:eastAsia="zh-CN" w:bidi="ar"/>
              </w:rPr>
              <w:t>发放救助.</w:t>
            </w:r>
          </w:p>
        </w:tc>
      </w:tr>
      <w:tr w14:paraId="11A119A8">
        <w:tblPrEx>
          <w:tblCellMar>
            <w:top w:w="0" w:type="dxa"/>
            <w:left w:w="0" w:type="dxa"/>
            <w:bottom w:w="0" w:type="dxa"/>
            <w:right w:w="0"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923B2">
            <w:pP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032C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A3D8C">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坚定正确政治方向，帮助妇女摆脱病痛之苦。找准中心工作切入点，为“两癌”妇女提供帮助；砥砺履行职责，增强妇女获得感、安全感、幸福感</w:t>
            </w:r>
          </w:p>
        </w:tc>
      </w:tr>
      <w:tr w14:paraId="50ED09CE">
        <w:tblPrEx>
          <w:shd w:val="clear" w:color="auto" w:fill="auto"/>
          <w:tblCellMar>
            <w:top w:w="0" w:type="dxa"/>
            <w:left w:w="0" w:type="dxa"/>
            <w:bottom w:w="0" w:type="dxa"/>
            <w:right w:w="0"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F9D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ED6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C1D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289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2D0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796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9D8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004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8D4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E3CCB3B">
        <w:tblPrEx>
          <w:tblCellMar>
            <w:top w:w="0" w:type="dxa"/>
            <w:left w:w="0" w:type="dxa"/>
            <w:bottom w:w="0" w:type="dxa"/>
            <w:right w:w="0"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49406">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B5F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BB3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44D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219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72C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703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920A5">
            <w:pPr>
              <w:jc w:val="center"/>
              <w:rPr>
                <w:rFonts w:hint="eastAsia" w:ascii="宋体" w:hAnsi="宋体" w:eastAsia="宋体" w:cs="宋体"/>
                <w:i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57CF9">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F5D56DF">
        <w:tblPrEx>
          <w:tblCellMar>
            <w:top w:w="0" w:type="dxa"/>
            <w:left w:w="0" w:type="dxa"/>
            <w:bottom w:w="0" w:type="dxa"/>
            <w:right w:w="0"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963B6">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A81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313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B38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B3E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D33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4F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7DA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E7E61">
            <w:pPr>
              <w:rPr>
                <w:rFonts w:hint="eastAsia" w:ascii="黑体" w:hAnsi="黑体" w:eastAsia="黑体" w:cs="黑体"/>
                <w:i/>
                <w:color w:val="000000"/>
                <w:sz w:val="18"/>
                <w:szCs w:val="18"/>
                <w:u w:val="none"/>
              </w:rPr>
            </w:pPr>
          </w:p>
        </w:tc>
      </w:tr>
      <w:tr w14:paraId="61C0761D">
        <w:tblPrEx>
          <w:shd w:val="clear" w:color="auto" w:fill="auto"/>
          <w:tblCellMar>
            <w:top w:w="0" w:type="dxa"/>
            <w:left w:w="0" w:type="dxa"/>
            <w:bottom w:w="0" w:type="dxa"/>
            <w:right w:w="0"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0C86B">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F0A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C9E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A22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DBA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41A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24F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B94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5045D">
            <w:pPr>
              <w:rPr>
                <w:rFonts w:hint="eastAsia" w:ascii="黑体" w:hAnsi="黑体" w:eastAsia="黑体" w:cs="黑体"/>
                <w:i/>
                <w:color w:val="000000"/>
                <w:sz w:val="18"/>
                <w:szCs w:val="18"/>
                <w:u w:val="none"/>
              </w:rPr>
            </w:pPr>
          </w:p>
        </w:tc>
      </w:tr>
      <w:tr w14:paraId="3EE9D7F2">
        <w:tblPrEx>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643A9">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921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F41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722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509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AC3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363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11D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4A3F2">
            <w:pPr>
              <w:rPr>
                <w:rFonts w:hint="eastAsia" w:ascii="黑体" w:hAnsi="黑体" w:eastAsia="黑体" w:cs="黑体"/>
                <w:i/>
                <w:color w:val="000000"/>
                <w:sz w:val="18"/>
                <w:szCs w:val="18"/>
                <w:u w:val="none"/>
              </w:rPr>
            </w:pPr>
          </w:p>
        </w:tc>
      </w:tr>
      <w:tr w14:paraId="0A27E705">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31537">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504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0683F">
            <w:pPr>
              <w:jc w:val="center"/>
              <w:rPr>
                <w:rFonts w:hint="eastAsia" w:ascii="微软雅黑" w:hAnsi="微软雅黑" w:eastAsia="微软雅黑" w:cs="微软雅黑"/>
                <w:i/>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995DF">
            <w:pPr>
              <w:jc w:val="center"/>
              <w:rPr>
                <w:rFonts w:hint="eastAsia" w:ascii="微软雅黑" w:hAnsi="微软雅黑" w:eastAsia="微软雅黑" w:cs="微软雅黑"/>
                <w:i/>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D8B8C">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363BE">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42D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C61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415E8">
            <w:pPr>
              <w:rPr>
                <w:rFonts w:hint="eastAsia" w:ascii="黑体" w:hAnsi="黑体" w:eastAsia="黑体" w:cs="黑体"/>
                <w:i/>
                <w:color w:val="000000"/>
                <w:sz w:val="18"/>
                <w:szCs w:val="18"/>
                <w:u w:val="none"/>
              </w:rPr>
            </w:pPr>
          </w:p>
        </w:tc>
      </w:tr>
      <w:tr w14:paraId="04395086">
        <w:tblPrEx>
          <w:tblCellMar>
            <w:top w:w="0" w:type="dxa"/>
            <w:left w:w="0" w:type="dxa"/>
            <w:bottom w:w="0" w:type="dxa"/>
            <w:right w:w="0"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69D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FAC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836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8D2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807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1EC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8F6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E8D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935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F31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A48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BAA4053">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CB037">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324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64E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75E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救助人数</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0EA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1F8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1F4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5FF60">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3DD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7A945">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BEF5A">
            <w:pPr>
              <w:jc w:val="center"/>
              <w:rPr>
                <w:rFonts w:hint="eastAsia" w:ascii="微软雅黑" w:hAnsi="微软雅黑" w:eastAsia="微软雅黑" w:cs="微软雅黑"/>
                <w:i/>
                <w:color w:val="000000"/>
                <w:sz w:val="16"/>
                <w:szCs w:val="16"/>
                <w:u w:val="none"/>
              </w:rPr>
            </w:pPr>
          </w:p>
        </w:tc>
      </w:tr>
      <w:tr w14:paraId="1C6D9901">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5F8A8">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F9B6B">
            <w:pPr>
              <w:jc w:val="center"/>
              <w:rPr>
                <w:rFonts w:hint="eastAsia" w:ascii="宋体" w:hAnsi="宋体" w:eastAsia="宋体" w:cs="宋体"/>
                <w:i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A50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E93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增强妇女幸福感</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1C6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0FE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43E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47C27">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5EA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5977E">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14081">
            <w:pPr>
              <w:jc w:val="center"/>
              <w:rPr>
                <w:rFonts w:hint="eastAsia" w:ascii="微软雅黑" w:hAnsi="微软雅黑" w:eastAsia="微软雅黑" w:cs="微软雅黑"/>
                <w:i/>
                <w:color w:val="000000"/>
                <w:sz w:val="16"/>
                <w:szCs w:val="16"/>
                <w:u w:val="none"/>
              </w:rPr>
            </w:pPr>
          </w:p>
        </w:tc>
      </w:tr>
      <w:tr w14:paraId="07247720">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74D87">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96EC5">
            <w:pPr>
              <w:jc w:val="center"/>
              <w:rPr>
                <w:rFonts w:hint="eastAsia" w:ascii="宋体" w:hAnsi="宋体" w:eastAsia="宋体" w:cs="宋体"/>
                <w:i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8EC34">
            <w:pPr>
              <w:jc w:val="center"/>
              <w:rPr>
                <w:rFonts w:hint="eastAsia" w:ascii="宋体" w:hAnsi="宋体" w:eastAsia="宋体" w:cs="宋体"/>
                <w:i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478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90B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FBC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7DC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74F53">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A35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238B9">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1A5AC">
            <w:pPr>
              <w:jc w:val="center"/>
              <w:rPr>
                <w:rFonts w:hint="eastAsia" w:ascii="微软雅黑" w:hAnsi="微软雅黑" w:eastAsia="微软雅黑" w:cs="微软雅黑"/>
                <w:i/>
                <w:color w:val="000000"/>
                <w:sz w:val="16"/>
                <w:szCs w:val="16"/>
                <w:u w:val="none"/>
              </w:rPr>
            </w:pPr>
          </w:p>
        </w:tc>
      </w:tr>
      <w:tr w14:paraId="4DA26A8B">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9D45D">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3570C">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103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045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资金下达及时率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E14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EC4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A4B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8DAA1">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04A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FBE68">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B5186">
            <w:pPr>
              <w:jc w:val="center"/>
              <w:rPr>
                <w:rFonts w:hint="eastAsia" w:ascii="微软雅黑" w:hAnsi="微软雅黑" w:eastAsia="微软雅黑" w:cs="微软雅黑"/>
                <w:i/>
                <w:color w:val="000000"/>
                <w:sz w:val="16"/>
                <w:szCs w:val="16"/>
                <w:u w:val="none"/>
              </w:rPr>
            </w:pPr>
          </w:p>
        </w:tc>
      </w:tr>
      <w:tr w14:paraId="76C9AA78">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93F0">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71D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EBC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50F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部门正常运转率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C58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0B7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1EF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6BAFE">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934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5730C">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25110">
            <w:pPr>
              <w:jc w:val="center"/>
              <w:rPr>
                <w:rFonts w:hint="eastAsia" w:ascii="微软雅黑" w:hAnsi="微软雅黑" w:eastAsia="微软雅黑" w:cs="微软雅黑"/>
                <w:i/>
                <w:color w:val="000000"/>
                <w:sz w:val="16"/>
                <w:szCs w:val="16"/>
                <w:u w:val="none"/>
              </w:rPr>
            </w:pPr>
          </w:p>
        </w:tc>
      </w:tr>
      <w:tr w14:paraId="0E2C2713">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15439">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E92E9">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4A6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828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内控制度健全性</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2C3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2A4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优良差</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623CF">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CA21B">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1AD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CFC2E">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14EC0">
            <w:pPr>
              <w:jc w:val="center"/>
              <w:rPr>
                <w:rFonts w:hint="eastAsia" w:ascii="微软雅黑" w:hAnsi="微软雅黑" w:eastAsia="微软雅黑" w:cs="微软雅黑"/>
                <w:i/>
                <w:color w:val="000000"/>
                <w:sz w:val="16"/>
                <w:szCs w:val="16"/>
                <w:u w:val="none"/>
              </w:rPr>
            </w:pPr>
          </w:p>
        </w:tc>
      </w:tr>
      <w:tr w14:paraId="6D9D7662">
        <w:tblPrEx>
          <w:tblCellMar>
            <w:top w:w="0" w:type="dxa"/>
            <w:left w:w="0" w:type="dxa"/>
            <w:bottom w:w="0" w:type="dxa"/>
            <w:right w:w="0"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4698E">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339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68E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614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救助对象满意度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815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E61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9D9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A39EE">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3F1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8D220">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87BD2">
            <w:pPr>
              <w:jc w:val="center"/>
              <w:rPr>
                <w:rFonts w:hint="eastAsia" w:ascii="微软雅黑" w:hAnsi="微软雅黑" w:eastAsia="微软雅黑" w:cs="微软雅黑"/>
                <w:i/>
                <w:color w:val="000000"/>
                <w:sz w:val="16"/>
                <w:szCs w:val="16"/>
                <w:u w:val="none"/>
              </w:rPr>
            </w:pPr>
          </w:p>
        </w:tc>
      </w:tr>
      <w:tr w14:paraId="0EF4ECE3">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CA671">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2A5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FA5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079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项目总成本</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FB4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F1E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282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EC490">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66A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B5245">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DA2B0">
            <w:pPr>
              <w:jc w:val="center"/>
              <w:rPr>
                <w:rFonts w:hint="eastAsia" w:ascii="微软雅黑" w:hAnsi="微软雅黑" w:eastAsia="微软雅黑" w:cs="微软雅黑"/>
                <w:i/>
                <w:color w:val="000000"/>
                <w:sz w:val="16"/>
                <w:szCs w:val="16"/>
                <w:u w:val="none"/>
              </w:rPr>
            </w:pPr>
          </w:p>
        </w:tc>
      </w:tr>
      <w:tr w14:paraId="7D91A0E4">
        <w:tblPrEx>
          <w:tblCellMar>
            <w:top w:w="0" w:type="dxa"/>
            <w:left w:w="0" w:type="dxa"/>
            <w:bottom w:w="0" w:type="dxa"/>
            <w:right w:w="0"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2F5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906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FAFC9">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51046">
            <w:pPr>
              <w:rPr>
                <w:rFonts w:hint="eastAsia" w:ascii="宋体" w:hAnsi="宋体" w:eastAsia="宋体" w:cs="宋体"/>
                <w:i w:val="0"/>
                <w:color w:val="000000"/>
                <w:sz w:val="18"/>
                <w:szCs w:val="18"/>
                <w:u w:val="none"/>
              </w:rPr>
            </w:pPr>
          </w:p>
        </w:tc>
      </w:tr>
      <w:tr w14:paraId="43B9C2E0">
        <w:tblPrEx>
          <w:tblCellMar>
            <w:top w:w="0" w:type="dxa"/>
            <w:left w:w="0" w:type="dxa"/>
            <w:bottom w:w="0" w:type="dxa"/>
            <w:right w:w="0"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030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3092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仿宋_GB2312"/>
                <w:sz w:val="32"/>
                <w:szCs w:val="32"/>
                <w:lang w:val="en-US" w:eastAsia="zh-CN"/>
              </w:rPr>
              <w:t xml:space="preserve"> </w:t>
            </w: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年度我单位预算项目安排较为合理，项目经费保障了我会日常工作的正常运转，项目经费做到了专款专用，资金使用效果较好，项目绩效自评得分97分</w:t>
            </w:r>
          </w:p>
        </w:tc>
      </w:tr>
      <w:tr w14:paraId="50B0135B">
        <w:tblPrEx>
          <w:tblCellMar>
            <w:top w:w="0" w:type="dxa"/>
            <w:left w:w="0" w:type="dxa"/>
            <w:bottom w:w="0" w:type="dxa"/>
            <w:right w:w="0"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C73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831E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支出科目设置不够细化，不能完整反映项目资金使用情况</w:t>
            </w:r>
          </w:p>
        </w:tc>
      </w:tr>
      <w:tr w14:paraId="34FA8097">
        <w:tblPrEx>
          <w:shd w:val="clear" w:color="auto" w:fill="auto"/>
          <w:tblCellMar>
            <w:top w:w="0" w:type="dxa"/>
            <w:left w:w="0" w:type="dxa"/>
            <w:bottom w:w="0" w:type="dxa"/>
            <w:right w:w="0"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F45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D562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规范账务处理，提高财务信息质量。严格按照《会计法》、《行政单位会计制度》、《行政单位财务规则》等规定，结合实际情况，科学设置支出科目，规范财务核算，完整反映相关信息。</w:t>
            </w:r>
            <w:r>
              <w:rPr>
                <w:rFonts w:hint="eastAsia" w:ascii="宋体" w:hAnsi="宋体" w:eastAsia="宋体" w:cs="宋体"/>
                <w:i w:val="0"/>
                <w:color w:val="000000"/>
                <w:kern w:val="0"/>
                <w:sz w:val="18"/>
                <w:szCs w:val="18"/>
                <w:u w:val="none"/>
                <w:lang w:val="en-US" w:eastAsia="zh-CN" w:bidi="ar"/>
              </w:rPr>
              <w:br w:type="textWrapping"/>
            </w:r>
          </w:p>
        </w:tc>
      </w:tr>
      <w:tr w14:paraId="6BF7ED63">
        <w:tblPrEx>
          <w:tblCellMar>
            <w:top w:w="0" w:type="dxa"/>
            <w:left w:w="0" w:type="dxa"/>
            <w:bottom w:w="0" w:type="dxa"/>
            <w:right w:w="0"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F518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4676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F877643">
        <w:tblPrEx>
          <w:tblCellMar>
            <w:top w:w="0" w:type="dxa"/>
            <w:left w:w="0" w:type="dxa"/>
            <w:bottom w:w="0" w:type="dxa"/>
            <w:right w:w="0" w:type="dxa"/>
          </w:tblCellMar>
        </w:tblPrEx>
        <w:trPr>
          <w:trHeight w:val="285" w:hRule="atLeast"/>
        </w:trPr>
        <w:tc>
          <w:tcPr>
            <w:tcW w:w="690" w:type="dxa"/>
            <w:tcBorders>
              <w:top w:val="nil"/>
              <w:left w:val="nil"/>
              <w:bottom w:val="nil"/>
              <w:right w:val="nil"/>
            </w:tcBorders>
            <w:shd w:val="clear" w:color="auto" w:fill="auto"/>
            <w:tcMar>
              <w:top w:w="15" w:type="dxa"/>
              <w:left w:w="15" w:type="dxa"/>
              <w:right w:w="15" w:type="dxa"/>
            </w:tcMar>
            <w:vAlign w:val="center"/>
          </w:tcPr>
          <w:p w14:paraId="4023D7CD">
            <w:pPr>
              <w:rPr>
                <w:rFonts w:hint="eastAsia" w:ascii="宋体" w:hAnsi="宋体" w:eastAsia="宋体" w:cs="宋体"/>
                <w:i w:val="0"/>
                <w:color w:val="000000"/>
                <w:sz w:val="18"/>
                <w:szCs w:val="18"/>
                <w:u w:val="none"/>
              </w:rPr>
            </w:pPr>
          </w:p>
        </w:tc>
        <w:tc>
          <w:tcPr>
            <w:tcW w:w="2055" w:type="dxa"/>
            <w:tcBorders>
              <w:top w:val="nil"/>
              <w:left w:val="nil"/>
              <w:bottom w:val="nil"/>
              <w:right w:val="nil"/>
            </w:tcBorders>
            <w:shd w:val="clear" w:color="auto" w:fill="auto"/>
            <w:tcMar>
              <w:top w:w="15" w:type="dxa"/>
              <w:left w:w="15" w:type="dxa"/>
              <w:right w:w="15" w:type="dxa"/>
            </w:tcMar>
            <w:vAlign w:val="center"/>
          </w:tcPr>
          <w:p w14:paraId="65DF89F8">
            <w:pPr>
              <w:rPr>
                <w:rFonts w:hint="eastAsia" w:ascii="宋体" w:hAnsi="宋体" w:eastAsia="宋体" w:cs="宋体"/>
                <w:i w:val="0"/>
                <w:color w:val="000000"/>
                <w:sz w:val="18"/>
                <w:szCs w:val="18"/>
                <w:u w:val="none"/>
              </w:rPr>
            </w:pPr>
          </w:p>
        </w:tc>
        <w:tc>
          <w:tcPr>
            <w:tcW w:w="1770" w:type="dxa"/>
            <w:tcBorders>
              <w:top w:val="nil"/>
              <w:left w:val="nil"/>
              <w:bottom w:val="nil"/>
              <w:right w:val="nil"/>
            </w:tcBorders>
            <w:shd w:val="clear" w:color="auto" w:fill="auto"/>
            <w:tcMar>
              <w:top w:w="15" w:type="dxa"/>
              <w:left w:w="15" w:type="dxa"/>
              <w:right w:w="15" w:type="dxa"/>
            </w:tcMar>
            <w:vAlign w:val="center"/>
          </w:tcPr>
          <w:p w14:paraId="224D5E87">
            <w:pPr>
              <w:rPr>
                <w:rFonts w:hint="eastAsia" w:ascii="宋体" w:hAnsi="宋体" w:eastAsia="宋体" w:cs="宋体"/>
                <w:i w:val="0"/>
                <w:color w:val="000000"/>
                <w:sz w:val="18"/>
                <w:szCs w:val="18"/>
                <w:u w:val="none"/>
              </w:rPr>
            </w:pPr>
          </w:p>
          <w:p w14:paraId="09C1E4B4">
            <w:pPr>
              <w:pStyle w:val="8"/>
              <w:rPr>
                <w:rFonts w:hint="eastAsia"/>
              </w:rPr>
            </w:pPr>
          </w:p>
        </w:tc>
        <w:tc>
          <w:tcPr>
            <w:tcW w:w="2265" w:type="dxa"/>
            <w:tcBorders>
              <w:top w:val="nil"/>
              <w:left w:val="nil"/>
              <w:bottom w:val="nil"/>
              <w:right w:val="nil"/>
            </w:tcBorders>
            <w:shd w:val="clear" w:color="auto" w:fill="auto"/>
            <w:tcMar>
              <w:top w:w="15" w:type="dxa"/>
              <w:left w:w="15" w:type="dxa"/>
              <w:right w:w="15" w:type="dxa"/>
            </w:tcMar>
            <w:vAlign w:val="center"/>
          </w:tcPr>
          <w:p w14:paraId="0C584EDB">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14529C34">
            <w:pPr>
              <w:rPr>
                <w:rFonts w:hint="eastAsia" w:ascii="宋体" w:hAnsi="宋体" w:eastAsia="宋体" w:cs="宋体"/>
                <w:i w:val="0"/>
                <w:color w:val="000000"/>
                <w:sz w:val="18"/>
                <w:szCs w:val="18"/>
                <w:u w:val="none"/>
              </w:rPr>
            </w:pPr>
          </w:p>
        </w:tc>
        <w:tc>
          <w:tcPr>
            <w:tcW w:w="1680" w:type="dxa"/>
            <w:tcBorders>
              <w:top w:val="nil"/>
              <w:left w:val="nil"/>
              <w:bottom w:val="nil"/>
              <w:right w:val="nil"/>
            </w:tcBorders>
            <w:shd w:val="clear" w:color="auto" w:fill="auto"/>
            <w:tcMar>
              <w:top w:w="15" w:type="dxa"/>
              <w:left w:w="15" w:type="dxa"/>
              <w:right w:w="15" w:type="dxa"/>
            </w:tcMar>
            <w:vAlign w:val="center"/>
          </w:tcPr>
          <w:p w14:paraId="37B5B210">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68E2D8A4">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3E3925CD">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70137229">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1A7ED14E">
            <w:pPr>
              <w:rPr>
                <w:rFonts w:hint="eastAsia" w:ascii="宋体" w:hAnsi="宋体" w:eastAsia="宋体" w:cs="宋体"/>
                <w:i w:val="0"/>
                <w:color w:val="000000"/>
                <w:sz w:val="18"/>
                <w:szCs w:val="18"/>
                <w:u w:val="none"/>
              </w:rPr>
            </w:pPr>
          </w:p>
        </w:tc>
        <w:tc>
          <w:tcPr>
            <w:tcW w:w="2550" w:type="dxa"/>
            <w:tcBorders>
              <w:top w:val="nil"/>
              <w:left w:val="nil"/>
              <w:bottom w:val="nil"/>
              <w:right w:val="nil"/>
            </w:tcBorders>
            <w:shd w:val="clear" w:color="auto" w:fill="auto"/>
            <w:tcMar>
              <w:top w:w="15" w:type="dxa"/>
              <w:left w:w="15" w:type="dxa"/>
              <w:right w:w="15" w:type="dxa"/>
            </w:tcMar>
            <w:vAlign w:val="center"/>
          </w:tcPr>
          <w:p w14:paraId="3323E260">
            <w:pPr>
              <w:rPr>
                <w:rFonts w:hint="eastAsia" w:ascii="宋体" w:hAnsi="宋体" w:eastAsia="宋体" w:cs="宋体"/>
                <w:i w:val="0"/>
                <w:color w:val="000000"/>
                <w:sz w:val="18"/>
                <w:szCs w:val="18"/>
                <w:u w:val="none"/>
              </w:rPr>
            </w:pPr>
          </w:p>
        </w:tc>
      </w:tr>
      <w:tr w14:paraId="77E7036D">
        <w:tblPrEx>
          <w:tblCellMar>
            <w:top w:w="0" w:type="dxa"/>
            <w:left w:w="0" w:type="dxa"/>
            <w:bottom w:w="0" w:type="dxa"/>
            <w:right w:w="0"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D07C4">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21730485">
        <w:tblPrEx>
          <w:tblCellMar>
            <w:top w:w="0" w:type="dxa"/>
            <w:left w:w="0" w:type="dxa"/>
            <w:bottom w:w="0" w:type="dxa"/>
            <w:right w:w="0"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6609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5494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51090323T000009622960-区级“两癌”保险</w:t>
            </w:r>
          </w:p>
        </w:tc>
      </w:tr>
      <w:tr w14:paraId="364EB402">
        <w:tblPrEx>
          <w:shd w:val="clear" w:color="auto" w:fill="auto"/>
          <w:tblCellMar>
            <w:top w:w="0" w:type="dxa"/>
            <w:left w:w="0" w:type="dxa"/>
            <w:bottom w:w="0" w:type="dxa"/>
            <w:right w:w="0"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D344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E297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四川省遂宁市船山区妇女联合会部门</w:t>
            </w:r>
          </w:p>
        </w:tc>
        <w:tc>
          <w:tcPr>
            <w:tcW w:w="1095" w:type="dxa"/>
            <w:tcBorders>
              <w:top w:val="nil"/>
              <w:left w:val="nil"/>
              <w:bottom w:val="nil"/>
              <w:right w:val="nil"/>
            </w:tcBorders>
            <w:shd w:val="clear" w:color="auto" w:fill="auto"/>
            <w:tcMar>
              <w:top w:w="15" w:type="dxa"/>
              <w:left w:w="15" w:type="dxa"/>
              <w:right w:w="15" w:type="dxa"/>
            </w:tcMar>
            <w:vAlign w:val="center"/>
          </w:tcPr>
          <w:p w14:paraId="18B70CF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1FB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w:t>
            </w:r>
          </w:p>
        </w:tc>
      </w:tr>
      <w:tr w14:paraId="7C074F8E">
        <w:tblPrEx>
          <w:tblCellMar>
            <w:top w:w="0" w:type="dxa"/>
            <w:left w:w="0" w:type="dxa"/>
            <w:bottom w:w="0" w:type="dxa"/>
            <w:right w:w="0"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EA0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6181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A49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2A99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183DD88">
        <w:tblPrEx>
          <w:tblCellMar>
            <w:top w:w="0" w:type="dxa"/>
            <w:left w:w="0" w:type="dxa"/>
            <w:bottom w:w="0" w:type="dxa"/>
            <w:right w:w="0"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32312">
            <w:pP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071D8">
            <w:pPr>
              <w:rPr>
                <w:rFonts w:hint="eastAsia" w:ascii="宋体" w:hAnsi="宋体" w:eastAsia="宋体" w:cs="宋体"/>
                <w:i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BEA32">
            <w:pP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提高患病妇女生活质量，阻断因病返贫，使两癌患病妇女得到保障</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6C3F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该项目实施可以加强我会了解全区患病妇女的情况。共为</w:t>
            </w:r>
            <w:r>
              <w:rPr>
                <w:rFonts w:hint="eastAsia" w:ascii="宋体" w:hAnsi="宋体" w:cs="宋体"/>
                <w:i w:val="0"/>
                <w:color w:val="000000"/>
                <w:kern w:val="0"/>
                <w:sz w:val="18"/>
                <w:szCs w:val="18"/>
                <w:u w:val="none"/>
                <w:lang w:val="en-US" w:eastAsia="zh-CN" w:bidi="ar"/>
              </w:rPr>
              <w:t>5122</w:t>
            </w:r>
            <w:r>
              <w:rPr>
                <w:rFonts w:hint="eastAsia" w:ascii="宋体" w:hAnsi="宋体" w:eastAsia="宋体" w:cs="宋体"/>
                <w:i w:val="0"/>
                <w:color w:val="000000"/>
                <w:kern w:val="0"/>
                <w:sz w:val="18"/>
                <w:szCs w:val="18"/>
                <w:u w:val="none"/>
                <w:lang w:val="en-US" w:eastAsia="zh-CN" w:bidi="ar"/>
              </w:rPr>
              <w:t>名妇女购买了保险</w:t>
            </w:r>
            <w:r>
              <w:rPr>
                <w:rFonts w:hint="eastAsia" w:ascii="宋体" w:hAnsi="宋体" w:cs="宋体"/>
                <w:i w:val="0"/>
                <w:color w:val="000000"/>
                <w:kern w:val="0"/>
                <w:sz w:val="18"/>
                <w:szCs w:val="18"/>
                <w:u w:val="none"/>
                <w:lang w:val="en-US" w:eastAsia="zh-CN" w:bidi="ar"/>
              </w:rPr>
              <w:t>.</w:t>
            </w:r>
          </w:p>
        </w:tc>
      </w:tr>
      <w:tr w14:paraId="170F3CC3">
        <w:tblPrEx>
          <w:shd w:val="clear" w:color="auto" w:fill="auto"/>
          <w:tblCellMar>
            <w:top w:w="0" w:type="dxa"/>
            <w:left w:w="0" w:type="dxa"/>
            <w:bottom w:w="0" w:type="dxa"/>
            <w:right w:w="0"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842C5">
            <w:pP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4457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A1E99">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坚定正确政治方向，帮助妇女摆脱病痛之苦。找准中心工作切入点，为“两癌”妇女提供帮助；砥砺履行职责，增强妇女获得感、安全感、幸福感</w:t>
            </w:r>
          </w:p>
        </w:tc>
      </w:tr>
      <w:tr w14:paraId="49F3EAE2">
        <w:tblPrEx>
          <w:tblCellMar>
            <w:top w:w="0" w:type="dxa"/>
            <w:left w:w="0" w:type="dxa"/>
            <w:bottom w:w="0" w:type="dxa"/>
            <w:right w:w="0"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62E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4BA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40C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CC6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067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703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BB2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91F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14B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16AB51A">
        <w:tblPrEx>
          <w:tblCellMar>
            <w:top w:w="0" w:type="dxa"/>
            <w:left w:w="0" w:type="dxa"/>
            <w:bottom w:w="0" w:type="dxa"/>
            <w:right w:w="0"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29722">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209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C98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9A8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16.39</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2A9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16.39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B42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085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488B7">
            <w:pPr>
              <w:jc w:val="center"/>
              <w:rPr>
                <w:rFonts w:hint="eastAsia" w:ascii="宋体" w:hAnsi="宋体" w:eastAsia="宋体" w:cs="宋体"/>
                <w:i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C6DEB">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4D18F26">
        <w:tblPrEx>
          <w:shd w:val="clear" w:color="auto" w:fill="auto"/>
          <w:tblCellMar>
            <w:top w:w="0" w:type="dxa"/>
            <w:left w:w="0" w:type="dxa"/>
            <w:bottom w:w="0" w:type="dxa"/>
            <w:right w:w="0"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24C26">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A8C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56E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D82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16.39</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D50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16.39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6AB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86F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E3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ECA02">
            <w:pPr>
              <w:rPr>
                <w:rFonts w:hint="eastAsia" w:ascii="黑体" w:hAnsi="黑体" w:eastAsia="黑体" w:cs="黑体"/>
                <w:i/>
                <w:color w:val="000000"/>
                <w:sz w:val="18"/>
                <w:szCs w:val="18"/>
                <w:u w:val="none"/>
              </w:rPr>
            </w:pPr>
          </w:p>
        </w:tc>
      </w:tr>
      <w:tr w14:paraId="2BDC573F">
        <w:tblPrEx>
          <w:tblCellMar>
            <w:top w:w="0" w:type="dxa"/>
            <w:left w:w="0" w:type="dxa"/>
            <w:bottom w:w="0" w:type="dxa"/>
            <w:right w:w="0"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9C4CD">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85D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7AF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C0E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3B4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F50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4AA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141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F3214">
            <w:pPr>
              <w:rPr>
                <w:rFonts w:hint="eastAsia" w:ascii="黑体" w:hAnsi="黑体" w:eastAsia="黑体" w:cs="黑体"/>
                <w:i/>
                <w:color w:val="000000"/>
                <w:sz w:val="18"/>
                <w:szCs w:val="18"/>
                <w:u w:val="none"/>
              </w:rPr>
            </w:pPr>
          </w:p>
        </w:tc>
      </w:tr>
      <w:tr w14:paraId="00BED019">
        <w:tblPrEx>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9923C">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F0C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E1C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E98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460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630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609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2FE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2AB20">
            <w:pPr>
              <w:rPr>
                <w:rFonts w:hint="eastAsia" w:ascii="黑体" w:hAnsi="黑体" w:eastAsia="黑体" w:cs="黑体"/>
                <w:i/>
                <w:color w:val="000000"/>
                <w:sz w:val="18"/>
                <w:szCs w:val="18"/>
                <w:u w:val="none"/>
              </w:rPr>
            </w:pPr>
          </w:p>
        </w:tc>
      </w:tr>
      <w:tr w14:paraId="1DF289F7">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FD255">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68B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9007B">
            <w:pPr>
              <w:jc w:val="center"/>
              <w:rPr>
                <w:rFonts w:hint="eastAsia" w:ascii="微软雅黑" w:hAnsi="微软雅黑" w:eastAsia="微软雅黑" w:cs="微软雅黑"/>
                <w:i/>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364A4">
            <w:pPr>
              <w:jc w:val="center"/>
              <w:rPr>
                <w:rFonts w:hint="eastAsia" w:ascii="微软雅黑" w:hAnsi="微软雅黑" w:eastAsia="微软雅黑" w:cs="微软雅黑"/>
                <w:i/>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0354D">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BF9D1">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D8B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41A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4B299">
            <w:pPr>
              <w:rPr>
                <w:rFonts w:hint="eastAsia" w:ascii="黑体" w:hAnsi="黑体" w:eastAsia="黑体" w:cs="黑体"/>
                <w:i/>
                <w:color w:val="000000"/>
                <w:sz w:val="18"/>
                <w:szCs w:val="18"/>
                <w:u w:val="none"/>
              </w:rPr>
            </w:pPr>
          </w:p>
        </w:tc>
      </w:tr>
      <w:tr w14:paraId="310BFA05">
        <w:tblPrEx>
          <w:tblCellMar>
            <w:top w:w="0" w:type="dxa"/>
            <w:left w:w="0" w:type="dxa"/>
            <w:bottom w:w="0" w:type="dxa"/>
            <w:right w:w="0"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3E2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239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C5D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E42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84F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6DF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1B5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D5A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C27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6BE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C0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118D3E3">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2BEA2">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F35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376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D87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帮助人数</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235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7D4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5122</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16C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293AF">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9D3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7668D">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0D1B3">
            <w:pPr>
              <w:jc w:val="center"/>
              <w:rPr>
                <w:rFonts w:hint="eastAsia" w:ascii="微软雅黑" w:hAnsi="微软雅黑" w:eastAsia="微软雅黑" w:cs="微软雅黑"/>
                <w:i/>
                <w:color w:val="000000"/>
                <w:sz w:val="16"/>
                <w:szCs w:val="16"/>
                <w:u w:val="none"/>
              </w:rPr>
            </w:pPr>
          </w:p>
        </w:tc>
      </w:tr>
      <w:tr w14:paraId="769B8B4F">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B64CC">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013A4">
            <w:pPr>
              <w:jc w:val="center"/>
              <w:rPr>
                <w:rFonts w:hint="eastAsia" w:ascii="宋体" w:hAnsi="宋体" w:eastAsia="宋体" w:cs="宋体"/>
                <w:i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03B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397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C1D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9BC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C6A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BBED">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29B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1148D">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0C622">
            <w:pPr>
              <w:jc w:val="center"/>
              <w:rPr>
                <w:rFonts w:hint="eastAsia" w:ascii="微软雅黑" w:hAnsi="微软雅黑" w:eastAsia="微软雅黑" w:cs="微软雅黑"/>
                <w:i/>
                <w:color w:val="000000"/>
                <w:sz w:val="16"/>
                <w:szCs w:val="16"/>
                <w:u w:val="none"/>
              </w:rPr>
            </w:pPr>
          </w:p>
        </w:tc>
      </w:tr>
      <w:tr w14:paraId="7601E75F">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0041E">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9BC09">
            <w:pPr>
              <w:jc w:val="center"/>
              <w:rPr>
                <w:rFonts w:hint="eastAsia" w:ascii="宋体" w:hAnsi="宋体" w:eastAsia="宋体" w:cs="宋体"/>
                <w:i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D3D55">
            <w:pPr>
              <w:jc w:val="center"/>
              <w:rPr>
                <w:rFonts w:hint="eastAsia" w:ascii="宋体" w:hAnsi="宋体" w:eastAsia="宋体" w:cs="宋体"/>
                <w:i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F45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保障妇女权益</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873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435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优良差</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54FA4">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CECE9">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10F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B22B8">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48515">
            <w:pPr>
              <w:jc w:val="center"/>
              <w:rPr>
                <w:rFonts w:hint="eastAsia" w:ascii="微软雅黑" w:hAnsi="微软雅黑" w:eastAsia="微软雅黑" w:cs="微软雅黑"/>
                <w:i/>
                <w:color w:val="000000"/>
                <w:sz w:val="16"/>
                <w:szCs w:val="16"/>
                <w:u w:val="none"/>
              </w:rPr>
            </w:pPr>
          </w:p>
        </w:tc>
      </w:tr>
      <w:tr w14:paraId="1FA40AA0">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05367">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0E680">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974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C69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资金下达及时率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024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E47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EB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194C8">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3C9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390FF">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FC68A">
            <w:pPr>
              <w:jc w:val="center"/>
              <w:rPr>
                <w:rFonts w:hint="eastAsia" w:ascii="微软雅黑" w:hAnsi="微软雅黑" w:eastAsia="微软雅黑" w:cs="微软雅黑"/>
                <w:i/>
                <w:color w:val="000000"/>
                <w:sz w:val="16"/>
                <w:szCs w:val="16"/>
                <w:u w:val="none"/>
              </w:rPr>
            </w:pPr>
          </w:p>
        </w:tc>
      </w:tr>
      <w:tr w14:paraId="49EB229C">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382E9">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81E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937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014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部门正常运转率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7F2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312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895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4B018">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75B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22F0E">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599ED">
            <w:pPr>
              <w:jc w:val="center"/>
              <w:rPr>
                <w:rFonts w:hint="eastAsia" w:ascii="微软雅黑" w:hAnsi="微软雅黑" w:eastAsia="微软雅黑" w:cs="微软雅黑"/>
                <w:i/>
                <w:color w:val="000000"/>
                <w:sz w:val="16"/>
                <w:szCs w:val="16"/>
                <w:u w:val="none"/>
              </w:rPr>
            </w:pPr>
          </w:p>
        </w:tc>
      </w:tr>
      <w:tr w14:paraId="2B6A850D">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561F7">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5F9AB">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183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F63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内控制度健全性</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510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FFE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优良差</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4AC1E">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4B606">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6A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C7DDA">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961C1">
            <w:pPr>
              <w:jc w:val="center"/>
              <w:rPr>
                <w:rFonts w:hint="eastAsia" w:ascii="微软雅黑" w:hAnsi="微软雅黑" w:eastAsia="微软雅黑" w:cs="微软雅黑"/>
                <w:i/>
                <w:color w:val="000000"/>
                <w:sz w:val="16"/>
                <w:szCs w:val="16"/>
                <w:u w:val="none"/>
              </w:rPr>
            </w:pPr>
          </w:p>
        </w:tc>
      </w:tr>
      <w:tr w14:paraId="65D50BA9">
        <w:tblPrEx>
          <w:tblCellMar>
            <w:top w:w="0" w:type="dxa"/>
            <w:left w:w="0" w:type="dxa"/>
            <w:bottom w:w="0" w:type="dxa"/>
            <w:right w:w="0"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F344D">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F6F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26A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9C9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B59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913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006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0D2D6">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D88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D42EC">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AD938">
            <w:pPr>
              <w:jc w:val="center"/>
              <w:rPr>
                <w:rFonts w:hint="eastAsia" w:ascii="微软雅黑" w:hAnsi="微软雅黑" w:eastAsia="微软雅黑" w:cs="微软雅黑"/>
                <w:i/>
                <w:color w:val="000000"/>
                <w:sz w:val="16"/>
                <w:szCs w:val="16"/>
                <w:u w:val="none"/>
              </w:rPr>
            </w:pPr>
          </w:p>
        </w:tc>
      </w:tr>
      <w:tr w14:paraId="7B2C84F0">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27640">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35A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9B9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8CE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项目总成本</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C4C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CC3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16.39</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B93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11D41">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753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BBB1B">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94157">
            <w:pPr>
              <w:jc w:val="center"/>
              <w:rPr>
                <w:rFonts w:hint="eastAsia" w:ascii="微软雅黑" w:hAnsi="微软雅黑" w:eastAsia="微软雅黑" w:cs="微软雅黑"/>
                <w:i/>
                <w:color w:val="000000"/>
                <w:sz w:val="16"/>
                <w:szCs w:val="16"/>
                <w:u w:val="none"/>
              </w:rPr>
            </w:pPr>
          </w:p>
        </w:tc>
      </w:tr>
      <w:tr w14:paraId="3DD8E054">
        <w:tblPrEx>
          <w:tblCellMar>
            <w:top w:w="0" w:type="dxa"/>
            <w:left w:w="0" w:type="dxa"/>
            <w:bottom w:w="0" w:type="dxa"/>
            <w:right w:w="0"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683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C95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74397">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7B06F">
            <w:pPr>
              <w:rPr>
                <w:rFonts w:hint="eastAsia" w:ascii="宋体" w:hAnsi="宋体" w:eastAsia="宋体" w:cs="宋体"/>
                <w:i w:val="0"/>
                <w:color w:val="000000"/>
                <w:sz w:val="18"/>
                <w:szCs w:val="18"/>
                <w:u w:val="none"/>
              </w:rPr>
            </w:pPr>
          </w:p>
        </w:tc>
      </w:tr>
      <w:tr w14:paraId="3844D84D">
        <w:tblPrEx>
          <w:tblCellMar>
            <w:top w:w="0" w:type="dxa"/>
            <w:left w:w="0" w:type="dxa"/>
            <w:bottom w:w="0" w:type="dxa"/>
            <w:right w:w="0"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D8E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1BBF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仿宋_GB2312"/>
                <w:sz w:val="32"/>
                <w:szCs w:val="32"/>
                <w:lang w:val="en-US" w:eastAsia="zh-CN"/>
              </w:rPr>
              <w:t xml:space="preserve"> </w:t>
            </w: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年度我单位预算项目安排较为合理，项目经费保障了我会日常工作的正常运转，项目经费做到了专款专用，资金使用效果较好，项目绩效自评得分97分</w:t>
            </w:r>
          </w:p>
        </w:tc>
      </w:tr>
      <w:tr w14:paraId="3DDCE52E">
        <w:tblPrEx>
          <w:tblCellMar>
            <w:top w:w="0" w:type="dxa"/>
            <w:left w:w="0" w:type="dxa"/>
            <w:bottom w:w="0" w:type="dxa"/>
            <w:right w:w="0"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21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88C7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支出科目设置不够细化，不能完整反映项目资金使用情况</w:t>
            </w:r>
          </w:p>
        </w:tc>
      </w:tr>
      <w:tr w14:paraId="3008A20D">
        <w:tblPrEx>
          <w:shd w:val="clear" w:color="auto" w:fill="auto"/>
          <w:tblCellMar>
            <w:top w:w="0" w:type="dxa"/>
            <w:left w:w="0" w:type="dxa"/>
            <w:bottom w:w="0" w:type="dxa"/>
            <w:right w:w="0"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4D3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0A18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规范账务处理，提高财务信息质量。严格按照《会计法》、《行政单位会计制度》、《行政单位财务规则》等规定，结合实际情况，科学设置支出科目，规范财务核算，完整反映相关信息。</w:t>
            </w:r>
            <w:r>
              <w:rPr>
                <w:rFonts w:hint="eastAsia" w:ascii="宋体" w:hAnsi="宋体" w:eastAsia="宋体" w:cs="宋体"/>
                <w:i w:val="0"/>
                <w:color w:val="000000"/>
                <w:kern w:val="0"/>
                <w:sz w:val="18"/>
                <w:szCs w:val="18"/>
                <w:u w:val="none"/>
                <w:lang w:val="en-US" w:eastAsia="zh-CN" w:bidi="ar"/>
              </w:rPr>
              <w:br w:type="textWrapping"/>
            </w:r>
          </w:p>
        </w:tc>
      </w:tr>
      <w:tr w14:paraId="2F76FA98">
        <w:tblPrEx>
          <w:tblCellMar>
            <w:top w:w="0" w:type="dxa"/>
            <w:left w:w="0" w:type="dxa"/>
            <w:bottom w:w="0" w:type="dxa"/>
            <w:right w:w="0"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72B7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C864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65D4C2A">
        <w:tblPrEx>
          <w:tblCellMar>
            <w:top w:w="0" w:type="dxa"/>
            <w:left w:w="0" w:type="dxa"/>
            <w:bottom w:w="0" w:type="dxa"/>
            <w:right w:w="0" w:type="dxa"/>
          </w:tblCellMar>
        </w:tblPrEx>
        <w:trPr>
          <w:trHeight w:val="285" w:hRule="atLeast"/>
        </w:trPr>
        <w:tc>
          <w:tcPr>
            <w:tcW w:w="690" w:type="dxa"/>
            <w:tcBorders>
              <w:top w:val="nil"/>
              <w:left w:val="nil"/>
              <w:bottom w:val="nil"/>
              <w:right w:val="nil"/>
            </w:tcBorders>
            <w:shd w:val="clear" w:color="auto" w:fill="auto"/>
            <w:tcMar>
              <w:top w:w="15" w:type="dxa"/>
              <w:left w:w="15" w:type="dxa"/>
              <w:right w:w="15" w:type="dxa"/>
            </w:tcMar>
            <w:vAlign w:val="center"/>
          </w:tcPr>
          <w:p w14:paraId="1DC53301">
            <w:pPr>
              <w:rPr>
                <w:rFonts w:hint="eastAsia" w:ascii="宋体" w:hAnsi="宋体" w:eastAsia="宋体" w:cs="宋体"/>
                <w:i w:val="0"/>
                <w:color w:val="000000"/>
                <w:sz w:val="18"/>
                <w:szCs w:val="18"/>
                <w:u w:val="none"/>
              </w:rPr>
            </w:pPr>
          </w:p>
        </w:tc>
        <w:tc>
          <w:tcPr>
            <w:tcW w:w="2055" w:type="dxa"/>
            <w:tcBorders>
              <w:top w:val="nil"/>
              <w:left w:val="nil"/>
              <w:bottom w:val="nil"/>
              <w:right w:val="nil"/>
            </w:tcBorders>
            <w:shd w:val="clear" w:color="auto" w:fill="auto"/>
            <w:tcMar>
              <w:top w:w="15" w:type="dxa"/>
              <w:left w:w="15" w:type="dxa"/>
              <w:right w:w="15" w:type="dxa"/>
            </w:tcMar>
            <w:vAlign w:val="center"/>
          </w:tcPr>
          <w:p w14:paraId="3F8E5ADA">
            <w:pPr>
              <w:rPr>
                <w:rFonts w:hint="eastAsia" w:ascii="宋体" w:hAnsi="宋体" w:eastAsia="宋体" w:cs="宋体"/>
                <w:i w:val="0"/>
                <w:color w:val="000000"/>
                <w:sz w:val="18"/>
                <w:szCs w:val="18"/>
                <w:u w:val="none"/>
              </w:rPr>
            </w:pPr>
          </w:p>
        </w:tc>
        <w:tc>
          <w:tcPr>
            <w:tcW w:w="1770" w:type="dxa"/>
            <w:tcBorders>
              <w:top w:val="nil"/>
              <w:left w:val="nil"/>
              <w:bottom w:val="nil"/>
              <w:right w:val="nil"/>
            </w:tcBorders>
            <w:shd w:val="clear" w:color="auto" w:fill="auto"/>
            <w:tcMar>
              <w:top w:w="15" w:type="dxa"/>
              <w:left w:w="15" w:type="dxa"/>
              <w:right w:w="15" w:type="dxa"/>
            </w:tcMar>
            <w:vAlign w:val="center"/>
          </w:tcPr>
          <w:p w14:paraId="317917B3">
            <w:pPr>
              <w:rPr>
                <w:rFonts w:hint="eastAsia" w:ascii="宋体" w:hAnsi="宋体" w:eastAsia="宋体" w:cs="宋体"/>
                <w:i w:val="0"/>
                <w:color w:val="000000"/>
                <w:sz w:val="18"/>
                <w:szCs w:val="18"/>
                <w:u w:val="none"/>
              </w:rPr>
            </w:pPr>
          </w:p>
          <w:p w14:paraId="5F8C8717">
            <w:pPr>
              <w:pStyle w:val="8"/>
              <w:rPr>
                <w:rFonts w:hint="eastAsia"/>
              </w:rPr>
            </w:pPr>
          </w:p>
        </w:tc>
        <w:tc>
          <w:tcPr>
            <w:tcW w:w="2265" w:type="dxa"/>
            <w:tcBorders>
              <w:top w:val="nil"/>
              <w:left w:val="nil"/>
              <w:bottom w:val="nil"/>
              <w:right w:val="nil"/>
            </w:tcBorders>
            <w:shd w:val="clear" w:color="auto" w:fill="auto"/>
            <w:tcMar>
              <w:top w:w="15" w:type="dxa"/>
              <w:left w:w="15" w:type="dxa"/>
              <w:right w:w="15" w:type="dxa"/>
            </w:tcMar>
            <w:vAlign w:val="center"/>
          </w:tcPr>
          <w:p w14:paraId="038ECB8A">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64359801">
            <w:pPr>
              <w:rPr>
                <w:rFonts w:hint="eastAsia" w:ascii="宋体" w:hAnsi="宋体" w:eastAsia="宋体" w:cs="宋体"/>
                <w:i w:val="0"/>
                <w:color w:val="000000"/>
                <w:sz w:val="18"/>
                <w:szCs w:val="18"/>
                <w:u w:val="none"/>
              </w:rPr>
            </w:pPr>
          </w:p>
        </w:tc>
        <w:tc>
          <w:tcPr>
            <w:tcW w:w="1680" w:type="dxa"/>
            <w:tcBorders>
              <w:top w:val="nil"/>
              <w:left w:val="nil"/>
              <w:bottom w:val="nil"/>
              <w:right w:val="nil"/>
            </w:tcBorders>
            <w:shd w:val="clear" w:color="auto" w:fill="auto"/>
            <w:tcMar>
              <w:top w:w="15" w:type="dxa"/>
              <w:left w:w="15" w:type="dxa"/>
              <w:right w:w="15" w:type="dxa"/>
            </w:tcMar>
            <w:vAlign w:val="center"/>
          </w:tcPr>
          <w:p w14:paraId="18A69F50">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299DE172">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52C819A1">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0CC02A5D">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73C5CF66">
            <w:pPr>
              <w:rPr>
                <w:rFonts w:hint="eastAsia" w:ascii="宋体" w:hAnsi="宋体" w:eastAsia="宋体" w:cs="宋体"/>
                <w:i w:val="0"/>
                <w:color w:val="000000"/>
                <w:sz w:val="18"/>
                <w:szCs w:val="18"/>
                <w:u w:val="none"/>
              </w:rPr>
            </w:pPr>
          </w:p>
        </w:tc>
        <w:tc>
          <w:tcPr>
            <w:tcW w:w="2550" w:type="dxa"/>
            <w:tcBorders>
              <w:top w:val="nil"/>
              <w:left w:val="nil"/>
              <w:bottom w:val="nil"/>
              <w:right w:val="nil"/>
            </w:tcBorders>
            <w:shd w:val="clear" w:color="auto" w:fill="auto"/>
            <w:tcMar>
              <w:top w:w="15" w:type="dxa"/>
              <w:left w:w="15" w:type="dxa"/>
              <w:right w:w="15" w:type="dxa"/>
            </w:tcMar>
            <w:vAlign w:val="center"/>
          </w:tcPr>
          <w:p w14:paraId="587E28E9">
            <w:pPr>
              <w:rPr>
                <w:rFonts w:hint="eastAsia" w:ascii="宋体" w:hAnsi="宋体" w:eastAsia="宋体" w:cs="宋体"/>
                <w:i w:val="0"/>
                <w:color w:val="000000"/>
                <w:sz w:val="18"/>
                <w:szCs w:val="18"/>
                <w:u w:val="none"/>
              </w:rPr>
            </w:pPr>
          </w:p>
        </w:tc>
      </w:tr>
      <w:tr w14:paraId="14329FA7">
        <w:tblPrEx>
          <w:tblCellMar>
            <w:top w:w="0" w:type="dxa"/>
            <w:left w:w="0" w:type="dxa"/>
            <w:bottom w:w="0" w:type="dxa"/>
            <w:right w:w="0"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69E0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155193E7">
        <w:tblPrEx>
          <w:tblCellMar>
            <w:top w:w="0" w:type="dxa"/>
            <w:left w:w="0" w:type="dxa"/>
            <w:bottom w:w="0" w:type="dxa"/>
            <w:right w:w="0"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098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3563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51090323T000009711007-市级“两癌”筛查项目</w:t>
            </w:r>
          </w:p>
        </w:tc>
      </w:tr>
      <w:tr w14:paraId="00EBD690">
        <w:tblPrEx>
          <w:tblCellMar>
            <w:top w:w="0" w:type="dxa"/>
            <w:left w:w="0" w:type="dxa"/>
            <w:bottom w:w="0" w:type="dxa"/>
            <w:right w:w="0"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B6D0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01D3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四川省遂宁市船山区妇女联合会部门</w:t>
            </w:r>
          </w:p>
        </w:tc>
        <w:tc>
          <w:tcPr>
            <w:tcW w:w="1095" w:type="dxa"/>
            <w:tcBorders>
              <w:top w:val="nil"/>
              <w:left w:val="nil"/>
              <w:bottom w:val="nil"/>
              <w:right w:val="nil"/>
            </w:tcBorders>
            <w:shd w:val="clear" w:color="auto" w:fill="auto"/>
            <w:tcMar>
              <w:top w:w="15" w:type="dxa"/>
              <w:left w:w="15" w:type="dxa"/>
              <w:right w:w="15" w:type="dxa"/>
            </w:tcMar>
            <w:vAlign w:val="center"/>
          </w:tcPr>
          <w:p w14:paraId="7518F80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C9C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w:t>
            </w:r>
          </w:p>
        </w:tc>
      </w:tr>
      <w:tr w14:paraId="49AFCD50">
        <w:tblPrEx>
          <w:shd w:val="clear" w:color="auto" w:fill="auto"/>
          <w:tblCellMar>
            <w:top w:w="0" w:type="dxa"/>
            <w:left w:w="0" w:type="dxa"/>
            <w:bottom w:w="0" w:type="dxa"/>
            <w:right w:w="0"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275A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F1DE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D49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9430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93DA4DF">
        <w:tblPrEx>
          <w:tblCellMar>
            <w:top w:w="0" w:type="dxa"/>
            <w:left w:w="0" w:type="dxa"/>
            <w:bottom w:w="0" w:type="dxa"/>
            <w:right w:w="0"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0438C">
            <w:pP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EEFB7">
            <w:pPr>
              <w:rPr>
                <w:rFonts w:hint="eastAsia" w:ascii="宋体" w:hAnsi="宋体" w:eastAsia="宋体" w:cs="宋体"/>
                <w:i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04E0D">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提高患病妇女生活质量，阻断因病返贫，使两癌患病妇女得到保障</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DC33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该项目实施可以加强我会了解全区患病妇女的情况。</w:t>
            </w:r>
          </w:p>
        </w:tc>
      </w:tr>
      <w:tr w14:paraId="3976504A">
        <w:tblPrEx>
          <w:tblCellMar>
            <w:top w:w="0" w:type="dxa"/>
            <w:left w:w="0" w:type="dxa"/>
            <w:bottom w:w="0" w:type="dxa"/>
            <w:right w:w="0"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0C7B7">
            <w:pP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B1CB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200A0">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坚定正确政治方向，帮助妇女摆脱病痛之苦。找准中心工作切入点，为“两癌”妇女提供帮助；砥砺履行职责，增强妇女获得感、安全感、幸福感</w:t>
            </w:r>
          </w:p>
        </w:tc>
      </w:tr>
      <w:tr w14:paraId="5E02E6D2">
        <w:tblPrEx>
          <w:tblCellMar>
            <w:top w:w="0" w:type="dxa"/>
            <w:left w:w="0" w:type="dxa"/>
            <w:bottom w:w="0" w:type="dxa"/>
            <w:right w:w="0"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01D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3A1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C4F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BEC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DA0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ED7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15B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B21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D3A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24315D9">
        <w:tblPrEx>
          <w:tblCellMar>
            <w:top w:w="0" w:type="dxa"/>
            <w:left w:w="0" w:type="dxa"/>
            <w:bottom w:w="0" w:type="dxa"/>
            <w:right w:w="0"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D6454">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7F0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EB3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B27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CD5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4.73</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CE2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98.57%</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7AE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92BF9">
            <w:pPr>
              <w:jc w:val="center"/>
              <w:rPr>
                <w:rFonts w:hint="eastAsia" w:ascii="宋体" w:hAnsi="宋体" w:eastAsia="宋体" w:cs="宋体"/>
                <w:i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222AC">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222903A">
        <w:tblPrEx>
          <w:tblCellMar>
            <w:top w:w="0" w:type="dxa"/>
            <w:left w:w="0" w:type="dxa"/>
            <w:bottom w:w="0" w:type="dxa"/>
            <w:right w:w="0"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A1CBA">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CEA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A99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AD3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0DA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4.73</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4BF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98.57%</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E18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D2D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2C55F">
            <w:pPr>
              <w:rPr>
                <w:rFonts w:hint="eastAsia" w:ascii="黑体" w:hAnsi="黑体" w:eastAsia="黑体" w:cs="黑体"/>
                <w:i/>
                <w:color w:val="000000"/>
                <w:sz w:val="18"/>
                <w:szCs w:val="18"/>
                <w:u w:val="none"/>
              </w:rPr>
            </w:pPr>
          </w:p>
        </w:tc>
      </w:tr>
      <w:tr w14:paraId="07ABBDD3">
        <w:tblPrEx>
          <w:tblCellMar>
            <w:top w:w="0" w:type="dxa"/>
            <w:left w:w="0" w:type="dxa"/>
            <w:bottom w:w="0" w:type="dxa"/>
            <w:right w:w="0"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0FA7">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0CE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DC1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662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5E1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33C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432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863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E5237">
            <w:pPr>
              <w:rPr>
                <w:rFonts w:hint="eastAsia" w:ascii="黑体" w:hAnsi="黑体" w:eastAsia="黑体" w:cs="黑体"/>
                <w:i/>
                <w:color w:val="000000"/>
                <w:sz w:val="18"/>
                <w:szCs w:val="18"/>
                <w:u w:val="none"/>
              </w:rPr>
            </w:pPr>
          </w:p>
        </w:tc>
      </w:tr>
      <w:tr w14:paraId="244E88F8">
        <w:tblPrEx>
          <w:shd w:val="clear" w:color="auto" w:fill="auto"/>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5457F">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473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726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DA6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AD6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1FD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B8D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243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3B568">
            <w:pPr>
              <w:rPr>
                <w:rFonts w:hint="eastAsia" w:ascii="黑体" w:hAnsi="黑体" w:eastAsia="黑体" w:cs="黑体"/>
                <w:i/>
                <w:color w:val="000000"/>
                <w:sz w:val="18"/>
                <w:szCs w:val="18"/>
                <w:u w:val="none"/>
              </w:rPr>
            </w:pPr>
          </w:p>
        </w:tc>
      </w:tr>
      <w:tr w14:paraId="5248F008">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7C355">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019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2B0BC">
            <w:pPr>
              <w:jc w:val="center"/>
              <w:rPr>
                <w:rFonts w:hint="eastAsia" w:ascii="微软雅黑" w:hAnsi="微软雅黑" w:eastAsia="微软雅黑" w:cs="微软雅黑"/>
                <w:i/>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C5290">
            <w:pPr>
              <w:jc w:val="center"/>
              <w:rPr>
                <w:rFonts w:hint="eastAsia" w:ascii="微软雅黑" w:hAnsi="微软雅黑" w:eastAsia="微软雅黑" w:cs="微软雅黑"/>
                <w:i/>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F8756">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56AE">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5B3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8FB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57E35">
            <w:pPr>
              <w:rPr>
                <w:rFonts w:hint="eastAsia" w:ascii="黑体" w:hAnsi="黑体" w:eastAsia="黑体" w:cs="黑体"/>
                <w:i/>
                <w:color w:val="000000"/>
                <w:sz w:val="18"/>
                <w:szCs w:val="18"/>
                <w:u w:val="none"/>
              </w:rPr>
            </w:pPr>
          </w:p>
        </w:tc>
      </w:tr>
      <w:tr w14:paraId="5951D5BE">
        <w:tblPrEx>
          <w:tblCellMar>
            <w:top w:w="0" w:type="dxa"/>
            <w:left w:w="0" w:type="dxa"/>
            <w:bottom w:w="0" w:type="dxa"/>
            <w:right w:w="0"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705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B36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951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E94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130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9AB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8A3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92A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A01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4CC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A42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FC103E0">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268EA">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AB09C">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DF748">
            <w:pPr>
              <w:jc w:val="center"/>
              <w:rPr>
                <w:rFonts w:hint="eastAsia" w:ascii="宋体" w:hAnsi="宋体" w:eastAsia="宋体" w:cs="宋体"/>
                <w:i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A3144">
            <w:pPr>
              <w:jc w:val="center"/>
              <w:rPr>
                <w:rFonts w:hint="eastAsia" w:ascii="宋体" w:hAnsi="宋体" w:eastAsia="宋体" w:cs="宋体"/>
                <w:i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EE9FC">
            <w:pPr>
              <w:jc w:val="center"/>
              <w:rPr>
                <w:rFonts w:hint="eastAsia" w:ascii="宋体" w:hAnsi="宋体" w:eastAsia="宋体" w:cs="宋体"/>
                <w:i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1B31F">
            <w:pPr>
              <w:jc w:val="center"/>
              <w:rPr>
                <w:rFonts w:hint="eastAsia" w:ascii="宋体" w:hAnsi="宋体" w:eastAsia="宋体" w:cs="宋体"/>
                <w:i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2162D">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0AA41">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19706">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FCFBA">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CD0C0">
            <w:pPr>
              <w:jc w:val="center"/>
              <w:rPr>
                <w:rFonts w:hint="eastAsia" w:ascii="微软雅黑" w:hAnsi="微软雅黑" w:eastAsia="微软雅黑" w:cs="微软雅黑"/>
                <w:i/>
                <w:color w:val="000000"/>
                <w:sz w:val="16"/>
                <w:szCs w:val="16"/>
                <w:u w:val="none"/>
              </w:rPr>
            </w:pPr>
          </w:p>
        </w:tc>
      </w:tr>
      <w:tr w14:paraId="6BE7186E">
        <w:tblPrEx>
          <w:tblCellMar>
            <w:top w:w="0" w:type="dxa"/>
            <w:left w:w="0" w:type="dxa"/>
            <w:bottom w:w="0" w:type="dxa"/>
            <w:right w:w="0"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722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31C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AC38B">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AD0A8">
            <w:pPr>
              <w:rPr>
                <w:rFonts w:hint="eastAsia" w:ascii="宋体" w:hAnsi="宋体" w:eastAsia="宋体" w:cs="宋体"/>
                <w:i w:val="0"/>
                <w:color w:val="000000"/>
                <w:sz w:val="18"/>
                <w:szCs w:val="18"/>
                <w:u w:val="none"/>
              </w:rPr>
            </w:pPr>
          </w:p>
        </w:tc>
      </w:tr>
      <w:tr w14:paraId="61ECE322">
        <w:tblPrEx>
          <w:tblCellMar>
            <w:top w:w="0" w:type="dxa"/>
            <w:left w:w="0" w:type="dxa"/>
            <w:bottom w:w="0" w:type="dxa"/>
            <w:right w:w="0"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6A3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3DCA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仿宋_GB2312"/>
                <w:sz w:val="32"/>
                <w:szCs w:val="32"/>
                <w:lang w:val="en-US" w:eastAsia="zh-CN"/>
              </w:rPr>
              <w:t xml:space="preserve"> </w:t>
            </w: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年度我单位预算项目安排较为合理，项目经费保障了我会日常工作的正常运转，项目经费做到了专款专用，资金使用效果较好，项目绩效自评得分97分</w:t>
            </w:r>
          </w:p>
        </w:tc>
      </w:tr>
      <w:tr w14:paraId="58FCDDA8">
        <w:tblPrEx>
          <w:shd w:val="clear" w:color="auto" w:fill="auto"/>
          <w:tblCellMar>
            <w:top w:w="0" w:type="dxa"/>
            <w:left w:w="0" w:type="dxa"/>
            <w:bottom w:w="0" w:type="dxa"/>
            <w:right w:w="0"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713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82BE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支出科目设置不够细化，不能完整反映项目资金使用情况</w:t>
            </w:r>
          </w:p>
        </w:tc>
      </w:tr>
      <w:tr w14:paraId="3A4271EB">
        <w:tblPrEx>
          <w:tblCellMar>
            <w:top w:w="0" w:type="dxa"/>
            <w:left w:w="0" w:type="dxa"/>
            <w:bottom w:w="0" w:type="dxa"/>
            <w:right w:w="0"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954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8B5A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规范账务处理，提高财务信息质量。严格按照《会计法》、《行政单位会计制度》、《行政单位财务规则》等规定，结合实际情况，科学设置支出科目，规范财务核算，完整反映相关信息。</w:t>
            </w:r>
            <w:r>
              <w:rPr>
                <w:rFonts w:hint="eastAsia" w:ascii="宋体" w:hAnsi="宋体" w:eastAsia="宋体" w:cs="宋体"/>
                <w:i w:val="0"/>
                <w:color w:val="000000"/>
                <w:kern w:val="0"/>
                <w:sz w:val="18"/>
                <w:szCs w:val="18"/>
                <w:u w:val="none"/>
                <w:lang w:val="en-US" w:eastAsia="zh-CN" w:bidi="ar"/>
              </w:rPr>
              <w:br w:type="textWrapping"/>
            </w:r>
          </w:p>
        </w:tc>
      </w:tr>
      <w:tr w14:paraId="4BD800E9">
        <w:tblPrEx>
          <w:tblCellMar>
            <w:top w:w="0" w:type="dxa"/>
            <w:left w:w="0" w:type="dxa"/>
            <w:bottom w:w="0" w:type="dxa"/>
            <w:right w:w="0"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F0D5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EB94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AB8C963">
        <w:tblPrEx>
          <w:tblCellMar>
            <w:top w:w="0" w:type="dxa"/>
            <w:left w:w="0" w:type="dxa"/>
            <w:bottom w:w="0" w:type="dxa"/>
            <w:right w:w="0" w:type="dxa"/>
          </w:tblCellMar>
        </w:tblPrEx>
        <w:trPr>
          <w:trHeight w:val="285" w:hRule="atLeast"/>
        </w:trPr>
        <w:tc>
          <w:tcPr>
            <w:tcW w:w="690" w:type="dxa"/>
            <w:tcBorders>
              <w:top w:val="nil"/>
              <w:left w:val="nil"/>
              <w:bottom w:val="nil"/>
              <w:right w:val="nil"/>
            </w:tcBorders>
            <w:shd w:val="clear" w:color="auto" w:fill="auto"/>
            <w:tcMar>
              <w:top w:w="15" w:type="dxa"/>
              <w:left w:w="15" w:type="dxa"/>
              <w:right w:w="15" w:type="dxa"/>
            </w:tcMar>
            <w:vAlign w:val="center"/>
          </w:tcPr>
          <w:p w14:paraId="1215ECB7">
            <w:pPr>
              <w:rPr>
                <w:rFonts w:hint="eastAsia" w:ascii="宋体" w:hAnsi="宋体" w:eastAsia="宋体" w:cs="宋体"/>
                <w:i w:val="0"/>
                <w:color w:val="000000"/>
                <w:sz w:val="18"/>
                <w:szCs w:val="18"/>
                <w:u w:val="none"/>
              </w:rPr>
            </w:pPr>
          </w:p>
        </w:tc>
        <w:tc>
          <w:tcPr>
            <w:tcW w:w="2055" w:type="dxa"/>
            <w:tcBorders>
              <w:top w:val="nil"/>
              <w:left w:val="nil"/>
              <w:bottom w:val="nil"/>
              <w:right w:val="nil"/>
            </w:tcBorders>
            <w:shd w:val="clear" w:color="auto" w:fill="auto"/>
            <w:tcMar>
              <w:top w:w="15" w:type="dxa"/>
              <w:left w:w="15" w:type="dxa"/>
              <w:right w:w="15" w:type="dxa"/>
            </w:tcMar>
            <w:vAlign w:val="center"/>
          </w:tcPr>
          <w:p w14:paraId="3A5CD2B8">
            <w:pPr>
              <w:rPr>
                <w:rFonts w:hint="eastAsia" w:ascii="宋体" w:hAnsi="宋体" w:eastAsia="宋体" w:cs="宋体"/>
                <w:i w:val="0"/>
                <w:color w:val="000000"/>
                <w:sz w:val="18"/>
                <w:szCs w:val="18"/>
                <w:u w:val="none"/>
              </w:rPr>
            </w:pPr>
          </w:p>
        </w:tc>
        <w:tc>
          <w:tcPr>
            <w:tcW w:w="1770" w:type="dxa"/>
            <w:tcBorders>
              <w:top w:val="nil"/>
              <w:left w:val="nil"/>
              <w:bottom w:val="nil"/>
              <w:right w:val="nil"/>
            </w:tcBorders>
            <w:shd w:val="clear" w:color="auto" w:fill="auto"/>
            <w:tcMar>
              <w:top w:w="15" w:type="dxa"/>
              <w:left w:w="15" w:type="dxa"/>
              <w:right w:w="15" w:type="dxa"/>
            </w:tcMar>
            <w:vAlign w:val="center"/>
          </w:tcPr>
          <w:p w14:paraId="58CBCB8E">
            <w:pPr>
              <w:rPr>
                <w:rFonts w:hint="eastAsia" w:ascii="宋体" w:hAnsi="宋体" w:eastAsia="宋体" w:cs="宋体"/>
                <w:i w:val="0"/>
                <w:color w:val="000000"/>
                <w:sz w:val="18"/>
                <w:szCs w:val="18"/>
                <w:u w:val="none"/>
              </w:rPr>
            </w:pPr>
          </w:p>
          <w:p w14:paraId="2427714D">
            <w:pPr>
              <w:pStyle w:val="8"/>
              <w:rPr>
                <w:rFonts w:hint="eastAsia"/>
              </w:rPr>
            </w:pPr>
          </w:p>
        </w:tc>
        <w:tc>
          <w:tcPr>
            <w:tcW w:w="2265" w:type="dxa"/>
            <w:tcBorders>
              <w:top w:val="nil"/>
              <w:left w:val="nil"/>
              <w:bottom w:val="nil"/>
              <w:right w:val="nil"/>
            </w:tcBorders>
            <w:shd w:val="clear" w:color="auto" w:fill="auto"/>
            <w:tcMar>
              <w:top w:w="15" w:type="dxa"/>
              <w:left w:w="15" w:type="dxa"/>
              <w:right w:w="15" w:type="dxa"/>
            </w:tcMar>
            <w:vAlign w:val="center"/>
          </w:tcPr>
          <w:p w14:paraId="544CAB96">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587D6F4E">
            <w:pPr>
              <w:rPr>
                <w:rFonts w:hint="eastAsia" w:ascii="宋体" w:hAnsi="宋体" w:eastAsia="宋体" w:cs="宋体"/>
                <w:i w:val="0"/>
                <w:color w:val="000000"/>
                <w:sz w:val="18"/>
                <w:szCs w:val="18"/>
                <w:u w:val="none"/>
              </w:rPr>
            </w:pPr>
          </w:p>
        </w:tc>
        <w:tc>
          <w:tcPr>
            <w:tcW w:w="1680" w:type="dxa"/>
            <w:tcBorders>
              <w:top w:val="nil"/>
              <w:left w:val="nil"/>
              <w:bottom w:val="nil"/>
              <w:right w:val="nil"/>
            </w:tcBorders>
            <w:shd w:val="clear" w:color="auto" w:fill="auto"/>
            <w:tcMar>
              <w:top w:w="15" w:type="dxa"/>
              <w:left w:w="15" w:type="dxa"/>
              <w:right w:w="15" w:type="dxa"/>
            </w:tcMar>
            <w:vAlign w:val="center"/>
          </w:tcPr>
          <w:p w14:paraId="6A221BC1">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4EFCDF5C">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4AE3027D">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3BBD2B2E">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246201DA">
            <w:pPr>
              <w:rPr>
                <w:rFonts w:hint="eastAsia" w:ascii="宋体" w:hAnsi="宋体" w:eastAsia="宋体" w:cs="宋体"/>
                <w:i w:val="0"/>
                <w:color w:val="000000"/>
                <w:sz w:val="18"/>
                <w:szCs w:val="18"/>
                <w:u w:val="none"/>
              </w:rPr>
            </w:pPr>
          </w:p>
        </w:tc>
        <w:tc>
          <w:tcPr>
            <w:tcW w:w="2550" w:type="dxa"/>
            <w:tcBorders>
              <w:top w:val="nil"/>
              <w:left w:val="nil"/>
              <w:bottom w:val="nil"/>
              <w:right w:val="nil"/>
            </w:tcBorders>
            <w:shd w:val="clear" w:color="auto" w:fill="auto"/>
            <w:tcMar>
              <w:top w:w="15" w:type="dxa"/>
              <w:left w:w="15" w:type="dxa"/>
              <w:right w:w="15" w:type="dxa"/>
            </w:tcMar>
            <w:vAlign w:val="center"/>
          </w:tcPr>
          <w:p w14:paraId="2FB2DF3E">
            <w:pPr>
              <w:rPr>
                <w:rFonts w:hint="eastAsia" w:ascii="宋体" w:hAnsi="宋体" w:eastAsia="宋体" w:cs="宋体"/>
                <w:i w:val="0"/>
                <w:color w:val="000000"/>
                <w:sz w:val="18"/>
                <w:szCs w:val="18"/>
                <w:u w:val="none"/>
              </w:rPr>
            </w:pPr>
          </w:p>
        </w:tc>
      </w:tr>
      <w:tr w14:paraId="4D25EDB0">
        <w:tblPrEx>
          <w:tblCellMar>
            <w:top w:w="0" w:type="dxa"/>
            <w:left w:w="0" w:type="dxa"/>
            <w:bottom w:w="0" w:type="dxa"/>
            <w:right w:w="0"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7298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5FB53161">
        <w:tblPrEx>
          <w:tblCellMar>
            <w:top w:w="0" w:type="dxa"/>
            <w:left w:w="0" w:type="dxa"/>
            <w:bottom w:w="0" w:type="dxa"/>
            <w:right w:w="0"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2D87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5DAD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51090323T000009774535-妇女儿童维权站示范点</w:t>
            </w:r>
          </w:p>
        </w:tc>
      </w:tr>
      <w:tr w14:paraId="68ECC582">
        <w:tblPrEx>
          <w:tblCellMar>
            <w:top w:w="0" w:type="dxa"/>
            <w:left w:w="0" w:type="dxa"/>
            <w:bottom w:w="0" w:type="dxa"/>
            <w:right w:w="0"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6808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E76D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四川省遂宁市船山区妇女联合会部门</w:t>
            </w:r>
          </w:p>
        </w:tc>
        <w:tc>
          <w:tcPr>
            <w:tcW w:w="1095" w:type="dxa"/>
            <w:tcBorders>
              <w:top w:val="nil"/>
              <w:left w:val="nil"/>
              <w:bottom w:val="nil"/>
              <w:right w:val="nil"/>
            </w:tcBorders>
            <w:shd w:val="clear" w:color="auto" w:fill="auto"/>
            <w:tcMar>
              <w:top w:w="15" w:type="dxa"/>
              <w:left w:w="15" w:type="dxa"/>
              <w:right w:w="15" w:type="dxa"/>
            </w:tcMar>
            <w:vAlign w:val="center"/>
          </w:tcPr>
          <w:p w14:paraId="3CEA8BE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B63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w:t>
            </w:r>
          </w:p>
        </w:tc>
      </w:tr>
      <w:tr w14:paraId="1E6CF563">
        <w:tblPrEx>
          <w:shd w:val="clear" w:color="auto" w:fill="auto"/>
          <w:tblCellMar>
            <w:top w:w="0" w:type="dxa"/>
            <w:left w:w="0" w:type="dxa"/>
            <w:bottom w:w="0" w:type="dxa"/>
            <w:right w:w="0"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CF36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876B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FB8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1B89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EB27AC5">
        <w:tblPrEx>
          <w:tblCellMar>
            <w:top w:w="0" w:type="dxa"/>
            <w:left w:w="0" w:type="dxa"/>
            <w:bottom w:w="0" w:type="dxa"/>
            <w:right w:w="0"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B7D8C">
            <w:pP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64593">
            <w:pPr>
              <w:rPr>
                <w:rFonts w:hint="eastAsia" w:ascii="宋体" w:hAnsi="宋体" w:eastAsia="宋体" w:cs="宋体"/>
                <w:i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45D34">
            <w:pP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建设全区妇女儿童维权示范站，保护妇女儿童权益</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DBA2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牢牢把握“代表和维护妇女权益，促进男女平等”工作主线，紧紧“围绕中心、服务大局”工作理念</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保护全区妇女儿童权益</w:t>
            </w:r>
          </w:p>
        </w:tc>
      </w:tr>
      <w:tr w14:paraId="5C7100F6">
        <w:tblPrEx>
          <w:tblCellMar>
            <w:top w:w="0" w:type="dxa"/>
            <w:left w:w="0" w:type="dxa"/>
            <w:bottom w:w="0" w:type="dxa"/>
            <w:right w:w="0"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05A2D">
            <w:pP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CD84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5C97F">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坚定正确政治方向，保护妇女儿童权益。找准中心工作切入点，砥砺履行职责，增强妇女儿童获得感、安全感、幸福感</w:t>
            </w:r>
          </w:p>
        </w:tc>
      </w:tr>
      <w:tr w14:paraId="26839DC7">
        <w:tblPrEx>
          <w:tblCellMar>
            <w:top w:w="0" w:type="dxa"/>
            <w:left w:w="0" w:type="dxa"/>
            <w:bottom w:w="0" w:type="dxa"/>
            <w:right w:w="0"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16F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92C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A91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47A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929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296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FAB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BDC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FEA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70A2286">
        <w:tblPrEx>
          <w:tblCellMar>
            <w:top w:w="0" w:type="dxa"/>
            <w:left w:w="0" w:type="dxa"/>
            <w:bottom w:w="0" w:type="dxa"/>
            <w:right w:w="0"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2F8C3">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055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3B7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DA9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2C5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013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99.50%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4FC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E3755">
            <w:pPr>
              <w:jc w:val="center"/>
              <w:rPr>
                <w:rFonts w:hint="eastAsia" w:ascii="宋体" w:hAnsi="宋体" w:eastAsia="宋体" w:cs="宋体"/>
                <w:i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B656C">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2C35CCC">
        <w:tblPrEx>
          <w:shd w:val="clear" w:color="auto" w:fill="auto"/>
          <w:tblCellMar>
            <w:top w:w="0" w:type="dxa"/>
            <w:left w:w="0" w:type="dxa"/>
            <w:bottom w:w="0" w:type="dxa"/>
            <w:right w:w="0"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99709">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085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7D6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73B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624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BE5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99.50%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728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608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6CE87">
            <w:pPr>
              <w:rPr>
                <w:rFonts w:hint="eastAsia" w:ascii="黑体" w:hAnsi="黑体" w:eastAsia="黑体" w:cs="黑体"/>
                <w:i/>
                <w:color w:val="000000"/>
                <w:sz w:val="18"/>
                <w:szCs w:val="18"/>
                <w:u w:val="none"/>
              </w:rPr>
            </w:pPr>
          </w:p>
        </w:tc>
      </w:tr>
      <w:tr w14:paraId="04B631B5">
        <w:tblPrEx>
          <w:tblCellMar>
            <w:top w:w="0" w:type="dxa"/>
            <w:left w:w="0" w:type="dxa"/>
            <w:bottom w:w="0" w:type="dxa"/>
            <w:right w:w="0"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23639">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677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4C5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965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ECC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4FE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35D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CFF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F5408">
            <w:pPr>
              <w:rPr>
                <w:rFonts w:hint="eastAsia" w:ascii="黑体" w:hAnsi="黑体" w:eastAsia="黑体" w:cs="黑体"/>
                <w:i/>
                <w:color w:val="000000"/>
                <w:sz w:val="18"/>
                <w:szCs w:val="18"/>
                <w:u w:val="none"/>
              </w:rPr>
            </w:pPr>
          </w:p>
        </w:tc>
      </w:tr>
      <w:tr w14:paraId="3DE501EF">
        <w:tblPrEx>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B54E1">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06F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873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0CB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56D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8FE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3B2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29F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EC0B5">
            <w:pPr>
              <w:rPr>
                <w:rFonts w:hint="eastAsia" w:ascii="黑体" w:hAnsi="黑体" w:eastAsia="黑体" w:cs="黑体"/>
                <w:i/>
                <w:color w:val="000000"/>
                <w:sz w:val="18"/>
                <w:szCs w:val="18"/>
                <w:u w:val="none"/>
              </w:rPr>
            </w:pPr>
          </w:p>
        </w:tc>
      </w:tr>
      <w:tr w14:paraId="12430EF1">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9E855">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0C3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820F1">
            <w:pPr>
              <w:jc w:val="center"/>
              <w:rPr>
                <w:rFonts w:hint="eastAsia" w:ascii="微软雅黑" w:hAnsi="微软雅黑" w:eastAsia="微软雅黑" w:cs="微软雅黑"/>
                <w:i/>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9C607">
            <w:pPr>
              <w:jc w:val="center"/>
              <w:rPr>
                <w:rFonts w:hint="eastAsia" w:ascii="微软雅黑" w:hAnsi="微软雅黑" w:eastAsia="微软雅黑" w:cs="微软雅黑"/>
                <w:i/>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32B15">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F9757">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05C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F32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10CD5">
            <w:pPr>
              <w:rPr>
                <w:rFonts w:hint="eastAsia" w:ascii="黑体" w:hAnsi="黑体" w:eastAsia="黑体" w:cs="黑体"/>
                <w:i/>
                <w:color w:val="000000"/>
                <w:sz w:val="18"/>
                <w:szCs w:val="18"/>
                <w:u w:val="none"/>
              </w:rPr>
            </w:pPr>
          </w:p>
        </w:tc>
      </w:tr>
      <w:tr w14:paraId="0FA73149">
        <w:tblPrEx>
          <w:shd w:val="clear" w:color="auto" w:fill="auto"/>
          <w:tblCellMar>
            <w:top w:w="0" w:type="dxa"/>
            <w:left w:w="0" w:type="dxa"/>
            <w:bottom w:w="0" w:type="dxa"/>
            <w:right w:w="0"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514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6FE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3BD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555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A58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C83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29B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946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C56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5F9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E05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9AB31EF">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14DD8">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F065A">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8CAF0">
            <w:pPr>
              <w:jc w:val="center"/>
              <w:rPr>
                <w:rFonts w:hint="eastAsia" w:ascii="宋体" w:hAnsi="宋体" w:eastAsia="宋体" w:cs="宋体"/>
                <w:i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6750C">
            <w:pPr>
              <w:jc w:val="center"/>
              <w:rPr>
                <w:rFonts w:hint="eastAsia" w:ascii="宋体" w:hAnsi="宋体" w:eastAsia="宋体" w:cs="宋体"/>
                <w:i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2F73A">
            <w:pPr>
              <w:jc w:val="center"/>
              <w:rPr>
                <w:rFonts w:hint="eastAsia" w:ascii="宋体" w:hAnsi="宋体" w:eastAsia="宋体" w:cs="宋体"/>
                <w:i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70733">
            <w:pPr>
              <w:jc w:val="center"/>
              <w:rPr>
                <w:rFonts w:hint="eastAsia" w:ascii="宋体" w:hAnsi="宋体" w:eastAsia="宋体" w:cs="宋体"/>
                <w:i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081DA">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C861C">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7BDBD">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35A30">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76D61">
            <w:pPr>
              <w:jc w:val="center"/>
              <w:rPr>
                <w:rFonts w:hint="eastAsia" w:ascii="微软雅黑" w:hAnsi="微软雅黑" w:eastAsia="微软雅黑" w:cs="微软雅黑"/>
                <w:i/>
                <w:color w:val="000000"/>
                <w:sz w:val="16"/>
                <w:szCs w:val="16"/>
                <w:u w:val="none"/>
              </w:rPr>
            </w:pPr>
          </w:p>
        </w:tc>
      </w:tr>
      <w:tr w14:paraId="104B960B">
        <w:tblPrEx>
          <w:shd w:val="clear" w:color="auto" w:fill="auto"/>
          <w:tblCellMar>
            <w:top w:w="0" w:type="dxa"/>
            <w:left w:w="0" w:type="dxa"/>
            <w:bottom w:w="0" w:type="dxa"/>
            <w:right w:w="0"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237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9B5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37353">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98059">
            <w:pPr>
              <w:rPr>
                <w:rFonts w:hint="eastAsia" w:ascii="宋体" w:hAnsi="宋体" w:eastAsia="宋体" w:cs="宋体"/>
                <w:i w:val="0"/>
                <w:color w:val="000000"/>
                <w:sz w:val="18"/>
                <w:szCs w:val="18"/>
                <w:u w:val="none"/>
              </w:rPr>
            </w:pPr>
          </w:p>
        </w:tc>
      </w:tr>
      <w:tr w14:paraId="2EBB142A">
        <w:tblPrEx>
          <w:tblCellMar>
            <w:top w:w="0" w:type="dxa"/>
            <w:left w:w="0" w:type="dxa"/>
            <w:bottom w:w="0" w:type="dxa"/>
            <w:right w:w="0"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9D8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B0AE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仿宋_GB2312"/>
                <w:sz w:val="32"/>
                <w:szCs w:val="32"/>
                <w:lang w:val="en-US" w:eastAsia="zh-CN"/>
              </w:rPr>
              <w:t xml:space="preserve"> </w:t>
            </w: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年度我单位预算项目安排较为合理，项目经费保障了我会日常工作的正常运转，项目经费做到了专款专用，资金使用效果较好，项目绩效自评得分97分</w:t>
            </w:r>
          </w:p>
        </w:tc>
      </w:tr>
      <w:tr w14:paraId="6AC1A6E9">
        <w:tblPrEx>
          <w:shd w:val="clear" w:color="auto" w:fill="auto"/>
          <w:tblCellMar>
            <w:top w:w="0" w:type="dxa"/>
            <w:left w:w="0" w:type="dxa"/>
            <w:bottom w:w="0" w:type="dxa"/>
            <w:right w:w="0"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2DA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290D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支出科目设置不够细化，不能完整反映项目资金使用情况</w:t>
            </w:r>
          </w:p>
        </w:tc>
      </w:tr>
      <w:tr w14:paraId="25E92714">
        <w:tblPrEx>
          <w:shd w:val="clear" w:color="auto" w:fill="auto"/>
          <w:tblCellMar>
            <w:top w:w="0" w:type="dxa"/>
            <w:left w:w="0" w:type="dxa"/>
            <w:bottom w:w="0" w:type="dxa"/>
            <w:right w:w="0"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1C2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3FFF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规范账务处理，提高财务信息质量。严格按照《会计法》、《行政单位会计制度》、《行政单位财务规则》等规定，结合实际情况，科学设置支出科目，规范财务核算，完整反映相关信息。</w:t>
            </w:r>
            <w:r>
              <w:rPr>
                <w:rFonts w:hint="eastAsia" w:ascii="宋体" w:hAnsi="宋体" w:eastAsia="宋体" w:cs="宋体"/>
                <w:i w:val="0"/>
                <w:color w:val="000000"/>
                <w:kern w:val="0"/>
                <w:sz w:val="18"/>
                <w:szCs w:val="18"/>
                <w:u w:val="none"/>
                <w:lang w:val="en-US" w:eastAsia="zh-CN" w:bidi="ar"/>
              </w:rPr>
              <w:br w:type="textWrapping"/>
            </w:r>
          </w:p>
        </w:tc>
      </w:tr>
      <w:tr w14:paraId="2EA1BEDD">
        <w:tblPrEx>
          <w:tblCellMar>
            <w:top w:w="0" w:type="dxa"/>
            <w:left w:w="0" w:type="dxa"/>
            <w:bottom w:w="0" w:type="dxa"/>
            <w:right w:w="0"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821B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525B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51112CF">
        <w:tblPrEx>
          <w:tblCellMar>
            <w:top w:w="0" w:type="dxa"/>
            <w:left w:w="0" w:type="dxa"/>
            <w:bottom w:w="0" w:type="dxa"/>
            <w:right w:w="0" w:type="dxa"/>
          </w:tblCellMar>
        </w:tblPrEx>
        <w:trPr>
          <w:trHeight w:val="285" w:hRule="atLeast"/>
        </w:trPr>
        <w:tc>
          <w:tcPr>
            <w:tcW w:w="690" w:type="dxa"/>
            <w:tcBorders>
              <w:top w:val="nil"/>
              <w:left w:val="nil"/>
              <w:bottom w:val="nil"/>
              <w:right w:val="nil"/>
            </w:tcBorders>
            <w:shd w:val="clear" w:color="auto" w:fill="auto"/>
            <w:tcMar>
              <w:top w:w="15" w:type="dxa"/>
              <w:left w:w="15" w:type="dxa"/>
              <w:right w:w="15" w:type="dxa"/>
            </w:tcMar>
            <w:vAlign w:val="center"/>
          </w:tcPr>
          <w:p w14:paraId="10D4ED23">
            <w:pPr>
              <w:rPr>
                <w:rFonts w:hint="eastAsia" w:ascii="宋体" w:hAnsi="宋体" w:eastAsia="宋体" w:cs="宋体"/>
                <w:i w:val="0"/>
                <w:color w:val="000000"/>
                <w:sz w:val="18"/>
                <w:szCs w:val="18"/>
                <w:u w:val="none"/>
              </w:rPr>
            </w:pPr>
          </w:p>
        </w:tc>
        <w:tc>
          <w:tcPr>
            <w:tcW w:w="2055" w:type="dxa"/>
            <w:tcBorders>
              <w:top w:val="nil"/>
              <w:left w:val="nil"/>
              <w:bottom w:val="nil"/>
              <w:right w:val="nil"/>
            </w:tcBorders>
            <w:shd w:val="clear" w:color="auto" w:fill="auto"/>
            <w:tcMar>
              <w:top w:w="15" w:type="dxa"/>
              <w:left w:w="15" w:type="dxa"/>
              <w:right w:w="15" w:type="dxa"/>
            </w:tcMar>
            <w:vAlign w:val="center"/>
          </w:tcPr>
          <w:p w14:paraId="5537318B">
            <w:pPr>
              <w:rPr>
                <w:rFonts w:hint="eastAsia" w:ascii="宋体" w:hAnsi="宋体" w:eastAsia="宋体" w:cs="宋体"/>
                <w:i w:val="0"/>
                <w:color w:val="000000"/>
                <w:sz w:val="18"/>
                <w:szCs w:val="18"/>
                <w:u w:val="none"/>
              </w:rPr>
            </w:pPr>
          </w:p>
        </w:tc>
        <w:tc>
          <w:tcPr>
            <w:tcW w:w="1770" w:type="dxa"/>
            <w:tcBorders>
              <w:top w:val="nil"/>
              <w:left w:val="nil"/>
              <w:bottom w:val="nil"/>
              <w:right w:val="nil"/>
            </w:tcBorders>
            <w:shd w:val="clear" w:color="auto" w:fill="auto"/>
            <w:tcMar>
              <w:top w:w="15" w:type="dxa"/>
              <w:left w:w="15" w:type="dxa"/>
              <w:right w:w="15" w:type="dxa"/>
            </w:tcMar>
            <w:vAlign w:val="center"/>
          </w:tcPr>
          <w:p w14:paraId="0231FA54">
            <w:pPr>
              <w:rPr>
                <w:rFonts w:hint="eastAsia" w:ascii="宋体" w:hAnsi="宋体" w:eastAsia="宋体" w:cs="宋体"/>
                <w:i w:val="0"/>
                <w:color w:val="000000"/>
                <w:sz w:val="18"/>
                <w:szCs w:val="18"/>
                <w:u w:val="none"/>
              </w:rPr>
            </w:pPr>
          </w:p>
          <w:p w14:paraId="35F7F162">
            <w:pPr>
              <w:pStyle w:val="8"/>
              <w:rPr>
                <w:rFonts w:hint="eastAsia"/>
              </w:rPr>
            </w:pPr>
          </w:p>
        </w:tc>
        <w:tc>
          <w:tcPr>
            <w:tcW w:w="2265" w:type="dxa"/>
            <w:tcBorders>
              <w:top w:val="nil"/>
              <w:left w:val="nil"/>
              <w:bottom w:val="nil"/>
              <w:right w:val="nil"/>
            </w:tcBorders>
            <w:shd w:val="clear" w:color="auto" w:fill="auto"/>
            <w:tcMar>
              <w:top w:w="15" w:type="dxa"/>
              <w:left w:w="15" w:type="dxa"/>
              <w:right w:w="15" w:type="dxa"/>
            </w:tcMar>
            <w:vAlign w:val="center"/>
          </w:tcPr>
          <w:p w14:paraId="23046394">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1193D939">
            <w:pPr>
              <w:rPr>
                <w:rFonts w:hint="eastAsia" w:ascii="宋体" w:hAnsi="宋体" w:eastAsia="宋体" w:cs="宋体"/>
                <w:i w:val="0"/>
                <w:color w:val="000000"/>
                <w:sz w:val="18"/>
                <w:szCs w:val="18"/>
                <w:u w:val="none"/>
              </w:rPr>
            </w:pPr>
          </w:p>
        </w:tc>
        <w:tc>
          <w:tcPr>
            <w:tcW w:w="1680" w:type="dxa"/>
            <w:tcBorders>
              <w:top w:val="nil"/>
              <w:left w:val="nil"/>
              <w:bottom w:val="nil"/>
              <w:right w:val="nil"/>
            </w:tcBorders>
            <w:shd w:val="clear" w:color="auto" w:fill="auto"/>
            <w:tcMar>
              <w:top w:w="15" w:type="dxa"/>
              <w:left w:w="15" w:type="dxa"/>
              <w:right w:w="15" w:type="dxa"/>
            </w:tcMar>
            <w:vAlign w:val="center"/>
          </w:tcPr>
          <w:p w14:paraId="60EF0ECB">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14067D95">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36CE02EE">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14507EE0">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3FE3F324">
            <w:pPr>
              <w:rPr>
                <w:rFonts w:hint="eastAsia" w:ascii="宋体" w:hAnsi="宋体" w:eastAsia="宋体" w:cs="宋体"/>
                <w:i w:val="0"/>
                <w:color w:val="000000"/>
                <w:sz w:val="18"/>
                <w:szCs w:val="18"/>
                <w:u w:val="none"/>
              </w:rPr>
            </w:pPr>
          </w:p>
        </w:tc>
        <w:tc>
          <w:tcPr>
            <w:tcW w:w="2550" w:type="dxa"/>
            <w:tcBorders>
              <w:top w:val="nil"/>
              <w:left w:val="nil"/>
              <w:bottom w:val="nil"/>
              <w:right w:val="nil"/>
            </w:tcBorders>
            <w:shd w:val="clear" w:color="auto" w:fill="auto"/>
            <w:tcMar>
              <w:top w:w="15" w:type="dxa"/>
              <w:left w:w="15" w:type="dxa"/>
              <w:right w:w="15" w:type="dxa"/>
            </w:tcMar>
            <w:vAlign w:val="center"/>
          </w:tcPr>
          <w:p w14:paraId="4648A1AB">
            <w:pPr>
              <w:rPr>
                <w:rFonts w:hint="eastAsia" w:ascii="宋体" w:hAnsi="宋体" w:eastAsia="宋体" w:cs="宋体"/>
                <w:i w:val="0"/>
                <w:color w:val="000000"/>
                <w:sz w:val="18"/>
                <w:szCs w:val="18"/>
                <w:u w:val="none"/>
              </w:rPr>
            </w:pPr>
          </w:p>
        </w:tc>
      </w:tr>
      <w:tr w14:paraId="3908D380">
        <w:tblPrEx>
          <w:tblCellMar>
            <w:top w:w="0" w:type="dxa"/>
            <w:left w:w="0" w:type="dxa"/>
            <w:bottom w:w="0" w:type="dxa"/>
            <w:right w:w="0"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F931A">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2157FCD">
        <w:tblPrEx>
          <w:tblCellMar>
            <w:top w:w="0" w:type="dxa"/>
            <w:left w:w="0" w:type="dxa"/>
            <w:bottom w:w="0" w:type="dxa"/>
            <w:right w:w="0"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249F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3CEA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51090324T000009982523-“妇儿驿家”建设经费</w:t>
            </w:r>
          </w:p>
        </w:tc>
      </w:tr>
      <w:tr w14:paraId="412C0105">
        <w:tblPrEx>
          <w:tblCellMar>
            <w:top w:w="0" w:type="dxa"/>
            <w:left w:w="0" w:type="dxa"/>
            <w:bottom w:w="0" w:type="dxa"/>
            <w:right w:w="0"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005D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2EF0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四川省遂宁市船山区妇女联合会部门</w:t>
            </w:r>
          </w:p>
        </w:tc>
        <w:tc>
          <w:tcPr>
            <w:tcW w:w="1095" w:type="dxa"/>
            <w:tcBorders>
              <w:top w:val="nil"/>
              <w:left w:val="nil"/>
              <w:bottom w:val="nil"/>
              <w:right w:val="nil"/>
            </w:tcBorders>
            <w:shd w:val="clear" w:color="auto" w:fill="auto"/>
            <w:tcMar>
              <w:top w:w="15" w:type="dxa"/>
              <w:left w:w="15" w:type="dxa"/>
              <w:right w:w="15" w:type="dxa"/>
            </w:tcMar>
            <w:vAlign w:val="center"/>
          </w:tcPr>
          <w:p w14:paraId="79A2C7A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4ED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w:t>
            </w:r>
          </w:p>
        </w:tc>
      </w:tr>
      <w:tr w14:paraId="3B6282D1">
        <w:tblPrEx>
          <w:tblCellMar>
            <w:top w:w="0" w:type="dxa"/>
            <w:left w:w="0" w:type="dxa"/>
            <w:bottom w:w="0" w:type="dxa"/>
            <w:right w:w="0"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2FB4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97AF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D8F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86A9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754250D">
        <w:tblPrEx>
          <w:shd w:val="clear" w:color="auto" w:fill="auto"/>
          <w:tblCellMar>
            <w:top w:w="0" w:type="dxa"/>
            <w:left w:w="0" w:type="dxa"/>
            <w:bottom w:w="0" w:type="dxa"/>
            <w:right w:w="0"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A7536">
            <w:pP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8BB64">
            <w:pPr>
              <w:rPr>
                <w:rFonts w:hint="eastAsia" w:ascii="宋体" w:hAnsi="宋体" w:eastAsia="宋体" w:cs="宋体"/>
                <w:i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2B545">
            <w:pP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建设“妇儿驿家”综合体项目，打造“有深度、有温暖、有情怀”的妇女儿童服务场景</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AAFF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该项目实施可以加强我会对全区妇女儿童的关心关爱。组织关爱活动20余场次、开展“家风、家教”宣讲10场次、其他各类活动50余场次</w:t>
            </w:r>
          </w:p>
        </w:tc>
      </w:tr>
      <w:tr w14:paraId="0C3D540F">
        <w:tblPrEx>
          <w:tblCellMar>
            <w:top w:w="0" w:type="dxa"/>
            <w:left w:w="0" w:type="dxa"/>
            <w:bottom w:w="0" w:type="dxa"/>
            <w:right w:w="0"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0ADB6">
            <w:pP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5D0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962F6">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“妇儿驿家”主要由“童梦空间”“爱家空间”“她创空间”组成，让广大妇女儿童和家庭可体验到“妇联在你身边，服务随时相伴”的温暖</w:t>
            </w:r>
          </w:p>
        </w:tc>
      </w:tr>
      <w:tr w14:paraId="363A8E74">
        <w:tblPrEx>
          <w:shd w:val="clear" w:color="auto" w:fill="auto"/>
          <w:tblCellMar>
            <w:top w:w="0" w:type="dxa"/>
            <w:left w:w="0" w:type="dxa"/>
            <w:bottom w:w="0" w:type="dxa"/>
            <w:right w:w="0"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C70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287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D6F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76F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339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9C1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529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020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4D7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54E063B">
        <w:tblPrEx>
          <w:tblCellMar>
            <w:top w:w="0" w:type="dxa"/>
            <w:left w:w="0" w:type="dxa"/>
            <w:bottom w:w="0" w:type="dxa"/>
            <w:right w:w="0"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22E52">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3A7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DFB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ADA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9.87</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450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9.87</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CE9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915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D821">
            <w:pPr>
              <w:jc w:val="center"/>
              <w:rPr>
                <w:rFonts w:hint="eastAsia" w:ascii="宋体" w:hAnsi="宋体" w:eastAsia="宋体" w:cs="宋体"/>
                <w:i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18482">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40F22A2">
        <w:tblPrEx>
          <w:shd w:val="clear" w:color="auto" w:fill="auto"/>
          <w:tblCellMar>
            <w:top w:w="0" w:type="dxa"/>
            <w:left w:w="0" w:type="dxa"/>
            <w:bottom w:w="0" w:type="dxa"/>
            <w:right w:w="0"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D4D9D">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97B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E52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BE4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9.87</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E0B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9.87</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B8E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3FA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FFF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ECB58">
            <w:pPr>
              <w:rPr>
                <w:rFonts w:hint="eastAsia" w:ascii="黑体" w:hAnsi="黑体" w:eastAsia="黑体" w:cs="黑体"/>
                <w:i/>
                <w:color w:val="000000"/>
                <w:sz w:val="18"/>
                <w:szCs w:val="18"/>
                <w:u w:val="none"/>
              </w:rPr>
            </w:pPr>
          </w:p>
        </w:tc>
      </w:tr>
      <w:tr w14:paraId="3F5CDEDF">
        <w:tblPrEx>
          <w:tblCellMar>
            <w:top w:w="0" w:type="dxa"/>
            <w:left w:w="0" w:type="dxa"/>
            <w:bottom w:w="0" w:type="dxa"/>
            <w:right w:w="0"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57AB">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927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FE8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679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99B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080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0DA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554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01A49">
            <w:pPr>
              <w:rPr>
                <w:rFonts w:hint="eastAsia" w:ascii="黑体" w:hAnsi="黑体" w:eastAsia="黑体" w:cs="黑体"/>
                <w:i/>
                <w:color w:val="000000"/>
                <w:sz w:val="18"/>
                <w:szCs w:val="18"/>
                <w:u w:val="none"/>
              </w:rPr>
            </w:pPr>
          </w:p>
        </w:tc>
      </w:tr>
      <w:tr w14:paraId="47CB934E">
        <w:tblPrEx>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A8F75">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A25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A80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411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F1F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F78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892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5AF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A4C7F">
            <w:pPr>
              <w:rPr>
                <w:rFonts w:hint="eastAsia" w:ascii="黑体" w:hAnsi="黑体" w:eastAsia="黑体" w:cs="黑体"/>
                <w:i/>
                <w:color w:val="000000"/>
                <w:sz w:val="18"/>
                <w:szCs w:val="18"/>
                <w:u w:val="none"/>
              </w:rPr>
            </w:pPr>
          </w:p>
        </w:tc>
      </w:tr>
      <w:tr w14:paraId="638135F3">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3FF8F">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1BC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68792">
            <w:pPr>
              <w:jc w:val="center"/>
              <w:rPr>
                <w:rFonts w:hint="eastAsia" w:ascii="微软雅黑" w:hAnsi="微软雅黑" w:eastAsia="微软雅黑" w:cs="微软雅黑"/>
                <w:i/>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3DA1F">
            <w:pPr>
              <w:jc w:val="center"/>
              <w:rPr>
                <w:rFonts w:hint="eastAsia" w:ascii="微软雅黑" w:hAnsi="微软雅黑" w:eastAsia="微软雅黑" w:cs="微软雅黑"/>
                <w:i/>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6CAC8">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DB87A">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29D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223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31D7B">
            <w:pPr>
              <w:rPr>
                <w:rFonts w:hint="eastAsia" w:ascii="黑体" w:hAnsi="黑体" w:eastAsia="黑体" w:cs="黑体"/>
                <w:i/>
                <w:color w:val="000000"/>
                <w:sz w:val="18"/>
                <w:szCs w:val="18"/>
                <w:u w:val="none"/>
              </w:rPr>
            </w:pPr>
          </w:p>
        </w:tc>
      </w:tr>
      <w:tr w14:paraId="1DB9353A">
        <w:tblPrEx>
          <w:tblCellMar>
            <w:top w:w="0" w:type="dxa"/>
            <w:left w:w="0" w:type="dxa"/>
            <w:bottom w:w="0" w:type="dxa"/>
            <w:right w:w="0"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00A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000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841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4F5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A7B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7FF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3EE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AF6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F05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0C6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E32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50A9919">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67821">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059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85D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AE1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项目个数</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280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1BB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8AC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447A5">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47B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8BA2A">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76897">
            <w:pPr>
              <w:jc w:val="center"/>
              <w:rPr>
                <w:rFonts w:hint="eastAsia" w:ascii="微软雅黑" w:hAnsi="微软雅黑" w:eastAsia="微软雅黑" w:cs="微软雅黑"/>
                <w:i/>
                <w:color w:val="000000"/>
                <w:sz w:val="16"/>
                <w:szCs w:val="16"/>
                <w:u w:val="none"/>
              </w:rPr>
            </w:pPr>
          </w:p>
        </w:tc>
      </w:tr>
      <w:tr w14:paraId="25D21EF2">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DC98C">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3F531">
            <w:pPr>
              <w:jc w:val="center"/>
              <w:rPr>
                <w:rFonts w:hint="eastAsia" w:ascii="宋体" w:hAnsi="宋体" w:eastAsia="宋体" w:cs="宋体"/>
                <w:i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95C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3C8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增强妇女儿童幸福感</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ADD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EF1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59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1C318">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203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4BCB8">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2808C">
            <w:pPr>
              <w:jc w:val="center"/>
              <w:rPr>
                <w:rFonts w:hint="eastAsia" w:ascii="微软雅黑" w:hAnsi="微软雅黑" w:eastAsia="微软雅黑" w:cs="微软雅黑"/>
                <w:i/>
                <w:color w:val="000000"/>
                <w:sz w:val="16"/>
                <w:szCs w:val="16"/>
                <w:u w:val="none"/>
              </w:rPr>
            </w:pPr>
          </w:p>
        </w:tc>
      </w:tr>
      <w:tr w14:paraId="7EA5A45D">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6EA94">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7DF4D">
            <w:pPr>
              <w:jc w:val="center"/>
              <w:rPr>
                <w:rFonts w:hint="eastAsia" w:ascii="宋体" w:hAnsi="宋体" w:eastAsia="宋体" w:cs="宋体"/>
                <w:i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617DB">
            <w:pPr>
              <w:jc w:val="center"/>
              <w:rPr>
                <w:rFonts w:hint="eastAsia" w:ascii="宋体" w:hAnsi="宋体" w:eastAsia="宋体" w:cs="宋体"/>
                <w:i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4A1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932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DA3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0A0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8EB7E">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0A1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FEF92">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8BE4E">
            <w:pPr>
              <w:jc w:val="center"/>
              <w:rPr>
                <w:rFonts w:hint="eastAsia" w:ascii="微软雅黑" w:hAnsi="微软雅黑" w:eastAsia="微软雅黑" w:cs="微软雅黑"/>
                <w:i/>
                <w:color w:val="000000"/>
                <w:sz w:val="16"/>
                <w:szCs w:val="16"/>
                <w:u w:val="none"/>
              </w:rPr>
            </w:pPr>
          </w:p>
        </w:tc>
      </w:tr>
      <w:tr w14:paraId="78054D99">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501CD">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A177B">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826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DF2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资金下达及时率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8D5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6DF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DBE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B94F0">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BAB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10CB">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2E7A5">
            <w:pPr>
              <w:jc w:val="center"/>
              <w:rPr>
                <w:rFonts w:hint="eastAsia" w:ascii="微软雅黑" w:hAnsi="微软雅黑" w:eastAsia="微软雅黑" w:cs="微软雅黑"/>
                <w:i/>
                <w:color w:val="000000"/>
                <w:sz w:val="16"/>
                <w:szCs w:val="16"/>
                <w:u w:val="none"/>
              </w:rPr>
            </w:pPr>
          </w:p>
        </w:tc>
      </w:tr>
      <w:tr w14:paraId="07FB0C18">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95AF1">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6FA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BEF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C67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部门正常运转率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E1D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5C3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791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3A20E">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8E6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54504">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E5280">
            <w:pPr>
              <w:jc w:val="center"/>
              <w:rPr>
                <w:rFonts w:hint="eastAsia" w:ascii="微软雅黑" w:hAnsi="微软雅黑" w:eastAsia="微软雅黑" w:cs="微软雅黑"/>
                <w:i/>
                <w:color w:val="000000"/>
                <w:sz w:val="16"/>
                <w:szCs w:val="16"/>
                <w:u w:val="none"/>
              </w:rPr>
            </w:pPr>
          </w:p>
        </w:tc>
      </w:tr>
      <w:tr w14:paraId="29A8DC2A">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2DABB">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299DC">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F88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0C1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内控制度健全性</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11E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365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优良差</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A081F">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F4FDE">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9B4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941AB">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BAC98">
            <w:pPr>
              <w:jc w:val="center"/>
              <w:rPr>
                <w:rFonts w:hint="eastAsia" w:ascii="微软雅黑" w:hAnsi="微软雅黑" w:eastAsia="微软雅黑" w:cs="微软雅黑"/>
                <w:i/>
                <w:color w:val="000000"/>
                <w:sz w:val="16"/>
                <w:szCs w:val="16"/>
                <w:u w:val="none"/>
              </w:rPr>
            </w:pPr>
          </w:p>
        </w:tc>
      </w:tr>
      <w:tr w14:paraId="117EDA75">
        <w:tblPrEx>
          <w:shd w:val="clear" w:color="auto" w:fill="auto"/>
          <w:tblCellMar>
            <w:top w:w="0" w:type="dxa"/>
            <w:left w:w="0" w:type="dxa"/>
            <w:bottom w:w="0" w:type="dxa"/>
            <w:right w:w="0"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5103B">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B0C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557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3F8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467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578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601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C7A6C">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371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2C1FF">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FF4A9">
            <w:pPr>
              <w:jc w:val="center"/>
              <w:rPr>
                <w:rFonts w:hint="eastAsia" w:ascii="微软雅黑" w:hAnsi="微软雅黑" w:eastAsia="微软雅黑" w:cs="微软雅黑"/>
                <w:i/>
                <w:color w:val="000000"/>
                <w:sz w:val="16"/>
                <w:szCs w:val="16"/>
                <w:u w:val="none"/>
              </w:rPr>
            </w:pPr>
          </w:p>
        </w:tc>
      </w:tr>
      <w:tr w14:paraId="4E4E5FFA">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0A154">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86B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25B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FAF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项目总成本</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E0E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BF6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85C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887EB">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155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39E53">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6582B">
            <w:pPr>
              <w:jc w:val="center"/>
              <w:rPr>
                <w:rFonts w:hint="eastAsia" w:ascii="微软雅黑" w:hAnsi="微软雅黑" w:eastAsia="微软雅黑" w:cs="微软雅黑"/>
                <w:i/>
                <w:color w:val="000000"/>
                <w:sz w:val="16"/>
                <w:szCs w:val="16"/>
                <w:u w:val="none"/>
              </w:rPr>
            </w:pPr>
          </w:p>
        </w:tc>
      </w:tr>
      <w:tr w14:paraId="64051684">
        <w:tblPrEx>
          <w:shd w:val="clear" w:color="auto" w:fill="auto"/>
          <w:tblCellMar>
            <w:top w:w="0" w:type="dxa"/>
            <w:left w:w="0" w:type="dxa"/>
            <w:bottom w:w="0" w:type="dxa"/>
            <w:right w:w="0"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40F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8A6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3EA50">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66AC4">
            <w:pPr>
              <w:rPr>
                <w:rFonts w:hint="eastAsia" w:ascii="宋体" w:hAnsi="宋体" w:eastAsia="宋体" w:cs="宋体"/>
                <w:i w:val="0"/>
                <w:color w:val="000000"/>
                <w:sz w:val="18"/>
                <w:szCs w:val="18"/>
                <w:u w:val="none"/>
              </w:rPr>
            </w:pPr>
          </w:p>
        </w:tc>
      </w:tr>
      <w:tr w14:paraId="683CE0E4">
        <w:tblPrEx>
          <w:tblCellMar>
            <w:top w:w="0" w:type="dxa"/>
            <w:left w:w="0" w:type="dxa"/>
            <w:bottom w:w="0" w:type="dxa"/>
            <w:right w:w="0"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80E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6DF8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仿宋_GB2312"/>
                <w:sz w:val="32"/>
                <w:szCs w:val="32"/>
                <w:lang w:val="en-US" w:eastAsia="zh-CN"/>
              </w:rPr>
              <w:t xml:space="preserve"> </w:t>
            </w: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年度我单位预算项目安排较为合理，项目经费保障了我会日常工作的正常运转，项目经费做到了专款专用，资金使用效果较好，项目绩效自评得分97分</w:t>
            </w:r>
          </w:p>
        </w:tc>
      </w:tr>
      <w:tr w14:paraId="70E8A038">
        <w:tblPrEx>
          <w:tblCellMar>
            <w:top w:w="0" w:type="dxa"/>
            <w:left w:w="0" w:type="dxa"/>
            <w:bottom w:w="0" w:type="dxa"/>
            <w:right w:w="0"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202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5D4F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支出科目设置不够细化，不能完整反映项目资金使用情况</w:t>
            </w:r>
          </w:p>
        </w:tc>
      </w:tr>
      <w:tr w14:paraId="4DDAC097">
        <w:tblPrEx>
          <w:tblCellMar>
            <w:top w:w="0" w:type="dxa"/>
            <w:left w:w="0" w:type="dxa"/>
            <w:bottom w:w="0" w:type="dxa"/>
            <w:right w:w="0"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879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2501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规范账务处理，提高财务信息质量。严格按照《会计法》、《行政单位会计制度》、《行政单位财务规则》等规定，结合实际情况，科学设置支出科目，规范财务核算，完整反映相关信息。</w:t>
            </w:r>
            <w:r>
              <w:rPr>
                <w:rFonts w:hint="eastAsia" w:ascii="宋体" w:hAnsi="宋体" w:eastAsia="宋体" w:cs="宋体"/>
                <w:i w:val="0"/>
                <w:color w:val="000000"/>
                <w:kern w:val="0"/>
                <w:sz w:val="18"/>
                <w:szCs w:val="18"/>
                <w:u w:val="none"/>
                <w:lang w:val="en-US" w:eastAsia="zh-CN" w:bidi="ar"/>
              </w:rPr>
              <w:br w:type="textWrapping"/>
            </w:r>
          </w:p>
        </w:tc>
      </w:tr>
      <w:tr w14:paraId="1655BA3B">
        <w:tblPrEx>
          <w:shd w:val="clear" w:color="auto" w:fill="auto"/>
          <w:tblCellMar>
            <w:top w:w="0" w:type="dxa"/>
            <w:left w:w="0" w:type="dxa"/>
            <w:bottom w:w="0" w:type="dxa"/>
            <w:right w:w="0"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52B2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C13A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14:paraId="2D77EA6C">
      <w:pPr>
        <w:keepNext w:val="0"/>
        <w:keepLines w:val="0"/>
        <w:pageBreakBefore w:val="0"/>
        <w:widowControl w:val="0"/>
        <w:kinsoku/>
        <w:wordWrap/>
        <w:overflowPunct/>
        <w:topLinePunct w:val="0"/>
        <w:autoSpaceDE/>
        <w:autoSpaceDN/>
        <w:bidi w:val="0"/>
        <w:adjustRightInd w:val="0"/>
        <w:snapToGrid w:val="0"/>
        <w:spacing w:line="640" w:lineRule="exact"/>
        <w:jc w:val="both"/>
        <w:textAlignment w:val="auto"/>
        <w:rPr>
          <w:rFonts w:hint="eastAsia" w:ascii="黑体" w:hAnsi="黑体" w:eastAsia="黑体" w:cs="黑体"/>
          <w:b/>
          <w:bCs/>
          <w:sz w:val="44"/>
          <w:szCs w:val="44"/>
          <w:lang w:eastAsia="zh-CN"/>
        </w:rPr>
        <w:sectPr>
          <w:pgSz w:w="16838" w:h="11906" w:orient="landscape"/>
          <w:pgMar w:top="1800" w:right="1440" w:bottom="1800" w:left="1440" w:header="851" w:footer="992" w:gutter="0"/>
          <w:pgNumType w:fmt="decimal"/>
          <w:cols w:space="425" w:num="1"/>
          <w:titlePg/>
          <w:docGrid w:type="lines" w:linePitch="312" w:charSpace="0"/>
        </w:sectPr>
      </w:pPr>
    </w:p>
    <w:p w14:paraId="40F64C1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b w:val="0"/>
          <w:color w:val="auto"/>
          <w:highlight w:val="none"/>
        </w:rPr>
      </w:pPr>
      <w:bookmarkStart w:id="78" w:name="_Toc17866"/>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78"/>
      <w:bookmarkStart w:id="79" w:name="_Toc15396619"/>
    </w:p>
    <w:p w14:paraId="7B7C3578">
      <w:pPr>
        <w:pStyle w:val="6"/>
        <w:rPr>
          <w:rFonts w:ascii="仿宋" w:hAnsi="仿宋" w:eastAsia="仿宋"/>
          <w:color w:val="auto"/>
          <w:highlight w:val="none"/>
        </w:rPr>
      </w:pPr>
      <w:bookmarkStart w:id="80" w:name="_Toc13708"/>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79"/>
      <w:bookmarkEnd w:id="80"/>
    </w:p>
    <w:p w14:paraId="09A6D143">
      <w:pPr>
        <w:pStyle w:val="6"/>
        <w:rPr>
          <w:rFonts w:ascii="仿宋" w:hAnsi="仿宋" w:eastAsia="仿宋"/>
          <w:color w:val="auto"/>
          <w:highlight w:val="none"/>
        </w:rPr>
      </w:pPr>
      <w:bookmarkStart w:id="81" w:name="_Toc15396620"/>
      <w:bookmarkStart w:id="82" w:name="_Toc11110"/>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81"/>
      <w:bookmarkEnd w:id="82"/>
    </w:p>
    <w:p w14:paraId="262607E6">
      <w:pPr>
        <w:pStyle w:val="6"/>
        <w:rPr>
          <w:rFonts w:ascii="仿宋" w:hAnsi="仿宋" w:eastAsia="仿宋"/>
          <w:color w:val="auto"/>
          <w:highlight w:val="none"/>
        </w:rPr>
      </w:pPr>
      <w:bookmarkStart w:id="83" w:name="_Toc15396621"/>
      <w:bookmarkStart w:id="84" w:name="_Toc23979"/>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83"/>
      <w:bookmarkEnd w:id="84"/>
    </w:p>
    <w:p w14:paraId="63BC2685">
      <w:pPr>
        <w:pStyle w:val="6"/>
        <w:rPr>
          <w:rFonts w:ascii="仿宋" w:hAnsi="仿宋" w:eastAsia="仿宋"/>
          <w:b w:val="0"/>
          <w:color w:val="auto"/>
          <w:highlight w:val="none"/>
        </w:rPr>
      </w:pPr>
      <w:bookmarkStart w:id="85" w:name="_Toc15396622"/>
      <w:bookmarkStart w:id="86" w:name="_Toc8658"/>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85"/>
      <w:bookmarkEnd w:id="86"/>
    </w:p>
    <w:p w14:paraId="258B7C0A">
      <w:pPr>
        <w:pStyle w:val="6"/>
        <w:rPr>
          <w:rStyle w:val="30"/>
          <w:rFonts w:ascii="仿宋" w:hAnsi="仿宋" w:eastAsia="仿宋"/>
          <w:b w:val="0"/>
          <w:bCs w:val="0"/>
          <w:color w:val="auto"/>
          <w:highlight w:val="none"/>
        </w:rPr>
      </w:pPr>
      <w:bookmarkStart w:id="87" w:name="_Toc15396623"/>
      <w:bookmarkStart w:id="88" w:name="_Toc16680"/>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87"/>
      <w:bookmarkEnd w:id="88"/>
      <w:bookmarkStart w:id="89" w:name="_Toc15396624"/>
    </w:p>
    <w:p w14:paraId="625C8E00">
      <w:pPr>
        <w:pStyle w:val="6"/>
        <w:rPr>
          <w:rFonts w:ascii="仿宋" w:hAnsi="仿宋" w:eastAsia="仿宋"/>
          <w:color w:val="auto"/>
          <w:highlight w:val="none"/>
        </w:rPr>
      </w:pPr>
      <w:bookmarkStart w:id="90" w:name="_Toc27064"/>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89"/>
      <w:bookmarkEnd w:id="90"/>
    </w:p>
    <w:p w14:paraId="6A38D520">
      <w:pPr>
        <w:pStyle w:val="6"/>
        <w:rPr>
          <w:rFonts w:ascii="仿宋" w:hAnsi="仿宋" w:eastAsia="仿宋"/>
          <w:color w:val="auto"/>
          <w:highlight w:val="none"/>
        </w:rPr>
      </w:pPr>
      <w:bookmarkStart w:id="91" w:name="_Toc15998"/>
      <w:bookmarkStart w:id="92" w:name="_Toc15396625"/>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91"/>
      <w:bookmarkEnd w:id="92"/>
    </w:p>
    <w:p w14:paraId="08490CCE">
      <w:pPr>
        <w:pStyle w:val="6"/>
        <w:rPr>
          <w:rFonts w:ascii="仿宋" w:hAnsi="仿宋" w:eastAsia="仿宋"/>
          <w:color w:val="auto"/>
          <w:highlight w:val="none"/>
        </w:rPr>
      </w:pPr>
      <w:bookmarkStart w:id="93" w:name="_Toc15396626"/>
      <w:bookmarkStart w:id="94" w:name="_Toc28214"/>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93"/>
      <w:bookmarkEnd w:id="94"/>
    </w:p>
    <w:p w14:paraId="53586596">
      <w:pPr>
        <w:pStyle w:val="6"/>
        <w:rPr>
          <w:rFonts w:ascii="仿宋" w:hAnsi="仿宋" w:eastAsia="仿宋"/>
          <w:color w:val="auto"/>
          <w:highlight w:val="none"/>
        </w:rPr>
      </w:pPr>
      <w:bookmarkStart w:id="95" w:name="_Toc18595"/>
      <w:bookmarkStart w:id="96" w:name="_Toc15396627"/>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95"/>
      <w:bookmarkEnd w:id="96"/>
    </w:p>
    <w:p w14:paraId="0EE10998">
      <w:pPr>
        <w:pStyle w:val="6"/>
        <w:rPr>
          <w:rFonts w:ascii="仿宋" w:hAnsi="仿宋" w:eastAsia="仿宋"/>
          <w:color w:val="auto"/>
          <w:highlight w:val="none"/>
        </w:rPr>
      </w:pPr>
      <w:bookmarkStart w:id="97" w:name="_Toc15396628"/>
      <w:bookmarkStart w:id="98" w:name="_Toc24976"/>
      <w:r>
        <w:rPr>
          <w:rStyle w:val="30"/>
          <w:rFonts w:hint="eastAsia" w:ascii="仿宋" w:hAnsi="仿宋" w:eastAsia="仿宋"/>
          <w:b w:val="0"/>
          <w:bCs w:val="0"/>
          <w:color w:val="auto"/>
          <w:highlight w:val="none"/>
        </w:rPr>
        <w:t>十、</w:t>
      </w:r>
      <w:bookmarkEnd w:id="97"/>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98"/>
    </w:p>
    <w:p w14:paraId="04B2AFB8">
      <w:pPr>
        <w:pStyle w:val="6"/>
        <w:rPr>
          <w:rFonts w:ascii="仿宋" w:hAnsi="仿宋" w:eastAsia="仿宋"/>
          <w:color w:val="auto"/>
          <w:highlight w:val="none"/>
        </w:rPr>
      </w:pPr>
      <w:bookmarkStart w:id="99" w:name="_Toc15396629"/>
      <w:bookmarkStart w:id="100" w:name="_Toc12129"/>
      <w:r>
        <w:rPr>
          <w:rStyle w:val="30"/>
          <w:rFonts w:hint="eastAsia" w:ascii="仿宋" w:hAnsi="仿宋" w:eastAsia="仿宋"/>
          <w:b w:val="0"/>
          <w:bCs w:val="0"/>
          <w:color w:val="auto"/>
          <w:highlight w:val="none"/>
        </w:rPr>
        <w:t>十一、</w:t>
      </w:r>
      <w:bookmarkEnd w:id="99"/>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100"/>
    </w:p>
    <w:p w14:paraId="04F244DE">
      <w:pPr>
        <w:pStyle w:val="6"/>
        <w:rPr>
          <w:rFonts w:ascii="仿宋" w:hAnsi="仿宋" w:eastAsia="仿宋"/>
          <w:color w:val="auto"/>
          <w:highlight w:val="none"/>
        </w:rPr>
      </w:pPr>
      <w:bookmarkStart w:id="101" w:name="_Toc15396630"/>
      <w:bookmarkStart w:id="102" w:name="_Toc2197"/>
      <w:r>
        <w:rPr>
          <w:rStyle w:val="30"/>
          <w:rFonts w:hint="eastAsia" w:ascii="仿宋" w:hAnsi="仿宋" w:eastAsia="仿宋"/>
          <w:b w:val="0"/>
          <w:bCs w:val="0"/>
          <w:color w:val="auto"/>
          <w:highlight w:val="none"/>
        </w:rPr>
        <w:t>十二、</w:t>
      </w:r>
      <w:bookmarkEnd w:id="101"/>
      <w:r>
        <w:rPr>
          <w:rStyle w:val="30"/>
          <w:rFonts w:hint="eastAsia" w:ascii="仿宋" w:hAnsi="仿宋" w:eastAsia="仿宋"/>
          <w:b w:val="0"/>
          <w:bCs w:val="0"/>
          <w:color w:val="auto"/>
          <w:highlight w:val="none"/>
          <w:lang w:eastAsia="zh-CN"/>
        </w:rPr>
        <w:t>国有资本经营预算财政拨款支出决算表</w:t>
      </w:r>
      <w:bookmarkEnd w:id="102"/>
    </w:p>
    <w:p w14:paraId="28439D47">
      <w:pPr>
        <w:pStyle w:val="6"/>
        <w:rPr>
          <w:rStyle w:val="30"/>
          <w:rFonts w:hint="eastAsia" w:ascii="仿宋" w:hAnsi="仿宋" w:eastAsia="仿宋"/>
          <w:b w:val="0"/>
          <w:bCs w:val="0"/>
          <w:color w:val="auto"/>
          <w:highlight w:val="none"/>
          <w:lang w:eastAsia="zh-CN"/>
        </w:rPr>
      </w:pPr>
      <w:bookmarkStart w:id="103" w:name="_Toc15396631"/>
      <w:bookmarkStart w:id="104" w:name="_Toc20403"/>
      <w:r>
        <w:rPr>
          <w:rStyle w:val="30"/>
          <w:rFonts w:hint="eastAsia" w:ascii="仿宋" w:hAnsi="仿宋" w:eastAsia="仿宋"/>
          <w:b w:val="0"/>
          <w:bCs w:val="0"/>
          <w:color w:val="auto"/>
          <w:highlight w:val="none"/>
        </w:rPr>
        <w:t>十三、</w:t>
      </w:r>
      <w:bookmarkEnd w:id="103"/>
      <w:r>
        <w:rPr>
          <w:rStyle w:val="30"/>
          <w:rFonts w:hint="eastAsia" w:ascii="仿宋" w:hAnsi="仿宋" w:eastAsia="仿宋"/>
          <w:b w:val="0"/>
          <w:bCs w:val="0"/>
          <w:color w:val="auto"/>
          <w:highlight w:val="none"/>
          <w:lang w:eastAsia="zh-CN"/>
        </w:rPr>
        <w:t>财政拨款“三公”经费支出决算表</w:t>
      </w:r>
      <w:bookmarkEnd w:id="104"/>
    </w:p>
    <w:p w14:paraId="5FA9148A"/>
    <w:p w14:paraId="0C46CE72">
      <w:pPr>
        <w:pStyle w:val="6"/>
        <w:outlineLvl w:val="9"/>
        <w:rPr>
          <w:rFonts w:hint="eastAsia" w:eastAsia="仿宋"/>
          <w:color w:val="auto"/>
          <w:sz w:val="36"/>
          <w:szCs w:val="36"/>
          <w:highlight w:val="none"/>
          <w:lang w:eastAsia="zh-CN"/>
        </w:rPr>
      </w:pPr>
    </w:p>
    <w:sectPr>
      <w:type w:val="continuous"/>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B0B78">
    <w:pPr>
      <w:pStyle w:val="11"/>
      <w:jc w:val="center"/>
    </w:pPr>
  </w:p>
  <w:p w14:paraId="68052CE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FA58A">
    <w:pPr>
      <w:pStyle w:val="11"/>
      <w:jc w:val="center"/>
    </w:pPr>
  </w:p>
  <w:p w14:paraId="0765A35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4CA6">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44B0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4044B0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AC16">
    <w:pPr>
      <w:pStyle w:val="1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7E870">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577E870">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488D3F8A">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CDA6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31053"/>
    <w:multiLevelType w:val="singleLevel"/>
    <w:tmpl w:val="C3E31053"/>
    <w:lvl w:ilvl="0" w:tentative="0">
      <w:start w:val="1"/>
      <w:numFmt w:val="decimal"/>
      <w:suff w:val="nothing"/>
      <w:lvlText w:val="%1．"/>
      <w:lvlJc w:val="left"/>
      <w:pPr>
        <w:ind w:left="0" w:firstLine="400"/>
      </w:pPr>
      <w:rPr>
        <w:rFonts w:hint="default"/>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0DBA51B"/>
    <w:multiLevelType w:val="singleLevel"/>
    <w:tmpl w:val="10DBA51B"/>
    <w:lvl w:ilvl="0" w:tentative="0">
      <w:start w:val="4"/>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E3AD925"/>
    <w:multiLevelType w:val="singleLevel"/>
    <w:tmpl w:val="3E3AD925"/>
    <w:lvl w:ilvl="0" w:tentative="0">
      <w:start w:val="1"/>
      <w:numFmt w:val="chineseCounting"/>
      <w:suff w:val="nothing"/>
      <w:lvlText w:val="%1、"/>
      <w:lvlJc w:val="left"/>
      <w:rPr>
        <w:rFonts w:hint="eastAsia"/>
      </w:rPr>
    </w:lvl>
  </w:abstractNum>
  <w:abstractNum w:abstractNumId="6">
    <w:nsid w:val="451B8AE6"/>
    <w:multiLevelType w:val="singleLevel"/>
    <w:tmpl w:val="451B8AE6"/>
    <w:lvl w:ilvl="0" w:tentative="0">
      <w:start w:val="1"/>
      <w:numFmt w:val="decimal"/>
      <w:lvlText w:val="%1."/>
      <w:lvlJc w:val="left"/>
      <w:pPr>
        <w:tabs>
          <w:tab w:val="left" w:pos="312"/>
        </w:tabs>
      </w:pPr>
    </w:lvl>
  </w:abstractNum>
  <w:abstractNum w:abstractNumId="7">
    <w:nsid w:val="61473A33"/>
    <w:multiLevelType w:val="singleLevel"/>
    <w:tmpl w:val="61473A33"/>
    <w:lvl w:ilvl="0" w:tentative="0">
      <w:start w:val="2"/>
      <w:numFmt w:val="chineseCounting"/>
      <w:suff w:val="nothing"/>
      <w:lvlText w:val="(%1）"/>
      <w:lvlJc w:val="left"/>
      <w:rPr>
        <w:rFonts w:hint="eastAsia"/>
      </w:rPr>
    </w:lvl>
  </w:abstractNum>
  <w:num w:numId="1">
    <w:abstractNumId w:val="5"/>
  </w:num>
  <w:num w:numId="2">
    <w:abstractNumId w:val="4"/>
  </w:num>
  <w:num w:numId="3">
    <w:abstractNumId w:val="6"/>
  </w:num>
  <w:num w:numId="4">
    <w:abstractNumId w:val="1"/>
  </w:num>
  <w:num w:numId="5">
    <w:abstractNumId w:val="3"/>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2NjJkNWJjYmQ1YjM3ZDVlYzgxNGVjYmY1ZDkyYm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2495897"/>
    <w:rsid w:val="02C7088C"/>
    <w:rsid w:val="05587E43"/>
    <w:rsid w:val="055F7DCB"/>
    <w:rsid w:val="05E752BE"/>
    <w:rsid w:val="066E0107"/>
    <w:rsid w:val="07996F6E"/>
    <w:rsid w:val="097A4164"/>
    <w:rsid w:val="0A2032A3"/>
    <w:rsid w:val="0A5C5B27"/>
    <w:rsid w:val="0AB718BC"/>
    <w:rsid w:val="0C146B8E"/>
    <w:rsid w:val="0CC60FC5"/>
    <w:rsid w:val="0D1E2990"/>
    <w:rsid w:val="0D594D7F"/>
    <w:rsid w:val="0F98263C"/>
    <w:rsid w:val="0FA31311"/>
    <w:rsid w:val="101544F2"/>
    <w:rsid w:val="101860EC"/>
    <w:rsid w:val="108143F2"/>
    <w:rsid w:val="10C055FF"/>
    <w:rsid w:val="118107EC"/>
    <w:rsid w:val="11EA1373"/>
    <w:rsid w:val="13D50BC4"/>
    <w:rsid w:val="13DC4028"/>
    <w:rsid w:val="14D53848"/>
    <w:rsid w:val="16BB723D"/>
    <w:rsid w:val="16EA4B11"/>
    <w:rsid w:val="18D41D8B"/>
    <w:rsid w:val="1AF87A46"/>
    <w:rsid w:val="1B5F3FA1"/>
    <w:rsid w:val="1BE8440E"/>
    <w:rsid w:val="1C8826B2"/>
    <w:rsid w:val="1D0C28B4"/>
    <w:rsid w:val="1D155CEE"/>
    <w:rsid w:val="1E5C075A"/>
    <w:rsid w:val="1EAF385F"/>
    <w:rsid w:val="1FB02900"/>
    <w:rsid w:val="1FF35744"/>
    <w:rsid w:val="20AA2886"/>
    <w:rsid w:val="21DD52FC"/>
    <w:rsid w:val="231C05A6"/>
    <w:rsid w:val="23860B96"/>
    <w:rsid w:val="240371BF"/>
    <w:rsid w:val="257D152C"/>
    <w:rsid w:val="29FD04D3"/>
    <w:rsid w:val="2AD81483"/>
    <w:rsid w:val="2C277CE9"/>
    <w:rsid w:val="2C8A61B5"/>
    <w:rsid w:val="2DF04E50"/>
    <w:rsid w:val="2DFA57CC"/>
    <w:rsid w:val="2E0B34A7"/>
    <w:rsid w:val="2E945D08"/>
    <w:rsid w:val="2F040D46"/>
    <w:rsid w:val="319F7F4E"/>
    <w:rsid w:val="31A864FB"/>
    <w:rsid w:val="32EC1C81"/>
    <w:rsid w:val="3304709D"/>
    <w:rsid w:val="36AA5135"/>
    <w:rsid w:val="371A72BF"/>
    <w:rsid w:val="376D39B2"/>
    <w:rsid w:val="37E16F03"/>
    <w:rsid w:val="381C04A4"/>
    <w:rsid w:val="38D469F0"/>
    <w:rsid w:val="393910B5"/>
    <w:rsid w:val="3BEA1592"/>
    <w:rsid w:val="3D0C1F0E"/>
    <w:rsid w:val="3D4609C9"/>
    <w:rsid w:val="3D98207C"/>
    <w:rsid w:val="3DD37A4C"/>
    <w:rsid w:val="3E78745D"/>
    <w:rsid w:val="3F0324F1"/>
    <w:rsid w:val="3F5962DD"/>
    <w:rsid w:val="3FC866B7"/>
    <w:rsid w:val="412250F5"/>
    <w:rsid w:val="44E268DA"/>
    <w:rsid w:val="46A14626"/>
    <w:rsid w:val="4A627F82"/>
    <w:rsid w:val="4B0E749A"/>
    <w:rsid w:val="4B4F25DA"/>
    <w:rsid w:val="4BE068DB"/>
    <w:rsid w:val="4D577224"/>
    <w:rsid w:val="4EAB630A"/>
    <w:rsid w:val="4EB173DC"/>
    <w:rsid w:val="4ECE2238"/>
    <w:rsid w:val="50B7751C"/>
    <w:rsid w:val="537E6D0A"/>
    <w:rsid w:val="53F41BC8"/>
    <w:rsid w:val="54585DBF"/>
    <w:rsid w:val="54EE158A"/>
    <w:rsid w:val="54FB473E"/>
    <w:rsid w:val="55505B6E"/>
    <w:rsid w:val="59B6343B"/>
    <w:rsid w:val="5AF92295"/>
    <w:rsid w:val="5C396669"/>
    <w:rsid w:val="5CD71FC4"/>
    <w:rsid w:val="602D5722"/>
    <w:rsid w:val="617A1A27"/>
    <w:rsid w:val="68242987"/>
    <w:rsid w:val="694F2A9F"/>
    <w:rsid w:val="6C3A1E7B"/>
    <w:rsid w:val="6C4A05C8"/>
    <w:rsid w:val="6D0F5A71"/>
    <w:rsid w:val="6D1773F5"/>
    <w:rsid w:val="6E7E3605"/>
    <w:rsid w:val="6FAB2AAC"/>
    <w:rsid w:val="6FF5CC65"/>
    <w:rsid w:val="715C0E4B"/>
    <w:rsid w:val="72734D90"/>
    <w:rsid w:val="73AD73D5"/>
    <w:rsid w:val="73B6EB34"/>
    <w:rsid w:val="744731E5"/>
    <w:rsid w:val="76E3355F"/>
    <w:rsid w:val="773A164E"/>
    <w:rsid w:val="778769C8"/>
    <w:rsid w:val="78C81D3D"/>
    <w:rsid w:val="78E473DF"/>
    <w:rsid w:val="79EE5BA4"/>
    <w:rsid w:val="7A894339"/>
    <w:rsid w:val="7B4C4845"/>
    <w:rsid w:val="7D711432"/>
    <w:rsid w:val="7D9C4840"/>
    <w:rsid w:val="7DF2506F"/>
    <w:rsid w:val="7EEF11D3"/>
    <w:rsid w:val="7F7A172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收、支决算总计变动情况图（万元）</a:t>
            </a:r>
          </a:p>
        </c:rich>
      </c:tx>
      <c:layout>
        <c:manualLayout>
          <c:xMode val="edge"/>
          <c:yMode val="edge"/>
          <c:x val="0.231168517624336"/>
          <c:y val="0.853359298928919"/>
        </c:manualLayout>
      </c:layout>
      <c:overlay val="0"/>
      <c:spPr>
        <a:noFill/>
        <a:ln>
          <a:noFill/>
        </a:ln>
        <a:effectLst/>
      </c:spPr>
    </c:title>
    <c:autoTitleDeleted val="0"/>
    <c:plotArea>
      <c:layout>
        <c:manualLayout>
          <c:layoutTarget val="inner"/>
          <c:xMode val="edge"/>
          <c:yMode val="edge"/>
          <c:x val="0.0565668759053597"/>
          <c:y val="0.0344395742016281"/>
          <c:w val="0.908425881216803"/>
          <c:h val="0.710373617198915"/>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293.4</c:v>
                </c:pt>
                <c:pt idx="1">
                  <c:v>220</c:v>
                </c:pt>
              </c:numCache>
            </c:numRef>
          </c:val>
        </c:ser>
        <c:dLbls>
          <c:showLegendKey val="0"/>
          <c:showVal val="0"/>
          <c:showCatName val="0"/>
          <c:showSerName val="0"/>
          <c:showPercent val="0"/>
          <c:showBubbleSize val="0"/>
        </c:dLbls>
        <c:gapWidth val="219"/>
        <c:overlap val="-27"/>
        <c:axId val="874904910"/>
        <c:axId val="865983265"/>
      </c:barChart>
      <c:catAx>
        <c:axId val="8749049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5983265"/>
        <c:crosses val="autoZero"/>
        <c:auto val="1"/>
        <c:lblAlgn val="ctr"/>
        <c:lblOffset val="100"/>
        <c:noMultiLvlLbl val="0"/>
      </c:catAx>
      <c:valAx>
        <c:axId val="86598326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490491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165.76</c:v>
                </c:pt>
                <c:pt idx="1">
                  <c:v>15.78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133.48</c:v>
                </c:pt>
                <c:pt idx="1">
                  <c:v>71.49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087793710085552"/>
          <c:y val="0.310489024729092"/>
          <c:w val="0.908591396553802"/>
          <c:h val="0.574590163934426"/>
        </c:manualLayout>
      </c:layout>
      <c:barChart>
        <c:barDir val="col"/>
        <c:grouping val="clustered"/>
        <c:varyColors val="0"/>
        <c:ser>
          <c:idx val="0"/>
          <c:order val="0"/>
          <c:tx>
            <c:strRef>
              <c:f>Sheet1!$B$1</c:f>
              <c:strCache>
                <c:ptCount val="1"/>
                <c:pt idx="0">
                  <c:v>收支</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205.68</c:v>
                </c:pt>
                <c:pt idx="1">
                  <c:v>165.76</c:v>
                </c:pt>
              </c:numCache>
            </c:numRef>
          </c:val>
        </c:ser>
        <c:dLbls>
          <c:showLegendKey val="0"/>
          <c:showVal val="1"/>
          <c:showCatName val="0"/>
          <c:showSerName val="0"/>
          <c:showPercent val="0"/>
          <c:showBubbleSize val="0"/>
        </c:dLbls>
        <c:gapWidth val="219"/>
        <c:overlap val="-27"/>
        <c:axId val="845387433"/>
        <c:axId val="722054354"/>
      </c:barChart>
      <c:catAx>
        <c:axId val="8453874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2054354"/>
        <c:crosses val="autoZero"/>
        <c:auto val="1"/>
        <c:lblAlgn val="ctr"/>
        <c:lblOffset val="100"/>
        <c:noMultiLvlLbl val="0"/>
      </c:catAx>
      <c:valAx>
        <c:axId val="7220543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538743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一般公共预算财政拨款支出决算变动情况（万元）</a:t>
            </a:r>
          </a:p>
        </c:rich>
      </c:tx>
      <c:layout>
        <c:manualLayout>
          <c:xMode val="edge"/>
          <c:yMode val="edge"/>
          <c:x val="0.116867469879518"/>
          <c:y val="0.0683168316831683"/>
        </c:manualLayout>
      </c:layout>
      <c:overlay val="0"/>
      <c:spPr>
        <a:noFill/>
        <a:ln>
          <a:noFill/>
        </a:ln>
        <a:effectLst/>
      </c:spPr>
    </c:title>
    <c:autoTitleDeleted val="0"/>
    <c:plotArea>
      <c:layout>
        <c:manualLayout>
          <c:layoutTarget val="inner"/>
          <c:xMode val="edge"/>
          <c:yMode val="edge"/>
          <c:x val="0.0685060240963855"/>
          <c:y val="0.274587458745874"/>
          <c:w val="0.908602409638554"/>
          <c:h val="0.588910891089109"/>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205.68</c:v>
                </c:pt>
                <c:pt idx="1">
                  <c:v>165.76</c:v>
                </c:pt>
              </c:numCache>
            </c:numRef>
          </c:val>
        </c:ser>
        <c:dLbls>
          <c:showLegendKey val="0"/>
          <c:showVal val="1"/>
          <c:showCatName val="0"/>
          <c:showSerName val="0"/>
          <c:showPercent val="0"/>
          <c:showBubbleSize val="0"/>
        </c:dLbls>
        <c:gapWidth val="219"/>
        <c:overlap val="-27"/>
        <c:axId val="870633783"/>
        <c:axId val="962709569"/>
      </c:barChart>
      <c:catAx>
        <c:axId val="870633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2709569"/>
        <c:crosses val="autoZero"/>
        <c:auto val="1"/>
        <c:lblAlgn val="ctr"/>
        <c:lblOffset val="100"/>
        <c:noMultiLvlLbl val="0"/>
      </c:catAx>
      <c:valAx>
        <c:axId val="96270956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0633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1"/>
              <c:layout>
                <c:manualLayout>
                  <c:x val="-0.019748000969227"/>
                  <c:y val="-0.00684410646387833"/>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6.01</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313787254664405"/>
                  <c:y val="-0.00709759188846641"/>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4.77</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139.2</c:v>
                </c:pt>
                <c:pt idx="1">
                  <c:v>9.97</c:v>
                </c:pt>
                <c:pt idx="2">
                  <c:v>8.69</c:v>
                </c:pt>
                <c:pt idx="3">
                  <c:v>7.9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0.15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45</Pages>
  <Words>16611</Words>
  <Characters>18457</Characters>
  <Lines>61</Lines>
  <Paragraphs>17</Paragraphs>
  <TotalTime>8</TotalTime>
  <ScaleCrop>false</ScaleCrop>
  <LinksUpToDate>false</LinksUpToDate>
  <CharactersWithSpaces>18801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魏..</cp:lastModifiedBy>
  <cp:lastPrinted>2023-07-31T02:35:00Z</cp:lastPrinted>
  <dcterms:modified xsi:type="dcterms:W3CDTF">2024-09-12T07:49:38Z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D51452B959F448E5AC1BF50CCBF62E03_12</vt:lpwstr>
  </property>
</Properties>
</file>