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28B63">
      <w:pPr>
        <w:spacing w:line="600" w:lineRule="exact"/>
        <w:jc w:val="center"/>
        <w:outlineLvl w:val="0"/>
        <w:rPr>
          <w:rFonts w:ascii="方正小标宋简体" w:hAnsi="宋体" w:eastAsia="方正小标宋简体"/>
          <w:sz w:val="72"/>
          <w:szCs w:val="72"/>
        </w:rPr>
      </w:pPr>
      <w:bookmarkStart w:id="0" w:name="_Toc15377193"/>
      <w:bookmarkStart w:id="1" w:name="_Toc15377425"/>
      <w:bookmarkStart w:id="2" w:name="_Toc15396475"/>
      <w:bookmarkStart w:id="3" w:name="_Toc15396597"/>
      <w:bookmarkStart w:id="4" w:name="_Toc15378441"/>
      <w:bookmarkStart w:id="5" w:name="_Toc15306267"/>
    </w:p>
    <w:p w14:paraId="758188EB">
      <w:pPr>
        <w:spacing w:line="600" w:lineRule="exact"/>
        <w:jc w:val="center"/>
        <w:outlineLvl w:val="0"/>
        <w:rPr>
          <w:rFonts w:ascii="方正小标宋简体" w:hAnsi="宋体" w:eastAsia="方正小标宋简体"/>
          <w:sz w:val="72"/>
          <w:szCs w:val="72"/>
        </w:rPr>
      </w:pPr>
    </w:p>
    <w:p w14:paraId="36E83C41">
      <w:pPr>
        <w:spacing w:line="600" w:lineRule="exact"/>
        <w:jc w:val="center"/>
        <w:outlineLvl w:val="0"/>
        <w:rPr>
          <w:rFonts w:ascii="方正小标宋简体" w:hAnsi="宋体" w:eastAsia="方正小标宋简体"/>
          <w:sz w:val="72"/>
          <w:szCs w:val="72"/>
        </w:rPr>
      </w:pPr>
    </w:p>
    <w:p w14:paraId="414A815E">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3</w:t>
      </w:r>
      <w:r>
        <w:rPr>
          <w:rFonts w:hint="eastAsia" w:ascii="方正小标宋简体" w:hAnsi="方正小标宋简体" w:eastAsia="方正小标宋简体" w:cs="方正小标宋简体"/>
          <w:sz w:val="72"/>
          <w:szCs w:val="72"/>
        </w:rPr>
        <w:t>年度</w:t>
      </w:r>
      <w:bookmarkEnd w:id="0"/>
      <w:bookmarkEnd w:id="1"/>
      <w:bookmarkEnd w:id="2"/>
      <w:bookmarkEnd w:id="3"/>
      <w:bookmarkEnd w:id="4"/>
    </w:p>
    <w:p w14:paraId="19DEFFD0">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6" w:name="_Toc15377194"/>
      <w:bookmarkStart w:id="7" w:name="_Toc15378442"/>
      <w:bookmarkStart w:id="8" w:name="_Toc15396598"/>
      <w:bookmarkStart w:id="9" w:name="_Toc15377426"/>
      <w:bookmarkStart w:id="10" w:name="_Toc15396476"/>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rPr>
        <w:t>遂宁市船山区仁里镇人民政府</w:t>
      </w:r>
    </w:p>
    <w:p w14:paraId="1543DC90">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lang w:eastAsia="zh-CN"/>
        </w:rPr>
        <w:t>单位</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14:paraId="6DC1BFC4">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226FA6E2">
      <w:pPr>
        <w:widowControl/>
        <w:jc w:val="center"/>
        <w:rPr>
          <w:rFonts w:ascii="黑体" w:hAnsi="黑体" w:eastAsia="黑体" w:cstheme="minorBidi"/>
          <w:sz w:val="28"/>
          <w:szCs w:val="28"/>
        </w:rPr>
      </w:pPr>
    </w:p>
    <w:p w14:paraId="3EC9A84B">
      <w:pPr>
        <w:rPr>
          <w:rFonts w:eastAsia="仿宋_GB2312" w:cs="仿宋"/>
          <w:bCs/>
          <w:sz w:val="32"/>
          <w:szCs w:val="32"/>
        </w:rPr>
      </w:pPr>
    </w:p>
    <w:p w14:paraId="4ED6179A">
      <w:pPr>
        <w:pStyle w:val="12"/>
        <w:adjustRightInd w:val="0"/>
        <w:snapToGrid w:val="0"/>
        <w:spacing w:before="0" w:line="440" w:lineRule="exact"/>
        <w:jc w:val="left"/>
        <w:rPr>
          <w:rFonts w:ascii="Times New Roman" w:hAnsi="Times New Roman" w:eastAsia="仿宋_GB2312" w:cs="仿宋"/>
          <w:bCs/>
          <w:sz w:val="32"/>
          <w:szCs w:val="32"/>
        </w:rPr>
      </w:pPr>
      <w:r>
        <w:rPr>
          <w:rFonts w:hint="eastAsia" w:ascii="Times New Roman" w:hAnsi="Times New Roman" w:eastAsia="仿宋_GB2312" w:cs="仿宋"/>
          <w:bCs/>
          <w:sz w:val="32"/>
          <w:szCs w:val="32"/>
        </w:rPr>
        <w:t>第一部分</w:t>
      </w:r>
      <w:r>
        <w:rPr>
          <w:rFonts w:ascii="Times New Roman" w:hAnsi="Times New Roman" w:eastAsia="仿宋_GB2312" w:cs="仿宋"/>
          <w:bCs/>
          <w:sz w:val="32"/>
          <w:szCs w:val="32"/>
        </w:rPr>
        <w:t xml:space="preserve"> </w:t>
      </w:r>
      <w:r>
        <w:rPr>
          <w:rFonts w:hint="eastAsia" w:ascii="Times New Roman" w:hAnsi="Times New Roman" w:eastAsia="仿宋_GB2312" w:cs="仿宋"/>
          <w:bCs/>
          <w:sz w:val="32"/>
          <w:szCs w:val="32"/>
        </w:rPr>
        <w:t>部门概况</w:t>
      </w:r>
    </w:p>
    <w:p w14:paraId="0BA1D197">
      <w:pPr>
        <w:pStyle w:val="13"/>
        <w:adjustRightInd w:val="0"/>
        <w:snapToGrid w:val="0"/>
        <w:spacing w:line="440" w:lineRule="exact"/>
        <w:jc w:val="left"/>
        <w:rPr>
          <w:rFonts w:eastAsia="仿宋_GB2312" w:cs="仿宋"/>
          <w:bCs/>
          <w:sz w:val="32"/>
          <w:szCs w:val="32"/>
        </w:rPr>
      </w:pPr>
      <w:r>
        <w:rPr>
          <w:rFonts w:hint="eastAsia" w:eastAsia="仿宋_GB2312" w:cs="仿宋"/>
          <w:bCs/>
          <w:sz w:val="32"/>
          <w:szCs w:val="32"/>
        </w:rPr>
        <w:t>一、部门职责</w:t>
      </w:r>
    </w:p>
    <w:p w14:paraId="4C128B81">
      <w:pPr>
        <w:pStyle w:val="13"/>
        <w:adjustRightInd w:val="0"/>
        <w:snapToGrid w:val="0"/>
        <w:spacing w:line="440" w:lineRule="exact"/>
        <w:jc w:val="left"/>
        <w:rPr>
          <w:rFonts w:eastAsia="仿宋_GB2312" w:cs="仿宋"/>
          <w:bCs/>
          <w:sz w:val="32"/>
          <w:szCs w:val="32"/>
        </w:rPr>
      </w:pPr>
      <w:r>
        <w:rPr>
          <w:rFonts w:hint="eastAsia" w:eastAsia="仿宋_GB2312" w:cs="仿宋"/>
          <w:bCs/>
          <w:sz w:val="32"/>
          <w:szCs w:val="32"/>
        </w:rPr>
        <w:t>二、机构设置</w:t>
      </w:r>
    </w:p>
    <w:p w14:paraId="65AECF27">
      <w:pPr>
        <w:pStyle w:val="12"/>
        <w:adjustRightInd w:val="0"/>
        <w:snapToGrid w:val="0"/>
        <w:spacing w:before="0" w:line="440" w:lineRule="exact"/>
        <w:jc w:val="left"/>
        <w:rPr>
          <w:rFonts w:ascii="Times New Roman" w:hAnsi="Times New Roman" w:eastAsia="仿宋_GB2312" w:cs="仿宋"/>
          <w:bCs/>
          <w:sz w:val="32"/>
          <w:szCs w:val="32"/>
        </w:rPr>
      </w:pPr>
      <w:r>
        <w:rPr>
          <w:rFonts w:hint="eastAsia" w:ascii="Times New Roman" w:hAnsi="Times New Roman" w:eastAsia="仿宋_GB2312" w:cs="仿宋"/>
          <w:bCs/>
          <w:sz w:val="32"/>
          <w:szCs w:val="32"/>
        </w:rPr>
        <w:t xml:space="preserve">第二部分 </w:t>
      </w:r>
      <w:r>
        <w:rPr>
          <w:rFonts w:hint="eastAsia" w:ascii="Times New Roman" w:hAnsi="Times New Roman" w:eastAsia="仿宋_GB2312" w:cs="仿宋"/>
          <w:bCs/>
          <w:sz w:val="32"/>
          <w:szCs w:val="32"/>
          <w:lang w:eastAsia="zh-CN"/>
        </w:rPr>
        <w:t>2023</w:t>
      </w:r>
      <w:r>
        <w:rPr>
          <w:rFonts w:hint="eastAsia" w:ascii="Times New Roman" w:hAnsi="Times New Roman" w:eastAsia="仿宋_GB2312" w:cs="仿宋"/>
          <w:bCs/>
          <w:sz w:val="32"/>
          <w:szCs w:val="32"/>
        </w:rPr>
        <w:t>年度部门决算情况说明</w:t>
      </w:r>
    </w:p>
    <w:p w14:paraId="019B7AD0">
      <w:pPr>
        <w:pStyle w:val="13"/>
        <w:adjustRightInd w:val="0"/>
        <w:snapToGrid w:val="0"/>
        <w:spacing w:line="440" w:lineRule="exact"/>
        <w:jc w:val="left"/>
        <w:rPr>
          <w:rFonts w:eastAsia="仿宋_GB2312" w:cs="仿宋"/>
          <w:bCs/>
          <w:sz w:val="32"/>
          <w:szCs w:val="32"/>
        </w:rPr>
      </w:pPr>
      <w:r>
        <w:rPr>
          <w:rFonts w:hint="eastAsia" w:eastAsia="仿宋_GB2312" w:cs="仿宋"/>
          <w:bCs/>
          <w:sz w:val="32"/>
          <w:szCs w:val="32"/>
        </w:rPr>
        <w:t>一、收入支出决算总体情况说明</w:t>
      </w:r>
    </w:p>
    <w:p w14:paraId="5FF29369">
      <w:pPr>
        <w:pStyle w:val="13"/>
        <w:adjustRightInd w:val="0"/>
        <w:snapToGrid w:val="0"/>
        <w:spacing w:line="440" w:lineRule="exact"/>
        <w:jc w:val="left"/>
        <w:rPr>
          <w:rFonts w:eastAsia="仿宋_GB2312" w:cs="仿宋"/>
          <w:bCs/>
          <w:sz w:val="32"/>
          <w:szCs w:val="32"/>
        </w:rPr>
      </w:pPr>
      <w:r>
        <w:rPr>
          <w:rFonts w:hint="eastAsia" w:eastAsia="仿宋_GB2312" w:cs="仿宋"/>
          <w:bCs/>
          <w:sz w:val="32"/>
          <w:szCs w:val="32"/>
        </w:rPr>
        <w:t>二、收入决算情况说明</w:t>
      </w:r>
    </w:p>
    <w:p w14:paraId="2725E373">
      <w:pPr>
        <w:pStyle w:val="13"/>
        <w:adjustRightInd w:val="0"/>
        <w:snapToGrid w:val="0"/>
        <w:spacing w:line="440" w:lineRule="exact"/>
        <w:jc w:val="left"/>
        <w:rPr>
          <w:rFonts w:eastAsia="仿宋_GB2312" w:cs="仿宋"/>
          <w:bCs/>
          <w:sz w:val="32"/>
          <w:szCs w:val="32"/>
        </w:rPr>
      </w:pPr>
      <w:r>
        <w:rPr>
          <w:rFonts w:hint="eastAsia" w:eastAsia="仿宋_GB2312" w:cs="仿宋"/>
          <w:bCs/>
          <w:sz w:val="32"/>
          <w:szCs w:val="32"/>
        </w:rPr>
        <w:t>三、支出决算情况说明</w:t>
      </w:r>
    </w:p>
    <w:p w14:paraId="01D94991">
      <w:pPr>
        <w:pStyle w:val="13"/>
        <w:adjustRightInd w:val="0"/>
        <w:snapToGrid w:val="0"/>
        <w:spacing w:line="440" w:lineRule="exact"/>
        <w:jc w:val="left"/>
        <w:rPr>
          <w:rFonts w:eastAsia="仿宋_GB2312" w:cs="仿宋"/>
          <w:bCs/>
          <w:sz w:val="32"/>
          <w:szCs w:val="32"/>
        </w:rPr>
      </w:pPr>
      <w:r>
        <w:rPr>
          <w:rFonts w:hint="eastAsia" w:eastAsia="仿宋_GB2312" w:cs="仿宋"/>
          <w:bCs/>
          <w:sz w:val="32"/>
          <w:szCs w:val="32"/>
        </w:rPr>
        <w:t>四、财政拨款收入支出决算总体情况说明</w:t>
      </w:r>
    </w:p>
    <w:p w14:paraId="7C6BDF96">
      <w:pPr>
        <w:pStyle w:val="13"/>
        <w:adjustRightInd w:val="0"/>
        <w:snapToGrid w:val="0"/>
        <w:spacing w:line="440" w:lineRule="exact"/>
        <w:jc w:val="left"/>
        <w:rPr>
          <w:rFonts w:eastAsia="仿宋_GB2312" w:cs="仿宋"/>
          <w:bCs/>
          <w:sz w:val="32"/>
          <w:szCs w:val="32"/>
        </w:rPr>
      </w:pPr>
      <w:r>
        <w:rPr>
          <w:rFonts w:hint="eastAsia" w:eastAsia="仿宋_GB2312" w:cs="仿宋"/>
          <w:bCs/>
          <w:sz w:val="32"/>
          <w:szCs w:val="32"/>
        </w:rPr>
        <w:t>五、一般公共预算财政拨款支出决算情况说明</w:t>
      </w:r>
    </w:p>
    <w:p w14:paraId="345FC06F">
      <w:pPr>
        <w:pStyle w:val="13"/>
        <w:adjustRightInd w:val="0"/>
        <w:snapToGrid w:val="0"/>
        <w:spacing w:line="440" w:lineRule="exact"/>
        <w:jc w:val="left"/>
        <w:rPr>
          <w:rFonts w:eastAsia="仿宋_GB2312" w:cs="仿宋"/>
          <w:bCs/>
          <w:sz w:val="32"/>
          <w:szCs w:val="32"/>
        </w:rPr>
      </w:pPr>
      <w:r>
        <w:rPr>
          <w:rFonts w:hint="eastAsia" w:eastAsia="仿宋_GB2312" w:cs="仿宋"/>
          <w:bCs/>
          <w:sz w:val="32"/>
          <w:szCs w:val="32"/>
        </w:rPr>
        <w:t>六、一般公共预算财政拨款基本支出决算情况说明</w:t>
      </w:r>
    </w:p>
    <w:p w14:paraId="493695DF">
      <w:pPr>
        <w:pStyle w:val="13"/>
        <w:adjustRightInd w:val="0"/>
        <w:snapToGrid w:val="0"/>
        <w:spacing w:line="440" w:lineRule="exact"/>
        <w:jc w:val="left"/>
        <w:rPr>
          <w:rFonts w:eastAsia="仿宋_GB2312" w:cs="仿宋"/>
          <w:bCs/>
          <w:sz w:val="32"/>
          <w:szCs w:val="32"/>
        </w:rPr>
      </w:pPr>
      <w:r>
        <w:rPr>
          <w:rFonts w:hint="eastAsia" w:eastAsia="仿宋_GB2312" w:cs="仿宋"/>
          <w:bCs/>
          <w:sz w:val="32"/>
          <w:szCs w:val="32"/>
        </w:rPr>
        <w:t>七、财政拨款“三公”经费支出决算情况说明</w:t>
      </w:r>
    </w:p>
    <w:p w14:paraId="55F65857">
      <w:pPr>
        <w:pStyle w:val="13"/>
        <w:adjustRightInd w:val="0"/>
        <w:snapToGrid w:val="0"/>
        <w:spacing w:line="440" w:lineRule="exact"/>
        <w:jc w:val="left"/>
        <w:rPr>
          <w:rFonts w:eastAsia="仿宋_GB2312" w:cs="仿宋"/>
          <w:bCs/>
          <w:sz w:val="32"/>
          <w:szCs w:val="32"/>
        </w:rPr>
      </w:pPr>
      <w:r>
        <w:rPr>
          <w:rFonts w:hint="eastAsia" w:eastAsia="仿宋_GB2312" w:cs="仿宋"/>
          <w:bCs/>
          <w:sz w:val="32"/>
          <w:szCs w:val="32"/>
        </w:rPr>
        <w:t>八、政府性基金预算支出决算情况说明</w:t>
      </w:r>
    </w:p>
    <w:p w14:paraId="0F0BCE63">
      <w:pPr>
        <w:pStyle w:val="13"/>
        <w:adjustRightInd w:val="0"/>
        <w:snapToGrid w:val="0"/>
        <w:spacing w:line="440" w:lineRule="exact"/>
        <w:ind w:leftChars="0"/>
        <w:jc w:val="left"/>
        <w:rPr>
          <w:rFonts w:eastAsia="仿宋_GB2312" w:cs="仿宋"/>
          <w:bCs/>
          <w:sz w:val="32"/>
          <w:szCs w:val="32"/>
        </w:rPr>
      </w:pPr>
      <w:r>
        <w:rPr>
          <w:rFonts w:hint="eastAsia" w:eastAsia="仿宋_GB2312" w:cs="仿宋"/>
          <w:bCs/>
          <w:sz w:val="32"/>
          <w:szCs w:val="32"/>
        </w:rPr>
        <w:t>九、国有资本经营预算支出决算情况说明</w:t>
      </w:r>
    </w:p>
    <w:p w14:paraId="27EDD19E">
      <w:pPr>
        <w:adjustRightInd w:val="0"/>
        <w:snapToGrid w:val="0"/>
        <w:spacing w:line="440" w:lineRule="exact"/>
        <w:ind w:firstLine="560" w:firstLineChars="175"/>
        <w:jc w:val="left"/>
        <w:rPr>
          <w:rFonts w:eastAsia="仿宋_GB2312" w:cs="仿宋"/>
          <w:bCs/>
          <w:sz w:val="32"/>
          <w:szCs w:val="32"/>
        </w:rPr>
      </w:pPr>
      <w:r>
        <w:rPr>
          <w:rFonts w:hint="eastAsia" w:eastAsia="仿宋_GB2312" w:cs="仿宋"/>
          <w:bCs/>
          <w:sz w:val="32"/>
          <w:szCs w:val="32"/>
        </w:rPr>
        <w:t>十、其他重要事项的情况说明</w:t>
      </w:r>
      <w:r>
        <w:rPr>
          <w:rFonts w:hint="eastAsia" w:eastAsia="仿宋_GB2312" w:cs="仿宋"/>
          <w:bCs/>
          <w:sz w:val="32"/>
          <w:szCs w:val="32"/>
        </w:rPr>
        <w:tab/>
      </w:r>
    </w:p>
    <w:p w14:paraId="2FE16660">
      <w:pPr>
        <w:pStyle w:val="12"/>
        <w:adjustRightInd w:val="0"/>
        <w:snapToGrid w:val="0"/>
        <w:spacing w:before="0" w:line="440" w:lineRule="exact"/>
        <w:jc w:val="left"/>
        <w:rPr>
          <w:rFonts w:ascii="Times New Roman" w:hAnsi="Times New Roman" w:eastAsia="仿宋_GB2312" w:cs="仿宋"/>
          <w:bCs/>
          <w:sz w:val="32"/>
          <w:szCs w:val="32"/>
        </w:rPr>
      </w:pPr>
      <w:r>
        <w:rPr>
          <w:rFonts w:hint="eastAsia" w:ascii="Times New Roman" w:hAnsi="Times New Roman" w:eastAsia="仿宋_GB2312" w:cs="仿宋"/>
          <w:bCs/>
          <w:sz w:val="32"/>
          <w:szCs w:val="32"/>
        </w:rPr>
        <w:t>第三部分</w:t>
      </w:r>
      <w:r>
        <w:rPr>
          <w:rFonts w:ascii="Times New Roman" w:hAnsi="Times New Roman" w:eastAsia="仿宋_GB2312" w:cs="仿宋"/>
          <w:bCs/>
          <w:sz w:val="32"/>
          <w:szCs w:val="32"/>
        </w:rPr>
        <w:t xml:space="preserve"> </w:t>
      </w:r>
      <w:r>
        <w:rPr>
          <w:rFonts w:hint="eastAsia" w:ascii="Times New Roman" w:hAnsi="Times New Roman" w:eastAsia="仿宋_GB2312" w:cs="仿宋"/>
          <w:bCs/>
          <w:sz w:val="32"/>
          <w:szCs w:val="32"/>
        </w:rPr>
        <w:t>名词解释</w:t>
      </w:r>
    </w:p>
    <w:p w14:paraId="4C4E86E8">
      <w:pPr>
        <w:pStyle w:val="12"/>
        <w:adjustRightInd w:val="0"/>
        <w:snapToGrid w:val="0"/>
        <w:spacing w:before="0" w:line="440" w:lineRule="exact"/>
        <w:jc w:val="left"/>
        <w:rPr>
          <w:rFonts w:ascii="Times New Roman" w:hAnsi="Times New Roman" w:eastAsia="仿宋_GB2312" w:cs="仿宋"/>
          <w:bCs/>
          <w:sz w:val="32"/>
          <w:szCs w:val="32"/>
        </w:rPr>
      </w:pPr>
      <w:r>
        <w:rPr>
          <w:rFonts w:hint="eastAsia" w:ascii="Times New Roman" w:hAnsi="Times New Roman" w:eastAsia="仿宋_GB2312" w:cs="仿宋"/>
          <w:bCs/>
          <w:sz w:val="32"/>
          <w:szCs w:val="32"/>
        </w:rPr>
        <w:t>第四部分</w:t>
      </w:r>
      <w:r>
        <w:rPr>
          <w:rFonts w:ascii="Times New Roman" w:hAnsi="Times New Roman" w:eastAsia="仿宋_GB2312" w:cs="仿宋"/>
          <w:bCs/>
          <w:sz w:val="32"/>
          <w:szCs w:val="32"/>
        </w:rPr>
        <w:t xml:space="preserve"> </w:t>
      </w:r>
      <w:r>
        <w:rPr>
          <w:rFonts w:hint="eastAsia" w:ascii="Times New Roman" w:hAnsi="Times New Roman" w:eastAsia="仿宋_GB2312" w:cs="仿宋"/>
          <w:bCs/>
          <w:sz w:val="32"/>
          <w:szCs w:val="32"/>
        </w:rPr>
        <w:t>附件</w:t>
      </w:r>
    </w:p>
    <w:p w14:paraId="20E00169">
      <w:pPr>
        <w:pStyle w:val="12"/>
        <w:adjustRightInd w:val="0"/>
        <w:snapToGrid w:val="0"/>
        <w:spacing w:before="0" w:line="440" w:lineRule="exact"/>
        <w:jc w:val="left"/>
        <w:rPr>
          <w:rFonts w:ascii="Times New Roman" w:hAnsi="Times New Roman" w:eastAsia="仿宋_GB2312" w:cs="仿宋"/>
          <w:bCs/>
          <w:sz w:val="32"/>
          <w:szCs w:val="32"/>
        </w:rPr>
      </w:pPr>
      <w:r>
        <w:rPr>
          <w:rFonts w:hint="eastAsia" w:ascii="Times New Roman" w:hAnsi="Times New Roman" w:eastAsia="仿宋_GB2312" w:cs="仿宋"/>
          <w:bCs/>
          <w:sz w:val="32"/>
          <w:szCs w:val="32"/>
        </w:rPr>
        <w:t>第五部分</w:t>
      </w:r>
      <w:r>
        <w:rPr>
          <w:rFonts w:ascii="Times New Roman" w:hAnsi="Times New Roman" w:eastAsia="仿宋_GB2312" w:cs="仿宋"/>
          <w:bCs/>
          <w:sz w:val="32"/>
          <w:szCs w:val="32"/>
        </w:rPr>
        <w:t xml:space="preserve"> </w:t>
      </w:r>
      <w:r>
        <w:rPr>
          <w:rFonts w:hint="eastAsia" w:ascii="Times New Roman" w:hAnsi="Times New Roman" w:eastAsia="仿宋_GB2312" w:cs="仿宋"/>
          <w:bCs/>
          <w:sz w:val="32"/>
          <w:szCs w:val="32"/>
        </w:rPr>
        <w:t>附表</w:t>
      </w:r>
    </w:p>
    <w:p w14:paraId="56D22589">
      <w:pPr>
        <w:pStyle w:val="13"/>
        <w:adjustRightInd w:val="0"/>
        <w:snapToGrid w:val="0"/>
        <w:spacing w:line="440" w:lineRule="exact"/>
        <w:jc w:val="left"/>
        <w:rPr>
          <w:rFonts w:eastAsia="仿宋_GB2312" w:cs="仿宋"/>
          <w:bCs/>
          <w:sz w:val="32"/>
          <w:szCs w:val="32"/>
        </w:rPr>
      </w:pPr>
      <w:r>
        <w:rPr>
          <w:rFonts w:hint="eastAsia" w:eastAsia="仿宋_GB2312" w:cs="仿宋"/>
          <w:bCs/>
          <w:sz w:val="32"/>
          <w:szCs w:val="32"/>
        </w:rPr>
        <w:t>一、收入支出决算总表</w:t>
      </w:r>
    </w:p>
    <w:p w14:paraId="4BBDFACE">
      <w:pPr>
        <w:pStyle w:val="13"/>
        <w:adjustRightInd w:val="0"/>
        <w:snapToGrid w:val="0"/>
        <w:spacing w:line="440" w:lineRule="exact"/>
        <w:jc w:val="left"/>
        <w:rPr>
          <w:rFonts w:eastAsia="仿宋_GB2312" w:cs="仿宋"/>
          <w:bCs/>
          <w:sz w:val="32"/>
          <w:szCs w:val="32"/>
        </w:rPr>
      </w:pPr>
      <w:r>
        <w:rPr>
          <w:rFonts w:hint="eastAsia" w:eastAsia="仿宋_GB2312" w:cs="仿宋"/>
          <w:bCs/>
          <w:sz w:val="32"/>
          <w:szCs w:val="32"/>
        </w:rPr>
        <w:t>二、收入决算表</w:t>
      </w:r>
    </w:p>
    <w:p w14:paraId="5E230B27">
      <w:pPr>
        <w:pStyle w:val="13"/>
        <w:adjustRightInd w:val="0"/>
        <w:snapToGrid w:val="0"/>
        <w:spacing w:line="440" w:lineRule="exact"/>
        <w:jc w:val="left"/>
        <w:rPr>
          <w:rFonts w:eastAsia="仿宋_GB2312" w:cs="仿宋"/>
          <w:bCs/>
          <w:sz w:val="32"/>
          <w:szCs w:val="32"/>
        </w:rPr>
      </w:pPr>
      <w:r>
        <w:rPr>
          <w:rFonts w:hint="eastAsia" w:eastAsia="仿宋_GB2312" w:cs="仿宋"/>
          <w:bCs/>
          <w:sz w:val="32"/>
          <w:szCs w:val="32"/>
        </w:rPr>
        <w:t>三、支出决算表</w:t>
      </w:r>
    </w:p>
    <w:p w14:paraId="69F420CB">
      <w:pPr>
        <w:pStyle w:val="13"/>
        <w:adjustRightInd w:val="0"/>
        <w:snapToGrid w:val="0"/>
        <w:spacing w:line="440" w:lineRule="exact"/>
        <w:jc w:val="left"/>
        <w:rPr>
          <w:rFonts w:eastAsia="仿宋_GB2312" w:cs="仿宋"/>
          <w:bCs/>
          <w:sz w:val="32"/>
          <w:szCs w:val="32"/>
        </w:rPr>
      </w:pPr>
      <w:r>
        <w:rPr>
          <w:rFonts w:hint="eastAsia" w:eastAsia="仿宋_GB2312" w:cs="仿宋"/>
          <w:bCs/>
          <w:sz w:val="32"/>
          <w:szCs w:val="32"/>
        </w:rPr>
        <w:t>四、财政拨款收入支出决算总表</w:t>
      </w:r>
    </w:p>
    <w:p w14:paraId="2C5697FB">
      <w:pPr>
        <w:pStyle w:val="13"/>
        <w:adjustRightInd w:val="0"/>
        <w:snapToGrid w:val="0"/>
        <w:spacing w:line="440" w:lineRule="exact"/>
        <w:jc w:val="left"/>
        <w:rPr>
          <w:rFonts w:eastAsia="仿宋_GB2312" w:cs="仿宋"/>
          <w:bCs/>
          <w:sz w:val="32"/>
          <w:szCs w:val="32"/>
        </w:rPr>
      </w:pPr>
      <w:r>
        <w:rPr>
          <w:rFonts w:hint="eastAsia" w:eastAsia="仿宋_GB2312" w:cs="仿宋"/>
          <w:bCs/>
          <w:sz w:val="32"/>
          <w:szCs w:val="32"/>
        </w:rPr>
        <w:t>五、财政拨款支出决算明细表</w:t>
      </w:r>
    </w:p>
    <w:p w14:paraId="1174778B">
      <w:pPr>
        <w:pStyle w:val="13"/>
        <w:adjustRightInd w:val="0"/>
        <w:snapToGrid w:val="0"/>
        <w:spacing w:line="440" w:lineRule="exact"/>
        <w:jc w:val="left"/>
        <w:rPr>
          <w:rFonts w:eastAsia="仿宋_GB2312" w:cs="仿宋"/>
          <w:bCs/>
          <w:sz w:val="32"/>
          <w:szCs w:val="32"/>
        </w:rPr>
      </w:pPr>
      <w:r>
        <w:rPr>
          <w:rFonts w:hint="eastAsia" w:eastAsia="仿宋_GB2312" w:cs="仿宋"/>
          <w:bCs/>
          <w:sz w:val="32"/>
          <w:szCs w:val="32"/>
        </w:rPr>
        <w:t>六、一般公共预算财政拨款支出决算表</w:t>
      </w:r>
    </w:p>
    <w:p w14:paraId="796ECDD5">
      <w:pPr>
        <w:pStyle w:val="13"/>
        <w:adjustRightInd w:val="0"/>
        <w:snapToGrid w:val="0"/>
        <w:spacing w:line="440" w:lineRule="exact"/>
        <w:jc w:val="left"/>
        <w:rPr>
          <w:rFonts w:eastAsia="仿宋_GB2312" w:cs="仿宋"/>
          <w:bCs/>
          <w:sz w:val="32"/>
          <w:szCs w:val="32"/>
        </w:rPr>
      </w:pPr>
      <w:r>
        <w:rPr>
          <w:rFonts w:hint="eastAsia" w:eastAsia="仿宋_GB2312" w:cs="仿宋"/>
          <w:bCs/>
          <w:sz w:val="32"/>
          <w:szCs w:val="32"/>
        </w:rPr>
        <w:t>七、一般公共预算财政拨款支出决算明细表</w:t>
      </w:r>
    </w:p>
    <w:p w14:paraId="6EEB826F">
      <w:pPr>
        <w:pStyle w:val="13"/>
        <w:adjustRightInd w:val="0"/>
        <w:snapToGrid w:val="0"/>
        <w:spacing w:line="440" w:lineRule="exact"/>
        <w:jc w:val="left"/>
        <w:rPr>
          <w:rFonts w:eastAsia="仿宋_GB2312" w:cs="仿宋"/>
          <w:bCs/>
          <w:sz w:val="32"/>
          <w:szCs w:val="32"/>
        </w:rPr>
      </w:pPr>
      <w:r>
        <w:rPr>
          <w:rFonts w:hint="eastAsia" w:eastAsia="仿宋_GB2312" w:cs="仿宋"/>
          <w:bCs/>
          <w:sz w:val="32"/>
          <w:szCs w:val="32"/>
        </w:rPr>
        <w:t>八、一般公共预算财政拨款基本支出决算明细表</w:t>
      </w:r>
    </w:p>
    <w:p w14:paraId="6833F588">
      <w:pPr>
        <w:pStyle w:val="13"/>
        <w:adjustRightInd w:val="0"/>
        <w:snapToGrid w:val="0"/>
        <w:spacing w:line="440" w:lineRule="exact"/>
        <w:jc w:val="left"/>
        <w:rPr>
          <w:rFonts w:eastAsia="仿宋_GB2312" w:cs="仿宋"/>
          <w:bCs/>
          <w:sz w:val="32"/>
          <w:szCs w:val="32"/>
        </w:rPr>
      </w:pPr>
      <w:r>
        <w:rPr>
          <w:rFonts w:hint="eastAsia" w:eastAsia="仿宋_GB2312" w:cs="仿宋"/>
          <w:bCs/>
          <w:sz w:val="32"/>
          <w:szCs w:val="32"/>
        </w:rPr>
        <w:t>九、一般公共预算财政拨款项目支出决算表</w:t>
      </w:r>
    </w:p>
    <w:p w14:paraId="1CC7CBAF">
      <w:pPr>
        <w:pStyle w:val="13"/>
        <w:adjustRightInd w:val="0"/>
        <w:snapToGrid w:val="0"/>
        <w:spacing w:line="440" w:lineRule="exact"/>
        <w:jc w:val="left"/>
        <w:rPr>
          <w:rFonts w:eastAsia="仿宋_GB2312" w:cs="仿宋"/>
          <w:bCs/>
          <w:sz w:val="32"/>
          <w:szCs w:val="32"/>
        </w:rPr>
      </w:pPr>
      <w:r>
        <w:rPr>
          <w:rFonts w:hint="eastAsia" w:eastAsia="仿宋_GB2312" w:cs="仿宋"/>
          <w:bCs/>
          <w:sz w:val="32"/>
          <w:szCs w:val="32"/>
        </w:rPr>
        <w:t>十、政府性基金预算财政拨款收入支出决算表</w:t>
      </w:r>
    </w:p>
    <w:p w14:paraId="7E3F8E0D">
      <w:pPr>
        <w:pStyle w:val="13"/>
        <w:adjustRightInd w:val="0"/>
        <w:snapToGrid w:val="0"/>
        <w:spacing w:line="440" w:lineRule="exact"/>
        <w:jc w:val="left"/>
        <w:rPr>
          <w:rFonts w:eastAsia="仿宋_GB2312" w:cs="仿宋"/>
          <w:bCs/>
          <w:sz w:val="32"/>
          <w:szCs w:val="32"/>
        </w:rPr>
      </w:pPr>
      <w:r>
        <w:rPr>
          <w:rFonts w:hint="eastAsia" w:eastAsia="仿宋_GB2312" w:cs="仿宋"/>
          <w:bCs/>
          <w:sz w:val="32"/>
          <w:szCs w:val="32"/>
        </w:rPr>
        <w:t>十一、国有资本经营预算财政拨款收入支出决算表</w:t>
      </w:r>
    </w:p>
    <w:p w14:paraId="16480E8F">
      <w:pPr>
        <w:pStyle w:val="13"/>
        <w:adjustRightInd w:val="0"/>
        <w:snapToGrid w:val="0"/>
        <w:spacing w:line="440" w:lineRule="exact"/>
        <w:jc w:val="left"/>
        <w:rPr>
          <w:rFonts w:eastAsia="仿宋_GB2312" w:cs="仿宋"/>
          <w:bCs/>
          <w:sz w:val="32"/>
          <w:szCs w:val="32"/>
        </w:rPr>
      </w:pPr>
      <w:r>
        <w:rPr>
          <w:rFonts w:hint="eastAsia" w:eastAsia="仿宋_GB2312" w:cs="仿宋"/>
          <w:bCs/>
          <w:sz w:val="32"/>
          <w:szCs w:val="32"/>
        </w:rPr>
        <w:t>十二、国有资本经营预算财政拨款支出决算表</w:t>
      </w:r>
    </w:p>
    <w:p w14:paraId="7C6F0BBB">
      <w:pPr>
        <w:pStyle w:val="13"/>
        <w:adjustRightInd w:val="0"/>
        <w:snapToGrid w:val="0"/>
        <w:spacing w:line="440" w:lineRule="exact"/>
        <w:jc w:val="left"/>
        <w:rPr>
          <w:rFonts w:eastAsia="仿宋_GB2312" w:cs="仿宋"/>
          <w:bCs/>
          <w:sz w:val="32"/>
          <w:szCs w:val="32"/>
        </w:rPr>
      </w:pPr>
      <w:r>
        <w:rPr>
          <w:rFonts w:hint="eastAsia" w:eastAsia="仿宋_GB2312" w:cs="仿宋"/>
          <w:bCs/>
          <w:sz w:val="32"/>
          <w:szCs w:val="32"/>
        </w:rPr>
        <w:t>十三、财政拨款“三公”经费支出决算表</w:t>
      </w:r>
    </w:p>
    <w:p w14:paraId="20B5CB19">
      <w:pPr>
        <w:widowControl/>
        <w:adjustRightInd w:val="0"/>
        <w:snapToGrid w:val="0"/>
        <w:spacing w:line="440" w:lineRule="exact"/>
        <w:ind w:firstLine="1760" w:firstLineChars="550"/>
        <w:jc w:val="left"/>
        <w:rPr>
          <w:rFonts w:eastAsia="仿宋_GB2312" w:cs="仿宋"/>
          <w:bCs/>
          <w:sz w:val="32"/>
          <w:szCs w:val="32"/>
        </w:rPr>
      </w:pPr>
      <w:r>
        <w:rPr>
          <w:rFonts w:eastAsia="仿宋_GB2312" w:cs="仿宋"/>
          <w:bCs/>
          <w:sz w:val="32"/>
          <w:szCs w:val="32"/>
        </w:rPr>
        <w:t>(注：</w:t>
      </w:r>
      <w:r>
        <w:rPr>
          <w:rFonts w:hint="eastAsia" w:eastAsia="仿宋_GB2312" w:cs="仿宋"/>
          <w:bCs/>
          <w:sz w:val="32"/>
          <w:szCs w:val="32"/>
        </w:rPr>
        <w:t>请部门根据实际注明页码</w:t>
      </w:r>
      <w:r>
        <w:rPr>
          <w:rFonts w:eastAsia="仿宋_GB2312" w:cs="仿宋"/>
          <w:bCs/>
          <w:sz w:val="32"/>
          <w:szCs w:val="32"/>
        </w:rPr>
        <w:t>)</w:t>
      </w:r>
    </w:p>
    <w:p w14:paraId="791C09B1">
      <w:pPr>
        <w:widowControl/>
        <w:spacing w:line="440" w:lineRule="exact"/>
        <w:jc w:val="left"/>
        <w:rPr>
          <w:rFonts w:eastAsia="仿宋_GB2312" w:cs="仿宋"/>
          <w:bCs/>
          <w:sz w:val="32"/>
          <w:szCs w:val="32"/>
        </w:rPr>
      </w:pPr>
      <w:bookmarkStart w:id="12" w:name="_Toc15377196"/>
      <w:bookmarkStart w:id="13" w:name="_Toc15396599"/>
      <w:r>
        <w:rPr>
          <w:rFonts w:eastAsia="仿宋_GB2312" w:cs="仿宋"/>
          <w:bCs/>
          <w:sz w:val="32"/>
          <w:szCs w:val="32"/>
        </w:rPr>
        <w:br w:type="page"/>
      </w:r>
    </w:p>
    <w:p w14:paraId="08793198">
      <w:pPr>
        <w:pStyle w:val="3"/>
        <w:jc w:val="center"/>
        <w:rPr>
          <w:rFonts w:ascii="黑体" w:hAnsi="黑体" w:eastAsia="黑体"/>
          <w:bCs w:val="0"/>
        </w:rPr>
      </w:pPr>
      <w:r>
        <w:rPr>
          <w:rFonts w:hint="eastAsia" w:ascii="黑体" w:hAnsi="黑体" w:eastAsia="黑体"/>
          <w:b w:val="0"/>
        </w:rPr>
        <w:t xml:space="preserve">第一部分 </w:t>
      </w:r>
      <w:r>
        <w:rPr>
          <w:rStyle w:val="22"/>
          <w:rFonts w:hint="eastAsia" w:ascii="黑体" w:hAnsi="黑体" w:eastAsia="黑体"/>
          <w:b w:val="0"/>
          <w:bCs w:val="0"/>
        </w:rPr>
        <w:t>部门概况</w:t>
      </w:r>
      <w:bookmarkEnd w:id="12"/>
      <w:bookmarkEnd w:id="13"/>
    </w:p>
    <w:p w14:paraId="0C0CD227">
      <w:pPr>
        <w:pStyle w:val="4"/>
        <w:numPr>
          <w:ilvl w:val="0"/>
          <w:numId w:val="1"/>
        </w:numPr>
        <w:rPr>
          <w:rFonts w:ascii="黑体" w:hAnsi="黑体" w:eastAsia="黑体"/>
          <w:b w:val="0"/>
        </w:rPr>
      </w:pPr>
      <w:r>
        <w:rPr>
          <w:rFonts w:hint="eastAsia" w:ascii="黑体" w:hAnsi="黑体" w:eastAsia="黑体"/>
          <w:b w:val="0"/>
        </w:rPr>
        <w:t>部门职责</w:t>
      </w:r>
    </w:p>
    <w:p w14:paraId="2C3F1898">
      <w:pPr>
        <w:adjustRightInd w:val="0"/>
        <w:snapToGrid w:val="0"/>
        <w:spacing w:line="336" w:lineRule="auto"/>
        <w:ind w:firstLine="420" w:firstLineChars="200"/>
        <w:rPr>
          <w:rFonts w:eastAsia="仿宋_GB2312" w:cs="仿宋"/>
          <w:bCs/>
          <w:color w:val="auto"/>
          <w:sz w:val="32"/>
          <w:szCs w:val="32"/>
        </w:rPr>
      </w:pPr>
      <w:r>
        <w:rPr>
          <w:rFonts w:hint="eastAsia"/>
          <w:color w:val="auto"/>
        </w:rPr>
        <w:t xml:space="preserve">  </w:t>
      </w:r>
      <w:r>
        <w:rPr>
          <w:rFonts w:hint="eastAsia" w:eastAsia="仿宋_GB2312"/>
          <w:color w:val="auto"/>
          <w:sz w:val="32"/>
        </w:rPr>
        <w:t xml:space="preserve"> </w:t>
      </w:r>
      <w:r>
        <w:rPr>
          <w:rFonts w:hint="eastAsia" w:eastAsia="仿宋_GB2312" w:cs="仿宋"/>
          <w:bCs/>
          <w:color w:val="auto"/>
          <w:sz w:val="32"/>
          <w:szCs w:val="32"/>
        </w:rPr>
        <w:t>1、负责执行本级人民代表大会的决议和船山区人民政府的决定和命令，发布决定和命令；对本级人民代表大会和船山区人民政府负责并报告工作。</w:t>
      </w:r>
    </w:p>
    <w:p w14:paraId="018E6657">
      <w:pPr>
        <w:adjustRightInd w:val="0"/>
        <w:snapToGrid w:val="0"/>
        <w:spacing w:line="336" w:lineRule="auto"/>
        <w:ind w:firstLine="640" w:firstLineChars="200"/>
        <w:rPr>
          <w:rFonts w:eastAsia="仿宋_GB2312" w:cs="仿宋"/>
          <w:bCs/>
          <w:color w:val="auto"/>
          <w:sz w:val="32"/>
          <w:szCs w:val="32"/>
        </w:rPr>
      </w:pPr>
      <w:r>
        <w:rPr>
          <w:rFonts w:hint="eastAsia" w:eastAsia="仿宋_GB2312" w:cs="仿宋"/>
          <w:bCs/>
          <w:color w:val="auto"/>
          <w:sz w:val="32"/>
          <w:szCs w:val="32"/>
        </w:rPr>
        <w:t>2、贯彻执行党和国家的各项方针、政策及法律、法规，依法制定行政措施和实施方案。</w:t>
      </w:r>
    </w:p>
    <w:p w14:paraId="6E62A166">
      <w:pPr>
        <w:adjustRightInd w:val="0"/>
        <w:snapToGrid w:val="0"/>
        <w:spacing w:line="336" w:lineRule="auto"/>
        <w:ind w:firstLine="640" w:firstLineChars="200"/>
        <w:rPr>
          <w:rFonts w:eastAsia="仿宋_GB2312" w:cs="仿宋"/>
          <w:bCs/>
          <w:color w:val="auto"/>
          <w:sz w:val="32"/>
          <w:szCs w:val="32"/>
        </w:rPr>
      </w:pPr>
      <w:r>
        <w:rPr>
          <w:rFonts w:hint="eastAsia" w:eastAsia="仿宋_GB2312" w:cs="仿宋"/>
          <w:bCs/>
          <w:color w:val="auto"/>
          <w:sz w:val="32"/>
          <w:szCs w:val="32"/>
        </w:rPr>
        <w:t>3、研究制定、执行本乡经济建设和社会发展规划、政策，执行本行政区域内的经济和社会发展计划、预算。</w:t>
      </w:r>
    </w:p>
    <w:p w14:paraId="5335D29E">
      <w:pPr>
        <w:adjustRightInd w:val="0"/>
        <w:snapToGrid w:val="0"/>
        <w:spacing w:line="336" w:lineRule="auto"/>
        <w:ind w:firstLine="640" w:firstLineChars="200"/>
        <w:rPr>
          <w:rFonts w:eastAsia="仿宋_GB2312" w:cs="仿宋"/>
          <w:bCs/>
          <w:color w:val="auto"/>
          <w:sz w:val="32"/>
          <w:szCs w:val="32"/>
        </w:rPr>
      </w:pPr>
      <w:r>
        <w:rPr>
          <w:rFonts w:hint="eastAsia" w:eastAsia="仿宋_GB2312" w:cs="仿宋"/>
          <w:bCs/>
          <w:color w:val="auto"/>
          <w:sz w:val="32"/>
          <w:szCs w:val="32"/>
        </w:rPr>
        <w:t>4、负责本行政区域内的经济管理工作，负责农村基础设施建设、经济建设、农业生产和综合开发等工作，负责对辖区内村级财务的指导、监督和管理工作，负责农村土地承包合同管理和农业经济统计工作，保障农村集体经济组织和农民应有的生产经营自主权，深化农村改革，负责谋划发展思路，营造发展环境，引导农民进行科学化、现代化农业生产，引导农村劳动力转移和就业，加强农村劳动力技能培训，增加农民收入，减轻农民负担，提高农民生活水平。进一步发展和完善农业社会化服务体系，发展公益事业，增加公共产品，提供信息服务和社会救济、求助，及时向上级党委、政府反映社情民意，进一步密切党群关系，负责执法服务。</w:t>
      </w:r>
    </w:p>
    <w:p w14:paraId="3141B2E5">
      <w:pPr>
        <w:adjustRightInd w:val="0"/>
        <w:snapToGrid w:val="0"/>
        <w:spacing w:line="336" w:lineRule="auto"/>
        <w:ind w:firstLine="640" w:firstLineChars="200"/>
        <w:rPr>
          <w:rFonts w:eastAsia="仿宋_GB2312" w:cs="仿宋"/>
          <w:bCs/>
          <w:color w:val="auto"/>
          <w:sz w:val="32"/>
          <w:szCs w:val="32"/>
        </w:rPr>
      </w:pPr>
      <w:r>
        <w:rPr>
          <w:rFonts w:hint="eastAsia" w:eastAsia="仿宋_GB2312" w:cs="仿宋"/>
          <w:bCs/>
          <w:color w:val="auto"/>
          <w:sz w:val="32"/>
          <w:szCs w:val="32"/>
        </w:rPr>
        <w:t>5、负责本行政区域内的科技、教育、文化、体育事业发展工作，搞好农村的医疗卫生保健服务工作；负责本行政区域内的计划生育工作及流动人口的管理，严格控制人口增长，提高人口素质；加强对本级财政、税收和工商管理工作的监督指导，负责工商、税收法规、政策的宣传贯彻和财经纪律执行情况的监督检查工作，积极培育市场、发展市场经济，保护经营者之间平等竞争；负责本行政区域内的民族宗教、民政工作，做好救灾救济和社会保障等工作。</w:t>
      </w:r>
    </w:p>
    <w:p w14:paraId="219BF755">
      <w:pPr>
        <w:adjustRightInd w:val="0"/>
        <w:snapToGrid w:val="0"/>
        <w:spacing w:line="336" w:lineRule="auto"/>
        <w:ind w:firstLine="640" w:firstLineChars="200"/>
        <w:rPr>
          <w:rFonts w:eastAsia="仿宋_GB2312" w:cs="仿宋"/>
          <w:bCs/>
          <w:color w:val="auto"/>
          <w:sz w:val="32"/>
          <w:szCs w:val="32"/>
        </w:rPr>
      </w:pPr>
      <w:r>
        <w:rPr>
          <w:rFonts w:hint="eastAsia" w:eastAsia="仿宋_GB2312" w:cs="仿宋"/>
          <w:bCs/>
          <w:color w:val="auto"/>
          <w:sz w:val="32"/>
          <w:szCs w:val="32"/>
        </w:rPr>
        <w:t>6、负责本行政区域内的公安、司法行政管理工作，搞好社会治安综合治理</w:t>
      </w:r>
      <w:r>
        <w:rPr>
          <w:rFonts w:hint="eastAsia" w:ascii="仿宋" w:hAnsi="仿宋" w:eastAsia="仿宋" w:cs="仿宋"/>
          <w:color w:val="auto"/>
          <w:sz w:val="32"/>
          <w:szCs w:val="32"/>
        </w:rPr>
        <w:t>，维护社会秩序，保障公民的人身权利、民主权利和其他权利；保护国有财产、劳动群众集体所有财产和公民私人所有的合法财产，保护各种经济组织</w:t>
      </w:r>
      <w:r>
        <w:rPr>
          <w:rFonts w:hint="eastAsia" w:eastAsia="仿宋_GB2312" w:cs="仿宋"/>
          <w:bCs/>
          <w:color w:val="auto"/>
          <w:sz w:val="32"/>
          <w:szCs w:val="32"/>
        </w:rPr>
        <w:t>的合法权益；协助相关部门做好村道路、交通运输、消防、危险化学物品、矿山资源、农机、电网等安全监督管理工作，抓好本行政区域内的事故抢救、善后和调查工作，做好安全生产统计工作，定期分析上报安全生产</w:t>
      </w:r>
      <w:r>
        <w:rPr>
          <w:rFonts w:hint="eastAsia" w:eastAsia="仿宋_GB2312" w:cs="仿宋"/>
          <w:bCs/>
          <w:color w:val="auto"/>
          <w:sz w:val="32"/>
          <w:szCs w:val="32"/>
          <w:lang w:eastAsia="zh-CN"/>
        </w:rPr>
        <w:t>形势</w:t>
      </w:r>
      <w:r>
        <w:rPr>
          <w:rFonts w:hint="eastAsia" w:eastAsia="仿宋_GB2312" w:cs="仿宋"/>
          <w:bCs/>
          <w:color w:val="auto"/>
          <w:sz w:val="32"/>
          <w:szCs w:val="32"/>
        </w:rPr>
        <w:t>，及时公布安全生产情况，负责维护稳定。</w:t>
      </w:r>
    </w:p>
    <w:p w14:paraId="328C2F94">
      <w:pPr>
        <w:adjustRightInd w:val="0"/>
        <w:snapToGrid w:val="0"/>
        <w:spacing w:line="336" w:lineRule="auto"/>
        <w:ind w:firstLine="640" w:firstLineChars="200"/>
        <w:rPr>
          <w:rFonts w:eastAsia="仿宋_GB2312" w:cs="仿宋"/>
          <w:bCs/>
          <w:color w:val="auto"/>
          <w:sz w:val="32"/>
          <w:szCs w:val="32"/>
        </w:rPr>
      </w:pPr>
      <w:r>
        <w:rPr>
          <w:rFonts w:hint="eastAsia" w:eastAsia="仿宋_GB2312" w:cs="仿宋"/>
          <w:bCs/>
          <w:color w:val="auto"/>
          <w:sz w:val="32"/>
          <w:szCs w:val="32"/>
        </w:rPr>
        <w:t>7、协助镇党委抓好公务员和下属事业单位工作人员的教育、监督和管理工作，负责监督管理下属事业单位的国有资产、监督下属事业单位贯彻执行政策情况。</w:t>
      </w:r>
    </w:p>
    <w:p w14:paraId="5112ACDE">
      <w:pPr>
        <w:adjustRightInd w:val="0"/>
        <w:snapToGrid w:val="0"/>
        <w:spacing w:line="336" w:lineRule="auto"/>
        <w:ind w:firstLine="640" w:firstLineChars="200"/>
        <w:rPr>
          <w:rFonts w:eastAsia="仿宋_GB2312" w:cs="仿宋"/>
          <w:bCs/>
          <w:color w:val="auto"/>
          <w:sz w:val="32"/>
          <w:szCs w:val="32"/>
        </w:rPr>
      </w:pPr>
      <w:r>
        <w:rPr>
          <w:rFonts w:hint="eastAsia" w:eastAsia="仿宋_GB2312" w:cs="仿宋"/>
          <w:bCs/>
          <w:color w:val="auto"/>
          <w:sz w:val="32"/>
          <w:szCs w:val="32"/>
        </w:rPr>
        <w:t>8、保障少数民族的权利和尊重少数民族的风俗习惯。</w:t>
      </w:r>
    </w:p>
    <w:p w14:paraId="2EB012E2">
      <w:pPr>
        <w:adjustRightInd w:val="0"/>
        <w:snapToGrid w:val="0"/>
        <w:spacing w:line="336" w:lineRule="auto"/>
        <w:ind w:firstLine="640" w:firstLineChars="200"/>
        <w:rPr>
          <w:rFonts w:eastAsia="仿宋_GB2312" w:cs="仿宋"/>
          <w:bCs/>
          <w:color w:val="auto"/>
          <w:sz w:val="32"/>
          <w:szCs w:val="32"/>
        </w:rPr>
      </w:pPr>
      <w:r>
        <w:rPr>
          <w:rFonts w:hint="eastAsia" w:eastAsia="仿宋_GB2312" w:cs="仿宋"/>
          <w:bCs/>
          <w:color w:val="auto"/>
          <w:sz w:val="32"/>
          <w:szCs w:val="32"/>
        </w:rPr>
        <w:t>9、保障宪法和法律赋予妇女的男女平等、同工同</w:t>
      </w:r>
      <w:r>
        <w:rPr>
          <w:rFonts w:hint="eastAsia" w:eastAsia="仿宋_GB2312" w:cs="仿宋"/>
          <w:bCs/>
          <w:color w:val="auto"/>
          <w:sz w:val="32"/>
          <w:szCs w:val="32"/>
          <w:lang w:eastAsia="zh-CN"/>
        </w:rPr>
        <w:t>酬</w:t>
      </w:r>
      <w:r>
        <w:rPr>
          <w:rFonts w:hint="eastAsia" w:eastAsia="仿宋_GB2312" w:cs="仿宋"/>
          <w:bCs/>
          <w:color w:val="auto"/>
          <w:sz w:val="32"/>
          <w:szCs w:val="32"/>
        </w:rPr>
        <w:t>和婚姻自由等各项权利。</w:t>
      </w:r>
    </w:p>
    <w:p w14:paraId="2D67CAB6">
      <w:pPr>
        <w:adjustRightInd w:val="0"/>
        <w:snapToGrid w:val="0"/>
        <w:spacing w:line="336" w:lineRule="auto"/>
        <w:ind w:firstLine="640" w:firstLineChars="200"/>
        <w:rPr>
          <w:rFonts w:eastAsia="仿宋_GB2312" w:cs="仿宋"/>
          <w:bCs/>
          <w:color w:val="auto"/>
          <w:sz w:val="32"/>
          <w:szCs w:val="32"/>
        </w:rPr>
      </w:pPr>
      <w:r>
        <w:rPr>
          <w:rFonts w:hint="eastAsia" w:eastAsia="仿宋_GB2312" w:cs="仿宋"/>
          <w:bCs/>
          <w:color w:val="auto"/>
          <w:sz w:val="32"/>
          <w:szCs w:val="32"/>
        </w:rPr>
        <w:t>10、根据《四川省行政机构设置与编制管理办法》的规定，向船山区人民政府呈报仁里镇人民政府各工作部门的设置方案。领导和协助管理中央、省、市、区驻本镇机关和企事业单位。</w:t>
      </w:r>
    </w:p>
    <w:p w14:paraId="4A887724">
      <w:pPr>
        <w:adjustRightInd w:val="0"/>
        <w:snapToGrid w:val="0"/>
        <w:spacing w:line="336" w:lineRule="auto"/>
        <w:ind w:firstLine="640" w:firstLineChars="200"/>
        <w:rPr>
          <w:rFonts w:eastAsia="仿宋_GB2312" w:cs="仿宋"/>
          <w:bCs/>
          <w:color w:val="auto"/>
          <w:sz w:val="32"/>
          <w:szCs w:val="32"/>
        </w:rPr>
      </w:pPr>
      <w:r>
        <w:rPr>
          <w:rFonts w:hint="eastAsia" w:eastAsia="仿宋_GB2312" w:cs="仿宋"/>
          <w:bCs/>
          <w:color w:val="auto"/>
          <w:sz w:val="32"/>
          <w:szCs w:val="32"/>
        </w:rPr>
        <w:t>11、负责办理人大代表、政协委员提出的与本镇有关的提案、意见、建议、批评等事项。</w:t>
      </w:r>
    </w:p>
    <w:p w14:paraId="0B631F10">
      <w:pPr>
        <w:adjustRightInd w:val="0"/>
        <w:snapToGrid w:val="0"/>
        <w:spacing w:line="336" w:lineRule="auto"/>
        <w:ind w:firstLine="640" w:firstLineChars="200"/>
        <w:rPr>
          <w:rFonts w:eastAsia="仿宋_GB2312" w:cs="仿宋"/>
          <w:bCs/>
          <w:color w:val="9BBB59" w:themeColor="accent3"/>
          <w:sz w:val="32"/>
          <w:szCs w:val="32"/>
        </w:rPr>
      </w:pPr>
      <w:r>
        <w:rPr>
          <w:rFonts w:hint="eastAsia" w:eastAsia="仿宋_GB2312" w:cs="仿宋"/>
          <w:bCs/>
          <w:color w:val="auto"/>
          <w:sz w:val="32"/>
          <w:szCs w:val="32"/>
        </w:rPr>
        <w:t>12、负责办理船山区人民政府交办的其他事务</w:t>
      </w:r>
      <w:r>
        <w:rPr>
          <w:rFonts w:hint="eastAsia" w:eastAsia="仿宋_GB2312" w:cs="仿宋"/>
          <w:bCs/>
          <w:color w:val="9BBB59" w:themeColor="accent3"/>
          <w:sz w:val="32"/>
          <w:szCs w:val="32"/>
        </w:rPr>
        <w:t>。</w:t>
      </w:r>
    </w:p>
    <w:p w14:paraId="78059073">
      <w:pPr>
        <w:pStyle w:val="4"/>
        <w:rPr>
          <w:rStyle w:val="23"/>
          <w:b w:val="0"/>
          <w:bCs w:val="0"/>
          <w:color w:val="auto"/>
        </w:rPr>
      </w:pPr>
      <w:bookmarkStart w:id="14" w:name="_Toc15377200"/>
      <w:bookmarkStart w:id="15" w:name="_Toc15396601"/>
      <w:r>
        <w:rPr>
          <w:rFonts w:hint="eastAsia" w:ascii="黑体" w:eastAsia="黑体"/>
          <w:b w:val="0"/>
          <w:color w:val="auto"/>
        </w:rPr>
        <w:t>二、</w:t>
      </w:r>
      <w:r>
        <w:rPr>
          <w:rFonts w:hint="eastAsia" w:ascii="黑体" w:hAnsi="黑体" w:eastAsia="黑体"/>
          <w:b w:val="0"/>
          <w:color w:val="auto"/>
        </w:rPr>
        <w:t>机</w:t>
      </w:r>
      <w:r>
        <w:rPr>
          <w:rStyle w:val="23"/>
          <w:rFonts w:hint="eastAsia" w:ascii="黑体" w:hAnsi="黑体" w:eastAsia="黑体"/>
          <w:b w:val="0"/>
          <w:bCs w:val="0"/>
          <w:color w:val="auto"/>
        </w:rPr>
        <w:t>构设置</w:t>
      </w:r>
      <w:bookmarkEnd w:id="14"/>
      <w:bookmarkEnd w:id="15"/>
    </w:p>
    <w:p w14:paraId="39EA1813">
      <w:pPr>
        <w:pStyle w:val="33"/>
        <w:widowControl/>
        <w:numPr>
          <w:ilvl w:val="0"/>
          <w:numId w:val="2"/>
        </w:numPr>
        <w:adjustRightInd w:val="0"/>
        <w:snapToGrid w:val="0"/>
        <w:spacing w:line="560" w:lineRule="exact"/>
        <w:ind w:firstLineChars="0"/>
        <w:contextualSpacing/>
        <w:jc w:val="left"/>
        <w:rPr>
          <w:rFonts w:ascii="楷体_GB2312" w:hAnsi="楷体_GB2312" w:eastAsia="楷体_GB2312" w:cs="楷体_GB2312"/>
          <w:b/>
          <w:bCs/>
          <w:color w:val="auto"/>
          <w:kern w:val="0"/>
          <w:sz w:val="32"/>
          <w:szCs w:val="32"/>
          <w:shd w:val="clear" w:color="auto" w:fill="FFFFFF"/>
          <w:lang w:val="zh-CN"/>
        </w:rPr>
      </w:pPr>
      <w:bookmarkStart w:id="16" w:name="_Toc15396602"/>
      <w:bookmarkStart w:id="17" w:name="_Toc15377204"/>
      <w:r>
        <w:rPr>
          <w:rFonts w:hint="eastAsia" w:ascii="楷体_GB2312" w:hAnsi="楷体_GB2312" w:eastAsia="楷体_GB2312" w:cs="楷体_GB2312"/>
          <w:b/>
          <w:bCs/>
          <w:color w:val="auto"/>
          <w:kern w:val="0"/>
          <w:sz w:val="32"/>
          <w:szCs w:val="32"/>
          <w:shd w:val="clear" w:color="auto" w:fill="FFFFFF"/>
          <w:lang w:val="zh-CN"/>
        </w:rPr>
        <w:t>机构组成。</w:t>
      </w:r>
    </w:p>
    <w:p w14:paraId="0FE41784">
      <w:pPr>
        <w:spacing w:line="600" w:lineRule="exact"/>
        <w:ind w:firstLine="640" w:firstLineChars="200"/>
        <w:rPr>
          <w:rFonts w:eastAsia="仿宋_GB2312"/>
          <w:color w:val="auto"/>
          <w:sz w:val="32"/>
          <w:lang w:val="zh-CN"/>
        </w:rPr>
      </w:pPr>
      <w:r>
        <w:rPr>
          <w:rFonts w:hint="eastAsia" w:ascii="仿宋" w:hAnsi="仿宋" w:eastAsia="仿宋" w:cs="仿宋"/>
          <w:color w:val="auto"/>
          <w:sz w:val="32"/>
          <w:szCs w:val="32"/>
        </w:rPr>
        <w:t>仁里镇人民政府未设下属二级预算单位，设有党政办、社会治理与应急管理办、社会事务办、农服中心、便民服务中心、乡村振兴办、党建办、宣传文化中心、农民工服务中心、财政办等科室。</w:t>
      </w:r>
    </w:p>
    <w:p w14:paraId="60187A5C">
      <w:pPr>
        <w:widowControl/>
        <w:adjustRightInd w:val="0"/>
        <w:snapToGrid w:val="0"/>
        <w:spacing w:line="560" w:lineRule="exact"/>
        <w:ind w:firstLine="643" w:firstLineChars="200"/>
        <w:contextualSpacing/>
        <w:jc w:val="left"/>
        <w:rPr>
          <w:rFonts w:ascii="楷体_GB2312" w:hAnsi="楷体_GB2312" w:eastAsia="楷体_GB2312" w:cs="楷体_GB2312"/>
          <w:b/>
          <w:bCs/>
          <w:color w:val="auto"/>
          <w:kern w:val="0"/>
          <w:sz w:val="32"/>
          <w:szCs w:val="32"/>
          <w:shd w:val="clear" w:color="auto" w:fill="FFFFFF"/>
          <w:lang w:val="zh-CN"/>
        </w:rPr>
      </w:pPr>
      <w:r>
        <w:rPr>
          <w:rFonts w:hint="eastAsia" w:ascii="楷体_GB2312" w:hAnsi="楷体_GB2312" w:eastAsia="楷体_GB2312" w:cs="楷体_GB2312"/>
          <w:b/>
          <w:bCs/>
          <w:color w:val="auto"/>
          <w:kern w:val="0"/>
          <w:sz w:val="32"/>
          <w:szCs w:val="32"/>
          <w:shd w:val="clear" w:color="auto" w:fill="FFFFFF"/>
          <w:lang w:val="zh-CN"/>
        </w:rPr>
        <w:t>（二）机构职能和人员概况。</w:t>
      </w:r>
    </w:p>
    <w:p w14:paraId="3BF9D4F8">
      <w:pPr>
        <w:snapToGrid w:val="0"/>
        <w:spacing w:line="588" w:lineRule="exact"/>
        <w:ind w:firstLine="640" w:firstLineChars="200"/>
        <w:rPr>
          <w:rFonts w:eastAsia="仿宋"/>
          <w:color w:val="auto"/>
          <w:sz w:val="32"/>
          <w:szCs w:val="32"/>
        </w:rPr>
      </w:pPr>
      <w:r>
        <w:rPr>
          <w:rFonts w:eastAsia="仿宋"/>
          <w:color w:val="auto"/>
          <w:sz w:val="32"/>
          <w:szCs w:val="32"/>
        </w:rPr>
        <w:t xml:space="preserve"> 镇党委：（1）保证党的路线、方针、政策的坚决贯彻执行，领导和监督同级人大、政府落实上级安排的各项工作任务，教育和管理全镇各级干部群众，抓好经济建设，维护社会稳定。（2）负责抓好本镇党建工作、群团工作、新闻宣传工作，抓好精神文明建设，丰富群众文化生活，提倡移风易俗，反对封建迷信，破除陈规陋习，树立社会主义新风尚。（3）完成区委、区政府交给的其他工作任务。</w:t>
      </w:r>
    </w:p>
    <w:p w14:paraId="16DA7E6A">
      <w:pPr>
        <w:snapToGrid w:val="0"/>
        <w:spacing w:line="588" w:lineRule="exact"/>
        <w:ind w:firstLine="640" w:firstLineChars="200"/>
        <w:rPr>
          <w:rFonts w:eastAsia="仿宋"/>
          <w:color w:val="auto"/>
          <w:sz w:val="32"/>
          <w:szCs w:val="32"/>
        </w:rPr>
      </w:pPr>
      <w:r>
        <w:rPr>
          <w:rFonts w:eastAsia="仿宋"/>
          <w:color w:val="auto"/>
          <w:sz w:val="32"/>
          <w:szCs w:val="32"/>
        </w:rPr>
        <w:t>镇政府：（1）执行本级党委和人民代表大会的决议及上级国家行政机关的决定和命令，发布决定和命令。（2）执行本行政区域内的经济和社会发展计划、预算，管理本行政区域内的经济、教育、科学、文化、卫生、体育事业和财政、民政、公安、司法行政、计划生育等行政工作，取缔非法经济活动，调解和处理民事纠纷，打击刑事犯罪，维护社会稳定。（3）办理上级人民政府交办的</w:t>
      </w:r>
      <w:r>
        <w:rPr>
          <w:rFonts w:hint="eastAsia" w:eastAsia="仿宋"/>
          <w:color w:val="auto"/>
          <w:sz w:val="32"/>
          <w:szCs w:val="32"/>
          <w:lang w:eastAsia="zh-CN"/>
        </w:rPr>
        <w:t>其他</w:t>
      </w:r>
      <w:r>
        <w:rPr>
          <w:rFonts w:eastAsia="仿宋"/>
          <w:color w:val="auto"/>
          <w:sz w:val="32"/>
          <w:szCs w:val="32"/>
        </w:rPr>
        <w:t>事项。</w:t>
      </w:r>
    </w:p>
    <w:p w14:paraId="475BDE87">
      <w:pPr>
        <w:snapToGrid w:val="0"/>
        <w:spacing w:line="588" w:lineRule="exact"/>
        <w:ind w:firstLine="640" w:firstLineChars="200"/>
        <w:outlineLvl w:val="0"/>
        <w:rPr>
          <w:rFonts w:eastAsia="仿宋"/>
          <w:color w:val="auto"/>
          <w:sz w:val="32"/>
          <w:szCs w:val="32"/>
        </w:rPr>
      </w:pPr>
      <w:r>
        <w:rPr>
          <w:rFonts w:eastAsia="仿宋"/>
          <w:color w:val="auto"/>
          <w:sz w:val="32"/>
          <w:szCs w:val="32"/>
        </w:rPr>
        <w:t>在区委区府及财政局的指导监督下，一是提高了专款专用能力，各种资金有专门的</w:t>
      </w:r>
      <w:r>
        <w:rPr>
          <w:rFonts w:hint="eastAsia" w:eastAsia="仿宋"/>
          <w:color w:val="auto"/>
          <w:sz w:val="32"/>
          <w:szCs w:val="32"/>
          <w:lang w:eastAsia="zh-CN"/>
        </w:rPr>
        <w:t>流</w:t>
      </w:r>
      <w:r>
        <w:rPr>
          <w:rFonts w:eastAsia="仿宋"/>
          <w:color w:val="auto"/>
          <w:sz w:val="32"/>
          <w:szCs w:val="32"/>
        </w:rPr>
        <w:t>向，减少了资金的中转环节，避免了中途的截留挪用。镇财务管理得到了进一步的规范。二是约束了非正常性开支。三是规范了会计核算程序，确保会计信息质量。四是规范会计核算程序，统一口径。五是严格控制非必要性支出，集中财力办大事。按时开展财务公开，大大提高农民群众的满意度。</w:t>
      </w:r>
    </w:p>
    <w:p w14:paraId="65298D3E">
      <w:pPr>
        <w:snapToGrid w:val="0"/>
        <w:spacing w:line="588" w:lineRule="exact"/>
        <w:ind w:firstLine="640" w:firstLineChars="200"/>
        <w:outlineLvl w:val="0"/>
        <w:rPr>
          <w:rFonts w:eastAsia="仿宋"/>
          <w:color w:val="auto"/>
          <w:sz w:val="32"/>
          <w:szCs w:val="32"/>
        </w:rPr>
      </w:pPr>
      <w:r>
        <w:rPr>
          <w:rFonts w:eastAsia="仿宋"/>
          <w:color w:val="auto"/>
          <w:sz w:val="32"/>
          <w:szCs w:val="32"/>
        </w:rPr>
        <w:t>总之，我单位牢固树立“保稳定，促发展”的意识，确保机关、事业单位人员工资、维稳经费、民政定补对象的正常发放和机关正常运转，有效</w:t>
      </w:r>
      <w:r>
        <w:rPr>
          <w:rFonts w:hint="eastAsia" w:eastAsia="仿宋"/>
          <w:color w:val="auto"/>
          <w:sz w:val="32"/>
          <w:szCs w:val="32"/>
          <w:lang w:eastAsia="zh-CN"/>
        </w:rPr>
        <w:t>地</w:t>
      </w:r>
      <w:r>
        <w:rPr>
          <w:rFonts w:eastAsia="仿宋"/>
          <w:color w:val="auto"/>
          <w:sz w:val="32"/>
          <w:szCs w:val="32"/>
        </w:rPr>
        <w:t>调动了全镇各级干部的积极性,全面完成今年区委、区政府提出的各项目标任务的积极性，推动各项工作和社会事业更好地向前发展。</w:t>
      </w:r>
    </w:p>
    <w:p w14:paraId="0360B9B5">
      <w:pPr>
        <w:spacing w:line="600" w:lineRule="exact"/>
        <w:ind w:firstLine="640" w:firstLineChars="200"/>
        <w:rPr>
          <w:rFonts w:eastAsia="仿宋_GB2312"/>
          <w:color w:val="9BBB59" w:themeColor="accent3"/>
          <w:sz w:val="32"/>
        </w:rPr>
      </w:pPr>
      <w:r>
        <w:rPr>
          <w:rFonts w:hint="eastAsia" w:eastAsia="仿宋_GB2312"/>
          <w:color w:val="auto"/>
          <w:sz w:val="32"/>
        </w:rPr>
        <w:t>仁里镇政府</w:t>
      </w:r>
      <w:r>
        <w:rPr>
          <w:rFonts w:hint="eastAsia" w:eastAsia="仿宋_GB2312"/>
          <w:color w:val="auto"/>
          <w:sz w:val="32"/>
          <w:lang w:val="en-US" w:eastAsia="zh-CN"/>
        </w:rPr>
        <w:t>2023年年末</w:t>
      </w:r>
      <w:r>
        <w:rPr>
          <w:rFonts w:hint="eastAsia" w:eastAsia="仿宋_GB2312"/>
          <w:color w:val="auto"/>
          <w:sz w:val="32"/>
        </w:rPr>
        <w:t>编制</w:t>
      </w:r>
      <w:r>
        <w:rPr>
          <w:rFonts w:hint="eastAsia" w:eastAsia="仿宋_GB2312"/>
          <w:color w:val="auto"/>
          <w:sz w:val="32"/>
          <w:lang w:eastAsia="zh-CN"/>
        </w:rPr>
        <w:t>人数</w:t>
      </w:r>
      <w:r>
        <w:rPr>
          <w:rFonts w:hint="eastAsia" w:eastAsia="仿宋_GB2312"/>
          <w:color w:val="auto"/>
          <w:sz w:val="32"/>
        </w:rPr>
        <w:t>51人，其中行政编制</w:t>
      </w:r>
      <w:r>
        <w:rPr>
          <w:rFonts w:hint="eastAsia" w:eastAsia="仿宋_GB2312"/>
          <w:color w:val="auto"/>
          <w:sz w:val="32"/>
          <w:lang w:val="en-US" w:eastAsia="zh-CN"/>
        </w:rPr>
        <w:t>2</w:t>
      </w:r>
      <w:r>
        <w:rPr>
          <w:rFonts w:hint="eastAsia" w:eastAsia="仿宋_GB2312"/>
          <w:color w:val="auto"/>
          <w:sz w:val="32"/>
        </w:rPr>
        <w:t>4人，</w:t>
      </w:r>
      <w:r>
        <w:rPr>
          <w:rFonts w:hint="eastAsia" w:eastAsia="仿宋_GB2312"/>
          <w:color w:val="auto"/>
          <w:sz w:val="32"/>
          <w:lang w:eastAsia="zh-CN"/>
        </w:rPr>
        <w:t>工勤编制</w:t>
      </w:r>
      <w:r>
        <w:rPr>
          <w:rFonts w:hint="eastAsia" w:eastAsia="仿宋_GB2312"/>
          <w:color w:val="auto"/>
          <w:sz w:val="32"/>
          <w:lang w:val="en-US" w:eastAsia="zh-CN"/>
        </w:rPr>
        <w:t>13人，</w:t>
      </w:r>
      <w:r>
        <w:rPr>
          <w:rFonts w:hint="eastAsia" w:eastAsia="仿宋_GB2312"/>
          <w:color w:val="auto"/>
          <w:sz w:val="32"/>
        </w:rPr>
        <w:t>事业编制</w:t>
      </w:r>
      <w:r>
        <w:rPr>
          <w:rFonts w:hint="eastAsia" w:eastAsia="仿宋_GB2312"/>
          <w:color w:val="auto"/>
          <w:sz w:val="32"/>
          <w:lang w:val="en-US" w:eastAsia="zh-CN"/>
        </w:rPr>
        <w:t>14</w:t>
      </w:r>
      <w:r>
        <w:rPr>
          <w:rFonts w:hint="eastAsia" w:eastAsia="仿宋_GB2312"/>
          <w:color w:val="auto"/>
          <w:sz w:val="32"/>
        </w:rPr>
        <w:t>人。</w:t>
      </w:r>
    </w:p>
    <w:p w14:paraId="09776AED">
      <w:pPr>
        <w:pStyle w:val="3"/>
        <w:ind w:right="440"/>
        <w:jc w:val="center"/>
        <w:rPr>
          <w:rFonts w:ascii="黑体" w:hAnsi="黑体" w:eastAsia="黑体"/>
          <w:b w:val="0"/>
        </w:rPr>
      </w:pPr>
      <w:r>
        <w:rPr>
          <w:rFonts w:hint="eastAsia" w:ascii="黑体" w:hAnsi="黑体" w:eastAsia="黑体"/>
          <w:b w:val="0"/>
        </w:rPr>
        <w:t xml:space="preserve">第二部分 </w:t>
      </w:r>
      <w:r>
        <w:rPr>
          <w:rFonts w:hint="eastAsia" w:ascii="黑体" w:hAnsi="黑体" w:eastAsia="黑体"/>
          <w:b w:val="0"/>
          <w:lang w:eastAsia="zh-CN"/>
        </w:rPr>
        <w:t>2023</w:t>
      </w:r>
      <w:r>
        <w:rPr>
          <w:rFonts w:hint="eastAsia" w:ascii="黑体" w:hAnsi="黑体" w:eastAsia="黑体"/>
          <w:b w:val="0"/>
        </w:rPr>
        <w:t>年度</w:t>
      </w:r>
      <w:r>
        <w:rPr>
          <w:rStyle w:val="22"/>
          <w:rFonts w:hint="eastAsia" w:ascii="黑体" w:hAnsi="黑体" w:eastAsia="黑体"/>
          <w:b w:val="0"/>
          <w:bCs/>
        </w:rPr>
        <w:t>部门决算情况说明</w:t>
      </w:r>
      <w:bookmarkEnd w:id="16"/>
      <w:bookmarkEnd w:id="17"/>
    </w:p>
    <w:p w14:paraId="30FB0760">
      <w:pPr>
        <w:pStyle w:val="33"/>
        <w:numPr>
          <w:ilvl w:val="0"/>
          <w:numId w:val="3"/>
        </w:numPr>
        <w:spacing w:line="600" w:lineRule="exact"/>
        <w:ind w:firstLineChars="0"/>
        <w:outlineLvl w:val="1"/>
        <w:rPr>
          <w:rStyle w:val="23"/>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3"/>
          <w:rFonts w:hint="eastAsia" w:ascii="黑体" w:hAnsi="黑体" w:eastAsia="黑体"/>
          <w:b w:val="0"/>
        </w:rPr>
        <w:t>入支出决算总体情况说明</w:t>
      </w:r>
      <w:bookmarkEnd w:id="18"/>
      <w:bookmarkEnd w:id="19"/>
    </w:p>
    <w:p w14:paraId="73C02AD4">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年度收、支总计4867.44万元。与</w:t>
      </w:r>
      <w:r>
        <w:rPr>
          <w:rFonts w:hint="eastAsia" w:ascii="仿宋" w:hAnsi="仿宋" w:eastAsia="仿宋"/>
          <w:sz w:val="32"/>
          <w:szCs w:val="32"/>
          <w:lang w:eastAsia="zh-CN"/>
        </w:rPr>
        <w:t>2022</w:t>
      </w:r>
      <w:r>
        <w:rPr>
          <w:rFonts w:hint="eastAsia" w:ascii="仿宋" w:hAnsi="仿宋" w:eastAsia="仿宋"/>
          <w:sz w:val="32"/>
          <w:szCs w:val="32"/>
        </w:rPr>
        <w:t>年相比，收、支总计</w:t>
      </w:r>
      <w:r>
        <w:rPr>
          <w:rFonts w:hint="eastAsia" w:ascii="仿宋" w:hAnsi="仿宋" w:eastAsia="仿宋"/>
          <w:sz w:val="32"/>
          <w:szCs w:val="32"/>
          <w:lang w:eastAsia="zh-CN"/>
        </w:rPr>
        <w:t>减少</w:t>
      </w:r>
      <w:r>
        <w:rPr>
          <w:rFonts w:hint="eastAsia" w:ascii="仿宋" w:hAnsi="仿宋" w:eastAsia="仿宋"/>
          <w:sz w:val="32"/>
          <w:szCs w:val="32"/>
          <w:lang w:val="en-US" w:eastAsia="zh-CN"/>
        </w:rPr>
        <w:t>2537.5</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34.27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本年度非财政项目资金支出减少</w:t>
      </w:r>
      <w:r>
        <w:rPr>
          <w:rFonts w:hint="eastAsia" w:ascii="仿宋" w:hAnsi="仿宋" w:eastAsia="仿宋"/>
          <w:sz w:val="32"/>
          <w:szCs w:val="32"/>
        </w:rPr>
        <w:t>。</w:t>
      </w:r>
    </w:p>
    <w:tbl>
      <w:tblPr>
        <w:tblStyle w:val="17"/>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6"/>
      </w:tblGrid>
      <w:tr w14:paraId="7943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1" w:hRule="atLeast"/>
        </w:trPr>
        <w:tc>
          <w:tcPr>
            <w:tcW w:w="8526" w:type="dxa"/>
          </w:tcPr>
          <w:p w14:paraId="430634A6">
            <w:pPr>
              <w:pStyle w:val="2"/>
              <w:spacing w:before="93"/>
            </w:pPr>
            <w:r>
              <w:drawing>
                <wp:inline distT="0" distB="0" distL="0" distR="0">
                  <wp:extent cx="5274310" cy="2000250"/>
                  <wp:effectExtent l="5080" t="4445" r="16510" b="1460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14:paraId="36D61906">
      <w:pPr>
        <w:pStyle w:val="2"/>
        <w:spacing w:before="93"/>
        <w:jc w:val="center"/>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386A4AA2">
      <w:pPr>
        <w:pStyle w:val="33"/>
        <w:numPr>
          <w:ilvl w:val="0"/>
          <w:numId w:val="3"/>
        </w:numPr>
        <w:spacing w:line="600" w:lineRule="exact"/>
        <w:ind w:firstLineChars="0"/>
        <w:outlineLvl w:val="1"/>
        <w:rPr>
          <w:rStyle w:val="23"/>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3"/>
          <w:rFonts w:hint="eastAsia" w:ascii="黑体" w:hAnsi="黑体" w:eastAsia="黑体"/>
          <w:b w:val="0"/>
        </w:rPr>
        <w:t>入决算情况说明</w:t>
      </w:r>
      <w:bookmarkEnd w:id="20"/>
      <w:bookmarkEnd w:id="21"/>
    </w:p>
    <w:p w14:paraId="4AFCBF97">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年本年收入合计</w:t>
      </w:r>
      <w:r>
        <w:rPr>
          <w:rFonts w:hint="eastAsia" w:ascii="仿宋" w:hAnsi="仿宋" w:eastAsia="仿宋"/>
          <w:sz w:val="32"/>
          <w:szCs w:val="32"/>
          <w:lang w:val="en-US" w:eastAsia="zh-CN"/>
        </w:rPr>
        <w:t>2849.75</w:t>
      </w:r>
      <w:r>
        <w:rPr>
          <w:rFonts w:hint="eastAsia" w:ascii="仿宋" w:hAnsi="仿宋" w:eastAsia="仿宋"/>
          <w:sz w:val="32"/>
          <w:szCs w:val="32"/>
        </w:rPr>
        <w:t>万元，其中：一般公共预算财政拨款收入1423.26万元，占</w:t>
      </w:r>
      <w:r>
        <w:rPr>
          <w:rFonts w:hint="eastAsia" w:ascii="仿宋" w:hAnsi="仿宋" w:eastAsia="仿宋"/>
          <w:sz w:val="32"/>
          <w:szCs w:val="32"/>
          <w:lang w:val="en-US" w:eastAsia="zh-CN"/>
        </w:rPr>
        <w:t>49.94</w:t>
      </w:r>
      <w:r>
        <w:rPr>
          <w:rFonts w:ascii="仿宋" w:hAnsi="仿宋" w:eastAsia="仿宋"/>
          <w:sz w:val="32"/>
          <w:szCs w:val="32"/>
        </w:rPr>
        <w:t>%</w:t>
      </w:r>
      <w:r>
        <w:rPr>
          <w:rFonts w:hint="eastAsia" w:ascii="仿宋" w:hAnsi="仿宋" w:eastAsia="仿宋"/>
          <w:sz w:val="32"/>
          <w:szCs w:val="32"/>
        </w:rPr>
        <w:t>；政府性基金预算财政拨款收入10.98万元，占0.</w:t>
      </w:r>
      <w:r>
        <w:rPr>
          <w:rFonts w:hint="eastAsia" w:ascii="仿宋" w:hAnsi="仿宋" w:eastAsia="仿宋"/>
          <w:sz w:val="32"/>
          <w:szCs w:val="32"/>
          <w:lang w:val="en-US" w:eastAsia="zh-CN"/>
        </w:rPr>
        <w:t>39</w:t>
      </w:r>
      <w:r>
        <w:rPr>
          <w:rFonts w:ascii="仿宋" w:hAnsi="仿宋" w:eastAsia="仿宋"/>
          <w:sz w:val="32"/>
          <w:szCs w:val="32"/>
        </w:rPr>
        <w:t>%</w:t>
      </w:r>
      <w:r>
        <w:rPr>
          <w:rFonts w:hint="eastAsia" w:ascii="仿宋" w:hAnsi="仿宋" w:eastAsia="仿宋"/>
          <w:sz w:val="32"/>
          <w:szCs w:val="32"/>
        </w:rPr>
        <w:t>；国有资本经营预算财政拨款收入0.00万元，占0.00</w:t>
      </w:r>
      <w:r>
        <w:rPr>
          <w:rFonts w:ascii="仿宋" w:hAnsi="仿宋" w:eastAsia="仿宋"/>
          <w:sz w:val="32"/>
          <w:szCs w:val="32"/>
        </w:rPr>
        <w:t>%</w:t>
      </w:r>
      <w:r>
        <w:rPr>
          <w:rFonts w:hint="eastAsia" w:ascii="仿宋" w:hAnsi="仿宋" w:eastAsia="仿宋"/>
          <w:sz w:val="32"/>
          <w:szCs w:val="32"/>
        </w:rPr>
        <w:t>；上级补助收入0.00万元，占0.00</w:t>
      </w:r>
      <w:r>
        <w:rPr>
          <w:rFonts w:ascii="仿宋" w:hAnsi="仿宋" w:eastAsia="仿宋"/>
          <w:sz w:val="32"/>
          <w:szCs w:val="32"/>
        </w:rPr>
        <w:t>%</w:t>
      </w:r>
      <w:r>
        <w:rPr>
          <w:rFonts w:hint="eastAsia" w:ascii="仿宋" w:hAnsi="仿宋" w:eastAsia="仿宋"/>
          <w:sz w:val="32"/>
          <w:szCs w:val="32"/>
        </w:rPr>
        <w:t>；事业收入0.00万元，占0.00</w:t>
      </w:r>
      <w:r>
        <w:rPr>
          <w:rFonts w:ascii="仿宋" w:hAnsi="仿宋" w:eastAsia="仿宋"/>
          <w:sz w:val="32"/>
          <w:szCs w:val="32"/>
        </w:rPr>
        <w:t>%</w:t>
      </w:r>
      <w:r>
        <w:rPr>
          <w:rFonts w:hint="eastAsia" w:ascii="仿宋" w:hAnsi="仿宋" w:eastAsia="仿宋"/>
          <w:sz w:val="32"/>
          <w:szCs w:val="32"/>
        </w:rPr>
        <w:t>；经营收入0.00万元，占0.00</w:t>
      </w:r>
      <w:r>
        <w:rPr>
          <w:rFonts w:ascii="仿宋" w:hAnsi="仿宋" w:eastAsia="仿宋"/>
          <w:sz w:val="32"/>
          <w:szCs w:val="32"/>
        </w:rPr>
        <w:t>%</w:t>
      </w:r>
      <w:r>
        <w:rPr>
          <w:rFonts w:hint="eastAsia" w:ascii="仿宋" w:hAnsi="仿宋" w:eastAsia="仿宋"/>
          <w:sz w:val="32"/>
          <w:szCs w:val="32"/>
        </w:rPr>
        <w:t>；附属单位上缴收入0.00万元，占0.00</w:t>
      </w:r>
      <w:r>
        <w:rPr>
          <w:rFonts w:ascii="仿宋" w:hAnsi="仿宋" w:eastAsia="仿宋"/>
          <w:sz w:val="32"/>
          <w:szCs w:val="32"/>
        </w:rPr>
        <w:t>%</w:t>
      </w:r>
      <w:r>
        <w:rPr>
          <w:rFonts w:hint="eastAsia" w:ascii="仿宋" w:hAnsi="仿宋" w:eastAsia="仿宋"/>
          <w:sz w:val="32"/>
          <w:szCs w:val="32"/>
        </w:rPr>
        <w:t>；其他收入1415.51万元，占4</w:t>
      </w:r>
      <w:r>
        <w:rPr>
          <w:rFonts w:hint="eastAsia" w:ascii="仿宋" w:hAnsi="仿宋" w:eastAsia="仿宋"/>
          <w:sz w:val="32"/>
          <w:szCs w:val="32"/>
          <w:lang w:val="en-US" w:eastAsia="zh-CN"/>
        </w:rPr>
        <w:t>9.67</w:t>
      </w:r>
      <w:r>
        <w:rPr>
          <w:rFonts w:ascii="仿宋" w:hAnsi="仿宋" w:eastAsia="仿宋"/>
          <w:sz w:val="32"/>
          <w:szCs w:val="32"/>
        </w:rPr>
        <w:t>%</w:t>
      </w:r>
      <w:r>
        <w:rPr>
          <w:rFonts w:hint="eastAsia" w:ascii="仿宋" w:hAnsi="仿宋" w:eastAsia="仿宋"/>
          <w:sz w:val="32"/>
          <w:szCs w:val="32"/>
        </w:rPr>
        <w:t>。</w:t>
      </w:r>
    </w:p>
    <w:p w14:paraId="6B4042D0">
      <w:pPr>
        <w:pStyle w:val="2"/>
        <w:spacing w:before="93"/>
      </w:pPr>
      <w:r>
        <w:drawing>
          <wp:inline distT="0" distB="0" distL="0" distR="0">
            <wp:extent cx="5274310" cy="2486025"/>
            <wp:effectExtent l="4445" t="4445" r="17145" b="508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65B7BDB">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（图2：收入决算结构图）（饼状图）</w:t>
      </w:r>
    </w:p>
    <w:p w14:paraId="00D08D0C">
      <w:pPr>
        <w:pStyle w:val="33"/>
        <w:numPr>
          <w:ilvl w:val="0"/>
          <w:numId w:val="3"/>
        </w:numPr>
        <w:spacing w:line="600" w:lineRule="exact"/>
        <w:ind w:firstLineChars="0"/>
        <w:outlineLvl w:val="1"/>
        <w:rPr>
          <w:rStyle w:val="23"/>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3"/>
          <w:rFonts w:hint="eastAsia" w:ascii="黑体" w:hAnsi="黑体" w:eastAsia="黑体"/>
          <w:b w:val="0"/>
        </w:rPr>
        <w:t>出决算情况说明</w:t>
      </w:r>
      <w:bookmarkEnd w:id="22"/>
      <w:bookmarkEnd w:id="23"/>
    </w:p>
    <w:p w14:paraId="7D7E4688">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年本年支出合计</w:t>
      </w:r>
      <w:r>
        <w:rPr>
          <w:rFonts w:hint="eastAsia" w:ascii="仿宋" w:hAnsi="仿宋" w:eastAsia="仿宋"/>
          <w:sz w:val="32"/>
          <w:szCs w:val="32"/>
          <w:lang w:val="en-US" w:eastAsia="zh-CN"/>
        </w:rPr>
        <w:t>2743.84</w:t>
      </w:r>
      <w:r>
        <w:rPr>
          <w:rFonts w:hint="eastAsia" w:ascii="仿宋" w:hAnsi="仿宋" w:eastAsia="仿宋"/>
          <w:sz w:val="32"/>
          <w:szCs w:val="32"/>
        </w:rPr>
        <w:t>万元，其中：基本支出</w:t>
      </w:r>
      <w:r>
        <w:rPr>
          <w:rFonts w:hint="eastAsia" w:ascii="仿宋" w:hAnsi="仿宋" w:eastAsia="仿宋"/>
          <w:sz w:val="32"/>
          <w:szCs w:val="32"/>
          <w:lang w:val="en-US" w:eastAsia="zh-CN"/>
        </w:rPr>
        <w:t>1224.51</w:t>
      </w:r>
      <w:r>
        <w:rPr>
          <w:rFonts w:hint="eastAsia" w:ascii="仿宋" w:hAnsi="仿宋" w:eastAsia="仿宋"/>
          <w:sz w:val="32"/>
          <w:szCs w:val="32"/>
        </w:rPr>
        <w:t>万元，占</w:t>
      </w:r>
      <w:r>
        <w:rPr>
          <w:rFonts w:hint="eastAsia" w:ascii="仿宋" w:hAnsi="仿宋" w:eastAsia="仿宋"/>
          <w:sz w:val="32"/>
          <w:szCs w:val="32"/>
          <w:lang w:val="en-US" w:eastAsia="zh-CN"/>
        </w:rPr>
        <w:t>44.63</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1519.33</w:t>
      </w:r>
      <w:r>
        <w:rPr>
          <w:rFonts w:hint="eastAsia" w:ascii="仿宋" w:hAnsi="仿宋" w:eastAsia="仿宋"/>
          <w:sz w:val="32"/>
          <w:szCs w:val="32"/>
        </w:rPr>
        <w:t>万元，占</w:t>
      </w:r>
      <w:r>
        <w:rPr>
          <w:rFonts w:hint="eastAsia" w:ascii="仿宋" w:hAnsi="仿宋" w:eastAsia="仿宋"/>
          <w:sz w:val="32"/>
          <w:szCs w:val="32"/>
          <w:lang w:val="en-US" w:eastAsia="zh-CN"/>
        </w:rPr>
        <w:t>55.37</w:t>
      </w:r>
      <w:r>
        <w:rPr>
          <w:rFonts w:ascii="仿宋" w:hAnsi="仿宋" w:eastAsia="仿宋"/>
          <w:sz w:val="32"/>
          <w:szCs w:val="32"/>
        </w:rPr>
        <w:t>%</w:t>
      </w:r>
      <w:r>
        <w:rPr>
          <w:rFonts w:hint="eastAsia" w:ascii="仿宋" w:hAnsi="仿宋" w:eastAsia="仿宋"/>
          <w:sz w:val="32"/>
          <w:szCs w:val="32"/>
        </w:rPr>
        <w:t>。</w:t>
      </w:r>
    </w:p>
    <w:p w14:paraId="1E95A3B5">
      <w:pPr>
        <w:pStyle w:val="2"/>
        <w:spacing w:before="93"/>
      </w:pPr>
      <w:r>
        <w:drawing>
          <wp:inline distT="0" distB="0" distL="0" distR="0">
            <wp:extent cx="5362575" cy="2076450"/>
            <wp:effectExtent l="19050" t="0" r="9525"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FE2D83">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（图3：支出决算结构图）（饼状图）</w:t>
      </w:r>
    </w:p>
    <w:p w14:paraId="5426E176">
      <w:pPr>
        <w:spacing w:line="600" w:lineRule="exact"/>
        <w:ind w:firstLine="640" w:firstLineChars="200"/>
        <w:outlineLvl w:val="1"/>
        <w:rPr>
          <w:rStyle w:val="23"/>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3"/>
          <w:rFonts w:hint="eastAsia" w:ascii="黑体" w:hAnsi="黑体" w:eastAsia="黑体"/>
          <w:b w:val="0"/>
        </w:rPr>
        <w:t>政拨款收入支出决算总体情况说明</w:t>
      </w:r>
      <w:bookmarkEnd w:id="24"/>
      <w:bookmarkEnd w:id="25"/>
    </w:p>
    <w:p w14:paraId="560C58CA">
      <w:pPr>
        <w:spacing w:line="600" w:lineRule="exact"/>
        <w:ind w:firstLine="64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年财政拨款收入总计</w:t>
      </w:r>
      <w:r>
        <w:rPr>
          <w:rFonts w:hint="eastAsia" w:ascii="仿宋" w:hAnsi="仿宋" w:eastAsia="仿宋"/>
          <w:sz w:val="32"/>
          <w:szCs w:val="32"/>
          <w:lang w:val="en-US" w:eastAsia="zh-CN"/>
        </w:rPr>
        <w:t>1434.24</w:t>
      </w:r>
      <w:r>
        <w:rPr>
          <w:rFonts w:hint="eastAsia" w:ascii="仿宋" w:hAnsi="仿宋" w:eastAsia="仿宋"/>
          <w:sz w:val="32"/>
          <w:szCs w:val="32"/>
        </w:rPr>
        <w:t>万元。与</w:t>
      </w:r>
      <w:r>
        <w:rPr>
          <w:rFonts w:hint="eastAsia" w:ascii="仿宋" w:hAnsi="仿宋" w:eastAsia="仿宋"/>
          <w:sz w:val="32"/>
          <w:szCs w:val="32"/>
          <w:lang w:eastAsia="zh-CN"/>
        </w:rPr>
        <w:t>2022</w:t>
      </w:r>
      <w:r>
        <w:rPr>
          <w:rFonts w:hint="eastAsia" w:ascii="仿宋" w:hAnsi="仿宋" w:eastAsia="仿宋"/>
          <w:sz w:val="32"/>
          <w:szCs w:val="32"/>
        </w:rPr>
        <w:t>年相比，财政拨款收、支总计各减少</w:t>
      </w:r>
      <w:r>
        <w:rPr>
          <w:rFonts w:hint="eastAsia" w:ascii="仿宋" w:hAnsi="仿宋" w:eastAsia="仿宋"/>
          <w:sz w:val="32"/>
          <w:szCs w:val="32"/>
          <w:lang w:val="en-US" w:eastAsia="zh-CN"/>
        </w:rPr>
        <w:t>555.82</w:t>
      </w:r>
      <w:r>
        <w:rPr>
          <w:rFonts w:hint="eastAsia" w:ascii="仿宋" w:hAnsi="仿宋" w:eastAsia="仿宋"/>
          <w:sz w:val="32"/>
          <w:szCs w:val="32"/>
        </w:rPr>
        <w:t>万元，下降</w:t>
      </w:r>
      <w:r>
        <w:rPr>
          <w:rFonts w:hint="eastAsia" w:ascii="仿宋" w:hAnsi="仿宋" w:eastAsia="仿宋"/>
          <w:sz w:val="32"/>
          <w:szCs w:val="32"/>
          <w:lang w:val="en-US" w:eastAsia="zh-CN"/>
        </w:rPr>
        <w:t>27.93</w:t>
      </w:r>
      <w:r>
        <w:rPr>
          <w:rFonts w:ascii="仿宋" w:hAnsi="仿宋" w:eastAsia="仿宋"/>
          <w:sz w:val="32"/>
          <w:szCs w:val="32"/>
        </w:rPr>
        <w:t>%</w:t>
      </w:r>
      <w:r>
        <w:rPr>
          <w:rFonts w:hint="eastAsia" w:ascii="仿宋" w:hAnsi="仿宋" w:eastAsia="仿宋"/>
          <w:sz w:val="32"/>
          <w:szCs w:val="32"/>
        </w:rPr>
        <w:t>。主要变动原因是项目经费减少。</w:t>
      </w:r>
    </w:p>
    <w:p w14:paraId="04FD22F4">
      <w:pPr>
        <w:pStyle w:val="2"/>
        <w:spacing w:before="93"/>
      </w:pPr>
      <w:r>
        <w:drawing>
          <wp:inline distT="0" distB="0" distL="0" distR="0">
            <wp:extent cx="5200650" cy="2190750"/>
            <wp:effectExtent l="4445" t="4445" r="1460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E763675">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146B5FB9">
      <w:pPr>
        <w:spacing w:line="600" w:lineRule="exact"/>
        <w:ind w:firstLine="640" w:firstLineChars="200"/>
        <w:outlineLvl w:val="1"/>
        <w:rPr>
          <w:rStyle w:val="23"/>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3"/>
          <w:rFonts w:hint="eastAsia" w:ascii="黑体" w:hAnsi="黑体" w:eastAsia="黑体"/>
          <w:b w:val="0"/>
        </w:rPr>
        <w:t>般公共预算财政拨款支出决算情况说明</w:t>
      </w:r>
      <w:bookmarkEnd w:id="26"/>
      <w:bookmarkEnd w:id="27"/>
    </w:p>
    <w:p w14:paraId="2B36F838">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0F3C6AB0">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1423.26</w:t>
      </w:r>
      <w:r>
        <w:rPr>
          <w:rFonts w:hint="eastAsia" w:ascii="仿宋" w:hAnsi="仿宋" w:eastAsia="仿宋"/>
          <w:sz w:val="32"/>
          <w:szCs w:val="32"/>
        </w:rPr>
        <w:t>万元，占本年支出合计的</w:t>
      </w:r>
      <w:r>
        <w:rPr>
          <w:rFonts w:hint="eastAsia" w:ascii="仿宋" w:hAnsi="仿宋" w:eastAsia="仿宋"/>
          <w:sz w:val="32"/>
          <w:szCs w:val="32"/>
          <w:lang w:val="en-US" w:eastAsia="zh-CN"/>
        </w:rPr>
        <w:t>51.87</w:t>
      </w:r>
      <w:r>
        <w:rPr>
          <w:rFonts w:ascii="仿宋" w:hAnsi="仿宋" w:eastAsia="仿宋"/>
          <w:sz w:val="32"/>
          <w:szCs w:val="32"/>
        </w:rPr>
        <w:t>%</w:t>
      </w:r>
      <w:r>
        <w:rPr>
          <w:rFonts w:hint="eastAsia" w:ascii="仿宋" w:hAnsi="仿宋" w:eastAsia="仿宋"/>
          <w:sz w:val="32"/>
          <w:szCs w:val="32"/>
        </w:rPr>
        <w:t>。与</w:t>
      </w:r>
      <w:r>
        <w:rPr>
          <w:rFonts w:hint="eastAsia" w:ascii="仿宋" w:hAnsi="仿宋" w:eastAsia="仿宋"/>
          <w:sz w:val="32"/>
          <w:szCs w:val="32"/>
          <w:lang w:eastAsia="zh-CN"/>
        </w:rPr>
        <w:t>2022</w:t>
      </w:r>
      <w:r>
        <w:rPr>
          <w:rFonts w:hint="eastAsia" w:ascii="仿宋" w:hAnsi="仿宋" w:eastAsia="仿宋"/>
          <w:sz w:val="32"/>
          <w:szCs w:val="32"/>
        </w:rPr>
        <w:t>年相比，一般公共预算财政拨款支出减少</w:t>
      </w:r>
      <w:r>
        <w:rPr>
          <w:rFonts w:hint="eastAsia" w:ascii="仿宋" w:hAnsi="仿宋" w:eastAsia="仿宋"/>
          <w:sz w:val="32"/>
          <w:szCs w:val="32"/>
          <w:lang w:val="en-US" w:eastAsia="zh-CN"/>
        </w:rPr>
        <w:t>565.7</w:t>
      </w:r>
      <w:r>
        <w:rPr>
          <w:rFonts w:hint="eastAsia" w:ascii="仿宋" w:hAnsi="仿宋" w:eastAsia="仿宋"/>
          <w:sz w:val="32"/>
          <w:szCs w:val="32"/>
        </w:rPr>
        <w:t>万元，下降</w:t>
      </w:r>
      <w:r>
        <w:rPr>
          <w:rFonts w:hint="eastAsia" w:ascii="仿宋" w:hAnsi="仿宋" w:eastAsia="仿宋"/>
          <w:sz w:val="32"/>
          <w:szCs w:val="32"/>
          <w:lang w:val="en-US" w:eastAsia="zh-CN"/>
        </w:rPr>
        <w:t>28.43</w:t>
      </w:r>
      <w:r>
        <w:rPr>
          <w:rFonts w:ascii="仿宋" w:hAnsi="仿宋" w:eastAsia="仿宋"/>
          <w:sz w:val="32"/>
          <w:szCs w:val="32"/>
        </w:rPr>
        <w:t>%</w:t>
      </w:r>
      <w:r>
        <w:rPr>
          <w:rFonts w:hint="eastAsia" w:ascii="仿宋" w:hAnsi="仿宋" w:eastAsia="仿宋"/>
          <w:sz w:val="32"/>
          <w:szCs w:val="32"/>
        </w:rPr>
        <w:t>。主要变动原因是特定项目减少。</w:t>
      </w:r>
    </w:p>
    <w:p w14:paraId="3DD635A0">
      <w:pPr>
        <w:pStyle w:val="2"/>
        <w:spacing w:before="93"/>
      </w:pPr>
      <w:r>
        <w:drawing>
          <wp:inline distT="0" distB="0" distL="0" distR="0">
            <wp:extent cx="5362575" cy="2047875"/>
            <wp:effectExtent l="4445" t="4445" r="5080" b="508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C5B4F4">
      <w:pPr>
        <w:spacing w:line="600" w:lineRule="exact"/>
        <w:ind w:firstLine="320" w:firstLineChars="100"/>
        <w:jc w:val="center"/>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708C22FE">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6F04DAA2">
      <w:pPr>
        <w:spacing w:line="600" w:lineRule="exact"/>
        <w:ind w:firstLine="64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年一般公共预算财政拨款支出1423.26万元，主要用于以下方面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602.7</w:t>
      </w:r>
      <w:r>
        <w:rPr>
          <w:rFonts w:hint="eastAsia" w:ascii="仿宋" w:hAnsi="仿宋" w:eastAsia="仿宋"/>
          <w:sz w:val="32"/>
          <w:szCs w:val="32"/>
        </w:rPr>
        <w:t>万元，占</w:t>
      </w:r>
      <w:r>
        <w:rPr>
          <w:rFonts w:hint="eastAsia" w:ascii="仿宋" w:hAnsi="仿宋" w:eastAsia="仿宋"/>
          <w:sz w:val="32"/>
          <w:szCs w:val="32"/>
          <w:lang w:val="en-US" w:eastAsia="zh-CN"/>
        </w:rPr>
        <w:t>42.34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sz w:val="32"/>
          <w:szCs w:val="32"/>
          <w:lang w:val="en-US" w:eastAsia="zh-CN"/>
        </w:rPr>
        <w:t>6万元，占0.42%；</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b/>
          <w:bCs/>
          <w:sz w:val="32"/>
          <w:szCs w:val="32"/>
          <w:lang w:val="en-US" w:eastAsia="zh-CN"/>
        </w:rPr>
        <w:t>100.01</w:t>
      </w:r>
      <w:r>
        <w:rPr>
          <w:rFonts w:hint="eastAsia" w:ascii="仿宋" w:hAnsi="仿宋" w:eastAsia="仿宋"/>
          <w:sz w:val="32"/>
          <w:szCs w:val="32"/>
        </w:rPr>
        <w:t>万元，占</w:t>
      </w:r>
      <w:r>
        <w:rPr>
          <w:rFonts w:hint="eastAsia" w:ascii="仿宋" w:hAnsi="仿宋" w:eastAsia="仿宋"/>
          <w:sz w:val="32"/>
          <w:szCs w:val="32"/>
          <w:lang w:val="en-US" w:eastAsia="zh-CN"/>
        </w:rPr>
        <w:t>7.03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48.58</w:t>
      </w:r>
      <w:r>
        <w:rPr>
          <w:rFonts w:hint="eastAsia" w:ascii="仿宋" w:hAnsi="仿宋" w:eastAsia="仿宋"/>
          <w:sz w:val="32"/>
          <w:szCs w:val="32"/>
        </w:rPr>
        <w:t>万元，占</w:t>
      </w:r>
      <w:r>
        <w:rPr>
          <w:rFonts w:hint="eastAsia" w:ascii="仿宋" w:hAnsi="仿宋" w:eastAsia="仿宋"/>
          <w:sz w:val="32"/>
          <w:szCs w:val="32"/>
          <w:lang w:val="en-US" w:eastAsia="zh-CN"/>
        </w:rPr>
        <w:t>3.41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农林水</w:t>
      </w:r>
      <w:r>
        <w:rPr>
          <w:rFonts w:hint="eastAsia" w:ascii="仿宋" w:hAnsi="仿宋" w:eastAsia="仿宋"/>
          <w:b/>
          <w:bCs/>
          <w:sz w:val="32"/>
          <w:szCs w:val="32"/>
        </w:rPr>
        <w:t>支出</w:t>
      </w:r>
      <w:r>
        <w:rPr>
          <w:rFonts w:hint="eastAsia" w:ascii="仿宋" w:hAnsi="仿宋" w:eastAsia="仿宋"/>
          <w:sz w:val="32"/>
          <w:szCs w:val="32"/>
          <w:lang w:val="en-US" w:eastAsia="zh-CN"/>
        </w:rPr>
        <w:t>600.42</w:t>
      </w:r>
      <w:r>
        <w:rPr>
          <w:rFonts w:hint="eastAsia" w:ascii="仿宋" w:hAnsi="仿宋" w:eastAsia="仿宋"/>
          <w:sz w:val="32"/>
          <w:szCs w:val="32"/>
        </w:rPr>
        <w:t>万元，占</w:t>
      </w:r>
      <w:r>
        <w:rPr>
          <w:rFonts w:hint="eastAsia" w:ascii="仿宋" w:hAnsi="仿宋" w:eastAsia="仿宋"/>
          <w:sz w:val="32"/>
          <w:szCs w:val="32"/>
          <w:lang w:val="en-US" w:eastAsia="zh-CN"/>
        </w:rPr>
        <w:t>42.19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65.56</w:t>
      </w:r>
      <w:r>
        <w:rPr>
          <w:rFonts w:hint="eastAsia" w:ascii="仿宋" w:hAnsi="仿宋" w:eastAsia="仿宋"/>
          <w:sz w:val="32"/>
          <w:szCs w:val="32"/>
        </w:rPr>
        <w:t>万元，占</w:t>
      </w:r>
      <w:r>
        <w:rPr>
          <w:rFonts w:hint="eastAsia" w:ascii="仿宋" w:hAnsi="仿宋" w:eastAsia="仿宋"/>
          <w:sz w:val="32"/>
          <w:szCs w:val="32"/>
          <w:lang w:val="en-US" w:eastAsia="zh-CN"/>
        </w:rPr>
        <w:t>4.61</w:t>
      </w:r>
      <w:r>
        <w:rPr>
          <w:rFonts w:ascii="仿宋" w:hAnsi="仿宋" w:eastAsia="仿宋"/>
          <w:sz w:val="32"/>
          <w:szCs w:val="32"/>
        </w:rPr>
        <w:t>%</w:t>
      </w:r>
      <w:r>
        <w:rPr>
          <w:rFonts w:hint="eastAsia" w:ascii="仿宋" w:hAnsi="仿宋" w:eastAsia="仿宋"/>
          <w:sz w:val="32"/>
          <w:szCs w:val="32"/>
        </w:rPr>
        <w:t>。</w:t>
      </w:r>
    </w:p>
    <w:p w14:paraId="244E7DC0">
      <w:pPr>
        <w:pStyle w:val="2"/>
        <w:spacing w:before="93"/>
      </w:pPr>
      <w:r>
        <w:drawing>
          <wp:inline distT="0" distB="0" distL="0" distR="0">
            <wp:extent cx="5274310" cy="3076575"/>
            <wp:effectExtent l="19050" t="0" r="2159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67AFFA1">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（图6：一般公共预算财政拨款支出决算结构）（饼状图）</w:t>
      </w:r>
    </w:p>
    <w:p w14:paraId="617EEF47">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39831063">
      <w:pPr>
        <w:spacing w:line="600" w:lineRule="exact"/>
        <w:ind w:firstLine="643" w:firstLineChars="200"/>
        <w:outlineLvl w:val="2"/>
        <w:rPr>
          <w:rFonts w:ascii="仿宋" w:hAnsi="仿宋" w:eastAsia="仿宋"/>
          <w:sz w:val="32"/>
          <w:szCs w:val="32"/>
        </w:rPr>
      </w:pPr>
      <w:bookmarkStart w:id="31" w:name="_Toc15378460"/>
      <w:bookmarkStart w:id="32" w:name="_Toc15377213"/>
      <w:bookmarkStart w:id="33" w:name="_Toc15377444"/>
      <w:r>
        <w:rPr>
          <w:rFonts w:hint="eastAsia" w:ascii="仿宋" w:hAnsi="仿宋" w:eastAsia="仿宋"/>
          <w:b/>
          <w:sz w:val="32"/>
          <w:szCs w:val="32"/>
          <w:lang w:eastAsia="zh-CN"/>
        </w:rPr>
        <w:t>2023</w:t>
      </w:r>
      <w:r>
        <w:rPr>
          <w:rFonts w:hint="eastAsia" w:ascii="仿宋" w:hAnsi="仿宋" w:eastAsia="仿宋"/>
          <w:b/>
          <w:sz w:val="32"/>
          <w:szCs w:val="32"/>
        </w:rPr>
        <w:t>年一般公共预算支出决算数为</w:t>
      </w:r>
      <w:r>
        <w:rPr>
          <w:rFonts w:hint="eastAsia" w:ascii="仿宋" w:hAnsi="仿宋" w:eastAsia="仿宋"/>
          <w:b/>
          <w:sz w:val="32"/>
          <w:szCs w:val="32"/>
          <w:lang w:val="en-US" w:eastAsia="zh-CN"/>
        </w:rPr>
        <w:t>1423.26万元</w:t>
      </w:r>
      <w:r>
        <w:rPr>
          <w:rFonts w:hint="eastAsia" w:ascii="仿宋" w:hAnsi="仿宋" w:eastAsia="仿宋"/>
          <w:sz w:val="32"/>
          <w:szCs w:val="32"/>
        </w:rPr>
        <w:t>，</w:t>
      </w:r>
      <w:r>
        <w:rPr>
          <w:rStyle w:val="19"/>
          <w:rFonts w:hint="eastAsia" w:ascii="仿宋" w:hAnsi="仿宋" w:eastAsia="仿宋"/>
          <w:bCs/>
          <w:sz w:val="32"/>
          <w:szCs w:val="32"/>
        </w:rPr>
        <w:t>完成预算100.00</w:t>
      </w:r>
      <w:r>
        <w:rPr>
          <w:rStyle w:val="19"/>
          <w:rFonts w:ascii="仿宋" w:hAnsi="仿宋" w:eastAsia="仿宋"/>
          <w:bCs/>
          <w:sz w:val="32"/>
          <w:szCs w:val="32"/>
        </w:rPr>
        <w:t>%</w:t>
      </w:r>
      <w:r>
        <w:rPr>
          <w:rStyle w:val="19"/>
          <w:rFonts w:hint="eastAsia" w:ascii="仿宋" w:hAnsi="仿宋" w:eastAsia="仿宋"/>
          <w:bCs/>
          <w:sz w:val="32"/>
          <w:szCs w:val="32"/>
        </w:rPr>
        <w:t>。其中：</w:t>
      </w:r>
      <w:bookmarkEnd w:id="31"/>
      <w:bookmarkEnd w:id="32"/>
      <w:bookmarkEnd w:id="33"/>
    </w:p>
    <w:p w14:paraId="09D57962">
      <w:pPr>
        <w:spacing w:line="600" w:lineRule="exact"/>
        <w:ind w:firstLine="643"/>
        <w:rPr>
          <w:rStyle w:val="19"/>
          <w:rFonts w:ascii="仿宋" w:hAnsi="仿宋" w:eastAsia="仿宋"/>
          <w:bCs/>
          <w:sz w:val="32"/>
          <w:szCs w:val="32"/>
        </w:rPr>
      </w:pPr>
      <w:r>
        <w:rPr>
          <w:rStyle w:val="19"/>
          <w:rFonts w:hint="eastAsia" w:ascii="仿宋" w:hAnsi="仿宋" w:eastAsia="仿宋"/>
          <w:bCs/>
          <w:sz w:val="32"/>
          <w:szCs w:val="32"/>
          <w:lang w:val="en-US" w:eastAsia="zh-CN"/>
        </w:rPr>
        <w:t>1</w:t>
      </w:r>
      <w:r>
        <w:rPr>
          <w:rStyle w:val="19"/>
          <w:rFonts w:hint="eastAsia" w:ascii="仿宋" w:hAnsi="仿宋" w:eastAsia="仿宋"/>
          <w:bCs/>
          <w:sz w:val="32"/>
          <w:szCs w:val="32"/>
        </w:rPr>
        <w:t>.一般公共服务（201）政府办公厅（室）及相关机构事务（03）行政运行（01）</w:t>
      </w:r>
      <w:r>
        <w:rPr>
          <w:rStyle w:val="19"/>
          <w:rFonts w:ascii="仿宋" w:hAnsi="仿宋" w:eastAsia="仿宋"/>
          <w:bCs/>
          <w:sz w:val="32"/>
          <w:szCs w:val="32"/>
        </w:rPr>
        <w:t>:</w:t>
      </w:r>
      <w:r>
        <w:rPr>
          <w:rStyle w:val="19"/>
          <w:rFonts w:hint="eastAsia" w:ascii="仿宋" w:hAnsi="仿宋" w:eastAsia="仿宋"/>
          <w:bCs/>
          <w:sz w:val="32"/>
          <w:szCs w:val="32"/>
        </w:rPr>
        <w:t>支出决算为</w:t>
      </w:r>
      <w:r>
        <w:rPr>
          <w:rStyle w:val="19"/>
          <w:rFonts w:hint="eastAsia" w:ascii="仿宋" w:hAnsi="仿宋" w:eastAsia="仿宋"/>
          <w:bCs/>
          <w:sz w:val="32"/>
          <w:szCs w:val="32"/>
          <w:lang w:val="en-US" w:eastAsia="zh-CN"/>
        </w:rPr>
        <w:t>561.48</w:t>
      </w:r>
      <w:r>
        <w:rPr>
          <w:rStyle w:val="19"/>
          <w:rFonts w:hint="eastAsia" w:ascii="仿宋" w:hAnsi="仿宋" w:eastAsia="仿宋"/>
          <w:bCs/>
          <w:sz w:val="32"/>
          <w:szCs w:val="32"/>
        </w:rPr>
        <w:t>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14:paraId="64BE0468">
      <w:pPr>
        <w:spacing w:line="600" w:lineRule="exact"/>
        <w:ind w:firstLine="643"/>
        <w:rPr>
          <w:rStyle w:val="19"/>
          <w:rFonts w:ascii="仿宋" w:hAnsi="仿宋" w:eastAsia="仿宋"/>
          <w:bCs/>
          <w:sz w:val="32"/>
          <w:szCs w:val="32"/>
        </w:rPr>
      </w:pPr>
      <w:r>
        <w:rPr>
          <w:rStyle w:val="19"/>
          <w:rFonts w:hint="eastAsia" w:ascii="仿宋" w:hAnsi="仿宋" w:eastAsia="仿宋"/>
          <w:bCs/>
          <w:sz w:val="32"/>
          <w:szCs w:val="32"/>
          <w:lang w:val="en-US" w:eastAsia="zh-CN"/>
        </w:rPr>
        <w:t>2</w:t>
      </w:r>
      <w:r>
        <w:rPr>
          <w:rStyle w:val="19"/>
          <w:rFonts w:hint="eastAsia" w:ascii="仿宋" w:hAnsi="仿宋" w:eastAsia="仿宋"/>
          <w:bCs/>
          <w:sz w:val="32"/>
          <w:szCs w:val="32"/>
        </w:rPr>
        <w:t>.一般公共服务（201）政府办公厅（室）及相关机构事务（03）一般行政管理事务（02）</w:t>
      </w:r>
      <w:r>
        <w:rPr>
          <w:rStyle w:val="19"/>
          <w:rFonts w:ascii="仿宋" w:hAnsi="仿宋" w:eastAsia="仿宋"/>
          <w:bCs/>
          <w:sz w:val="32"/>
          <w:szCs w:val="32"/>
        </w:rPr>
        <w:t>:</w:t>
      </w:r>
      <w:r>
        <w:rPr>
          <w:rStyle w:val="19"/>
          <w:rFonts w:hint="eastAsia" w:ascii="仿宋" w:hAnsi="仿宋" w:eastAsia="仿宋"/>
          <w:bCs/>
          <w:sz w:val="32"/>
          <w:szCs w:val="32"/>
        </w:rPr>
        <w:t>支出决算为41.21万元，完成预算100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14:paraId="68E9B44C">
      <w:pPr>
        <w:spacing w:line="600" w:lineRule="exact"/>
        <w:ind w:firstLine="643"/>
        <w:rPr>
          <w:rStyle w:val="19"/>
          <w:rFonts w:ascii="仿宋" w:hAnsi="仿宋" w:eastAsia="仿宋"/>
          <w:bCs/>
          <w:sz w:val="32"/>
          <w:szCs w:val="32"/>
        </w:rPr>
      </w:pPr>
      <w:r>
        <w:rPr>
          <w:rStyle w:val="19"/>
          <w:rFonts w:hint="eastAsia" w:ascii="仿宋" w:hAnsi="仿宋" w:eastAsia="仿宋"/>
          <w:bCs/>
          <w:sz w:val="32"/>
          <w:szCs w:val="32"/>
          <w:lang w:val="en-US" w:eastAsia="zh-CN"/>
        </w:rPr>
        <w:t>3</w:t>
      </w:r>
      <w:r>
        <w:rPr>
          <w:rStyle w:val="19"/>
          <w:rFonts w:hint="eastAsia" w:ascii="仿宋" w:hAnsi="仿宋" w:eastAsia="仿宋"/>
          <w:bCs/>
          <w:sz w:val="32"/>
          <w:szCs w:val="32"/>
        </w:rPr>
        <w:t>.文化旅游体育与传媒支出（207）文化和旅游（01）其他文化和旅游支出（99）</w:t>
      </w:r>
      <w:r>
        <w:rPr>
          <w:rStyle w:val="19"/>
          <w:rFonts w:ascii="仿宋" w:hAnsi="仿宋" w:eastAsia="仿宋"/>
          <w:bCs/>
          <w:sz w:val="32"/>
          <w:szCs w:val="32"/>
        </w:rPr>
        <w:t>:</w:t>
      </w:r>
      <w:r>
        <w:rPr>
          <w:rStyle w:val="19"/>
          <w:rFonts w:hint="eastAsia" w:ascii="仿宋" w:hAnsi="仿宋" w:eastAsia="仿宋"/>
          <w:bCs/>
          <w:sz w:val="32"/>
          <w:szCs w:val="32"/>
        </w:rPr>
        <w:t>支出决算为5万元，完成预算100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14:paraId="2B903E15">
      <w:pPr>
        <w:spacing w:line="600" w:lineRule="exact"/>
        <w:ind w:firstLine="643"/>
        <w:rPr>
          <w:rStyle w:val="19"/>
          <w:rFonts w:ascii="仿宋" w:hAnsi="仿宋" w:eastAsia="仿宋"/>
          <w:bCs/>
          <w:sz w:val="32"/>
          <w:szCs w:val="32"/>
        </w:rPr>
      </w:pPr>
      <w:r>
        <w:rPr>
          <w:rStyle w:val="19"/>
          <w:rFonts w:hint="eastAsia" w:ascii="仿宋" w:hAnsi="仿宋" w:eastAsia="仿宋"/>
          <w:bCs/>
          <w:sz w:val="32"/>
          <w:szCs w:val="32"/>
          <w:lang w:val="en-US" w:eastAsia="zh-CN"/>
        </w:rPr>
        <w:t>4</w:t>
      </w:r>
      <w:r>
        <w:rPr>
          <w:rStyle w:val="19"/>
          <w:rFonts w:hint="eastAsia" w:ascii="仿宋" w:hAnsi="仿宋" w:eastAsia="仿宋"/>
          <w:bCs/>
          <w:sz w:val="32"/>
          <w:szCs w:val="32"/>
        </w:rPr>
        <w:t>.文化旅游体育与传媒支出（207）广播电视（08）其他广播电视支出（99）</w:t>
      </w:r>
      <w:r>
        <w:rPr>
          <w:rStyle w:val="19"/>
          <w:rFonts w:ascii="仿宋" w:hAnsi="仿宋" w:eastAsia="仿宋"/>
          <w:bCs/>
          <w:sz w:val="32"/>
          <w:szCs w:val="32"/>
        </w:rPr>
        <w:t>:</w:t>
      </w:r>
      <w:r>
        <w:rPr>
          <w:rStyle w:val="19"/>
          <w:rFonts w:hint="eastAsia" w:ascii="仿宋" w:hAnsi="仿宋" w:eastAsia="仿宋"/>
          <w:bCs/>
          <w:sz w:val="32"/>
          <w:szCs w:val="32"/>
        </w:rPr>
        <w:t>支出决算为1万元，完成预算100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14:paraId="24A49B37">
      <w:pPr>
        <w:spacing w:line="600" w:lineRule="exact"/>
        <w:ind w:firstLine="643"/>
        <w:rPr>
          <w:rStyle w:val="19"/>
          <w:rFonts w:ascii="仿宋" w:hAnsi="仿宋" w:eastAsia="仿宋"/>
          <w:bCs/>
          <w:sz w:val="32"/>
          <w:szCs w:val="32"/>
        </w:rPr>
      </w:pPr>
      <w:r>
        <w:rPr>
          <w:rStyle w:val="19"/>
          <w:rFonts w:hint="eastAsia" w:ascii="仿宋" w:hAnsi="仿宋" w:eastAsia="仿宋"/>
          <w:bCs/>
          <w:sz w:val="32"/>
          <w:szCs w:val="32"/>
          <w:lang w:val="en-US" w:eastAsia="zh-CN"/>
        </w:rPr>
        <w:t>5</w:t>
      </w:r>
      <w:r>
        <w:rPr>
          <w:rStyle w:val="19"/>
          <w:rFonts w:hint="eastAsia" w:ascii="仿宋" w:hAnsi="仿宋" w:eastAsia="仿宋"/>
          <w:bCs/>
          <w:sz w:val="32"/>
          <w:szCs w:val="32"/>
        </w:rPr>
        <w:t>. 社会保障和就业支出（208）行政事业单位养老支出（05）机关事业单位基本养老保险缴费支出（05）</w:t>
      </w:r>
      <w:r>
        <w:rPr>
          <w:rStyle w:val="19"/>
          <w:rFonts w:ascii="仿宋" w:hAnsi="仿宋" w:eastAsia="仿宋"/>
          <w:bCs/>
          <w:sz w:val="32"/>
          <w:szCs w:val="32"/>
        </w:rPr>
        <w:t>:</w:t>
      </w:r>
      <w:r>
        <w:rPr>
          <w:rStyle w:val="19"/>
          <w:rFonts w:hint="eastAsia" w:ascii="仿宋" w:hAnsi="仿宋" w:eastAsia="仿宋"/>
          <w:bCs/>
          <w:sz w:val="32"/>
          <w:szCs w:val="32"/>
        </w:rPr>
        <w:t>支出决算为</w:t>
      </w:r>
      <w:r>
        <w:rPr>
          <w:rStyle w:val="19"/>
          <w:rFonts w:hint="eastAsia" w:ascii="仿宋" w:hAnsi="仿宋" w:eastAsia="仿宋"/>
          <w:bCs/>
          <w:sz w:val="32"/>
          <w:szCs w:val="32"/>
          <w:lang w:val="en-US" w:eastAsia="zh-CN"/>
        </w:rPr>
        <w:t>77.14</w:t>
      </w:r>
      <w:r>
        <w:rPr>
          <w:rStyle w:val="19"/>
          <w:rFonts w:hint="eastAsia" w:ascii="仿宋" w:hAnsi="仿宋" w:eastAsia="仿宋"/>
          <w:bCs/>
          <w:sz w:val="32"/>
          <w:szCs w:val="32"/>
        </w:rPr>
        <w:t>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14:paraId="7AB16242">
      <w:pPr>
        <w:spacing w:line="600" w:lineRule="exact"/>
        <w:ind w:firstLine="643"/>
        <w:rPr>
          <w:rStyle w:val="19"/>
          <w:rFonts w:ascii="仿宋" w:hAnsi="仿宋" w:eastAsia="仿宋"/>
          <w:bCs/>
          <w:sz w:val="32"/>
          <w:szCs w:val="32"/>
        </w:rPr>
      </w:pPr>
      <w:r>
        <w:rPr>
          <w:rStyle w:val="19"/>
          <w:rFonts w:hint="eastAsia" w:ascii="仿宋" w:hAnsi="仿宋" w:eastAsia="仿宋"/>
          <w:bCs/>
          <w:sz w:val="32"/>
          <w:szCs w:val="32"/>
          <w:lang w:val="en-US" w:eastAsia="zh-CN"/>
        </w:rPr>
        <w:t>6</w:t>
      </w:r>
      <w:r>
        <w:rPr>
          <w:rStyle w:val="19"/>
          <w:rFonts w:hint="eastAsia" w:ascii="仿宋" w:hAnsi="仿宋" w:eastAsia="仿宋"/>
          <w:bCs/>
          <w:sz w:val="32"/>
          <w:szCs w:val="32"/>
        </w:rPr>
        <w:t>. 社会保障和就业支出（208）行政事业单位养老支出（05）机关事业单位职业年金缴费支出（06）</w:t>
      </w:r>
      <w:r>
        <w:rPr>
          <w:rStyle w:val="19"/>
          <w:rFonts w:ascii="仿宋" w:hAnsi="仿宋" w:eastAsia="仿宋"/>
          <w:bCs/>
          <w:sz w:val="32"/>
          <w:szCs w:val="32"/>
        </w:rPr>
        <w:t>:</w:t>
      </w:r>
      <w:r>
        <w:rPr>
          <w:rStyle w:val="19"/>
          <w:rFonts w:hint="eastAsia" w:ascii="仿宋" w:hAnsi="仿宋" w:eastAsia="仿宋"/>
          <w:bCs/>
          <w:sz w:val="32"/>
          <w:szCs w:val="32"/>
        </w:rPr>
        <w:t>支出决算为4.76万元，完成预算100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14:paraId="00488930">
      <w:pPr>
        <w:spacing w:line="600" w:lineRule="exact"/>
        <w:ind w:firstLine="643"/>
        <w:rPr>
          <w:rFonts w:ascii="仿宋" w:hAnsi="仿宋" w:eastAsia="仿宋"/>
          <w:bCs/>
          <w:sz w:val="32"/>
          <w:szCs w:val="32"/>
        </w:rPr>
      </w:pPr>
      <w:r>
        <w:rPr>
          <w:rStyle w:val="19"/>
          <w:rFonts w:hint="eastAsia" w:ascii="仿宋" w:hAnsi="仿宋" w:eastAsia="仿宋"/>
          <w:bCs/>
          <w:sz w:val="32"/>
          <w:szCs w:val="32"/>
        </w:rPr>
        <w:t>7. 社会保障和就业支出（208）残疾人事业（11）其他残疾人事业支出（99）</w:t>
      </w:r>
      <w:r>
        <w:rPr>
          <w:rStyle w:val="19"/>
          <w:rFonts w:ascii="仿宋" w:hAnsi="仿宋" w:eastAsia="仿宋"/>
          <w:bCs/>
          <w:sz w:val="32"/>
          <w:szCs w:val="32"/>
        </w:rPr>
        <w:t>:</w:t>
      </w:r>
      <w:r>
        <w:rPr>
          <w:rStyle w:val="19"/>
          <w:rFonts w:hint="eastAsia" w:ascii="仿宋" w:hAnsi="仿宋" w:eastAsia="仿宋"/>
          <w:bCs/>
          <w:sz w:val="32"/>
          <w:szCs w:val="32"/>
        </w:rPr>
        <w:t>支出决算为3.66万元，完成预算100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14:paraId="1EBAE88E">
      <w:pPr>
        <w:spacing w:line="600" w:lineRule="exact"/>
        <w:ind w:firstLine="643"/>
        <w:rPr>
          <w:rStyle w:val="19"/>
          <w:rFonts w:ascii="仿宋" w:hAnsi="仿宋" w:eastAsia="仿宋"/>
          <w:bCs/>
          <w:sz w:val="32"/>
          <w:szCs w:val="32"/>
        </w:rPr>
      </w:pPr>
      <w:r>
        <w:rPr>
          <w:rStyle w:val="19"/>
          <w:rFonts w:hint="eastAsia" w:ascii="仿宋" w:hAnsi="仿宋" w:eastAsia="仿宋"/>
          <w:bCs/>
          <w:sz w:val="32"/>
          <w:szCs w:val="32"/>
          <w:lang w:val="en-US" w:eastAsia="zh-CN"/>
        </w:rPr>
        <w:t>8</w:t>
      </w:r>
      <w:r>
        <w:rPr>
          <w:rStyle w:val="19"/>
          <w:rFonts w:hint="eastAsia" w:ascii="仿宋" w:hAnsi="仿宋" w:eastAsia="仿宋"/>
          <w:bCs/>
          <w:sz w:val="32"/>
          <w:szCs w:val="32"/>
        </w:rPr>
        <w:t>. 社会保障和就业支出（208）临时救助（20）临时救助支出（01）</w:t>
      </w:r>
      <w:r>
        <w:rPr>
          <w:rStyle w:val="19"/>
          <w:rFonts w:ascii="仿宋" w:hAnsi="仿宋" w:eastAsia="仿宋"/>
          <w:bCs/>
          <w:sz w:val="32"/>
          <w:szCs w:val="32"/>
        </w:rPr>
        <w:t>:</w:t>
      </w:r>
      <w:r>
        <w:rPr>
          <w:rStyle w:val="19"/>
          <w:rFonts w:hint="eastAsia" w:ascii="仿宋" w:hAnsi="仿宋" w:eastAsia="仿宋"/>
          <w:bCs/>
          <w:sz w:val="32"/>
          <w:szCs w:val="32"/>
        </w:rPr>
        <w:t>支出决算为7.31万元，完成预算100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14:paraId="2E3EAB17">
      <w:pPr>
        <w:spacing w:line="600" w:lineRule="exact"/>
        <w:ind w:firstLine="643"/>
        <w:rPr>
          <w:rStyle w:val="19"/>
          <w:rFonts w:ascii="仿宋" w:hAnsi="仿宋" w:eastAsia="仿宋"/>
          <w:bCs/>
          <w:sz w:val="32"/>
          <w:szCs w:val="32"/>
        </w:rPr>
      </w:pPr>
      <w:r>
        <w:rPr>
          <w:rStyle w:val="19"/>
          <w:rFonts w:hint="eastAsia" w:ascii="仿宋" w:hAnsi="仿宋" w:eastAsia="仿宋"/>
          <w:bCs/>
          <w:sz w:val="32"/>
          <w:szCs w:val="32"/>
        </w:rPr>
        <w:t>9. 社会保障和就业支出（208）其他社会保障和就业支出（99）其他社会保障和就业支出（99）</w:t>
      </w:r>
      <w:r>
        <w:rPr>
          <w:rStyle w:val="19"/>
          <w:rFonts w:ascii="仿宋" w:hAnsi="仿宋" w:eastAsia="仿宋"/>
          <w:bCs/>
          <w:sz w:val="32"/>
          <w:szCs w:val="32"/>
        </w:rPr>
        <w:t>:</w:t>
      </w:r>
      <w:r>
        <w:rPr>
          <w:rStyle w:val="19"/>
          <w:rFonts w:hint="eastAsia" w:ascii="仿宋" w:hAnsi="仿宋" w:eastAsia="仿宋"/>
          <w:bCs/>
          <w:sz w:val="32"/>
          <w:szCs w:val="32"/>
        </w:rPr>
        <w:t>支出决算为7.13万元，完成预算100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14:paraId="7A0EBEB9">
      <w:pPr>
        <w:spacing w:line="600" w:lineRule="exact"/>
        <w:ind w:firstLine="643"/>
        <w:rPr>
          <w:rFonts w:ascii="仿宋" w:hAnsi="仿宋" w:eastAsia="仿宋"/>
          <w:b/>
          <w:bCs/>
          <w:sz w:val="32"/>
          <w:szCs w:val="32"/>
        </w:rPr>
      </w:pPr>
      <w:r>
        <w:rPr>
          <w:rStyle w:val="19"/>
          <w:rFonts w:hint="eastAsia" w:ascii="仿宋" w:hAnsi="仿宋" w:eastAsia="仿宋"/>
          <w:bCs/>
          <w:sz w:val="32"/>
          <w:szCs w:val="32"/>
          <w:lang w:val="en-US" w:eastAsia="zh-CN"/>
        </w:rPr>
        <w:t>10</w:t>
      </w:r>
      <w:r>
        <w:rPr>
          <w:rStyle w:val="19"/>
          <w:rFonts w:hint="eastAsia" w:ascii="仿宋" w:hAnsi="仿宋" w:eastAsia="仿宋"/>
          <w:bCs/>
          <w:sz w:val="32"/>
          <w:szCs w:val="32"/>
        </w:rPr>
        <w:t>. 卫生健康支出（210）公共卫生（04）突发公共卫生事件应急处理（10）</w:t>
      </w:r>
      <w:r>
        <w:rPr>
          <w:rStyle w:val="19"/>
          <w:rFonts w:ascii="仿宋" w:hAnsi="仿宋" w:eastAsia="仿宋"/>
          <w:bCs/>
          <w:sz w:val="32"/>
          <w:szCs w:val="32"/>
        </w:rPr>
        <w:t>:</w:t>
      </w:r>
      <w:r>
        <w:rPr>
          <w:rStyle w:val="19"/>
          <w:rFonts w:hint="eastAsia" w:ascii="仿宋" w:hAnsi="仿宋" w:eastAsia="仿宋"/>
          <w:bCs/>
          <w:sz w:val="32"/>
          <w:szCs w:val="32"/>
        </w:rPr>
        <w:t>支出决算为10.77万元，完成预算100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14:paraId="54404D40">
      <w:pPr>
        <w:spacing w:line="600" w:lineRule="exact"/>
        <w:ind w:firstLine="643"/>
        <w:rPr>
          <w:rStyle w:val="19"/>
          <w:rFonts w:ascii="仿宋" w:hAnsi="仿宋" w:eastAsia="仿宋"/>
          <w:bCs/>
          <w:sz w:val="32"/>
          <w:szCs w:val="32"/>
        </w:rPr>
      </w:pPr>
      <w:r>
        <w:rPr>
          <w:rStyle w:val="19"/>
          <w:rFonts w:hint="eastAsia" w:ascii="仿宋" w:hAnsi="仿宋" w:eastAsia="仿宋"/>
          <w:bCs/>
          <w:sz w:val="32"/>
          <w:szCs w:val="32"/>
          <w:lang w:val="en-US" w:eastAsia="zh-CN"/>
        </w:rPr>
        <w:t>1</w:t>
      </w:r>
      <w:r>
        <w:rPr>
          <w:rStyle w:val="19"/>
          <w:rFonts w:hint="eastAsia" w:ascii="仿宋" w:hAnsi="仿宋" w:eastAsia="仿宋"/>
          <w:bCs/>
          <w:sz w:val="32"/>
          <w:szCs w:val="32"/>
        </w:rPr>
        <w:t>1. 卫生健康支出（210）行政事业单位医疗（11）行政单位医疗（01）</w:t>
      </w:r>
      <w:r>
        <w:rPr>
          <w:rStyle w:val="19"/>
          <w:rFonts w:ascii="仿宋" w:hAnsi="仿宋" w:eastAsia="仿宋"/>
          <w:bCs/>
          <w:sz w:val="32"/>
          <w:szCs w:val="32"/>
        </w:rPr>
        <w:t>:</w:t>
      </w:r>
      <w:r>
        <w:rPr>
          <w:rStyle w:val="19"/>
          <w:rFonts w:hint="eastAsia" w:ascii="仿宋" w:hAnsi="仿宋" w:eastAsia="仿宋"/>
          <w:bCs/>
          <w:sz w:val="32"/>
          <w:szCs w:val="32"/>
        </w:rPr>
        <w:t>支出决算为19.35万元，完成预算100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14:paraId="17577753">
      <w:pPr>
        <w:spacing w:line="600" w:lineRule="exact"/>
        <w:ind w:firstLine="643"/>
        <w:rPr>
          <w:rStyle w:val="19"/>
          <w:rFonts w:ascii="仿宋" w:hAnsi="仿宋" w:eastAsia="仿宋"/>
          <w:bCs/>
          <w:sz w:val="32"/>
          <w:szCs w:val="32"/>
        </w:rPr>
      </w:pPr>
      <w:r>
        <w:rPr>
          <w:rStyle w:val="19"/>
          <w:rFonts w:hint="eastAsia" w:ascii="仿宋" w:hAnsi="仿宋" w:eastAsia="仿宋"/>
          <w:bCs/>
          <w:sz w:val="32"/>
          <w:szCs w:val="32"/>
          <w:lang w:val="en-US" w:eastAsia="zh-CN"/>
        </w:rPr>
        <w:t>12</w:t>
      </w:r>
      <w:r>
        <w:rPr>
          <w:rStyle w:val="19"/>
          <w:rFonts w:hint="eastAsia" w:ascii="仿宋" w:hAnsi="仿宋" w:eastAsia="仿宋"/>
          <w:bCs/>
          <w:sz w:val="32"/>
          <w:szCs w:val="32"/>
        </w:rPr>
        <w:t>. 卫生健康支出（210）行政事业单位医疗（11）事业单位医疗（02）</w:t>
      </w:r>
      <w:r>
        <w:rPr>
          <w:rStyle w:val="19"/>
          <w:rFonts w:ascii="仿宋" w:hAnsi="仿宋" w:eastAsia="仿宋"/>
          <w:bCs/>
          <w:sz w:val="32"/>
          <w:szCs w:val="32"/>
        </w:rPr>
        <w:t>:</w:t>
      </w:r>
      <w:r>
        <w:rPr>
          <w:rStyle w:val="19"/>
          <w:rFonts w:hint="eastAsia" w:ascii="仿宋" w:hAnsi="仿宋" w:eastAsia="仿宋"/>
          <w:bCs/>
          <w:sz w:val="32"/>
          <w:szCs w:val="32"/>
        </w:rPr>
        <w:t>支出决算为7.95万元，完成预算100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14:paraId="4998CBC9">
      <w:pPr>
        <w:spacing w:line="600" w:lineRule="exact"/>
        <w:ind w:firstLine="643"/>
        <w:rPr>
          <w:rStyle w:val="19"/>
          <w:rFonts w:hint="eastAsia" w:ascii="仿宋" w:hAnsi="仿宋" w:eastAsia="仿宋"/>
          <w:bCs/>
          <w:sz w:val="32"/>
          <w:szCs w:val="32"/>
        </w:rPr>
      </w:pPr>
      <w:r>
        <w:rPr>
          <w:rStyle w:val="19"/>
          <w:rFonts w:hint="eastAsia" w:ascii="仿宋" w:hAnsi="仿宋" w:eastAsia="仿宋"/>
          <w:bCs/>
          <w:sz w:val="32"/>
          <w:szCs w:val="32"/>
          <w:lang w:val="en-US" w:eastAsia="zh-CN"/>
        </w:rPr>
        <w:t>1</w:t>
      </w:r>
      <w:r>
        <w:rPr>
          <w:rStyle w:val="19"/>
          <w:rFonts w:hint="eastAsia" w:ascii="仿宋" w:hAnsi="仿宋" w:eastAsia="仿宋"/>
          <w:bCs/>
          <w:sz w:val="32"/>
          <w:szCs w:val="32"/>
        </w:rPr>
        <w:t>3. 卫生健康支出（210）行政事业单位医疗（11）公务员医疗补助（03）</w:t>
      </w:r>
      <w:r>
        <w:rPr>
          <w:rStyle w:val="19"/>
          <w:rFonts w:ascii="仿宋" w:hAnsi="仿宋" w:eastAsia="仿宋"/>
          <w:bCs/>
          <w:sz w:val="32"/>
          <w:szCs w:val="32"/>
        </w:rPr>
        <w:t>:</w:t>
      </w:r>
      <w:r>
        <w:rPr>
          <w:rStyle w:val="19"/>
          <w:rFonts w:hint="eastAsia" w:ascii="仿宋" w:hAnsi="仿宋" w:eastAsia="仿宋"/>
          <w:bCs/>
          <w:sz w:val="32"/>
          <w:szCs w:val="32"/>
        </w:rPr>
        <w:t>支出决算为10.21万元，完成预算100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14:paraId="286A6854">
      <w:pPr>
        <w:spacing w:line="600" w:lineRule="exact"/>
        <w:ind w:firstLine="643"/>
      </w:pPr>
      <w:r>
        <w:rPr>
          <w:rStyle w:val="19"/>
          <w:rFonts w:hint="eastAsia" w:ascii="仿宋" w:hAnsi="仿宋" w:eastAsia="仿宋"/>
          <w:bCs/>
          <w:sz w:val="32"/>
          <w:szCs w:val="32"/>
          <w:lang w:val="en-US" w:eastAsia="zh-CN"/>
        </w:rPr>
        <w:t>14</w:t>
      </w:r>
      <w:r>
        <w:rPr>
          <w:rStyle w:val="19"/>
          <w:rFonts w:hint="eastAsia" w:ascii="仿宋" w:hAnsi="仿宋" w:eastAsia="仿宋"/>
          <w:bCs/>
          <w:sz w:val="32"/>
          <w:szCs w:val="32"/>
        </w:rPr>
        <w:t>. 卫生健康支出（210）医疗保障管理事务（1</w:t>
      </w:r>
      <w:r>
        <w:rPr>
          <w:rStyle w:val="19"/>
          <w:rFonts w:hint="eastAsia" w:ascii="仿宋" w:hAnsi="仿宋" w:eastAsia="仿宋"/>
          <w:bCs/>
          <w:sz w:val="32"/>
          <w:szCs w:val="32"/>
          <w:lang w:val="en-US" w:eastAsia="zh-CN"/>
        </w:rPr>
        <w:t>5</w:t>
      </w:r>
      <w:r>
        <w:rPr>
          <w:rStyle w:val="19"/>
          <w:rFonts w:hint="eastAsia" w:ascii="仿宋" w:hAnsi="仿宋" w:eastAsia="仿宋"/>
          <w:bCs/>
          <w:sz w:val="32"/>
          <w:szCs w:val="32"/>
        </w:rPr>
        <w:t>）其他医疗保障管理事务支出（</w:t>
      </w:r>
      <w:r>
        <w:rPr>
          <w:rStyle w:val="19"/>
          <w:rFonts w:hint="eastAsia" w:ascii="仿宋" w:hAnsi="仿宋" w:eastAsia="仿宋"/>
          <w:bCs/>
          <w:sz w:val="32"/>
          <w:szCs w:val="32"/>
          <w:lang w:val="en-US" w:eastAsia="zh-CN"/>
        </w:rPr>
        <w:t>99</w:t>
      </w:r>
      <w:r>
        <w:rPr>
          <w:rStyle w:val="19"/>
          <w:rFonts w:hint="eastAsia" w:ascii="仿宋" w:hAnsi="仿宋" w:eastAsia="仿宋"/>
          <w:bCs/>
          <w:sz w:val="32"/>
          <w:szCs w:val="32"/>
        </w:rPr>
        <w:t>）</w:t>
      </w:r>
      <w:r>
        <w:rPr>
          <w:rStyle w:val="19"/>
          <w:rFonts w:ascii="仿宋" w:hAnsi="仿宋" w:eastAsia="仿宋"/>
          <w:bCs/>
          <w:sz w:val="32"/>
          <w:szCs w:val="32"/>
        </w:rPr>
        <w:t>:</w:t>
      </w:r>
      <w:r>
        <w:rPr>
          <w:rStyle w:val="19"/>
          <w:rFonts w:hint="eastAsia" w:ascii="仿宋" w:hAnsi="仿宋" w:eastAsia="仿宋"/>
          <w:bCs/>
          <w:sz w:val="32"/>
          <w:szCs w:val="32"/>
        </w:rPr>
        <w:t>支出决算为0.29万元，完成预算100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14:paraId="66ACE522">
      <w:pPr>
        <w:spacing w:line="600" w:lineRule="exact"/>
        <w:ind w:firstLine="643"/>
        <w:rPr>
          <w:rStyle w:val="19"/>
          <w:rFonts w:ascii="仿宋" w:hAnsi="仿宋" w:eastAsia="仿宋"/>
          <w:bCs/>
          <w:sz w:val="32"/>
          <w:szCs w:val="32"/>
        </w:rPr>
      </w:pPr>
      <w:r>
        <w:rPr>
          <w:rStyle w:val="19"/>
          <w:rFonts w:hint="eastAsia" w:ascii="仿宋" w:hAnsi="仿宋" w:eastAsia="仿宋"/>
          <w:bCs/>
          <w:sz w:val="32"/>
          <w:szCs w:val="32"/>
          <w:lang w:val="en-US" w:eastAsia="zh-CN"/>
        </w:rPr>
        <w:t>15</w:t>
      </w:r>
      <w:r>
        <w:rPr>
          <w:rStyle w:val="19"/>
          <w:rFonts w:hint="eastAsia" w:ascii="仿宋" w:hAnsi="仿宋" w:eastAsia="仿宋"/>
          <w:bCs/>
          <w:sz w:val="32"/>
          <w:szCs w:val="32"/>
        </w:rPr>
        <w:t>. 农林水支出（213）农业农村（01）事业运行（04）</w:t>
      </w:r>
      <w:r>
        <w:rPr>
          <w:rStyle w:val="19"/>
          <w:rFonts w:ascii="仿宋" w:hAnsi="仿宋" w:eastAsia="仿宋"/>
          <w:bCs/>
          <w:sz w:val="32"/>
          <w:szCs w:val="32"/>
        </w:rPr>
        <w:t>:</w:t>
      </w:r>
      <w:r>
        <w:rPr>
          <w:rStyle w:val="19"/>
          <w:rFonts w:hint="eastAsia" w:ascii="仿宋" w:hAnsi="仿宋" w:eastAsia="仿宋"/>
          <w:bCs/>
          <w:sz w:val="32"/>
          <w:szCs w:val="32"/>
        </w:rPr>
        <w:t>支出决算为199.67万元，完成预算100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14:paraId="01A76385">
      <w:pPr>
        <w:spacing w:line="600" w:lineRule="exact"/>
        <w:ind w:firstLine="643"/>
        <w:rPr>
          <w:rStyle w:val="19"/>
          <w:rFonts w:hint="eastAsia" w:ascii="仿宋" w:hAnsi="仿宋" w:eastAsia="仿宋"/>
          <w:bCs/>
          <w:sz w:val="32"/>
          <w:szCs w:val="32"/>
        </w:rPr>
      </w:pPr>
      <w:r>
        <w:rPr>
          <w:rStyle w:val="19"/>
          <w:rFonts w:hint="eastAsia" w:ascii="仿宋" w:hAnsi="仿宋" w:eastAsia="仿宋"/>
          <w:bCs/>
          <w:sz w:val="32"/>
          <w:szCs w:val="32"/>
          <w:lang w:val="en-US" w:eastAsia="zh-CN"/>
        </w:rPr>
        <w:t>1</w:t>
      </w:r>
      <w:r>
        <w:rPr>
          <w:rStyle w:val="19"/>
          <w:rFonts w:hint="eastAsia" w:ascii="仿宋" w:hAnsi="仿宋" w:eastAsia="仿宋"/>
          <w:bCs/>
          <w:sz w:val="32"/>
          <w:szCs w:val="32"/>
        </w:rPr>
        <w:t>6. 农林水支出（213）农业农村（01）其他农业农村支出（99）</w:t>
      </w:r>
      <w:r>
        <w:rPr>
          <w:rStyle w:val="19"/>
          <w:rFonts w:ascii="仿宋" w:hAnsi="仿宋" w:eastAsia="仿宋"/>
          <w:bCs/>
          <w:sz w:val="32"/>
          <w:szCs w:val="32"/>
        </w:rPr>
        <w:t>:</w:t>
      </w:r>
      <w:r>
        <w:rPr>
          <w:rStyle w:val="19"/>
          <w:rFonts w:hint="eastAsia" w:ascii="仿宋" w:hAnsi="仿宋" w:eastAsia="仿宋"/>
          <w:bCs/>
          <w:sz w:val="32"/>
          <w:szCs w:val="32"/>
        </w:rPr>
        <w:t>支出决算为10万元，完成预算100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14:paraId="15519930">
      <w:pPr>
        <w:spacing w:line="600" w:lineRule="exact"/>
        <w:ind w:firstLine="643"/>
      </w:pPr>
      <w:r>
        <w:rPr>
          <w:rStyle w:val="19"/>
          <w:rFonts w:hint="eastAsia" w:ascii="仿宋" w:hAnsi="仿宋" w:eastAsia="仿宋"/>
          <w:bCs/>
          <w:sz w:val="32"/>
          <w:szCs w:val="32"/>
          <w:lang w:val="en-US" w:eastAsia="zh-CN"/>
        </w:rPr>
        <w:t>17</w:t>
      </w:r>
      <w:r>
        <w:rPr>
          <w:rStyle w:val="19"/>
          <w:rFonts w:hint="eastAsia" w:ascii="仿宋" w:hAnsi="仿宋" w:eastAsia="仿宋"/>
          <w:bCs/>
          <w:sz w:val="32"/>
          <w:szCs w:val="32"/>
        </w:rPr>
        <w:t>. 农林水支出（213）</w:t>
      </w:r>
      <w:r>
        <w:rPr>
          <w:rStyle w:val="19"/>
          <w:rFonts w:hint="eastAsia" w:ascii="仿宋" w:hAnsi="仿宋" w:eastAsia="仿宋"/>
          <w:bCs/>
          <w:sz w:val="32"/>
          <w:szCs w:val="32"/>
          <w:lang w:eastAsia="zh-CN"/>
        </w:rPr>
        <w:t>水利</w:t>
      </w:r>
      <w:r>
        <w:rPr>
          <w:rStyle w:val="19"/>
          <w:rFonts w:hint="eastAsia" w:ascii="仿宋" w:hAnsi="仿宋" w:eastAsia="仿宋"/>
          <w:bCs/>
          <w:sz w:val="32"/>
          <w:szCs w:val="32"/>
        </w:rPr>
        <w:t>（</w:t>
      </w:r>
      <w:r>
        <w:rPr>
          <w:rStyle w:val="19"/>
          <w:rFonts w:hint="eastAsia" w:ascii="仿宋" w:hAnsi="仿宋" w:eastAsia="仿宋"/>
          <w:bCs/>
          <w:sz w:val="32"/>
          <w:szCs w:val="32"/>
          <w:lang w:val="en-US" w:eastAsia="zh-CN"/>
        </w:rPr>
        <w:t>03</w:t>
      </w:r>
      <w:r>
        <w:rPr>
          <w:rStyle w:val="19"/>
          <w:rFonts w:hint="eastAsia" w:ascii="仿宋" w:hAnsi="仿宋" w:eastAsia="仿宋"/>
          <w:bCs/>
          <w:sz w:val="32"/>
          <w:szCs w:val="32"/>
        </w:rPr>
        <w:t>）</w:t>
      </w:r>
      <w:r>
        <w:rPr>
          <w:rStyle w:val="19"/>
          <w:rFonts w:hint="eastAsia" w:ascii="仿宋" w:hAnsi="仿宋" w:eastAsia="仿宋"/>
          <w:bCs/>
          <w:sz w:val="32"/>
          <w:szCs w:val="32"/>
          <w:lang w:eastAsia="zh-CN"/>
        </w:rPr>
        <w:t>农村水利</w:t>
      </w:r>
      <w:r>
        <w:rPr>
          <w:rStyle w:val="19"/>
          <w:rFonts w:hint="eastAsia" w:ascii="仿宋" w:hAnsi="仿宋" w:eastAsia="仿宋"/>
          <w:bCs/>
          <w:sz w:val="32"/>
          <w:szCs w:val="32"/>
        </w:rPr>
        <w:t>（</w:t>
      </w:r>
      <w:r>
        <w:rPr>
          <w:rStyle w:val="19"/>
          <w:rFonts w:hint="eastAsia" w:ascii="仿宋" w:hAnsi="仿宋" w:eastAsia="仿宋"/>
          <w:bCs/>
          <w:sz w:val="32"/>
          <w:szCs w:val="32"/>
          <w:lang w:val="en-US" w:eastAsia="zh-CN"/>
        </w:rPr>
        <w:t>16</w:t>
      </w:r>
      <w:r>
        <w:rPr>
          <w:rStyle w:val="19"/>
          <w:rFonts w:hint="eastAsia" w:ascii="仿宋" w:hAnsi="仿宋" w:eastAsia="仿宋"/>
          <w:bCs/>
          <w:sz w:val="32"/>
          <w:szCs w:val="32"/>
        </w:rPr>
        <w:t>）</w:t>
      </w:r>
      <w:r>
        <w:rPr>
          <w:rStyle w:val="19"/>
          <w:rFonts w:ascii="仿宋" w:hAnsi="仿宋" w:eastAsia="仿宋"/>
          <w:bCs/>
          <w:sz w:val="32"/>
          <w:szCs w:val="32"/>
        </w:rPr>
        <w:t>:</w:t>
      </w:r>
      <w:r>
        <w:rPr>
          <w:rStyle w:val="19"/>
          <w:rFonts w:hint="eastAsia" w:ascii="仿宋" w:hAnsi="仿宋" w:eastAsia="仿宋"/>
          <w:bCs/>
          <w:sz w:val="32"/>
          <w:szCs w:val="32"/>
        </w:rPr>
        <w:t>支出决算为21.96万元，完成预算100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14:paraId="225EA60E">
      <w:pPr>
        <w:spacing w:line="600" w:lineRule="exact"/>
        <w:ind w:firstLine="643"/>
        <w:rPr>
          <w:rStyle w:val="19"/>
          <w:rFonts w:ascii="仿宋" w:hAnsi="仿宋" w:eastAsia="仿宋"/>
          <w:bCs/>
          <w:sz w:val="32"/>
          <w:szCs w:val="32"/>
        </w:rPr>
      </w:pPr>
      <w:r>
        <w:rPr>
          <w:rStyle w:val="19"/>
          <w:rFonts w:hint="eastAsia" w:ascii="仿宋" w:hAnsi="仿宋" w:eastAsia="仿宋"/>
          <w:bCs/>
          <w:sz w:val="32"/>
          <w:szCs w:val="32"/>
          <w:lang w:val="en-US" w:eastAsia="zh-CN"/>
        </w:rPr>
        <w:t>18</w:t>
      </w:r>
      <w:r>
        <w:rPr>
          <w:rStyle w:val="19"/>
          <w:rFonts w:hint="eastAsia" w:ascii="仿宋" w:hAnsi="仿宋" w:eastAsia="仿宋"/>
          <w:bCs/>
          <w:sz w:val="32"/>
          <w:szCs w:val="32"/>
        </w:rPr>
        <w:t>. 农林水支出（213）</w:t>
      </w:r>
      <w:bookmarkStart w:id="67" w:name="_GoBack"/>
      <w:r>
        <w:rPr>
          <w:rStyle w:val="19"/>
          <w:rFonts w:hint="eastAsia" w:ascii="仿宋" w:hAnsi="仿宋" w:eastAsia="仿宋"/>
          <w:bCs/>
          <w:sz w:val="32"/>
          <w:szCs w:val="32"/>
        </w:rPr>
        <w:t>巩固</w:t>
      </w:r>
      <w:bookmarkEnd w:id="67"/>
      <w:r>
        <w:rPr>
          <w:rStyle w:val="19"/>
          <w:rFonts w:hint="eastAsia" w:ascii="仿宋" w:hAnsi="仿宋" w:eastAsia="仿宋"/>
          <w:bCs/>
          <w:sz w:val="32"/>
          <w:szCs w:val="32"/>
          <w:lang w:eastAsia="zh-CN"/>
        </w:rPr>
        <w:t>拓展</w:t>
      </w:r>
      <w:r>
        <w:rPr>
          <w:rStyle w:val="19"/>
          <w:rFonts w:hint="eastAsia" w:ascii="仿宋" w:hAnsi="仿宋" w:eastAsia="仿宋"/>
          <w:bCs/>
          <w:sz w:val="32"/>
          <w:szCs w:val="32"/>
        </w:rPr>
        <w:t>脱贫衔接乡村振兴（05）其他巩固</w:t>
      </w:r>
      <w:r>
        <w:rPr>
          <w:rStyle w:val="19"/>
          <w:rFonts w:hint="eastAsia" w:ascii="仿宋" w:hAnsi="仿宋" w:eastAsia="仿宋"/>
          <w:bCs/>
          <w:sz w:val="32"/>
          <w:szCs w:val="32"/>
          <w:lang w:eastAsia="zh-CN"/>
        </w:rPr>
        <w:t>拓展</w:t>
      </w:r>
      <w:r>
        <w:rPr>
          <w:rStyle w:val="19"/>
          <w:rFonts w:hint="eastAsia" w:ascii="仿宋" w:hAnsi="仿宋" w:eastAsia="仿宋"/>
          <w:bCs/>
          <w:sz w:val="32"/>
          <w:szCs w:val="32"/>
        </w:rPr>
        <w:t>脱贫衔接乡村振兴支出（99）</w:t>
      </w:r>
      <w:r>
        <w:rPr>
          <w:rStyle w:val="19"/>
          <w:rFonts w:ascii="仿宋" w:hAnsi="仿宋" w:eastAsia="仿宋"/>
          <w:bCs/>
          <w:sz w:val="32"/>
          <w:szCs w:val="32"/>
        </w:rPr>
        <w:t>:</w:t>
      </w:r>
      <w:r>
        <w:rPr>
          <w:rStyle w:val="19"/>
          <w:rFonts w:hint="eastAsia" w:ascii="仿宋" w:hAnsi="仿宋" w:eastAsia="仿宋"/>
          <w:bCs/>
          <w:sz w:val="32"/>
          <w:szCs w:val="32"/>
        </w:rPr>
        <w:t>支出决算为54.46万元，完成预算100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14:paraId="3CB1BA5F">
      <w:pPr>
        <w:spacing w:line="600" w:lineRule="exact"/>
        <w:ind w:firstLine="643"/>
        <w:rPr>
          <w:rStyle w:val="19"/>
          <w:rFonts w:hint="eastAsia" w:ascii="仿宋" w:hAnsi="仿宋" w:eastAsia="仿宋"/>
          <w:bCs/>
          <w:sz w:val="32"/>
          <w:szCs w:val="32"/>
        </w:rPr>
      </w:pPr>
      <w:r>
        <w:rPr>
          <w:rStyle w:val="19"/>
          <w:rFonts w:hint="eastAsia" w:ascii="仿宋" w:hAnsi="仿宋" w:eastAsia="仿宋"/>
          <w:bCs/>
          <w:sz w:val="32"/>
          <w:szCs w:val="32"/>
          <w:lang w:val="en-US" w:eastAsia="zh-CN"/>
        </w:rPr>
        <w:t>19</w:t>
      </w:r>
      <w:r>
        <w:rPr>
          <w:rStyle w:val="19"/>
          <w:rFonts w:hint="eastAsia" w:ascii="仿宋" w:hAnsi="仿宋" w:eastAsia="仿宋"/>
          <w:bCs/>
          <w:sz w:val="32"/>
          <w:szCs w:val="32"/>
        </w:rPr>
        <w:t>. 农林水支出（213）农村综合改革（07）对村级公益事业建设的补助（0</w:t>
      </w:r>
      <w:r>
        <w:rPr>
          <w:rStyle w:val="19"/>
          <w:rFonts w:hint="eastAsia" w:ascii="仿宋" w:hAnsi="仿宋" w:eastAsia="仿宋"/>
          <w:bCs/>
          <w:sz w:val="32"/>
          <w:szCs w:val="32"/>
          <w:lang w:val="en-US" w:eastAsia="zh-CN"/>
        </w:rPr>
        <w:t>1</w:t>
      </w:r>
      <w:r>
        <w:rPr>
          <w:rStyle w:val="19"/>
          <w:rFonts w:hint="eastAsia" w:ascii="仿宋" w:hAnsi="仿宋" w:eastAsia="仿宋"/>
          <w:bCs/>
          <w:sz w:val="32"/>
          <w:szCs w:val="32"/>
        </w:rPr>
        <w:t>）</w:t>
      </w:r>
      <w:r>
        <w:rPr>
          <w:rStyle w:val="19"/>
          <w:rFonts w:ascii="仿宋" w:hAnsi="仿宋" w:eastAsia="仿宋"/>
          <w:bCs/>
          <w:sz w:val="32"/>
          <w:szCs w:val="32"/>
        </w:rPr>
        <w:t>:</w:t>
      </w:r>
      <w:r>
        <w:rPr>
          <w:rStyle w:val="19"/>
          <w:rFonts w:hint="eastAsia" w:ascii="仿宋" w:hAnsi="仿宋" w:eastAsia="仿宋"/>
          <w:bCs/>
          <w:sz w:val="32"/>
          <w:szCs w:val="32"/>
        </w:rPr>
        <w:t>支出决算为</w:t>
      </w:r>
      <w:r>
        <w:rPr>
          <w:rStyle w:val="19"/>
          <w:rFonts w:hint="eastAsia" w:ascii="仿宋" w:hAnsi="仿宋" w:eastAsia="仿宋"/>
          <w:bCs/>
          <w:sz w:val="32"/>
          <w:szCs w:val="32"/>
          <w:lang w:val="en-US" w:eastAsia="zh-CN"/>
        </w:rPr>
        <w:t>39.61</w:t>
      </w:r>
      <w:r>
        <w:rPr>
          <w:rStyle w:val="19"/>
          <w:rFonts w:hint="eastAsia" w:ascii="仿宋" w:hAnsi="仿宋" w:eastAsia="仿宋"/>
          <w:bCs/>
          <w:sz w:val="32"/>
          <w:szCs w:val="32"/>
        </w:rPr>
        <w:t>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14:paraId="47C3275B">
      <w:pPr>
        <w:spacing w:line="600" w:lineRule="exact"/>
        <w:ind w:firstLine="643"/>
        <w:rPr>
          <w:rStyle w:val="19"/>
          <w:rFonts w:ascii="仿宋" w:hAnsi="仿宋" w:eastAsia="仿宋"/>
          <w:bCs/>
          <w:sz w:val="32"/>
          <w:szCs w:val="32"/>
        </w:rPr>
      </w:pPr>
      <w:r>
        <w:rPr>
          <w:rStyle w:val="19"/>
          <w:rFonts w:hint="eastAsia" w:ascii="仿宋" w:hAnsi="仿宋" w:eastAsia="仿宋"/>
          <w:bCs/>
          <w:sz w:val="32"/>
          <w:szCs w:val="32"/>
          <w:lang w:val="en-US" w:eastAsia="zh-CN"/>
        </w:rPr>
        <w:t>20</w:t>
      </w:r>
      <w:r>
        <w:rPr>
          <w:rStyle w:val="19"/>
          <w:rFonts w:hint="eastAsia" w:ascii="仿宋" w:hAnsi="仿宋" w:eastAsia="仿宋"/>
          <w:bCs/>
          <w:sz w:val="32"/>
          <w:szCs w:val="32"/>
        </w:rPr>
        <w:t>. 农林水支出（213）农村综合改革（07）对村民委员会和村党支部的补助（05）</w:t>
      </w:r>
      <w:r>
        <w:rPr>
          <w:rStyle w:val="19"/>
          <w:rFonts w:ascii="仿宋" w:hAnsi="仿宋" w:eastAsia="仿宋"/>
          <w:bCs/>
          <w:sz w:val="32"/>
          <w:szCs w:val="32"/>
        </w:rPr>
        <w:t>:</w:t>
      </w:r>
      <w:r>
        <w:rPr>
          <w:rStyle w:val="19"/>
          <w:rFonts w:hint="eastAsia" w:ascii="仿宋" w:hAnsi="仿宋" w:eastAsia="仿宋"/>
          <w:bCs/>
          <w:sz w:val="32"/>
          <w:szCs w:val="32"/>
        </w:rPr>
        <w:t>支出决算为296.68万元，完成预算100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14:paraId="240FEDC9">
      <w:pPr>
        <w:spacing w:line="600" w:lineRule="exact"/>
        <w:ind w:firstLine="643"/>
        <w:rPr>
          <w:rStyle w:val="19"/>
          <w:rFonts w:ascii="仿宋" w:hAnsi="仿宋" w:eastAsia="仿宋"/>
          <w:bCs/>
          <w:sz w:val="32"/>
          <w:szCs w:val="32"/>
        </w:rPr>
      </w:pPr>
      <w:r>
        <w:rPr>
          <w:rStyle w:val="19"/>
          <w:rFonts w:hint="eastAsia" w:ascii="仿宋" w:hAnsi="仿宋" w:eastAsia="仿宋"/>
          <w:bCs/>
          <w:sz w:val="32"/>
          <w:szCs w:val="32"/>
          <w:lang w:val="en-US" w:eastAsia="zh-CN"/>
        </w:rPr>
        <w:t>21</w:t>
      </w:r>
      <w:r>
        <w:rPr>
          <w:rStyle w:val="19"/>
          <w:rFonts w:hint="eastAsia" w:ascii="仿宋" w:hAnsi="仿宋" w:eastAsia="仿宋"/>
          <w:bCs/>
          <w:sz w:val="32"/>
          <w:szCs w:val="32"/>
        </w:rPr>
        <w:t>. 住房保障支出（221）住房改革支出（02）住房公积金（01）</w:t>
      </w:r>
      <w:r>
        <w:rPr>
          <w:rStyle w:val="19"/>
          <w:rFonts w:ascii="仿宋" w:hAnsi="仿宋" w:eastAsia="仿宋"/>
          <w:bCs/>
          <w:sz w:val="32"/>
          <w:szCs w:val="32"/>
        </w:rPr>
        <w:t>:</w:t>
      </w:r>
      <w:r>
        <w:rPr>
          <w:rStyle w:val="19"/>
          <w:rFonts w:hint="eastAsia" w:ascii="仿宋" w:hAnsi="仿宋" w:eastAsia="仿宋"/>
          <w:bCs/>
          <w:sz w:val="32"/>
          <w:szCs w:val="32"/>
        </w:rPr>
        <w:t>支出决算为65.56万元，完成预算100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14:paraId="4D0831CA">
      <w:pPr>
        <w:tabs>
          <w:tab w:val="right" w:pos="8306"/>
        </w:tabs>
        <w:spacing w:line="600" w:lineRule="exact"/>
        <w:ind w:firstLine="640"/>
        <w:outlineLvl w:val="1"/>
        <w:rPr>
          <w:rStyle w:val="23"/>
          <w:color w:val="000000" w:themeColor="text1"/>
        </w:rPr>
      </w:pPr>
      <w:bookmarkStart w:id="34" w:name="_Toc15377214"/>
      <w:bookmarkStart w:id="35" w:name="_Toc15396608"/>
      <w:r>
        <w:rPr>
          <w:rFonts w:hint="eastAsia" w:ascii="黑体" w:eastAsia="黑体"/>
          <w:color w:val="000000" w:themeColor="text1"/>
          <w:sz w:val="32"/>
          <w:szCs w:val="32"/>
        </w:rPr>
        <w:t>六</w:t>
      </w:r>
      <w:r>
        <w:rPr>
          <w:rFonts w:hint="eastAsia" w:ascii="黑体" w:eastAsia="黑体"/>
          <w:b/>
          <w:color w:val="000000" w:themeColor="text1"/>
          <w:sz w:val="32"/>
          <w:szCs w:val="32"/>
        </w:rPr>
        <w:t>、</w:t>
      </w:r>
      <w:r>
        <w:rPr>
          <w:rFonts w:hint="eastAsia" w:ascii="黑体" w:hAnsi="黑体" w:eastAsia="黑体"/>
          <w:b/>
          <w:color w:val="000000" w:themeColor="text1"/>
          <w:sz w:val="32"/>
          <w:szCs w:val="32"/>
        </w:rPr>
        <w:t>一</w:t>
      </w:r>
      <w:r>
        <w:rPr>
          <w:rStyle w:val="23"/>
          <w:rFonts w:hint="eastAsia" w:ascii="黑体" w:hAnsi="黑体" w:eastAsia="黑体"/>
          <w:b w:val="0"/>
          <w:color w:val="000000" w:themeColor="text1"/>
        </w:rPr>
        <w:t>般公共预算财政拨款基本支出决算情况说明</w:t>
      </w:r>
      <w:bookmarkEnd w:id="34"/>
      <w:bookmarkEnd w:id="35"/>
      <w:r>
        <w:rPr>
          <w:rStyle w:val="23"/>
          <w:rFonts w:ascii="黑体" w:hAnsi="黑体" w:eastAsia="黑体"/>
          <w:b w:val="0"/>
          <w:color w:val="000000" w:themeColor="text1"/>
        </w:rPr>
        <w:tab/>
      </w:r>
    </w:p>
    <w:p w14:paraId="5EDF2F07">
      <w:pPr>
        <w:spacing w:line="600" w:lineRule="exact"/>
        <w:ind w:firstLine="645"/>
        <w:rPr>
          <w:rFonts w:ascii="仿宋" w:hAnsi="仿宋" w:eastAsia="仿宋"/>
          <w:color w:val="000000" w:themeColor="text1"/>
          <w:sz w:val="32"/>
          <w:szCs w:val="32"/>
        </w:rPr>
      </w:pPr>
      <w:r>
        <w:rPr>
          <w:rFonts w:hint="eastAsia" w:ascii="仿宋" w:hAnsi="仿宋" w:eastAsia="仿宋"/>
          <w:color w:val="000000" w:themeColor="text1"/>
          <w:sz w:val="32"/>
          <w:szCs w:val="32"/>
          <w:lang w:eastAsia="zh-CN"/>
        </w:rPr>
        <w:t>2023</w:t>
      </w:r>
      <w:r>
        <w:rPr>
          <w:rFonts w:hint="eastAsia" w:ascii="仿宋" w:hAnsi="仿宋" w:eastAsia="仿宋"/>
          <w:color w:val="000000" w:themeColor="text1"/>
          <w:sz w:val="32"/>
          <w:szCs w:val="32"/>
        </w:rPr>
        <w:t>年一般公共预算财政拨款基本支出</w:t>
      </w:r>
      <w:r>
        <w:rPr>
          <w:rFonts w:hint="eastAsia" w:ascii="仿宋" w:hAnsi="仿宋" w:eastAsia="仿宋"/>
          <w:color w:val="000000" w:themeColor="text1"/>
          <w:sz w:val="32"/>
          <w:szCs w:val="32"/>
          <w:lang w:val="en-US" w:eastAsia="zh-CN"/>
        </w:rPr>
        <w:t>1188.6</w:t>
      </w:r>
      <w:r>
        <w:rPr>
          <w:rFonts w:hint="eastAsia" w:ascii="仿宋" w:hAnsi="仿宋" w:eastAsia="仿宋"/>
          <w:color w:val="000000" w:themeColor="text1"/>
          <w:sz w:val="32"/>
          <w:szCs w:val="32"/>
        </w:rPr>
        <w:t>万元，其中：</w:t>
      </w:r>
    </w:p>
    <w:p w14:paraId="7D111E33">
      <w:pPr>
        <w:spacing w:line="600" w:lineRule="exact"/>
        <w:ind w:firstLine="645"/>
        <w:rPr>
          <w:rFonts w:hint="eastAsia" w:ascii="仿宋" w:hAnsi="仿宋" w:eastAsia="仿宋"/>
          <w:color w:val="000000" w:themeColor="text1"/>
          <w:sz w:val="32"/>
          <w:szCs w:val="32"/>
        </w:rPr>
      </w:pPr>
      <w:r>
        <w:rPr>
          <w:rFonts w:hint="eastAsia" w:ascii="仿宋" w:hAnsi="仿宋" w:eastAsia="仿宋"/>
          <w:color w:val="000000" w:themeColor="text1"/>
          <w:sz w:val="32"/>
          <w:szCs w:val="32"/>
        </w:rPr>
        <w:t>人员经费</w:t>
      </w:r>
      <w:r>
        <w:rPr>
          <w:rFonts w:hint="eastAsia" w:ascii="仿宋" w:hAnsi="仿宋" w:eastAsia="仿宋"/>
          <w:color w:val="000000" w:themeColor="text1"/>
          <w:sz w:val="32"/>
          <w:szCs w:val="32"/>
          <w:lang w:val="en-US" w:eastAsia="zh-CN"/>
        </w:rPr>
        <w:t>1053.38</w:t>
      </w:r>
      <w:r>
        <w:rPr>
          <w:rFonts w:hint="eastAsia" w:ascii="仿宋" w:hAnsi="仿宋" w:eastAsia="仿宋"/>
          <w:color w:val="000000" w:themeColor="text1"/>
          <w:sz w:val="32"/>
          <w:szCs w:val="32"/>
        </w:rPr>
        <w:t>万元，主要包括：基本工资、津贴补贴、奖金、伙食补助费、绩效工资、机关事业单位基本养老保险缴费、职业年金缴费、公务员医疗补助缴费</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rPr>
        <w:t>其他社会保障缴费、住房公积金、其他工资福利支出、其他对个人和家庭的补助支出等。</w:t>
      </w:r>
    </w:p>
    <w:p w14:paraId="52A00D47">
      <w:pPr>
        <w:spacing w:line="600" w:lineRule="exact"/>
        <w:ind w:firstLine="645"/>
        <w:rPr>
          <w:rFonts w:ascii="仿宋" w:hAnsi="仿宋" w:eastAsia="仿宋"/>
          <w:color w:val="000000" w:themeColor="text1"/>
          <w:sz w:val="32"/>
          <w:szCs w:val="32"/>
        </w:rPr>
      </w:pPr>
      <w:r>
        <w:rPr>
          <w:rFonts w:hint="eastAsia" w:ascii="仿宋" w:hAnsi="仿宋" w:eastAsia="仿宋"/>
          <w:color w:val="000000" w:themeColor="text1"/>
          <w:sz w:val="32"/>
          <w:szCs w:val="32"/>
        </w:rPr>
        <w:t>公用经费135.21万元，主要包括：办公费、印刷费、水费、电费、邮电费、差旅费、因公出国（境）费用、维修（护）费、租赁费、会议费、培训费、劳务费、福利费、其他交通费、税金及附加费用、其他商品和服务支出等。</w:t>
      </w:r>
    </w:p>
    <w:p w14:paraId="5FDC7D99">
      <w:pPr>
        <w:spacing w:line="600" w:lineRule="exact"/>
        <w:ind w:firstLine="640"/>
        <w:outlineLvl w:val="1"/>
        <w:rPr>
          <w:rStyle w:val="23"/>
          <w:rFonts w:ascii="黑体" w:hAnsi="黑体" w:eastAsia="黑体"/>
          <w:b w:val="0"/>
        </w:rPr>
      </w:pPr>
      <w:bookmarkStart w:id="36" w:name="_Toc15396609"/>
      <w:bookmarkStart w:id="37" w:name="_Toc15377215"/>
      <w:r>
        <w:rPr>
          <w:rFonts w:hint="eastAsia" w:ascii="黑体" w:eastAsia="黑体"/>
          <w:sz w:val="32"/>
          <w:szCs w:val="32"/>
        </w:rPr>
        <w:t>七、</w:t>
      </w:r>
      <w:r>
        <w:rPr>
          <w:rStyle w:val="23"/>
          <w:rFonts w:hint="eastAsia" w:ascii="黑体" w:hAnsi="黑体" w:eastAsia="黑体"/>
          <w:b w:val="0"/>
        </w:rPr>
        <w:t>财政拨款</w:t>
      </w:r>
      <w:r>
        <w:rPr>
          <w:rStyle w:val="23"/>
          <w:rFonts w:hint="eastAsia" w:ascii="黑体" w:hAnsi="黑体" w:eastAsia="黑体"/>
        </w:rPr>
        <w:t>“</w:t>
      </w:r>
      <w:r>
        <w:rPr>
          <w:rStyle w:val="23"/>
          <w:rFonts w:hint="eastAsia" w:ascii="黑体" w:hAnsi="黑体" w:eastAsia="黑体"/>
          <w:b w:val="0"/>
        </w:rPr>
        <w:t>三公”经费支出决算情况说明</w:t>
      </w:r>
      <w:bookmarkEnd w:id="36"/>
      <w:bookmarkEnd w:id="37"/>
    </w:p>
    <w:p w14:paraId="3D5C9255">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62E797C1">
      <w:pPr>
        <w:spacing w:line="600" w:lineRule="exact"/>
        <w:ind w:firstLine="64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年“三公”经费财政拨款支出决算为0.00万元，完成预算0.00</w:t>
      </w:r>
      <w:r>
        <w:rPr>
          <w:rFonts w:ascii="仿宋" w:hAnsi="仿宋" w:eastAsia="仿宋"/>
          <w:sz w:val="32"/>
          <w:szCs w:val="32"/>
        </w:rPr>
        <w:t>%</w:t>
      </w:r>
      <w:r>
        <w:rPr>
          <w:rFonts w:hint="eastAsia" w:ascii="仿宋" w:hAnsi="仿宋" w:eastAsia="仿宋"/>
          <w:sz w:val="32"/>
          <w:szCs w:val="32"/>
        </w:rPr>
        <w:t>，决算数</w:t>
      </w:r>
      <w:r>
        <w:rPr>
          <w:rFonts w:hint="eastAsia" w:ascii="仿宋" w:hAnsi="仿宋" w:eastAsia="仿宋"/>
          <w:sz w:val="32"/>
          <w:szCs w:val="32"/>
          <w:lang w:eastAsia="zh-CN"/>
        </w:rPr>
        <w:t>与2022</w:t>
      </w:r>
      <w:r>
        <w:rPr>
          <w:rFonts w:hint="eastAsia" w:ascii="仿宋" w:hAnsi="仿宋" w:eastAsia="仿宋"/>
          <w:sz w:val="32"/>
          <w:szCs w:val="32"/>
        </w:rPr>
        <w:t>年持平。</w:t>
      </w:r>
    </w:p>
    <w:p w14:paraId="14383DF8">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102A3B4A">
      <w:pPr>
        <w:spacing w:line="600" w:lineRule="exact"/>
        <w:ind w:firstLine="64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年“三公”经费财政拨款支出决算中，因公出国（境）费支出决算0.00万元，占0.00</w:t>
      </w:r>
      <w:r>
        <w:rPr>
          <w:rFonts w:ascii="仿宋" w:hAnsi="仿宋" w:eastAsia="仿宋"/>
          <w:sz w:val="32"/>
          <w:szCs w:val="32"/>
        </w:rPr>
        <w:t>%</w:t>
      </w:r>
      <w:r>
        <w:rPr>
          <w:rFonts w:hint="eastAsia" w:ascii="仿宋" w:hAnsi="仿宋" w:eastAsia="仿宋"/>
          <w:sz w:val="32"/>
          <w:szCs w:val="32"/>
        </w:rPr>
        <w:t>；公务用车购置及运行维护费支出决算0.00万元，占0.00</w:t>
      </w:r>
      <w:r>
        <w:rPr>
          <w:rFonts w:ascii="仿宋" w:hAnsi="仿宋" w:eastAsia="仿宋"/>
          <w:sz w:val="32"/>
          <w:szCs w:val="32"/>
        </w:rPr>
        <w:t>%</w:t>
      </w:r>
      <w:r>
        <w:rPr>
          <w:rFonts w:hint="eastAsia" w:ascii="仿宋" w:hAnsi="仿宋" w:eastAsia="仿宋"/>
          <w:sz w:val="32"/>
          <w:szCs w:val="32"/>
        </w:rPr>
        <w:t>；公务接待费支出决算0.00万元，占0.00</w:t>
      </w:r>
      <w:r>
        <w:rPr>
          <w:rFonts w:ascii="仿宋" w:hAnsi="仿宋" w:eastAsia="仿宋"/>
          <w:sz w:val="32"/>
          <w:szCs w:val="32"/>
        </w:rPr>
        <w:t>%</w:t>
      </w:r>
      <w:r>
        <w:rPr>
          <w:rFonts w:hint="eastAsia" w:ascii="仿宋" w:hAnsi="仿宋" w:eastAsia="仿宋"/>
          <w:sz w:val="32"/>
          <w:szCs w:val="32"/>
        </w:rPr>
        <w:t>。具体情况如下：</w:t>
      </w:r>
    </w:p>
    <w:p w14:paraId="59C776DB">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0.00万元，</w:t>
      </w:r>
      <w:r>
        <w:rPr>
          <w:rStyle w:val="19"/>
          <w:rFonts w:hint="eastAsia" w:ascii="仿宋" w:hAnsi="仿宋" w:eastAsia="仿宋"/>
          <w:b w:val="0"/>
          <w:bCs/>
          <w:sz w:val="32"/>
          <w:szCs w:val="32"/>
        </w:rPr>
        <w:t>完成预算0.00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全年安排因公出国（境）团组0次，出国（境）0人。因公出国（境）支出决算比</w:t>
      </w:r>
      <w:r>
        <w:rPr>
          <w:rFonts w:hint="eastAsia" w:ascii="仿宋_GB2312" w:eastAsia="仿宋_GB2312"/>
          <w:sz w:val="32"/>
          <w:szCs w:val="32"/>
          <w:lang w:eastAsia="zh-CN"/>
        </w:rPr>
        <w:t>2022</w:t>
      </w:r>
      <w:r>
        <w:rPr>
          <w:rFonts w:hint="eastAsia" w:ascii="仿宋_GB2312" w:eastAsia="仿宋_GB2312"/>
          <w:sz w:val="32"/>
          <w:szCs w:val="32"/>
        </w:rPr>
        <w:t>年持平。主要原因是根据实际情况本单位无因公出国（境）安排。</w:t>
      </w:r>
    </w:p>
    <w:p w14:paraId="1F018F80">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0.00万元,</w:t>
      </w:r>
      <w:r>
        <w:rPr>
          <w:rStyle w:val="19"/>
          <w:rFonts w:hint="eastAsia" w:ascii="仿宋" w:hAnsi="仿宋" w:eastAsia="仿宋"/>
          <w:b w:val="0"/>
          <w:bCs/>
          <w:sz w:val="32"/>
          <w:szCs w:val="32"/>
        </w:rPr>
        <w:t>完成预算100.00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hint="eastAsia" w:ascii="仿宋_GB2312" w:eastAsia="仿宋_GB2312"/>
          <w:sz w:val="32"/>
          <w:szCs w:val="32"/>
          <w:lang w:eastAsia="zh-CN"/>
        </w:rPr>
        <w:t>2022</w:t>
      </w:r>
      <w:r>
        <w:rPr>
          <w:rFonts w:hint="eastAsia" w:ascii="仿宋_GB2312" w:eastAsia="仿宋_GB2312"/>
          <w:sz w:val="32"/>
          <w:szCs w:val="32"/>
        </w:rPr>
        <w:t>年持平。主要原因是本单位无公务用车支出。</w:t>
      </w:r>
    </w:p>
    <w:p w14:paraId="3CC7CB0E">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0.00万元。全年按规定更新购置公务用车0辆，其中：轿车0辆、金额0.00万元，越野车0辆、金额0.00万元，载客汽车0辆、金额0.00万元。截至</w:t>
      </w:r>
      <w:r>
        <w:rPr>
          <w:rFonts w:hint="eastAsia" w:ascii="仿宋_GB2312" w:eastAsia="仿宋_GB2312"/>
          <w:sz w:val="32"/>
          <w:szCs w:val="32"/>
          <w:lang w:eastAsia="zh-CN"/>
        </w:rPr>
        <w:t>2023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14:paraId="1BCFD986">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0.00万元。</w:t>
      </w:r>
    </w:p>
    <w:p w14:paraId="70FBD992">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0.00万元，</w:t>
      </w:r>
      <w:r>
        <w:rPr>
          <w:rStyle w:val="19"/>
          <w:rFonts w:hint="eastAsia" w:ascii="仿宋" w:hAnsi="仿宋" w:eastAsia="仿宋"/>
          <w:b w:val="0"/>
          <w:bCs/>
          <w:sz w:val="32"/>
          <w:szCs w:val="32"/>
        </w:rPr>
        <w:t>完成预算100.00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公务接待费支出决算比</w:t>
      </w:r>
      <w:r>
        <w:rPr>
          <w:rFonts w:hint="eastAsia" w:ascii="仿宋_GB2312" w:eastAsia="仿宋_GB2312"/>
          <w:sz w:val="32"/>
          <w:szCs w:val="32"/>
          <w:lang w:eastAsia="zh-CN"/>
        </w:rPr>
        <w:t>2022</w:t>
      </w:r>
      <w:r>
        <w:rPr>
          <w:rFonts w:hint="eastAsia" w:ascii="仿宋_GB2312" w:eastAsia="仿宋_GB2312"/>
          <w:sz w:val="32"/>
          <w:szCs w:val="32"/>
        </w:rPr>
        <w:t>年持平。其中：</w:t>
      </w:r>
    </w:p>
    <w:p w14:paraId="0671A365">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0.00</w:t>
      </w:r>
      <w:r>
        <w:rPr>
          <w:rFonts w:hint="eastAsia" w:ascii="仿宋_GB2312" w:eastAsia="仿宋_GB2312"/>
          <w:sz w:val="32"/>
          <w:szCs w:val="32"/>
        </w:rPr>
        <w:t>万元。</w:t>
      </w:r>
    </w:p>
    <w:p w14:paraId="5D4F9B0E">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0.00</w:t>
      </w:r>
      <w:r>
        <w:rPr>
          <w:rFonts w:hint="eastAsia" w:ascii="仿宋_GB2312" w:eastAsia="仿宋_GB2312"/>
          <w:sz w:val="32"/>
          <w:szCs w:val="32"/>
        </w:rPr>
        <w:t>万元。</w:t>
      </w:r>
      <w:bookmarkStart w:id="40" w:name="_Toc15396610"/>
      <w:bookmarkStart w:id="41" w:name="_Toc15377218"/>
    </w:p>
    <w:p w14:paraId="0899574B">
      <w:pPr>
        <w:spacing w:line="600" w:lineRule="exact"/>
        <w:ind w:firstLine="640"/>
        <w:outlineLvl w:val="1"/>
        <w:rPr>
          <w:rStyle w:val="23"/>
          <w:rFonts w:ascii="黑体" w:hAnsi="黑体" w:eastAsia="黑体"/>
        </w:rPr>
      </w:pPr>
      <w:r>
        <w:rPr>
          <w:rFonts w:hint="eastAsia" w:ascii="黑体" w:eastAsia="黑体"/>
          <w:sz w:val="32"/>
          <w:szCs w:val="32"/>
        </w:rPr>
        <w:t>八、</w:t>
      </w:r>
      <w:r>
        <w:rPr>
          <w:rStyle w:val="23"/>
          <w:rFonts w:hint="eastAsia" w:ascii="黑体" w:hAnsi="黑体" w:eastAsia="黑体"/>
          <w:b w:val="0"/>
        </w:rPr>
        <w:t>政府性基金预算支出决算情况说明</w:t>
      </w:r>
      <w:bookmarkEnd w:id="40"/>
      <w:bookmarkEnd w:id="41"/>
    </w:p>
    <w:p w14:paraId="2A274C5F">
      <w:pPr>
        <w:spacing w:line="600" w:lineRule="exact"/>
        <w:ind w:firstLine="640"/>
        <w:rPr>
          <w:rFonts w:hint="eastAsia" w:ascii="仿宋_GB2312" w:eastAsia="仿宋_GB2312"/>
          <w:sz w:val="32"/>
          <w:szCs w:val="32"/>
          <w:lang w:eastAsia="zh-CN"/>
        </w:rPr>
      </w:pPr>
      <w:r>
        <w:rPr>
          <w:rFonts w:hint="eastAsia" w:ascii="仿宋_GB2312" w:eastAsia="仿宋_GB2312"/>
          <w:sz w:val="32"/>
          <w:szCs w:val="32"/>
          <w:lang w:eastAsia="zh-CN"/>
        </w:rPr>
        <w:t>2023</w:t>
      </w:r>
      <w:r>
        <w:rPr>
          <w:rFonts w:hint="eastAsia" w:ascii="仿宋_GB2312" w:eastAsia="仿宋_GB2312"/>
          <w:sz w:val="32"/>
          <w:szCs w:val="32"/>
        </w:rPr>
        <w:t>年政府性基金预算财政拨款支出</w:t>
      </w:r>
      <w:r>
        <w:rPr>
          <w:rFonts w:hint="eastAsia" w:ascii="仿宋_GB2312" w:eastAsia="仿宋_GB2312"/>
          <w:sz w:val="32"/>
          <w:szCs w:val="32"/>
          <w:lang w:val="en-US" w:eastAsia="zh-CN"/>
        </w:rPr>
        <w:t>10.98</w:t>
      </w:r>
      <w:r>
        <w:rPr>
          <w:rFonts w:hint="eastAsia" w:ascii="仿宋_GB2312" w:eastAsia="仿宋_GB2312"/>
          <w:sz w:val="32"/>
          <w:szCs w:val="32"/>
        </w:rPr>
        <w:t>万元</w:t>
      </w:r>
      <w:r>
        <w:rPr>
          <w:rFonts w:hint="eastAsia" w:ascii="仿宋_GB2312" w:eastAsia="仿宋_GB2312"/>
          <w:sz w:val="32"/>
          <w:szCs w:val="32"/>
          <w:lang w:eastAsia="zh-CN"/>
        </w:rPr>
        <w:t>，主要为社会福利的彩票公益金支出，用于春节慰问。</w:t>
      </w:r>
    </w:p>
    <w:p w14:paraId="4378A401">
      <w:pPr>
        <w:numPr>
          <w:ilvl w:val="0"/>
          <w:numId w:val="4"/>
        </w:numPr>
        <w:spacing w:line="600" w:lineRule="exact"/>
        <w:ind w:firstLine="640"/>
        <w:outlineLvl w:val="1"/>
        <w:rPr>
          <w:rStyle w:val="23"/>
          <w:rFonts w:ascii="黑体" w:hAnsi="黑体" w:eastAsia="黑体"/>
          <w:b w:val="0"/>
        </w:rPr>
      </w:pPr>
      <w:bookmarkStart w:id="42" w:name="_Toc15377219"/>
      <w:bookmarkStart w:id="43" w:name="_Toc15396611"/>
      <w:r>
        <w:rPr>
          <w:rStyle w:val="23"/>
          <w:rFonts w:hint="eastAsia" w:ascii="黑体" w:hAnsi="黑体" w:eastAsia="黑体"/>
          <w:b w:val="0"/>
        </w:rPr>
        <w:t>国有资本经营预算支出决算情况说明</w:t>
      </w:r>
      <w:bookmarkEnd w:id="42"/>
      <w:bookmarkEnd w:id="43"/>
    </w:p>
    <w:p w14:paraId="6747F3A9">
      <w:pPr>
        <w:spacing w:line="600" w:lineRule="exact"/>
        <w:ind w:firstLine="640"/>
        <w:rPr>
          <w:rFonts w:ascii="仿宋_GB2312" w:eastAsia="仿宋_GB2312"/>
          <w:sz w:val="32"/>
          <w:szCs w:val="32"/>
        </w:rPr>
      </w:pPr>
      <w:r>
        <w:rPr>
          <w:rFonts w:hint="eastAsia" w:ascii="仿宋_GB2312" w:eastAsia="仿宋_GB2312"/>
          <w:sz w:val="32"/>
          <w:szCs w:val="32"/>
          <w:lang w:eastAsia="zh-CN"/>
        </w:rPr>
        <w:t>2023</w:t>
      </w:r>
      <w:r>
        <w:rPr>
          <w:rFonts w:hint="eastAsia" w:ascii="仿宋_GB2312" w:eastAsia="仿宋_GB2312"/>
          <w:sz w:val="32"/>
          <w:szCs w:val="32"/>
        </w:rPr>
        <w:t>年国有资本经营预算财政拨款支出0.00万元。</w:t>
      </w:r>
    </w:p>
    <w:p w14:paraId="492D9489">
      <w:pPr>
        <w:numPr>
          <w:ilvl w:val="0"/>
          <w:numId w:val="4"/>
        </w:numPr>
        <w:spacing w:line="600" w:lineRule="exact"/>
        <w:ind w:firstLine="640"/>
        <w:outlineLvl w:val="1"/>
        <w:rPr>
          <w:rStyle w:val="23"/>
          <w:rFonts w:ascii="黑体" w:hAnsi="黑体" w:eastAsia="黑体"/>
          <w:b w:val="0"/>
        </w:rPr>
      </w:pPr>
      <w:bookmarkStart w:id="44" w:name="_Toc15377221"/>
      <w:bookmarkStart w:id="45" w:name="_Toc15396612"/>
      <w:r>
        <w:rPr>
          <w:rStyle w:val="23"/>
          <w:rFonts w:hint="eastAsia" w:ascii="黑体" w:hAnsi="黑体" w:eastAsia="黑体"/>
          <w:b w:val="0"/>
        </w:rPr>
        <w:t>其他重要事项的情况说明</w:t>
      </w:r>
      <w:bookmarkEnd w:id="44"/>
      <w:bookmarkEnd w:id="45"/>
    </w:p>
    <w:p w14:paraId="428FC96D">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46B93AB4">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2023</w:t>
      </w:r>
      <w:r>
        <w:rPr>
          <w:rFonts w:hint="eastAsia" w:ascii="仿宋_GB2312" w:eastAsia="仿宋_GB2312"/>
          <w:sz w:val="32"/>
          <w:szCs w:val="32"/>
        </w:rPr>
        <w:t>年，仁里镇机关运行经费支出0.00万元，与</w:t>
      </w:r>
      <w:r>
        <w:rPr>
          <w:rFonts w:hint="eastAsia" w:ascii="仿宋_GB2312" w:eastAsia="仿宋_GB2312"/>
          <w:sz w:val="32"/>
          <w:szCs w:val="32"/>
          <w:lang w:eastAsia="zh-CN"/>
        </w:rPr>
        <w:t>2022</w:t>
      </w:r>
      <w:r>
        <w:rPr>
          <w:rFonts w:hint="eastAsia" w:ascii="仿宋_GB2312" w:eastAsia="仿宋_GB2312"/>
          <w:sz w:val="32"/>
          <w:szCs w:val="32"/>
        </w:rPr>
        <w:t>年决算数持平。</w:t>
      </w:r>
    </w:p>
    <w:p w14:paraId="756E68B0">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3529E113">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2023</w:t>
      </w:r>
      <w:r>
        <w:rPr>
          <w:rFonts w:hint="eastAsia" w:ascii="仿宋_GB2312" w:eastAsia="仿宋_GB2312"/>
          <w:sz w:val="32"/>
          <w:szCs w:val="32"/>
        </w:rPr>
        <w:t>年，仁里镇政府采购支出总额0.00万元，其中：政府采购货物支出0.00万元、政府采购工程支出0.00万元、政府采购服务支出0.00万元。授予中小企业合同金额0.00万元，占政府采购支出总额的0.00</w:t>
      </w:r>
      <w:r>
        <w:rPr>
          <w:rFonts w:ascii="仿宋_GB2312" w:eastAsia="仿宋_GB2312"/>
          <w:sz w:val="32"/>
          <w:szCs w:val="32"/>
        </w:rPr>
        <w:t>%</w:t>
      </w:r>
      <w:r>
        <w:rPr>
          <w:rFonts w:hint="eastAsia" w:ascii="仿宋_GB2312" w:eastAsia="仿宋_GB2312"/>
          <w:sz w:val="32"/>
          <w:szCs w:val="32"/>
        </w:rPr>
        <w:t>，其中：授予小微企业合同金额0.00万元，占政府采购支出总额的0.00</w:t>
      </w:r>
      <w:r>
        <w:rPr>
          <w:rFonts w:ascii="仿宋_GB2312" w:eastAsia="仿宋_GB2312"/>
          <w:sz w:val="32"/>
          <w:szCs w:val="32"/>
        </w:rPr>
        <w:t>%</w:t>
      </w:r>
      <w:r>
        <w:rPr>
          <w:rFonts w:hint="eastAsia" w:ascii="仿宋_GB2312" w:eastAsia="仿宋_GB2312"/>
          <w:sz w:val="32"/>
          <w:szCs w:val="32"/>
        </w:rPr>
        <w:t>。</w:t>
      </w:r>
    </w:p>
    <w:p w14:paraId="39AAF7DB">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18EFAC85">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hint="eastAsia" w:ascii="仿宋_GB2312" w:eastAsia="仿宋_GB2312"/>
          <w:sz w:val="32"/>
          <w:szCs w:val="32"/>
          <w:lang w:eastAsia="zh-CN"/>
        </w:rPr>
        <w:t>2023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日，仁里镇共有车辆0辆，其中：主要领导干部用车0辆、机要通信用车0辆、应急保障用车0辆、其他用车0辆，单价</w:t>
      </w:r>
      <w:r>
        <w:rPr>
          <w:rFonts w:ascii="仿宋_GB2312" w:eastAsia="仿宋_GB2312"/>
          <w:sz w:val="32"/>
          <w:szCs w:val="32"/>
        </w:rPr>
        <w:t>100</w:t>
      </w:r>
      <w:r>
        <w:rPr>
          <w:rFonts w:hint="eastAsia" w:ascii="仿宋_GB2312" w:eastAsia="仿宋_GB2312"/>
          <w:sz w:val="32"/>
          <w:szCs w:val="32"/>
        </w:rPr>
        <w:t>万元以上专用设备0台（套）。</w:t>
      </w:r>
    </w:p>
    <w:p w14:paraId="32BBEED9">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23BBC7D9">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w:t>
      </w: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年度预算编制阶段，组织对</w:t>
      </w:r>
      <w:r>
        <w:rPr>
          <w:rFonts w:hint="eastAsia" w:eastAsia="仿宋_GB2312" w:cs="仿宋_GB2312"/>
          <w:bCs/>
          <w:sz w:val="32"/>
          <w:szCs w:val="32"/>
          <w:lang w:eastAsia="zh-CN"/>
        </w:rPr>
        <w:t>基层组织活动和公共服务运行费</w:t>
      </w:r>
      <w:r>
        <w:rPr>
          <w:rFonts w:hint="eastAsia" w:eastAsia="仿宋_GB2312" w:cs="仿宋_GB2312"/>
          <w:bCs/>
          <w:sz w:val="32"/>
          <w:szCs w:val="32"/>
        </w:rPr>
        <w:t>、团委妇联工作经费、人大工作经费、武装工作经费、残联工作经费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个项目编制了绩效目标，预算执行过程中，对全部项目开展绩效监控。</w:t>
      </w:r>
    </w:p>
    <w:p w14:paraId="7F8843E1">
      <w:pPr>
        <w:pStyle w:val="2"/>
      </w:pPr>
    </w:p>
    <w:p w14:paraId="4B25CF29">
      <w:pPr>
        <w:numPr>
          <w:ilvl w:val="0"/>
          <w:numId w:val="5"/>
        </w:numPr>
        <w:spacing w:line="600" w:lineRule="exact"/>
        <w:ind w:firstLine="480" w:firstLineChars="150"/>
        <w:jc w:val="center"/>
        <w:outlineLvl w:val="0"/>
        <w:rPr>
          <w:rFonts w:ascii="仿宋_GB2312" w:eastAsia="仿宋_GB2312"/>
          <w:bCs/>
          <w:sz w:val="32"/>
          <w:szCs w:val="32"/>
        </w:rPr>
      </w:pPr>
      <w:bookmarkStart w:id="49" w:name="_Toc15377225"/>
      <w:bookmarkStart w:id="50" w:name="_Toc15396613"/>
      <w:r>
        <w:rPr>
          <w:rFonts w:hint="eastAsia" w:ascii="仿宋_GB2312" w:eastAsia="仿宋_GB2312"/>
          <w:sz w:val="32"/>
          <w:szCs w:val="32"/>
        </w:rPr>
        <w:t>名</w:t>
      </w:r>
      <w:r>
        <w:rPr>
          <w:rFonts w:hint="eastAsia" w:ascii="仿宋_GB2312" w:eastAsia="仿宋_GB2312"/>
          <w:bCs/>
          <w:sz w:val="32"/>
          <w:szCs w:val="32"/>
        </w:rPr>
        <w:t>词解释</w:t>
      </w:r>
      <w:bookmarkEnd w:id="49"/>
      <w:bookmarkEnd w:id="50"/>
    </w:p>
    <w:p w14:paraId="61666126">
      <w:pPr>
        <w:rPr>
          <w:rFonts w:ascii="仿宋_GB2312" w:eastAsia="仿宋_GB2312"/>
          <w:sz w:val="32"/>
          <w:szCs w:val="32"/>
        </w:rPr>
      </w:pPr>
      <w:bookmarkStart w:id="51" w:name="_Toc15377226"/>
    </w:p>
    <w:p w14:paraId="7554A93B">
      <w:pPr>
        <w:ind w:firstLine="640" w:firstLineChars="200"/>
        <w:rPr>
          <w:rFonts w:ascii="仿宋_GB2312" w:eastAsia="仿宋_GB2312"/>
          <w:sz w:val="32"/>
          <w:szCs w:val="32"/>
        </w:rPr>
      </w:pPr>
      <w:r>
        <w:rPr>
          <w:rFonts w:ascii="仿宋_GB2312" w:eastAsia="仿宋_GB2312"/>
          <w:sz w:val="32"/>
          <w:szCs w:val="32"/>
        </w:rPr>
        <w:t>1.一般公共预算拨款收入：指区级财政当年拨付的资金。</w:t>
      </w:r>
    </w:p>
    <w:p w14:paraId="21E914D0">
      <w:pPr>
        <w:ind w:firstLine="640" w:firstLineChars="200"/>
        <w:rPr>
          <w:rFonts w:ascii="仿宋_GB2312" w:eastAsia="仿宋_GB2312"/>
          <w:sz w:val="32"/>
          <w:szCs w:val="32"/>
        </w:rPr>
      </w:pPr>
      <w:r>
        <w:rPr>
          <w:rFonts w:ascii="仿宋_GB2312" w:eastAsia="仿宋_GB2312"/>
          <w:sz w:val="32"/>
          <w:szCs w:val="32"/>
        </w:rPr>
        <w:t>2.上年结转：指以前年度尚未完成，结转到本年仍按原规定用途继续使用的资金。</w:t>
      </w:r>
    </w:p>
    <w:p w14:paraId="369B3C38">
      <w:pPr>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.一般公共服务（201）政府办公厅（室）及相关机构事务（03）行政运行（01）：指行政机关及参公管理事业单位用于保障机构正常运行、开展日常工作的基本支出。</w:t>
      </w:r>
    </w:p>
    <w:p w14:paraId="597CD8CD">
      <w:pPr>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.一般公共服务（201）政府办公厅（室）及相关机构事务（03）一般行政管理事务（02）：指行政机关及参公管理事业单位开展专项工作等未单独设置项级科目的专门性管理工作的项目支出。</w:t>
      </w:r>
    </w:p>
    <w:p w14:paraId="7FA13F1C">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文化旅游体育与传媒支出（207）文化和旅游（01）其他文化和旅游支出（99）</w:t>
      </w:r>
      <w:r>
        <w:rPr>
          <w:rFonts w:hint="eastAsia" w:ascii="仿宋_GB2312" w:eastAsia="仿宋_GB2312"/>
          <w:sz w:val="32"/>
          <w:szCs w:val="32"/>
          <w:lang w:eastAsia="zh-CN"/>
        </w:rPr>
        <w:t>：指未单独设置项级科目的其他用于文化和旅游方面的支出。</w:t>
      </w:r>
    </w:p>
    <w:p w14:paraId="579DCD06">
      <w:pPr>
        <w:ind w:firstLine="640" w:firstLineChars="200"/>
        <w:rPr>
          <w:rFonts w:hint="eastAsia"/>
          <w:lang w:eastAsia="zh-CN"/>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文化旅游体育与传媒支出（207）广播电视（08）其他广播电视支出（99）:</w:t>
      </w:r>
      <w:r>
        <w:rPr>
          <w:rFonts w:hint="eastAsia" w:ascii="仿宋_GB2312" w:eastAsia="仿宋_GB2312"/>
          <w:sz w:val="32"/>
          <w:szCs w:val="32"/>
          <w:lang w:eastAsia="zh-CN"/>
        </w:rPr>
        <w:t>指未单独设置项级科目的其他用于广播电视方面的支出。</w:t>
      </w:r>
    </w:p>
    <w:p w14:paraId="0F877C06">
      <w:pPr>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.社会保障和就业（208）行政事业单位养老保险支出（05）机关事业单位基本养老保险缴费支出（05）：指部门实施养老保险制度由单位缴纳的养老保险费的支出。</w:t>
      </w:r>
    </w:p>
    <w:p w14:paraId="77E18A11">
      <w:pPr>
        <w:ind w:firstLine="640" w:firstLineChars="200"/>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社会保障和就业支出（208）行政事业单位养老支出（05）机关事业单位职业年金缴费支出（06）</w:t>
      </w:r>
      <w:r>
        <w:rPr>
          <w:rFonts w:ascii="仿宋_GB2312" w:eastAsia="仿宋_GB2312"/>
          <w:sz w:val="32"/>
          <w:szCs w:val="32"/>
        </w:rPr>
        <w:t>：指部门实施养老保险制度由单位缴纳的</w:t>
      </w:r>
      <w:r>
        <w:rPr>
          <w:rFonts w:hint="eastAsia" w:ascii="仿宋_GB2312" w:eastAsia="仿宋_GB2312"/>
          <w:sz w:val="32"/>
          <w:szCs w:val="32"/>
          <w:lang w:eastAsia="zh-CN"/>
        </w:rPr>
        <w:t>职业年金</w:t>
      </w:r>
      <w:r>
        <w:rPr>
          <w:rFonts w:ascii="仿宋_GB2312" w:eastAsia="仿宋_GB2312"/>
          <w:sz w:val="32"/>
          <w:szCs w:val="32"/>
        </w:rPr>
        <w:t>的支出。</w:t>
      </w:r>
    </w:p>
    <w:p w14:paraId="3CA296A8">
      <w:pPr>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szCs w:val="32"/>
        </w:rPr>
        <w:t>.社会保障和就业（208）残疾人事业（11）其他残疾人事业支出（99）：指用于残疾人事业方面的支出。</w:t>
      </w:r>
    </w:p>
    <w:p w14:paraId="5A3D4EA2">
      <w:pPr>
        <w:ind w:firstLine="640" w:firstLineChars="200"/>
        <w:rPr>
          <w:rFonts w:ascii="仿宋_GB2312" w:hAnsi="Times New Roman" w:eastAsia="仿宋_GB2312" w:cs="Times New Roman"/>
          <w:kern w:val="2"/>
          <w:sz w:val="32"/>
          <w:szCs w:val="32"/>
          <w:lang w:val="en-US" w:eastAsia="zh-CN" w:bidi="ar-SA"/>
        </w:rPr>
      </w:pPr>
      <w:r>
        <w:rPr>
          <w:rFonts w:hint="eastAsia" w:ascii="仿宋_GB2312" w:eastAsia="仿宋_GB2312"/>
          <w:sz w:val="32"/>
          <w:szCs w:val="32"/>
          <w:lang w:val="en-US" w:eastAsia="zh-CN"/>
        </w:rPr>
        <w:t>10.</w:t>
      </w:r>
      <w:r>
        <w:rPr>
          <w:rFonts w:hint="eastAsia" w:ascii="仿宋_GB2312" w:hAnsi="Times New Roman" w:eastAsia="仿宋_GB2312" w:cs="Times New Roman"/>
          <w:kern w:val="2"/>
          <w:sz w:val="32"/>
          <w:szCs w:val="32"/>
          <w:lang w:val="en-US" w:eastAsia="zh-CN" w:bidi="ar-SA"/>
        </w:rPr>
        <w:t>社会保障和就业支出（208）临时救助（20）临时救助支出（01）</w:t>
      </w:r>
      <w:r>
        <w:rPr>
          <w:rFonts w:hint="eastAsia" w:ascii="仿宋_GB2312" w:eastAsia="仿宋_GB2312" w:cs="Times New Roman"/>
          <w:kern w:val="2"/>
          <w:sz w:val="32"/>
          <w:szCs w:val="32"/>
          <w:lang w:val="en-US" w:eastAsia="zh-CN" w:bidi="ar-SA"/>
        </w:rPr>
        <w:t>：用于城乡生活困难居民的临时救助支出。</w:t>
      </w:r>
    </w:p>
    <w:p w14:paraId="7A578A3B">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1</w:t>
      </w:r>
      <w:r>
        <w:rPr>
          <w:rFonts w:ascii="仿宋_GB2312" w:eastAsia="仿宋_GB2312"/>
          <w:sz w:val="32"/>
          <w:szCs w:val="32"/>
        </w:rPr>
        <w:t>.社会保障和就业（208）其他社会保障和就业（99）其他社会保障和就业支出（</w:t>
      </w:r>
      <w:r>
        <w:rPr>
          <w:rFonts w:hint="eastAsia" w:ascii="仿宋_GB2312" w:eastAsia="仿宋_GB2312"/>
          <w:sz w:val="32"/>
          <w:szCs w:val="32"/>
          <w:lang w:val="en-US" w:eastAsia="zh-CN"/>
        </w:rPr>
        <w:t>99</w:t>
      </w:r>
      <w:r>
        <w:rPr>
          <w:rFonts w:ascii="仿宋_GB2312" w:eastAsia="仿宋_GB2312"/>
          <w:sz w:val="32"/>
          <w:szCs w:val="32"/>
        </w:rPr>
        <w:t>）：指除上述项目外，其他用于</w:t>
      </w:r>
      <w:r>
        <w:rPr>
          <w:rFonts w:hint="eastAsia" w:ascii="仿宋_GB2312" w:eastAsia="仿宋_GB2312"/>
          <w:sz w:val="32"/>
          <w:szCs w:val="32"/>
          <w:lang w:eastAsia="zh-CN"/>
        </w:rPr>
        <w:t>社会保障和就业</w:t>
      </w:r>
      <w:r>
        <w:rPr>
          <w:rFonts w:ascii="仿宋_GB2312" w:eastAsia="仿宋_GB2312"/>
          <w:sz w:val="32"/>
          <w:szCs w:val="32"/>
        </w:rPr>
        <w:t>方面的支出。</w:t>
      </w:r>
    </w:p>
    <w:p w14:paraId="590E6C40">
      <w:pPr>
        <w:ind w:firstLine="640" w:firstLineChars="200"/>
        <w:rPr>
          <w:rFonts w:hint="eastAsia" w:ascii="仿宋_GB2312" w:eastAsia="仿宋_GB2312"/>
          <w:sz w:val="32"/>
          <w:szCs w:val="32"/>
          <w:lang w:eastAsia="zh-CN"/>
        </w:rPr>
      </w:pPr>
      <w:r>
        <w:rPr>
          <w:rFonts w:ascii="仿宋_GB2312" w:eastAsia="仿宋_GB2312"/>
          <w:sz w:val="32"/>
          <w:szCs w:val="32"/>
        </w:rPr>
        <w:t>1</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卫生健康支出（210）公共卫生（04）突发公共卫生事件应急处理（10）</w:t>
      </w:r>
      <w:r>
        <w:rPr>
          <w:rFonts w:hint="eastAsia" w:ascii="仿宋_GB2312" w:eastAsia="仿宋_GB2312"/>
          <w:sz w:val="32"/>
          <w:szCs w:val="32"/>
          <w:lang w:eastAsia="zh-CN"/>
        </w:rPr>
        <w:t>：用于突发公共卫生事件应急处理的支出。</w:t>
      </w:r>
    </w:p>
    <w:p w14:paraId="679E060F">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3</w:t>
      </w:r>
      <w:r>
        <w:rPr>
          <w:rFonts w:ascii="仿宋_GB2312" w:eastAsia="仿宋_GB2312"/>
          <w:sz w:val="32"/>
          <w:szCs w:val="32"/>
        </w:rPr>
        <w:t>.卫生健康支出（210）行政事业单位医疗（11）行政单位医疗（01）：指行政机关及参公管理事业单位用于缴纳单位基本医疗保险支出。</w:t>
      </w:r>
    </w:p>
    <w:p w14:paraId="2AD8F99E">
      <w:pPr>
        <w:ind w:firstLine="640" w:firstLineChars="200"/>
        <w:rPr>
          <w:rFonts w:ascii="仿宋_GB2312" w:eastAsia="仿宋_GB2312"/>
          <w:sz w:val="32"/>
          <w:szCs w:val="32"/>
        </w:rPr>
      </w:pPr>
      <w:r>
        <w:rPr>
          <w:rFonts w:ascii="仿宋_GB2312" w:eastAsia="仿宋_GB2312"/>
          <w:sz w:val="32"/>
          <w:szCs w:val="32"/>
        </w:rPr>
        <w:t>14.卫生健康支出（210）行政事业单位医疗（11）事业单位医疗（02）：指事业单位用于缴纳单位基本医疗保险支出。</w:t>
      </w:r>
    </w:p>
    <w:p w14:paraId="19C85951">
      <w:pPr>
        <w:ind w:firstLine="640" w:firstLineChars="200"/>
        <w:rPr>
          <w:rFonts w:ascii="仿宋_GB2312" w:eastAsia="仿宋_GB2312"/>
          <w:sz w:val="32"/>
          <w:szCs w:val="32"/>
        </w:rPr>
      </w:pPr>
      <w:r>
        <w:rPr>
          <w:rFonts w:ascii="仿宋_GB2312" w:eastAsia="仿宋_GB2312"/>
          <w:sz w:val="32"/>
          <w:szCs w:val="32"/>
        </w:rPr>
        <w:t>15.卫生健康支出（210）行政事业单位医疗（11）公务员医疗补助（03）：指行政机关及参公管理事业单位用于集中缴纳公务员医疗补助支出。</w:t>
      </w:r>
    </w:p>
    <w:p w14:paraId="3A3EA66B">
      <w:pPr>
        <w:ind w:firstLine="640" w:firstLineChars="200"/>
        <w:rPr>
          <w:rFonts w:hint="eastAsia" w:ascii="仿宋_GB2312" w:eastAsia="仿宋_GB2312"/>
          <w:sz w:val="32"/>
          <w:szCs w:val="32"/>
          <w:lang w:eastAsia="zh-CN"/>
        </w:rPr>
      </w:pPr>
      <w:r>
        <w:rPr>
          <w:rFonts w:ascii="仿宋_GB2312" w:eastAsia="仿宋_GB2312"/>
          <w:sz w:val="32"/>
          <w:szCs w:val="32"/>
        </w:rPr>
        <w:t>1</w:t>
      </w: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卫生健康支出（210）医疗保障管理事务（1</w:t>
      </w:r>
      <w:r>
        <w:rPr>
          <w:rFonts w:hint="eastAsia" w:ascii="仿宋_GB2312" w:eastAsia="仿宋_GB2312"/>
          <w:sz w:val="32"/>
          <w:szCs w:val="32"/>
          <w:lang w:val="en-US" w:eastAsia="zh-CN"/>
        </w:rPr>
        <w:t>5</w:t>
      </w:r>
      <w:r>
        <w:rPr>
          <w:rFonts w:hint="eastAsia" w:ascii="仿宋_GB2312" w:eastAsia="仿宋_GB2312"/>
          <w:sz w:val="32"/>
          <w:szCs w:val="32"/>
        </w:rPr>
        <w:t>）其他医疗保障管理事务支出（</w:t>
      </w:r>
      <w:r>
        <w:rPr>
          <w:rFonts w:hint="eastAsia" w:ascii="仿宋_GB2312" w:eastAsia="仿宋_GB2312"/>
          <w:sz w:val="32"/>
          <w:szCs w:val="32"/>
          <w:lang w:val="en-US" w:eastAsia="zh-CN"/>
        </w:rPr>
        <w:t>99</w:t>
      </w:r>
      <w:r>
        <w:rPr>
          <w:rFonts w:hint="eastAsia" w:ascii="仿宋_GB2312" w:eastAsia="仿宋_GB2312"/>
          <w:sz w:val="32"/>
          <w:szCs w:val="32"/>
        </w:rPr>
        <w:t>）</w:t>
      </w:r>
      <w:r>
        <w:rPr>
          <w:rFonts w:hint="eastAsia" w:ascii="仿宋_GB2312" w:eastAsia="仿宋_GB2312"/>
          <w:sz w:val="32"/>
          <w:szCs w:val="32"/>
          <w:lang w:eastAsia="zh-CN"/>
        </w:rPr>
        <w:t>：指其他用于医疗保障管理事务方面的支出。</w:t>
      </w:r>
    </w:p>
    <w:p w14:paraId="39AF6776">
      <w:pPr>
        <w:ind w:firstLine="640" w:firstLineChars="200"/>
        <w:rPr>
          <w:rFonts w:ascii="仿宋_GB2312" w:eastAsia="仿宋_GB2312"/>
          <w:sz w:val="32"/>
          <w:szCs w:val="32"/>
        </w:rPr>
      </w:pPr>
      <w:r>
        <w:rPr>
          <w:rFonts w:ascii="仿宋_GB2312" w:eastAsia="仿宋_GB2312"/>
          <w:sz w:val="32"/>
          <w:szCs w:val="32"/>
        </w:rPr>
        <w:t>17.农林水支出（213）农业农村（01）事业运行（04）：指用于农业事业单位基本支出，事业单位设施、系统运行与资产维护等方面的支出。</w:t>
      </w:r>
    </w:p>
    <w:p w14:paraId="190F1CE2">
      <w:pPr>
        <w:ind w:firstLine="640" w:firstLineChars="200"/>
        <w:rPr>
          <w:rStyle w:val="19"/>
          <w:rFonts w:hint="eastAsia" w:ascii="仿宋" w:hAnsi="仿宋" w:eastAsia="仿宋"/>
          <w:bCs/>
          <w:sz w:val="32"/>
          <w:szCs w:val="32"/>
        </w:rPr>
      </w:pPr>
      <w:r>
        <w:rPr>
          <w:rFonts w:ascii="仿宋_GB2312" w:eastAsia="仿宋_GB2312"/>
          <w:sz w:val="32"/>
          <w:szCs w:val="32"/>
        </w:rPr>
        <w:t>1</w:t>
      </w: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农林水支出（213）农业农村（01）其他农业农村支出（99）</w:t>
      </w:r>
      <w:r>
        <w:rPr>
          <w:rFonts w:ascii="仿宋_GB2312" w:eastAsia="仿宋_GB2312"/>
          <w:sz w:val="32"/>
          <w:szCs w:val="32"/>
        </w:rPr>
        <w:t>:</w:t>
      </w:r>
      <w:r>
        <w:rPr>
          <w:rFonts w:hint="eastAsia" w:ascii="仿宋_GB2312" w:eastAsia="仿宋_GB2312"/>
          <w:sz w:val="32"/>
          <w:szCs w:val="32"/>
          <w:lang w:eastAsia="zh-CN"/>
        </w:rPr>
        <w:t>指其他用于农业农村方面的支出。</w:t>
      </w:r>
      <w:r>
        <w:rPr>
          <w:rStyle w:val="19"/>
          <w:rFonts w:hint="eastAsia" w:ascii="仿宋" w:hAnsi="仿宋" w:eastAsia="仿宋"/>
          <w:bCs/>
          <w:sz w:val="32"/>
          <w:szCs w:val="32"/>
        </w:rPr>
        <w:t xml:space="preserve"> </w:t>
      </w:r>
    </w:p>
    <w:p w14:paraId="09463682">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19.</w:t>
      </w:r>
      <w:r>
        <w:rPr>
          <w:rFonts w:hint="eastAsia" w:ascii="仿宋_GB2312" w:eastAsia="仿宋_GB2312"/>
          <w:sz w:val="32"/>
          <w:szCs w:val="32"/>
        </w:rPr>
        <w:t>农林水支出（213）</w:t>
      </w:r>
      <w:r>
        <w:rPr>
          <w:rFonts w:hint="eastAsia" w:ascii="仿宋_GB2312" w:eastAsia="仿宋_GB2312"/>
          <w:sz w:val="32"/>
          <w:szCs w:val="32"/>
          <w:lang w:eastAsia="zh-CN"/>
        </w:rPr>
        <w:t>水利</w:t>
      </w:r>
      <w:r>
        <w:rPr>
          <w:rFonts w:hint="eastAsia" w:ascii="仿宋_GB2312" w:eastAsia="仿宋_GB2312"/>
          <w:sz w:val="32"/>
          <w:szCs w:val="32"/>
        </w:rPr>
        <w:t>（</w:t>
      </w:r>
      <w:r>
        <w:rPr>
          <w:rFonts w:hint="eastAsia" w:ascii="仿宋_GB2312" w:eastAsia="仿宋_GB2312"/>
          <w:sz w:val="32"/>
          <w:szCs w:val="32"/>
          <w:lang w:val="en-US" w:eastAsia="zh-CN"/>
        </w:rPr>
        <w:t>03</w:t>
      </w:r>
      <w:r>
        <w:rPr>
          <w:rFonts w:hint="eastAsia" w:ascii="仿宋_GB2312" w:eastAsia="仿宋_GB2312"/>
          <w:sz w:val="32"/>
          <w:szCs w:val="32"/>
        </w:rPr>
        <w:t>）</w:t>
      </w:r>
      <w:r>
        <w:rPr>
          <w:rFonts w:hint="eastAsia" w:ascii="仿宋_GB2312" w:eastAsia="仿宋_GB2312"/>
          <w:sz w:val="32"/>
          <w:szCs w:val="32"/>
          <w:lang w:eastAsia="zh-CN"/>
        </w:rPr>
        <w:t>农村水利</w:t>
      </w:r>
      <w:r>
        <w:rPr>
          <w:rFonts w:hint="eastAsia" w:ascii="仿宋_GB2312" w:eastAsia="仿宋_GB2312"/>
          <w:sz w:val="32"/>
          <w:szCs w:val="32"/>
        </w:rPr>
        <w:t>（</w:t>
      </w:r>
      <w:r>
        <w:rPr>
          <w:rFonts w:hint="eastAsia" w:ascii="仿宋_GB2312" w:eastAsia="仿宋_GB2312"/>
          <w:sz w:val="32"/>
          <w:szCs w:val="32"/>
          <w:lang w:val="en-US" w:eastAsia="zh-CN"/>
        </w:rPr>
        <w:t>16</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lang w:eastAsia="zh-CN"/>
        </w:rPr>
        <w:t>指国家对中型灌区节水配套改造、牧区水利建设、小型水源建设、农村河塘整治以及排灌站、小水电站补助等。</w:t>
      </w:r>
    </w:p>
    <w:p w14:paraId="57CDCBAA">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20.</w:t>
      </w:r>
      <w:r>
        <w:rPr>
          <w:rFonts w:hint="eastAsia" w:ascii="仿宋_GB2312" w:eastAsia="仿宋_GB2312"/>
          <w:sz w:val="32"/>
          <w:szCs w:val="32"/>
        </w:rPr>
        <w:t>农林水支出（213）巩固</w:t>
      </w:r>
      <w:r>
        <w:rPr>
          <w:rFonts w:hint="eastAsia" w:ascii="仿宋_GB2312" w:eastAsia="仿宋_GB2312"/>
          <w:sz w:val="32"/>
          <w:szCs w:val="32"/>
          <w:lang w:eastAsia="zh-CN"/>
        </w:rPr>
        <w:t>拓展</w:t>
      </w:r>
      <w:r>
        <w:rPr>
          <w:rFonts w:hint="eastAsia" w:ascii="仿宋_GB2312" w:eastAsia="仿宋_GB2312"/>
          <w:sz w:val="32"/>
          <w:szCs w:val="32"/>
        </w:rPr>
        <w:t>脱贫衔接乡村振兴（05）其他巩固</w:t>
      </w:r>
      <w:r>
        <w:rPr>
          <w:rFonts w:hint="eastAsia" w:ascii="仿宋_GB2312" w:eastAsia="仿宋_GB2312"/>
          <w:sz w:val="32"/>
          <w:szCs w:val="32"/>
          <w:lang w:eastAsia="zh-CN"/>
        </w:rPr>
        <w:t>拓展</w:t>
      </w:r>
      <w:r>
        <w:rPr>
          <w:rFonts w:hint="eastAsia" w:ascii="仿宋_GB2312" w:eastAsia="仿宋_GB2312"/>
          <w:sz w:val="32"/>
          <w:szCs w:val="32"/>
        </w:rPr>
        <w:t>脱贫衔接乡村振兴支出（99）</w:t>
      </w:r>
      <w:r>
        <w:rPr>
          <w:rFonts w:hint="eastAsia" w:ascii="仿宋_GB2312" w:eastAsia="仿宋_GB2312"/>
          <w:sz w:val="32"/>
          <w:szCs w:val="32"/>
          <w:lang w:eastAsia="zh-CN"/>
        </w:rPr>
        <w:t>：其他用于</w:t>
      </w:r>
      <w:r>
        <w:rPr>
          <w:rFonts w:hint="eastAsia" w:ascii="仿宋_GB2312" w:eastAsia="仿宋_GB2312"/>
          <w:sz w:val="32"/>
          <w:szCs w:val="32"/>
        </w:rPr>
        <w:t>巩固</w:t>
      </w:r>
      <w:r>
        <w:rPr>
          <w:rFonts w:hint="eastAsia" w:ascii="仿宋_GB2312" w:eastAsia="仿宋_GB2312"/>
          <w:sz w:val="32"/>
          <w:szCs w:val="32"/>
          <w:lang w:eastAsia="zh-CN"/>
        </w:rPr>
        <w:t>拓展</w:t>
      </w:r>
      <w:r>
        <w:rPr>
          <w:rFonts w:hint="eastAsia" w:ascii="仿宋_GB2312" w:eastAsia="仿宋_GB2312"/>
          <w:sz w:val="32"/>
          <w:szCs w:val="32"/>
        </w:rPr>
        <w:t>脱贫衔接乡村振兴</w:t>
      </w:r>
      <w:r>
        <w:rPr>
          <w:rFonts w:hint="eastAsia" w:ascii="仿宋_GB2312" w:eastAsia="仿宋_GB2312"/>
          <w:sz w:val="32"/>
          <w:szCs w:val="32"/>
          <w:lang w:eastAsia="zh-CN"/>
        </w:rPr>
        <w:t>方面的</w:t>
      </w:r>
      <w:r>
        <w:rPr>
          <w:rFonts w:hint="eastAsia" w:ascii="仿宋_GB2312" w:eastAsia="仿宋_GB2312"/>
          <w:sz w:val="32"/>
          <w:szCs w:val="32"/>
        </w:rPr>
        <w:t>支出</w:t>
      </w:r>
      <w:r>
        <w:rPr>
          <w:rFonts w:hint="eastAsia" w:ascii="仿宋_GB2312" w:eastAsia="仿宋_GB2312"/>
          <w:sz w:val="32"/>
          <w:szCs w:val="32"/>
          <w:lang w:eastAsia="zh-CN"/>
        </w:rPr>
        <w:t>。</w:t>
      </w:r>
    </w:p>
    <w:p w14:paraId="4381D2EF">
      <w:pPr>
        <w:ind w:firstLine="640" w:firstLineChars="200"/>
        <w:rPr>
          <w:rFonts w:hint="eastAsia"/>
          <w:lang w:eastAsia="zh-CN"/>
        </w:rPr>
      </w:pPr>
      <w:r>
        <w:rPr>
          <w:rFonts w:hint="eastAsia" w:ascii="仿宋_GB2312" w:eastAsia="仿宋_GB2312"/>
          <w:sz w:val="32"/>
          <w:szCs w:val="32"/>
          <w:lang w:val="en-US" w:eastAsia="zh-CN"/>
        </w:rPr>
        <w:t>21</w:t>
      </w:r>
      <w:r>
        <w:rPr>
          <w:rFonts w:ascii="仿宋_GB2312" w:eastAsia="仿宋_GB2312"/>
          <w:sz w:val="32"/>
          <w:szCs w:val="32"/>
        </w:rPr>
        <w:t>.农林水支出（213）农村综合改革（07）</w:t>
      </w:r>
      <w:r>
        <w:rPr>
          <w:rFonts w:hint="eastAsia" w:ascii="仿宋_GB2312" w:eastAsia="仿宋_GB2312"/>
          <w:sz w:val="32"/>
          <w:szCs w:val="32"/>
        </w:rPr>
        <w:t>对村级公益事业建设的补助</w:t>
      </w:r>
      <w:r>
        <w:rPr>
          <w:rFonts w:ascii="仿宋_GB2312" w:eastAsia="仿宋_GB2312"/>
          <w:sz w:val="32"/>
          <w:szCs w:val="32"/>
        </w:rPr>
        <w:t>（0</w:t>
      </w:r>
      <w:r>
        <w:rPr>
          <w:rFonts w:hint="eastAsia" w:ascii="仿宋_GB2312" w:eastAsia="仿宋_GB2312"/>
          <w:sz w:val="32"/>
          <w:szCs w:val="32"/>
          <w:lang w:val="en-US" w:eastAsia="zh-CN"/>
        </w:rPr>
        <w:t>1</w:t>
      </w:r>
      <w:r>
        <w:rPr>
          <w:rFonts w:ascii="仿宋_GB2312" w:eastAsia="仿宋_GB2312"/>
          <w:sz w:val="32"/>
          <w:szCs w:val="32"/>
        </w:rPr>
        <w:t>）：指</w:t>
      </w:r>
      <w:r>
        <w:rPr>
          <w:rFonts w:hint="eastAsia" w:ascii="仿宋_GB2312" w:eastAsia="仿宋_GB2312"/>
          <w:sz w:val="32"/>
          <w:szCs w:val="32"/>
          <w:lang w:eastAsia="zh-CN"/>
        </w:rPr>
        <w:t>农村税费改革后</w:t>
      </w:r>
      <w:r>
        <w:rPr>
          <w:rFonts w:hint="eastAsia" w:ascii="仿宋_GB2312" w:eastAsia="仿宋_GB2312"/>
          <w:sz w:val="32"/>
          <w:szCs w:val="32"/>
        </w:rPr>
        <w:t>对村级公益事业建设的补助</w:t>
      </w:r>
      <w:r>
        <w:rPr>
          <w:rFonts w:ascii="仿宋_GB2312" w:eastAsia="仿宋_GB2312"/>
          <w:sz w:val="32"/>
          <w:szCs w:val="32"/>
        </w:rPr>
        <w:t>。</w:t>
      </w:r>
    </w:p>
    <w:p w14:paraId="4F53F209">
      <w:pPr>
        <w:ind w:firstLine="640" w:firstLineChars="200"/>
        <w:rPr>
          <w:rFonts w:ascii="仿宋_GB2312" w:eastAsia="仿宋_GB2312"/>
          <w:sz w:val="32"/>
          <w:szCs w:val="32"/>
        </w:rPr>
      </w:pPr>
      <w:r>
        <w:rPr>
          <w:rFonts w:hint="eastAsia" w:ascii="仿宋_GB2312" w:eastAsia="仿宋_GB2312"/>
          <w:sz w:val="32"/>
          <w:szCs w:val="32"/>
          <w:lang w:val="en-US" w:eastAsia="zh-CN"/>
        </w:rPr>
        <w:t>22</w:t>
      </w:r>
      <w:r>
        <w:rPr>
          <w:rFonts w:ascii="仿宋_GB2312" w:eastAsia="仿宋_GB2312"/>
          <w:sz w:val="32"/>
          <w:szCs w:val="32"/>
        </w:rPr>
        <w:t>.农林水支出（213）农村综合改革（07）对村民委员会和党支部的补助（05）：指各级财政对村民委员会和村党支部的补助支出，以及支出建立县级基本财力保障机制安排的村级组织运转奖补资金。</w:t>
      </w:r>
    </w:p>
    <w:p w14:paraId="687CCE1B">
      <w:pPr>
        <w:ind w:firstLine="640" w:firstLineChars="200"/>
        <w:rPr>
          <w:rFonts w:ascii="仿宋_GB2312" w:eastAsia="仿宋_GB2312"/>
          <w:sz w:val="32"/>
          <w:szCs w:val="32"/>
        </w:rPr>
      </w:pPr>
      <w:r>
        <w:rPr>
          <w:rFonts w:hint="eastAsia" w:ascii="仿宋_GB2312" w:eastAsia="仿宋_GB2312"/>
          <w:sz w:val="32"/>
          <w:szCs w:val="32"/>
          <w:lang w:val="en-US" w:eastAsia="zh-CN"/>
        </w:rPr>
        <w:t>23</w:t>
      </w:r>
      <w:r>
        <w:rPr>
          <w:rFonts w:ascii="仿宋_GB2312" w:eastAsia="仿宋_GB2312"/>
          <w:sz w:val="32"/>
          <w:szCs w:val="32"/>
        </w:rPr>
        <w:t>.住房保障（221）住房改革支出（02）住房公积金（01）：指按照《住房公积金管理条例》的规定，由单位及其在职职工缴存的长期住房储金。</w:t>
      </w:r>
    </w:p>
    <w:p w14:paraId="4FD9B9FB">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.基本支出：指为保证机构正常运转，完成日常工作任务而发生的人员支出和公用支出。</w:t>
      </w:r>
    </w:p>
    <w:p w14:paraId="6BD24892">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.项目支出：指在基本支出之外为完成特定行政任务和事业发展目标所发生的支出。</w:t>
      </w:r>
    </w:p>
    <w:p w14:paraId="541522F8">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三公”经费：纳入部门预决算管理的“三公”经费，是指部门用财政拨款安排的因公出国（境）费、公务用车购置及运行费和公务接待费。其中，因公出国（境）费反映单位公务出国（境）的国际旅费、国外城区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A952D84">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7</w:t>
      </w:r>
      <w:r>
        <w:rPr>
          <w:rFonts w:ascii="仿宋_GB2312" w:eastAsia="仿宋_GB2312"/>
          <w:sz w:val="32"/>
          <w:szCs w:val="32"/>
        </w:rPr>
        <w:t>.机关运行经费：为保障行政单位（包含参照公务员法管理的事业单位）运行用于购买货物和服务的各项资金。包括办公及印刷费、邮电费、差旅费、会议费一般设备购置费等费用开支。</w:t>
      </w:r>
    </w:p>
    <w:p w14:paraId="29187DDE">
      <w:pPr>
        <w:spacing w:line="600" w:lineRule="exact"/>
        <w:jc w:val="center"/>
        <w:outlineLvl w:val="0"/>
        <w:rPr>
          <w:rStyle w:val="22"/>
          <w:rFonts w:ascii="黑体" w:hAnsi="黑体" w:eastAsia="黑体"/>
          <w:b w:val="0"/>
        </w:rPr>
      </w:pPr>
      <w:r>
        <w:rPr>
          <w:rFonts w:ascii="宋体"/>
          <w:b/>
          <w:sz w:val="44"/>
          <w:szCs w:val="44"/>
        </w:rPr>
        <w:br w:type="page"/>
      </w:r>
      <w:bookmarkStart w:id="52" w:name="_Toc15396614"/>
      <w:r>
        <w:rPr>
          <w:rFonts w:hint="eastAsia" w:ascii="黑体" w:hAnsi="黑体" w:eastAsia="黑体"/>
          <w:sz w:val="44"/>
          <w:szCs w:val="44"/>
        </w:rPr>
        <w:t>第</w:t>
      </w:r>
      <w:r>
        <w:rPr>
          <w:rStyle w:val="22"/>
          <w:rFonts w:hint="eastAsia" w:ascii="黑体" w:hAnsi="黑体" w:eastAsia="黑体"/>
          <w:b w:val="0"/>
        </w:rPr>
        <w:t>四部分 附件</w:t>
      </w:r>
      <w:bookmarkEnd w:id="52"/>
    </w:p>
    <w:p w14:paraId="208C8DE4">
      <w:pPr>
        <w:pStyle w:val="2"/>
        <w:spacing w:before="93"/>
        <w:rPr>
          <w:rFonts w:hint="eastAsia"/>
          <w:sz w:val="32"/>
          <w:szCs w:val="32"/>
        </w:rPr>
      </w:pPr>
    </w:p>
    <w:p w14:paraId="09BBE167">
      <w:pPr>
        <w:pStyle w:val="2"/>
        <w:spacing w:before="93"/>
        <w:rPr>
          <w:sz w:val="32"/>
          <w:szCs w:val="32"/>
        </w:rPr>
      </w:pPr>
      <w:r>
        <w:rPr>
          <w:rFonts w:hint="eastAsia"/>
          <w:sz w:val="32"/>
          <w:szCs w:val="32"/>
          <w:lang w:eastAsia="zh-CN"/>
        </w:rPr>
        <w:t>附件：</w:t>
      </w:r>
      <w:r>
        <w:rPr>
          <w:rFonts w:hint="eastAsia"/>
          <w:sz w:val="32"/>
          <w:szCs w:val="32"/>
        </w:rPr>
        <w:t>部门预算项目支出绩效自评表</w:t>
      </w:r>
    </w:p>
    <w:p w14:paraId="533499C8">
      <w:pPr>
        <w:spacing w:line="600" w:lineRule="exact"/>
        <w:jc w:val="center"/>
        <w:outlineLvl w:val="0"/>
        <w:rPr>
          <w:rFonts w:hint="eastAsia" w:ascii="黑体" w:hAnsi="黑体" w:eastAsia="黑体"/>
          <w:sz w:val="44"/>
          <w:szCs w:val="44"/>
        </w:rPr>
      </w:pPr>
      <w:bookmarkStart w:id="53" w:name="_Toc15396618"/>
    </w:p>
    <w:p w14:paraId="323D6F56">
      <w:pPr>
        <w:spacing w:line="600" w:lineRule="exact"/>
        <w:jc w:val="center"/>
        <w:outlineLvl w:val="0"/>
        <w:rPr>
          <w:rFonts w:hint="eastAsia" w:ascii="黑体" w:hAnsi="黑体" w:eastAsia="黑体"/>
          <w:sz w:val="44"/>
          <w:szCs w:val="44"/>
        </w:rPr>
      </w:pPr>
    </w:p>
    <w:p w14:paraId="116FFC61">
      <w:pPr>
        <w:spacing w:line="600" w:lineRule="exact"/>
        <w:jc w:val="center"/>
        <w:outlineLvl w:val="0"/>
        <w:rPr>
          <w:rFonts w:hint="eastAsia" w:ascii="黑体" w:hAnsi="黑体" w:eastAsia="黑体"/>
          <w:sz w:val="44"/>
          <w:szCs w:val="44"/>
        </w:rPr>
      </w:pPr>
    </w:p>
    <w:p w14:paraId="65042F7C">
      <w:pPr>
        <w:spacing w:line="600" w:lineRule="exact"/>
        <w:jc w:val="center"/>
        <w:outlineLvl w:val="0"/>
        <w:rPr>
          <w:rFonts w:hint="eastAsia" w:ascii="黑体" w:hAnsi="黑体" w:eastAsia="黑体"/>
          <w:sz w:val="44"/>
          <w:szCs w:val="44"/>
        </w:rPr>
      </w:pPr>
    </w:p>
    <w:p w14:paraId="1CCB61E6">
      <w:pPr>
        <w:spacing w:line="600" w:lineRule="exact"/>
        <w:jc w:val="center"/>
        <w:outlineLvl w:val="0"/>
        <w:rPr>
          <w:rFonts w:hint="eastAsia" w:ascii="黑体" w:hAnsi="黑体" w:eastAsia="黑体"/>
          <w:sz w:val="44"/>
          <w:szCs w:val="44"/>
        </w:rPr>
      </w:pPr>
    </w:p>
    <w:p w14:paraId="6BB4FBAC">
      <w:pPr>
        <w:spacing w:line="600" w:lineRule="exact"/>
        <w:jc w:val="center"/>
        <w:outlineLvl w:val="0"/>
        <w:rPr>
          <w:rFonts w:hint="eastAsia" w:ascii="黑体" w:hAnsi="黑体" w:eastAsia="黑体"/>
          <w:sz w:val="44"/>
          <w:szCs w:val="44"/>
        </w:rPr>
      </w:pPr>
    </w:p>
    <w:p w14:paraId="60D8A7B5">
      <w:pPr>
        <w:spacing w:line="600" w:lineRule="exact"/>
        <w:jc w:val="center"/>
        <w:outlineLvl w:val="0"/>
        <w:rPr>
          <w:rFonts w:hint="eastAsia" w:ascii="黑体" w:hAnsi="黑体" w:eastAsia="黑体"/>
          <w:sz w:val="44"/>
          <w:szCs w:val="44"/>
        </w:rPr>
      </w:pPr>
    </w:p>
    <w:p w14:paraId="3D34AACB">
      <w:pPr>
        <w:spacing w:line="600" w:lineRule="exact"/>
        <w:jc w:val="center"/>
        <w:outlineLvl w:val="0"/>
        <w:rPr>
          <w:rFonts w:hint="eastAsia" w:ascii="黑体" w:hAnsi="黑体" w:eastAsia="黑体"/>
          <w:sz w:val="44"/>
          <w:szCs w:val="44"/>
        </w:rPr>
      </w:pPr>
    </w:p>
    <w:p w14:paraId="1093AAE1">
      <w:pPr>
        <w:spacing w:line="600" w:lineRule="exact"/>
        <w:jc w:val="center"/>
        <w:outlineLvl w:val="0"/>
        <w:rPr>
          <w:rFonts w:hint="eastAsia" w:ascii="黑体" w:hAnsi="黑体" w:eastAsia="黑体"/>
          <w:sz w:val="44"/>
          <w:szCs w:val="44"/>
        </w:rPr>
      </w:pPr>
    </w:p>
    <w:p w14:paraId="27E9CA05">
      <w:pPr>
        <w:spacing w:line="600" w:lineRule="exact"/>
        <w:jc w:val="center"/>
        <w:outlineLvl w:val="0"/>
        <w:rPr>
          <w:rFonts w:hint="eastAsia" w:ascii="黑体" w:hAnsi="黑体" w:eastAsia="黑体"/>
          <w:sz w:val="44"/>
          <w:szCs w:val="44"/>
        </w:rPr>
      </w:pPr>
    </w:p>
    <w:p w14:paraId="622933BC">
      <w:pPr>
        <w:spacing w:line="600" w:lineRule="exact"/>
        <w:jc w:val="center"/>
        <w:outlineLvl w:val="0"/>
        <w:rPr>
          <w:rFonts w:hint="eastAsia" w:ascii="黑体" w:hAnsi="黑体" w:eastAsia="黑体"/>
          <w:sz w:val="44"/>
          <w:szCs w:val="44"/>
        </w:rPr>
      </w:pPr>
    </w:p>
    <w:p w14:paraId="7DF5BD59">
      <w:pPr>
        <w:spacing w:line="600" w:lineRule="exact"/>
        <w:jc w:val="center"/>
        <w:outlineLvl w:val="0"/>
        <w:rPr>
          <w:rFonts w:hint="eastAsia" w:ascii="黑体" w:hAnsi="黑体" w:eastAsia="黑体"/>
          <w:sz w:val="44"/>
          <w:szCs w:val="44"/>
        </w:rPr>
      </w:pPr>
    </w:p>
    <w:p w14:paraId="62F9EDAA">
      <w:pPr>
        <w:spacing w:line="600" w:lineRule="exact"/>
        <w:jc w:val="center"/>
        <w:outlineLvl w:val="0"/>
        <w:rPr>
          <w:rFonts w:hint="eastAsia" w:ascii="黑体" w:hAnsi="黑体" w:eastAsia="黑体"/>
          <w:sz w:val="44"/>
          <w:szCs w:val="44"/>
        </w:rPr>
      </w:pPr>
    </w:p>
    <w:p w14:paraId="4B810A56">
      <w:pPr>
        <w:spacing w:line="600" w:lineRule="exact"/>
        <w:jc w:val="center"/>
        <w:outlineLvl w:val="0"/>
        <w:rPr>
          <w:rFonts w:hint="eastAsia" w:ascii="黑体" w:hAnsi="黑体" w:eastAsia="黑体"/>
          <w:sz w:val="44"/>
          <w:szCs w:val="44"/>
        </w:rPr>
      </w:pPr>
    </w:p>
    <w:p w14:paraId="15212036">
      <w:pPr>
        <w:spacing w:line="600" w:lineRule="exact"/>
        <w:jc w:val="center"/>
        <w:outlineLvl w:val="0"/>
        <w:rPr>
          <w:rFonts w:hint="eastAsia" w:ascii="黑体" w:hAnsi="黑体" w:eastAsia="黑体"/>
          <w:sz w:val="44"/>
          <w:szCs w:val="44"/>
        </w:rPr>
      </w:pPr>
    </w:p>
    <w:p w14:paraId="7330237E">
      <w:pPr>
        <w:spacing w:line="600" w:lineRule="exact"/>
        <w:jc w:val="center"/>
        <w:outlineLvl w:val="0"/>
        <w:rPr>
          <w:rFonts w:hint="eastAsia" w:ascii="黑体" w:hAnsi="黑体" w:eastAsia="黑体"/>
          <w:sz w:val="44"/>
          <w:szCs w:val="44"/>
        </w:rPr>
      </w:pPr>
    </w:p>
    <w:p w14:paraId="0700056D">
      <w:pPr>
        <w:spacing w:line="600" w:lineRule="exact"/>
        <w:jc w:val="center"/>
        <w:outlineLvl w:val="0"/>
        <w:rPr>
          <w:rFonts w:hint="eastAsia" w:ascii="黑体" w:hAnsi="黑体" w:eastAsia="黑体"/>
          <w:sz w:val="44"/>
          <w:szCs w:val="44"/>
        </w:rPr>
      </w:pPr>
    </w:p>
    <w:p w14:paraId="78779B07">
      <w:pPr>
        <w:spacing w:line="600" w:lineRule="exact"/>
        <w:jc w:val="center"/>
        <w:outlineLvl w:val="0"/>
        <w:rPr>
          <w:rFonts w:hint="eastAsia" w:ascii="黑体" w:hAnsi="黑体" w:eastAsia="黑体"/>
          <w:sz w:val="44"/>
          <w:szCs w:val="44"/>
        </w:rPr>
      </w:pPr>
    </w:p>
    <w:p w14:paraId="1F450828">
      <w:pPr>
        <w:spacing w:line="600" w:lineRule="exact"/>
        <w:jc w:val="center"/>
        <w:outlineLvl w:val="0"/>
        <w:rPr>
          <w:rFonts w:hint="eastAsia" w:ascii="黑体" w:hAnsi="黑体" w:eastAsia="黑体"/>
          <w:sz w:val="44"/>
          <w:szCs w:val="44"/>
        </w:rPr>
      </w:pPr>
    </w:p>
    <w:p w14:paraId="1B0AB278">
      <w:pPr>
        <w:spacing w:line="600" w:lineRule="exact"/>
        <w:jc w:val="center"/>
        <w:outlineLvl w:val="0"/>
        <w:rPr>
          <w:rFonts w:hint="eastAsia" w:ascii="黑体" w:hAnsi="黑体" w:eastAsia="黑体"/>
          <w:sz w:val="44"/>
          <w:szCs w:val="44"/>
        </w:rPr>
      </w:pPr>
    </w:p>
    <w:p w14:paraId="476C089B">
      <w:pPr>
        <w:spacing w:line="600" w:lineRule="exact"/>
        <w:jc w:val="center"/>
        <w:outlineLvl w:val="0"/>
        <w:rPr>
          <w:rFonts w:hint="eastAsia" w:ascii="黑体" w:hAnsi="黑体" w:eastAsia="黑体"/>
          <w:sz w:val="44"/>
          <w:szCs w:val="44"/>
        </w:rPr>
      </w:pPr>
    </w:p>
    <w:p w14:paraId="1F5EA363">
      <w:pPr>
        <w:spacing w:line="600" w:lineRule="exact"/>
        <w:jc w:val="center"/>
        <w:outlineLvl w:val="0"/>
        <w:rPr>
          <w:rFonts w:ascii="仿宋" w:hAnsi="仿宋" w:eastAsia="仿宋"/>
        </w:rPr>
      </w:pPr>
      <w:r>
        <w:rPr>
          <w:rFonts w:hint="eastAsia" w:ascii="黑体" w:hAnsi="黑体" w:eastAsia="黑体"/>
          <w:sz w:val="44"/>
          <w:szCs w:val="44"/>
        </w:rPr>
        <w:t>第</w:t>
      </w:r>
      <w:r>
        <w:rPr>
          <w:rStyle w:val="22"/>
          <w:rFonts w:hint="eastAsia" w:ascii="黑体" w:hAnsi="黑体" w:eastAsia="黑体"/>
          <w:b w:val="0"/>
        </w:rPr>
        <w:t>五部分 附表</w:t>
      </w:r>
      <w:bookmarkEnd w:id="51"/>
      <w:bookmarkEnd w:id="53"/>
      <w:bookmarkStart w:id="54" w:name="_Toc15396619"/>
    </w:p>
    <w:p w14:paraId="293E8CDC">
      <w:pPr>
        <w:pStyle w:val="4"/>
        <w:rPr>
          <w:rFonts w:ascii="仿宋" w:hAnsi="仿宋" w:eastAsia="仿宋"/>
        </w:rPr>
      </w:pPr>
      <w:r>
        <w:rPr>
          <w:rFonts w:hint="eastAsia" w:ascii="仿宋" w:hAnsi="仿宋" w:eastAsia="仿宋"/>
          <w:b w:val="0"/>
        </w:rPr>
        <w:t>一、收</w:t>
      </w:r>
      <w:r>
        <w:rPr>
          <w:rStyle w:val="23"/>
          <w:rFonts w:hint="eastAsia" w:ascii="仿宋" w:hAnsi="仿宋" w:eastAsia="仿宋"/>
          <w:b w:val="0"/>
          <w:bCs w:val="0"/>
        </w:rPr>
        <w:t>入支出决算总表</w:t>
      </w:r>
      <w:bookmarkEnd w:id="54"/>
    </w:p>
    <w:p w14:paraId="3177CF87">
      <w:pPr>
        <w:pStyle w:val="4"/>
        <w:rPr>
          <w:rFonts w:ascii="仿宋" w:hAnsi="仿宋" w:eastAsia="仿宋"/>
        </w:rPr>
      </w:pPr>
      <w:bookmarkStart w:id="55" w:name="_Toc15396620"/>
      <w:r>
        <w:rPr>
          <w:rFonts w:hint="eastAsia" w:ascii="仿宋" w:hAnsi="仿宋" w:eastAsia="仿宋"/>
          <w:b w:val="0"/>
        </w:rPr>
        <w:t>二、收</w:t>
      </w:r>
      <w:r>
        <w:rPr>
          <w:rStyle w:val="23"/>
          <w:rFonts w:hint="eastAsia" w:ascii="仿宋" w:hAnsi="仿宋" w:eastAsia="仿宋"/>
          <w:b w:val="0"/>
          <w:bCs w:val="0"/>
        </w:rPr>
        <w:t>入决算表</w:t>
      </w:r>
      <w:bookmarkEnd w:id="55"/>
    </w:p>
    <w:p w14:paraId="220B131E">
      <w:pPr>
        <w:pStyle w:val="4"/>
        <w:rPr>
          <w:rFonts w:ascii="仿宋" w:hAnsi="仿宋" w:eastAsia="仿宋"/>
        </w:rPr>
      </w:pPr>
      <w:bookmarkStart w:id="56" w:name="_Toc15396621"/>
      <w:r>
        <w:rPr>
          <w:rStyle w:val="23"/>
          <w:rFonts w:hint="eastAsia" w:ascii="仿宋" w:hAnsi="仿宋" w:eastAsia="仿宋"/>
          <w:b w:val="0"/>
          <w:bCs w:val="0"/>
        </w:rPr>
        <w:t>三、</w:t>
      </w:r>
      <w:r>
        <w:rPr>
          <w:rFonts w:hint="eastAsia" w:ascii="仿宋" w:hAnsi="仿宋" w:eastAsia="仿宋"/>
          <w:b w:val="0"/>
        </w:rPr>
        <w:t>支</w:t>
      </w:r>
      <w:r>
        <w:rPr>
          <w:rStyle w:val="23"/>
          <w:rFonts w:hint="eastAsia" w:ascii="仿宋" w:hAnsi="仿宋" w:eastAsia="仿宋"/>
          <w:b w:val="0"/>
          <w:bCs w:val="0"/>
        </w:rPr>
        <w:t>出决算表</w:t>
      </w:r>
      <w:bookmarkEnd w:id="56"/>
    </w:p>
    <w:p w14:paraId="609071AC">
      <w:pPr>
        <w:pStyle w:val="4"/>
        <w:rPr>
          <w:rFonts w:ascii="仿宋" w:hAnsi="仿宋" w:eastAsia="仿宋"/>
          <w:b w:val="0"/>
        </w:rPr>
      </w:pPr>
      <w:bookmarkStart w:id="57" w:name="_Toc15396622"/>
      <w:r>
        <w:rPr>
          <w:rStyle w:val="23"/>
          <w:rFonts w:hint="eastAsia" w:ascii="仿宋" w:hAnsi="仿宋" w:eastAsia="仿宋"/>
          <w:b w:val="0"/>
          <w:bCs w:val="0"/>
        </w:rPr>
        <w:t>四、</w:t>
      </w:r>
      <w:r>
        <w:rPr>
          <w:rFonts w:hint="eastAsia" w:ascii="仿宋" w:hAnsi="仿宋" w:eastAsia="仿宋"/>
          <w:b w:val="0"/>
        </w:rPr>
        <w:t>财</w:t>
      </w:r>
      <w:r>
        <w:rPr>
          <w:rStyle w:val="23"/>
          <w:rFonts w:hint="eastAsia" w:ascii="仿宋" w:hAnsi="仿宋" w:eastAsia="仿宋"/>
          <w:b w:val="0"/>
          <w:bCs w:val="0"/>
        </w:rPr>
        <w:t>政拨款收入支出决算总表</w:t>
      </w:r>
      <w:bookmarkEnd w:id="57"/>
    </w:p>
    <w:p w14:paraId="46538D17">
      <w:pPr>
        <w:pStyle w:val="4"/>
        <w:rPr>
          <w:rStyle w:val="23"/>
          <w:rFonts w:ascii="仿宋" w:hAnsi="仿宋" w:eastAsia="仿宋"/>
          <w:b w:val="0"/>
          <w:bCs w:val="0"/>
        </w:rPr>
      </w:pPr>
      <w:bookmarkStart w:id="58" w:name="_Toc15396623"/>
      <w:r>
        <w:rPr>
          <w:rStyle w:val="23"/>
          <w:rFonts w:hint="eastAsia" w:ascii="仿宋" w:hAnsi="仿宋" w:eastAsia="仿宋"/>
          <w:b w:val="0"/>
          <w:bCs w:val="0"/>
        </w:rPr>
        <w:t>五、</w:t>
      </w:r>
      <w:r>
        <w:rPr>
          <w:rFonts w:hint="eastAsia" w:ascii="仿宋" w:hAnsi="仿宋" w:eastAsia="仿宋"/>
          <w:b w:val="0"/>
        </w:rPr>
        <w:t>财</w:t>
      </w:r>
      <w:r>
        <w:rPr>
          <w:rStyle w:val="23"/>
          <w:rFonts w:hint="eastAsia" w:ascii="仿宋" w:hAnsi="仿宋" w:eastAsia="仿宋"/>
          <w:b w:val="0"/>
          <w:bCs w:val="0"/>
        </w:rPr>
        <w:t>政拨款支出决算明细表</w:t>
      </w:r>
      <w:bookmarkEnd w:id="58"/>
      <w:bookmarkStart w:id="59" w:name="_Toc15396624"/>
    </w:p>
    <w:p w14:paraId="678B44F3">
      <w:pPr>
        <w:pStyle w:val="4"/>
        <w:rPr>
          <w:rFonts w:ascii="仿宋" w:hAnsi="仿宋" w:eastAsia="仿宋"/>
        </w:rPr>
      </w:pPr>
      <w:r>
        <w:rPr>
          <w:rStyle w:val="23"/>
          <w:rFonts w:hint="eastAsia" w:ascii="仿宋" w:hAnsi="仿宋" w:eastAsia="仿宋"/>
          <w:b w:val="0"/>
          <w:bCs w:val="0"/>
        </w:rPr>
        <w:t>六、</w:t>
      </w:r>
      <w:r>
        <w:rPr>
          <w:rFonts w:hint="eastAsia" w:ascii="仿宋" w:hAnsi="仿宋" w:eastAsia="仿宋"/>
          <w:b w:val="0"/>
        </w:rPr>
        <w:t>一</w:t>
      </w:r>
      <w:r>
        <w:rPr>
          <w:rStyle w:val="23"/>
          <w:rFonts w:hint="eastAsia" w:ascii="仿宋" w:hAnsi="仿宋" w:eastAsia="仿宋"/>
          <w:b w:val="0"/>
          <w:bCs w:val="0"/>
        </w:rPr>
        <w:t>般公共预算财政拨款支出决算表</w:t>
      </w:r>
      <w:bookmarkEnd w:id="59"/>
    </w:p>
    <w:p w14:paraId="7E8EEDE3">
      <w:pPr>
        <w:pStyle w:val="4"/>
        <w:rPr>
          <w:rFonts w:ascii="仿宋" w:hAnsi="仿宋" w:eastAsia="仿宋"/>
        </w:rPr>
      </w:pPr>
      <w:bookmarkStart w:id="60" w:name="_Toc15396625"/>
      <w:r>
        <w:rPr>
          <w:rStyle w:val="23"/>
          <w:rFonts w:hint="eastAsia" w:ascii="仿宋" w:hAnsi="仿宋" w:eastAsia="仿宋"/>
          <w:b w:val="0"/>
          <w:bCs w:val="0"/>
        </w:rPr>
        <w:t>七、</w:t>
      </w:r>
      <w:r>
        <w:rPr>
          <w:rFonts w:hint="eastAsia" w:ascii="仿宋" w:hAnsi="仿宋" w:eastAsia="仿宋"/>
          <w:b w:val="0"/>
        </w:rPr>
        <w:t>一</w:t>
      </w:r>
      <w:r>
        <w:rPr>
          <w:rStyle w:val="23"/>
          <w:rFonts w:hint="eastAsia" w:ascii="仿宋" w:hAnsi="仿宋" w:eastAsia="仿宋"/>
          <w:b w:val="0"/>
          <w:bCs w:val="0"/>
        </w:rPr>
        <w:t>般公共预算财政拨款支出决算明细表</w:t>
      </w:r>
      <w:bookmarkEnd w:id="60"/>
    </w:p>
    <w:p w14:paraId="16DAC5A9">
      <w:pPr>
        <w:pStyle w:val="4"/>
        <w:rPr>
          <w:rFonts w:ascii="仿宋" w:hAnsi="仿宋" w:eastAsia="仿宋"/>
        </w:rPr>
      </w:pPr>
      <w:bookmarkStart w:id="61" w:name="_Toc15396626"/>
      <w:r>
        <w:rPr>
          <w:rStyle w:val="23"/>
          <w:rFonts w:hint="eastAsia" w:ascii="仿宋" w:hAnsi="仿宋" w:eastAsia="仿宋"/>
          <w:b w:val="0"/>
          <w:bCs w:val="0"/>
        </w:rPr>
        <w:t>八、</w:t>
      </w:r>
      <w:r>
        <w:rPr>
          <w:rFonts w:hint="eastAsia" w:ascii="仿宋" w:hAnsi="仿宋" w:eastAsia="仿宋"/>
          <w:b w:val="0"/>
        </w:rPr>
        <w:t>一</w:t>
      </w:r>
      <w:r>
        <w:rPr>
          <w:rStyle w:val="23"/>
          <w:rFonts w:hint="eastAsia" w:ascii="仿宋" w:hAnsi="仿宋" w:eastAsia="仿宋"/>
          <w:b w:val="0"/>
          <w:bCs w:val="0"/>
        </w:rPr>
        <w:t>般公共预算财政拨款基本支出决算表</w:t>
      </w:r>
      <w:bookmarkEnd w:id="61"/>
    </w:p>
    <w:p w14:paraId="7D224400">
      <w:pPr>
        <w:pStyle w:val="4"/>
        <w:rPr>
          <w:rFonts w:ascii="仿宋" w:hAnsi="仿宋" w:eastAsia="仿宋"/>
        </w:rPr>
      </w:pPr>
      <w:bookmarkStart w:id="62" w:name="_Toc15396627"/>
      <w:r>
        <w:rPr>
          <w:rStyle w:val="23"/>
          <w:rFonts w:hint="eastAsia" w:ascii="仿宋" w:hAnsi="仿宋" w:eastAsia="仿宋"/>
          <w:b w:val="0"/>
          <w:bCs w:val="0"/>
        </w:rPr>
        <w:t>九、</w:t>
      </w:r>
      <w:r>
        <w:rPr>
          <w:rFonts w:hint="eastAsia" w:ascii="仿宋" w:hAnsi="仿宋" w:eastAsia="仿宋"/>
          <w:b w:val="0"/>
        </w:rPr>
        <w:t>一</w:t>
      </w:r>
      <w:r>
        <w:rPr>
          <w:rStyle w:val="23"/>
          <w:rFonts w:hint="eastAsia" w:ascii="仿宋" w:hAnsi="仿宋" w:eastAsia="仿宋"/>
          <w:b w:val="0"/>
          <w:bCs w:val="0"/>
        </w:rPr>
        <w:t>般公共预算财政拨款项目支出决算表</w:t>
      </w:r>
      <w:bookmarkEnd w:id="62"/>
    </w:p>
    <w:p w14:paraId="44BB062A">
      <w:pPr>
        <w:pStyle w:val="4"/>
        <w:rPr>
          <w:rFonts w:ascii="仿宋" w:hAnsi="仿宋" w:eastAsia="仿宋"/>
        </w:rPr>
      </w:pPr>
      <w:bookmarkStart w:id="63" w:name="_Toc15396628"/>
      <w:r>
        <w:rPr>
          <w:rStyle w:val="23"/>
          <w:rFonts w:hint="eastAsia" w:ascii="仿宋" w:hAnsi="仿宋" w:eastAsia="仿宋"/>
          <w:b w:val="0"/>
          <w:bCs w:val="0"/>
        </w:rPr>
        <w:t>十、</w:t>
      </w:r>
      <w:bookmarkEnd w:id="63"/>
      <w:r>
        <w:rPr>
          <w:rFonts w:hint="eastAsia" w:ascii="仿宋" w:hAnsi="仿宋" w:eastAsia="仿宋"/>
          <w:b w:val="0"/>
        </w:rPr>
        <w:t>政</w:t>
      </w:r>
      <w:r>
        <w:rPr>
          <w:rStyle w:val="23"/>
          <w:rFonts w:hint="eastAsia" w:ascii="仿宋" w:hAnsi="仿宋" w:eastAsia="仿宋"/>
          <w:b w:val="0"/>
          <w:bCs w:val="0"/>
        </w:rPr>
        <w:t>府性基金预算财政拨款收入支出决算表</w:t>
      </w:r>
    </w:p>
    <w:p w14:paraId="0CBC71AE">
      <w:pPr>
        <w:pStyle w:val="4"/>
        <w:rPr>
          <w:rFonts w:ascii="仿宋" w:hAnsi="仿宋" w:eastAsia="仿宋"/>
        </w:rPr>
      </w:pPr>
      <w:bookmarkStart w:id="64" w:name="_Toc15396629"/>
      <w:r>
        <w:rPr>
          <w:rStyle w:val="23"/>
          <w:rFonts w:hint="eastAsia" w:ascii="仿宋" w:hAnsi="仿宋" w:eastAsia="仿宋"/>
          <w:b w:val="0"/>
          <w:bCs w:val="0"/>
        </w:rPr>
        <w:t>十一、</w:t>
      </w:r>
      <w:bookmarkEnd w:id="64"/>
      <w:r>
        <w:rPr>
          <w:rFonts w:hint="eastAsia" w:ascii="仿宋" w:hAnsi="仿宋" w:eastAsia="仿宋"/>
          <w:b w:val="0"/>
        </w:rPr>
        <w:t>国</w:t>
      </w:r>
      <w:r>
        <w:rPr>
          <w:rStyle w:val="23"/>
          <w:rFonts w:hint="eastAsia" w:ascii="仿宋" w:hAnsi="仿宋" w:eastAsia="仿宋"/>
          <w:b w:val="0"/>
          <w:bCs w:val="0"/>
        </w:rPr>
        <w:t>有资本经营预算财政拨款收入支出决算表</w:t>
      </w:r>
    </w:p>
    <w:p w14:paraId="41168FA2">
      <w:pPr>
        <w:pStyle w:val="4"/>
        <w:rPr>
          <w:rFonts w:ascii="仿宋" w:hAnsi="仿宋" w:eastAsia="仿宋"/>
        </w:rPr>
      </w:pPr>
      <w:bookmarkStart w:id="65" w:name="_Toc15396630"/>
      <w:r>
        <w:rPr>
          <w:rStyle w:val="23"/>
          <w:rFonts w:hint="eastAsia" w:ascii="仿宋" w:hAnsi="仿宋" w:eastAsia="仿宋"/>
          <w:b w:val="0"/>
          <w:bCs w:val="0"/>
        </w:rPr>
        <w:t>十二、</w:t>
      </w:r>
      <w:bookmarkEnd w:id="65"/>
      <w:r>
        <w:rPr>
          <w:rStyle w:val="23"/>
          <w:rFonts w:hint="eastAsia" w:ascii="仿宋" w:hAnsi="仿宋" w:eastAsia="仿宋"/>
          <w:b w:val="0"/>
          <w:bCs w:val="0"/>
        </w:rPr>
        <w:t>国有资本经营预算财政拨款支出决算表</w:t>
      </w:r>
    </w:p>
    <w:p w14:paraId="69229A07">
      <w:pPr>
        <w:pStyle w:val="4"/>
        <w:rPr>
          <w:rFonts w:eastAsia="仿宋"/>
        </w:rPr>
      </w:pPr>
      <w:bookmarkStart w:id="66" w:name="_Toc15396631"/>
      <w:r>
        <w:rPr>
          <w:rStyle w:val="23"/>
          <w:rFonts w:hint="eastAsia" w:ascii="仿宋" w:hAnsi="仿宋" w:eastAsia="仿宋"/>
          <w:b w:val="0"/>
          <w:bCs w:val="0"/>
        </w:rPr>
        <w:t>十三、</w:t>
      </w:r>
      <w:bookmarkEnd w:id="66"/>
      <w:r>
        <w:rPr>
          <w:rStyle w:val="23"/>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05A48">
    <w:pPr>
      <w:pStyle w:val="10"/>
    </w:pPr>
    <w:r>
      <w:pict>
        <v:shape id="_x0000_s1029" o:spid="_x0000_s102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path/>
          <v:fill on="f" focussize="0,0"/>
          <v:stroke on="f" weight="0.5pt" joinstyle="miter"/>
          <v:imagedata o:title=""/>
          <o:lock v:ext="edit"/>
          <v:textbox inset="0mm,0mm,0mm,0mm" style="mso-fit-shape-to-text:t;">
            <w:txbxContent>
              <w:p w14:paraId="567CC27B">
                <w:pPr>
                  <w:pStyle w:val="10"/>
                </w:pPr>
                <w:r>
                  <w:fldChar w:fldCharType="begin"/>
                </w:r>
                <w:r>
                  <w:instrText xml:space="preserve"> PAGE  \* MERGEFORMAT </w:instrText>
                </w:r>
                <w:r>
                  <w:fldChar w:fldCharType="separate"/>
                </w:r>
                <w:r>
                  <w:t>68</w:t>
                </w:r>
                <w:r>
                  <w:fldChar w:fldCharType="end"/>
                </w:r>
              </w:p>
            </w:txbxContent>
          </v:textbox>
        </v:shape>
      </w:pict>
    </w:r>
    <w:r>
      <w:rPr>
        <w:rFonts w:hint="eastAsia"/>
      </w:rPr>
      <w:t>69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E2085">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14D50EC"/>
    <w:multiLevelType w:val="multilevel"/>
    <w:tmpl w:val="214D50EC"/>
    <w:lvl w:ilvl="0" w:tentative="0">
      <w:start w:val="1"/>
      <w:numFmt w:val="japaneseCounting"/>
      <w:lvlText w:val="%1、"/>
      <w:lvlJc w:val="left"/>
      <w:pPr>
        <w:ind w:left="802"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BA63B3F"/>
    <w:multiLevelType w:val="multilevel"/>
    <w:tmpl w:val="5BA63B3F"/>
    <w:lvl w:ilvl="0" w:tentative="0">
      <w:start w:val="1"/>
      <w:numFmt w:val="japaneseCounting"/>
      <w:lvlText w:val="（%1）"/>
      <w:lvlJc w:val="left"/>
      <w:pPr>
        <w:ind w:left="1585" w:hanging="945"/>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EwZjFjNjZkOTRiZTFmMmZlZWIyMGVlODg0YjA2NjMifQ=="/>
  </w:docVars>
  <w:rsids>
    <w:rsidRoot w:val="00F1361C"/>
    <w:rsid w:val="000222C6"/>
    <w:rsid w:val="0002549F"/>
    <w:rsid w:val="000468DB"/>
    <w:rsid w:val="0006487A"/>
    <w:rsid w:val="00065F8F"/>
    <w:rsid w:val="00070A43"/>
    <w:rsid w:val="00074FA9"/>
    <w:rsid w:val="000768F2"/>
    <w:rsid w:val="0009184B"/>
    <w:rsid w:val="000927CD"/>
    <w:rsid w:val="00094236"/>
    <w:rsid w:val="0009593C"/>
    <w:rsid w:val="00097322"/>
    <w:rsid w:val="000A6A92"/>
    <w:rsid w:val="000B047F"/>
    <w:rsid w:val="000B0E59"/>
    <w:rsid w:val="000B5923"/>
    <w:rsid w:val="000B5A48"/>
    <w:rsid w:val="000B6FF3"/>
    <w:rsid w:val="000C13B3"/>
    <w:rsid w:val="000C3208"/>
    <w:rsid w:val="000C3467"/>
    <w:rsid w:val="000C3CA6"/>
    <w:rsid w:val="000D0EEB"/>
    <w:rsid w:val="000D1267"/>
    <w:rsid w:val="000D1D50"/>
    <w:rsid w:val="000D5782"/>
    <w:rsid w:val="000D7E27"/>
    <w:rsid w:val="000E2162"/>
    <w:rsid w:val="000E6613"/>
    <w:rsid w:val="000E7119"/>
    <w:rsid w:val="00114E9B"/>
    <w:rsid w:val="00121A3C"/>
    <w:rsid w:val="00142216"/>
    <w:rsid w:val="00144D6A"/>
    <w:rsid w:val="0014729F"/>
    <w:rsid w:val="00156330"/>
    <w:rsid w:val="00157BAB"/>
    <w:rsid w:val="001654D1"/>
    <w:rsid w:val="00174518"/>
    <w:rsid w:val="0018106D"/>
    <w:rsid w:val="00182560"/>
    <w:rsid w:val="001827ED"/>
    <w:rsid w:val="001877A7"/>
    <w:rsid w:val="00191536"/>
    <w:rsid w:val="00196687"/>
    <w:rsid w:val="001A4D63"/>
    <w:rsid w:val="001B760C"/>
    <w:rsid w:val="001C0962"/>
    <w:rsid w:val="001C55E8"/>
    <w:rsid w:val="001D7531"/>
    <w:rsid w:val="001E737D"/>
    <w:rsid w:val="001F0592"/>
    <w:rsid w:val="001F7506"/>
    <w:rsid w:val="002006CD"/>
    <w:rsid w:val="00202B36"/>
    <w:rsid w:val="00204B7A"/>
    <w:rsid w:val="00204CDE"/>
    <w:rsid w:val="0020786F"/>
    <w:rsid w:val="0021101A"/>
    <w:rsid w:val="00220536"/>
    <w:rsid w:val="00235629"/>
    <w:rsid w:val="00260C38"/>
    <w:rsid w:val="002616C0"/>
    <w:rsid w:val="00265372"/>
    <w:rsid w:val="002662AA"/>
    <w:rsid w:val="00280496"/>
    <w:rsid w:val="002835EB"/>
    <w:rsid w:val="00294DC9"/>
    <w:rsid w:val="00295495"/>
    <w:rsid w:val="002A31DE"/>
    <w:rsid w:val="002A658E"/>
    <w:rsid w:val="002B2613"/>
    <w:rsid w:val="002B6493"/>
    <w:rsid w:val="002C1022"/>
    <w:rsid w:val="002D6D05"/>
    <w:rsid w:val="002E03D5"/>
    <w:rsid w:val="002F1818"/>
    <w:rsid w:val="002F567B"/>
    <w:rsid w:val="00313940"/>
    <w:rsid w:val="00320F0A"/>
    <w:rsid w:val="003216A9"/>
    <w:rsid w:val="00335A74"/>
    <w:rsid w:val="0036561B"/>
    <w:rsid w:val="0037013F"/>
    <w:rsid w:val="00380C92"/>
    <w:rsid w:val="003A484F"/>
    <w:rsid w:val="003A4883"/>
    <w:rsid w:val="003B0A0C"/>
    <w:rsid w:val="003B0BE0"/>
    <w:rsid w:val="003B0C1B"/>
    <w:rsid w:val="003B688C"/>
    <w:rsid w:val="003C0291"/>
    <w:rsid w:val="003C349D"/>
    <w:rsid w:val="003C39AE"/>
    <w:rsid w:val="003C5AE9"/>
    <w:rsid w:val="003C7B60"/>
    <w:rsid w:val="003D0C0F"/>
    <w:rsid w:val="003D1FB2"/>
    <w:rsid w:val="003D66DA"/>
    <w:rsid w:val="003E1310"/>
    <w:rsid w:val="003E6F55"/>
    <w:rsid w:val="003E7738"/>
    <w:rsid w:val="003E784B"/>
    <w:rsid w:val="003F1892"/>
    <w:rsid w:val="00406254"/>
    <w:rsid w:val="004223DE"/>
    <w:rsid w:val="0043340C"/>
    <w:rsid w:val="00434489"/>
    <w:rsid w:val="00437085"/>
    <w:rsid w:val="00443880"/>
    <w:rsid w:val="004464F4"/>
    <w:rsid w:val="00460096"/>
    <w:rsid w:val="0046578A"/>
    <w:rsid w:val="00471401"/>
    <w:rsid w:val="00473F31"/>
    <w:rsid w:val="00481CA7"/>
    <w:rsid w:val="0048263A"/>
    <w:rsid w:val="00483F20"/>
    <w:rsid w:val="00487E5D"/>
    <w:rsid w:val="004A711F"/>
    <w:rsid w:val="004B199D"/>
    <w:rsid w:val="004B4690"/>
    <w:rsid w:val="004C45C2"/>
    <w:rsid w:val="004D24DE"/>
    <w:rsid w:val="004E0A2D"/>
    <w:rsid w:val="004E206B"/>
    <w:rsid w:val="004E6DF7"/>
    <w:rsid w:val="004F0FBD"/>
    <w:rsid w:val="00505A47"/>
    <w:rsid w:val="00512FDA"/>
    <w:rsid w:val="00520DA0"/>
    <w:rsid w:val="00526CA4"/>
    <w:rsid w:val="00560AD0"/>
    <w:rsid w:val="005664BB"/>
    <w:rsid w:val="00566FFA"/>
    <w:rsid w:val="0057481D"/>
    <w:rsid w:val="0058486E"/>
    <w:rsid w:val="00585B33"/>
    <w:rsid w:val="0059014D"/>
    <w:rsid w:val="00590714"/>
    <w:rsid w:val="0059127D"/>
    <w:rsid w:val="00591F84"/>
    <w:rsid w:val="005A6CB5"/>
    <w:rsid w:val="005B5C64"/>
    <w:rsid w:val="005C5337"/>
    <w:rsid w:val="005C6BD0"/>
    <w:rsid w:val="005D0BB5"/>
    <w:rsid w:val="005D1C8B"/>
    <w:rsid w:val="005D468D"/>
    <w:rsid w:val="005D5BB6"/>
    <w:rsid w:val="005D5CED"/>
    <w:rsid w:val="005F1A4C"/>
    <w:rsid w:val="00602F41"/>
    <w:rsid w:val="00605688"/>
    <w:rsid w:val="006070AF"/>
    <w:rsid w:val="00607E6C"/>
    <w:rsid w:val="006101B1"/>
    <w:rsid w:val="00614E44"/>
    <w:rsid w:val="0062270A"/>
    <w:rsid w:val="00622830"/>
    <w:rsid w:val="00623DA0"/>
    <w:rsid w:val="006262AE"/>
    <w:rsid w:val="00630AEF"/>
    <w:rsid w:val="006325F8"/>
    <w:rsid w:val="00633463"/>
    <w:rsid w:val="00634C9A"/>
    <w:rsid w:val="00637938"/>
    <w:rsid w:val="006409AD"/>
    <w:rsid w:val="006412D5"/>
    <w:rsid w:val="006440E4"/>
    <w:rsid w:val="00654B90"/>
    <w:rsid w:val="00655E40"/>
    <w:rsid w:val="0066343B"/>
    <w:rsid w:val="00664777"/>
    <w:rsid w:val="006748A4"/>
    <w:rsid w:val="00681A31"/>
    <w:rsid w:val="00683E73"/>
    <w:rsid w:val="006A3141"/>
    <w:rsid w:val="006A5E34"/>
    <w:rsid w:val="006A7D63"/>
    <w:rsid w:val="006B17A5"/>
    <w:rsid w:val="006B2422"/>
    <w:rsid w:val="006B2B9A"/>
    <w:rsid w:val="006C1937"/>
    <w:rsid w:val="006E2B54"/>
    <w:rsid w:val="006F020C"/>
    <w:rsid w:val="007127B7"/>
    <w:rsid w:val="0071798E"/>
    <w:rsid w:val="00726030"/>
    <w:rsid w:val="007416B6"/>
    <w:rsid w:val="00746F48"/>
    <w:rsid w:val="0075404D"/>
    <w:rsid w:val="0076182A"/>
    <w:rsid w:val="00767B7E"/>
    <w:rsid w:val="007734A4"/>
    <w:rsid w:val="007770C3"/>
    <w:rsid w:val="00784D24"/>
    <w:rsid w:val="00785FBA"/>
    <w:rsid w:val="00786E4A"/>
    <w:rsid w:val="007875EB"/>
    <w:rsid w:val="0079426B"/>
    <w:rsid w:val="0079459E"/>
    <w:rsid w:val="00797CEC"/>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45057"/>
    <w:rsid w:val="00850625"/>
    <w:rsid w:val="00853718"/>
    <w:rsid w:val="00855221"/>
    <w:rsid w:val="00860645"/>
    <w:rsid w:val="00863BC8"/>
    <w:rsid w:val="00871F71"/>
    <w:rsid w:val="00872FD8"/>
    <w:rsid w:val="00885AF4"/>
    <w:rsid w:val="008934EF"/>
    <w:rsid w:val="008939CD"/>
    <w:rsid w:val="008953D4"/>
    <w:rsid w:val="008B389D"/>
    <w:rsid w:val="008B768C"/>
    <w:rsid w:val="008C3391"/>
    <w:rsid w:val="008C4DB1"/>
    <w:rsid w:val="008C4EAF"/>
    <w:rsid w:val="008C5176"/>
    <w:rsid w:val="008C7FD0"/>
    <w:rsid w:val="008E1DE7"/>
    <w:rsid w:val="008E5E73"/>
    <w:rsid w:val="008E707C"/>
    <w:rsid w:val="00900B08"/>
    <w:rsid w:val="00902155"/>
    <w:rsid w:val="00902FA3"/>
    <w:rsid w:val="0091776D"/>
    <w:rsid w:val="00923564"/>
    <w:rsid w:val="0092392E"/>
    <w:rsid w:val="00930799"/>
    <w:rsid w:val="009315F9"/>
    <w:rsid w:val="00933499"/>
    <w:rsid w:val="00935C98"/>
    <w:rsid w:val="00940EA1"/>
    <w:rsid w:val="00945D27"/>
    <w:rsid w:val="00946945"/>
    <w:rsid w:val="00951248"/>
    <w:rsid w:val="0095152F"/>
    <w:rsid w:val="009542F2"/>
    <w:rsid w:val="00954C49"/>
    <w:rsid w:val="00955E37"/>
    <w:rsid w:val="0097099F"/>
    <w:rsid w:val="00971997"/>
    <w:rsid w:val="00971FFC"/>
    <w:rsid w:val="0098660A"/>
    <w:rsid w:val="009931C3"/>
    <w:rsid w:val="009A72E4"/>
    <w:rsid w:val="009B2C43"/>
    <w:rsid w:val="009B4EAE"/>
    <w:rsid w:val="009B7573"/>
    <w:rsid w:val="009C0ED9"/>
    <w:rsid w:val="009C22F4"/>
    <w:rsid w:val="009C2A4B"/>
    <w:rsid w:val="009C2BA1"/>
    <w:rsid w:val="009C2E98"/>
    <w:rsid w:val="009C2F25"/>
    <w:rsid w:val="009D3447"/>
    <w:rsid w:val="009D4711"/>
    <w:rsid w:val="009E21D0"/>
    <w:rsid w:val="009F1185"/>
    <w:rsid w:val="009F18CD"/>
    <w:rsid w:val="009F2A13"/>
    <w:rsid w:val="009F7527"/>
    <w:rsid w:val="00A04EB0"/>
    <w:rsid w:val="00A07D44"/>
    <w:rsid w:val="00A13CC1"/>
    <w:rsid w:val="00A14EB2"/>
    <w:rsid w:val="00A16847"/>
    <w:rsid w:val="00A237D8"/>
    <w:rsid w:val="00A268C4"/>
    <w:rsid w:val="00A307CD"/>
    <w:rsid w:val="00A331C8"/>
    <w:rsid w:val="00A33358"/>
    <w:rsid w:val="00A400A7"/>
    <w:rsid w:val="00A40A00"/>
    <w:rsid w:val="00A4142F"/>
    <w:rsid w:val="00A422EB"/>
    <w:rsid w:val="00A45BB7"/>
    <w:rsid w:val="00A56DF2"/>
    <w:rsid w:val="00A56E6E"/>
    <w:rsid w:val="00A616EB"/>
    <w:rsid w:val="00A67AB5"/>
    <w:rsid w:val="00A733B2"/>
    <w:rsid w:val="00A741C2"/>
    <w:rsid w:val="00A8453C"/>
    <w:rsid w:val="00A91760"/>
    <w:rsid w:val="00A93B00"/>
    <w:rsid w:val="00A93C21"/>
    <w:rsid w:val="00AB64C9"/>
    <w:rsid w:val="00AC3C6A"/>
    <w:rsid w:val="00AC7A4D"/>
    <w:rsid w:val="00AD0139"/>
    <w:rsid w:val="00AD5620"/>
    <w:rsid w:val="00AD656B"/>
    <w:rsid w:val="00AD7C1B"/>
    <w:rsid w:val="00AE16BA"/>
    <w:rsid w:val="00AE1EBE"/>
    <w:rsid w:val="00AE769E"/>
    <w:rsid w:val="00AF2A06"/>
    <w:rsid w:val="00B03C9D"/>
    <w:rsid w:val="00B060AE"/>
    <w:rsid w:val="00B10517"/>
    <w:rsid w:val="00B138F2"/>
    <w:rsid w:val="00B14E76"/>
    <w:rsid w:val="00B161B8"/>
    <w:rsid w:val="00B2048C"/>
    <w:rsid w:val="00B23F92"/>
    <w:rsid w:val="00B26A87"/>
    <w:rsid w:val="00B310B9"/>
    <w:rsid w:val="00B35F3F"/>
    <w:rsid w:val="00B36CBB"/>
    <w:rsid w:val="00B425E0"/>
    <w:rsid w:val="00B440AA"/>
    <w:rsid w:val="00B44B70"/>
    <w:rsid w:val="00B51781"/>
    <w:rsid w:val="00B53C56"/>
    <w:rsid w:val="00B57DAF"/>
    <w:rsid w:val="00B77EA6"/>
    <w:rsid w:val="00B81598"/>
    <w:rsid w:val="00B841F1"/>
    <w:rsid w:val="00B944D6"/>
    <w:rsid w:val="00BB3E54"/>
    <w:rsid w:val="00BB4DF0"/>
    <w:rsid w:val="00BC289F"/>
    <w:rsid w:val="00BC2D50"/>
    <w:rsid w:val="00BC5361"/>
    <w:rsid w:val="00BC5460"/>
    <w:rsid w:val="00BC6B50"/>
    <w:rsid w:val="00BD0E25"/>
    <w:rsid w:val="00BE19E0"/>
    <w:rsid w:val="00BF5BD6"/>
    <w:rsid w:val="00C03E31"/>
    <w:rsid w:val="00C20913"/>
    <w:rsid w:val="00C33E72"/>
    <w:rsid w:val="00C354B2"/>
    <w:rsid w:val="00C35554"/>
    <w:rsid w:val="00C42709"/>
    <w:rsid w:val="00C533CC"/>
    <w:rsid w:val="00C5751C"/>
    <w:rsid w:val="00C61BFC"/>
    <w:rsid w:val="00C62B85"/>
    <w:rsid w:val="00C65438"/>
    <w:rsid w:val="00C843C4"/>
    <w:rsid w:val="00C87FD8"/>
    <w:rsid w:val="00C91381"/>
    <w:rsid w:val="00C91CBB"/>
    <w:rsid w:val="00CB2AD2"/>
    <w:rsid w:val="00CB4E70"/>
    <w:rsid w:val="00CC09B6"/>
    <w:rsid w:val="00CC666F"/>
    <w:rsid w:val="00CD1E3F"/>
    <w:rsid w:val="00CD2A29"/>
    <w:rsid w:val="00CE44F6"/>
    <w:rsid w:val="00CE49DA"/>
    <w:rsid w:val="00CE7B61"/>
    <w:rsid w:val="00CF4F17"/>
    <w:rsid w:val="00D00095"/>
    <w:rsid w:val="00D114F0"/>
    <w:rsid w:val="00D20620"/>
    <w:rsid w:val="00D254F7"/>
    <w:rsid w:val="00D26091"/>
    <w:rsid w:val="00D2685C"/>
    <w:rsid w:val="00D34E7C"/>
    <w:rsid w:val="00D35489"/>
    <w:rsid w:val="00D36AFE"/>
    <w:rsid w:val="00D471E9"/>
    <w:rsid w:val="00D511BD"/>
    <w:rsid w:val="00D51276"/>
    <w:rsid w:val="00D51FBD"/>
    <w:rsid w:val="00D7035F"/>
    <w:rsid w:val="00D738C2"/>
    <w:rsid w:val="00D910EF"/>
    <w:rsid w:val="00DA634F"/>
    <w:rsid w:val="00DA65AC"/>
    <w:rsid w:val="00DB1913"/>
    <w:rsid w:val="00DC410D"/>
    <w:rsid w:val="00DC5A81"/>
    <w:rsid w:val="00DC68CA"/>
    <w:rsid w:val="00DC7978"/>
    <w:rsid w:val="00DC7CBA"/>
    <w:rsid w:val="00DD73B7"/>
    <w:rsid w:val="00DF28BC"/>
    <w:rsid w:val="00DF34B9"/>
    <w:rsid w:val="00E01053"/>
    <w:rsid w:val="00E07ACF"/>
    <w:rsid w:val="00E1675D"/>
    <w:rsid w:val="00E331A1"/>
    <w:rsid w:val="00E33202"/>
    <w:rsid w:val="00E336A9"/>
    <w:rsid w:val="00E4479A"/>
    <w:rsid w:val="00E472B1"/>
    <w:rsid w:val="00E50624"/>
    <w:rsid w:val="00E568DF"/>
    <w:rsid w:val="00E64269"/>
    <w:rsid w:val="00E82267"/>
    <w:rsid w:val="00E853CE"/>
    <w:rsid w:val="00E865C2"/>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6A4D"/>
    <w:rsid w:val="00F2408F"/>
    <w:rsid w:val="00F240E9"/>
    <w:rsid w:val="00F3118A"/>
    <w:rsid w:val="00F31ECA"/>
    <w:rsid w:val="00F36824"/>
    <w:rsid w:val="00F36D8F"/>
    <w:rsid w:val="00F417B1"/>
    <w:rsid w:val="00F45853"/>
    <w:rsid w:val="00F602DF"/>
    <w:rsid w:val="00F65A5C"/>
    <w:rsid w:val="00F754A1"/>
    <w:rsid w:val="00F76544"/>
    <w:rsid w:val="00F81FD9"/>
    <w:rsid w:val="00F841AA"/>
    <w:rsid w:val="00F84A94"/>
    <w:rsid w:val="00F87E96"/>
    <w:rsid w:val="00FA23E8"/>
    <w:rsid w:val="00FA411F"/>
    <w:rsid w:val="00FD3CC1"/>
    <w:rsid w:val="00FD6B19"/>
    <w:rsid w:val="00FF1E02"/>
    <w:rsid w:val="00FF30B4"/>
    <w:rsid w:val="015975B8"/>
    <w:rsid w:val="02143E91"/>
    <w:rsid w:val="066E0107"/>
    <w:rsid w:val="076646E5"/>
    <w:rsid w:val="07996F6E"/>
    <w:rsid w:val="082223BA"/>
    <w:rsid w:val="08AE1E9F"/>
    <w:rsid w:val="0A2032A3"/>
    <w:rsid w:val="0A5D3D18"/>
    <w:rsid w:val="0A922957"/>
    <w:rsid w:val="0B5E5DFE"/>
    <w:rsid w:val="0D1D75F3"/>
    <w:rsid w:val="0D554FDF"/>
    <w:rsid w:val="0EB14497"/>
    <w:rsid w:val="0F0E7B3C"/>
    <w:rsid w:val="0F98263C"/>
    <w:rsid w:val="101860EC"/>
    <w:rsid w:val="10C055FF"/>
    <w:rsid w:val="118107EC"/>
    <w:rsid w:val="134D130F"/>
    <w:rsid w:val="13D50BC4"/>
    <w:rsid w:val="165F6ECF"/>
    <w:rsid w:val="16BB723D"/>
    <w:rsid w:val="17224BAF"/>
    <w:rsid w:val="17F43647"/>
    <w:rsid w:val="198804EA"/>
    <w:rsid w:val="1B0D514B"/>
    <w:rsid w:val="1BE8440E"/>
    <w:rsid w:val="1D155CEE"/>
    <w:rsid w:val="1D5C7326"/>
    <w:rsid w:val="1E960FB4"/>
    <w:rsid w:val="1EC414C7"/>
    <w:rsid w:val="1EDB5833"/>
    <w:rsid w:val="1FF35744"/>
    <w:rsid w:val="207B3859"/>
    <w:rsid w:val="21143FF3"/>
    <w:rsid w:val="22066450"/>
    <w:rsid w:val="23860B96"/>
    <w:rsid w:val="240371BF"/>
    <w:rsid w:val="24155071"/>
    <w:rsid w:val="259A75DB"/>
    <w:rsid w:val="27C44DE4"/>
    <w:rsid w:val="28441A80"/>
    <w:rsid w:val="29FD04D3"/>
    <w:rsid w:val="2A9C5BA4"/>
    <w:rsid w:val="2B8328E9"/>
    <w:rsid w:val="2C8A61B5"/>
    <w:rsid w:val="2D3227EF"/>
    <w:rsid w:val="2DF04E50"/>
    <w:rsid w:val="2F040D46"/>
    <w:rsid w:val="2F3E7229"/>
    <w:rsid w:val="319F7F4E"/>
    <w:rsid w:val="3304709D"/>
    <w:rsid w:val="331756AB"/>
    <w:rsid w:val="336B6A5B"/>
    <w:rsid w:val="33C543BD"/>
    <w:rsid w:val="36AA5135"/>
    <w:rsid w:val="3735326E"/>
    <w:rsid w:val="376D39B2"/>
    <w:rsid w:val="37E16F03"/>
    <w:rsid w:val="382749B1"/>
    <w:rsid w:val="38286CC9"/>
    <w:rsid w:val="388E7474"/>
    <w:rsid w:val="38D469F0"/>
    <w:rsid w:val="39AE76A2"/>
    <w:rsid w:val="3A43603C"/>
    <w:rsid w:val="3C1B1438"/>
    <w:rsid w:val="3C8A61A4"/>
    <w:rsid w:val="3D98207C"/>
    <w:rsid w:val="3DC42C42"/>
    <w:rsid w:val="3E78745D"/>
    <w:rsid w:val="3FEF631E"/>
    <w:rsid w:val="407F1BFB"/>
    <w:rsid w:val="40E63BC5"/>
    <w:rsid w:val="41D34149"/>
    <w:rsid w:val="421309EA"/>
    <w:rsid w:val="421F738E"/>
    <w:rsid w:val="44E268DA"/>
    <w:rsid w:val="479A2EEE"/>
    <w:rsid w:val="49331971"/>
    <w:rsid w:val="4A627F82"/>
    <w:rsid w:val="4B0E749A"/>
    <w:rsid w:val="4B4F25DA"/>
    <w:rsid w:val="4BE068DB"/>
    <w:rsid w:val="4BF74ED8"/>
    <w:rsid w:val="4C86758E"/>
    <w:rsid w:val="4D577224"/>
    <w:rsid w:val="4E984750"/>
    <w:rsid w:val="4EAB630A"/>
    <w:rsid w:val="4ECE2238"/>
    <w:rsid w:val="50901457"/>
    <w:rsid w:val="51136310"/>
    <w:rsid w:val="537E6D0A"/>
    <w:rsid w:val="57FF75EE"/>
    <w:rsid w:val="58490869"/>
    <w:rsid w:val="58786250"/>
    <w:rsid w:val="59796F2C"/>
    <w:rsid w:val="59BE45DA"/>
    <w:rsid w:val="5AF92295"/>
    <w:rsid w:val="5B8F47E5"/>
    <w:rsid w:val="5C270EC2"/>
    <w:rsid w:val="5CCD7CBB"/>
    <w:rsid w:val="5CD71FC4"/>
    <w:rsid w:val="5E3B5FC1"/>
    <w:rsid w:val="613B06F8"/>
    <w:rsid w:val="61BD0C07"/>
    <w:rsid w:val="61F950AE"/>
    <w:rsid w:val="64561E9B"/>
    <w:rsid w:val="656B0071"/>
    <w:rsid w:val="6C4A05C8"/>
    <w:rsid w:val="6E7E3605"/>
    <w:rsid w:val="6FF5CC65"/>
    <w:rsid w:val="70001CFE"/>
    <w:rsid w:val="70131A31"/>
    <w:rsid w:val="715C0E4B"/>
    <w:rsid w:val="72734D90"/>
    <w:rsid w:val="73334198"/>
    <w:rsid w:val="737A3B75"/>
    <w:rsid w:val="73AD73D5"/>
    <w:rsid w:val="73B6EB34"/>
    <w:rsid w:val="744731E5"/>
    <w:rsid w:val="74A80670"/>
    <w:rsid w:val="750C6A4F"/>
    <w:rsid w:val="76E3355F"/>
    <w:rsid w:val="778769C8"/>
    <w:rsid w:val="78982583"/>
    <w:rsid w:val="79EE5BA4"/>
    <w:rsid w:val="7A513882"/>
    <w:rsid w:val="7A6335B5"/>
    <w:rsid w:val="7A894339"/>
    <w:rsid w:val="7CF60710"/>
    <w:rsid w:val="7E5F22E5"/>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3"/>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4"/>
    <w:autoRedefine/>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Normal Indent"/>
    <w:basedOn w:val="1"/>
    <w:qFormat/>
    <w:uiPriority w:val="0"/>
    <w:pPr>
      <w:ind w:firstLine="420"/>
    </w:pPr>
    <w:rPr>
      <w:rFonts w:ascii="Calibri" w:hAnsi="Calibri"/>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autoRedefine/>
    <w:unhideWhenUsed/>
    <w:qFormat/>
    <w:uiPriority w:val="39"/>
    <w:pPr>
      <w:tabs>
        <w:tab w:val="right" w:leader="dot" w:pos="8296"/>
      </w:tabs>
      <w:ind w:left="840" w:leftChars="400"/>
    </w:pPr>
  </w:style>
  <w:style w:type="paragraph" w:styleId="9">
    <w:name w:val="Balloon Text"/>
    <w:basedOn w:val="1"/>
    <w:link w:val="25"/>
    <w:autoRedefine/>
    <w:semiHidden/>
    <w:unhideWhenUsed/>
    <w:qFormat/>
    <w:uiPriority w:val="99"/>
    <w:rPr>
      <w:sz w:val="18"/>
      <w:szCs w:val="18"/>
    </w:rPr>
  </w:style>
  <w:style w:type="paragraph" w:styleId="10">
    <w:name w:val="footer"/>
    <w:basedOn w:val="1"/>
    <w:link w:val="26"/>
    <w:autoRedefine/>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7"/>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autoRedefine/>
    <w:unhideWhenUsed/>
    <w:qFormat/>
    <w:uiPriority w:val="39"/>
    <w:pPr>
      <w:tabs>
        <w:tab w:val="right" w:leader="dot" w:pos="8296"/>
      </w:tabs>
      <w:ind w:left="420" w:leftChars="200"/>
    </w:p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unhideWhenUsed/>
    <w:qFormat/>
    <w:uiPriority w:val="99"/>
    <w:pPr>
      <w:ind w:firstLine="420" w:firstLineChars="2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rPr>
  </w:style>
  <w:style w:type="character" w:customStyle="1" w:styleId="21">
    <w:name w:val="正文文本 Char"/>
    <w:link w:val="2"/>
    <w:qFormat/>
    <w:locked/>
    <w:uiPriority w:val="99"/>
    <w:rPr>
      <w:rFonts w:ascii="仿宋_GB2312" w:hAnsi="Times New Roman" w:eastAsia="仿宋_GB2312"/>
      <w:sz w:val="24"/>
    </w:rPr>
  </w:style>
  <w:style w:type="character" w:customStyle="1" w:styleId="22">
    <w:name w:val="标题 1 Char"/>
    <w:basedOn w:val="18"/>
    <w:link w:val="3"/>
    <w:qFormat/>
    <w:uiPriority w:val="9"/>
    <w:rPr>
      <w:rFonts w:ascii="Times New Roman" w:hAnsi="Times New Roman"/>
      <w:b/>
      <w:bCs/>
      <w:kern w:val="44"/>
      <w:sz w:val="44"/>
      <w:szCs w:val="44"/>
    </w:rPr>
  </w:style>
  <w:style w:type="character" w:customStyle="1" w:styleId="23">
    <w:name w:val="标题 2 Char"/>
    <w:basedOn w:val="18"/>
    <w:link w:val="4"/>
    <w:qFormat/>
    <w:uiPriority w:val="9"/>
    <w:rPr>
      <w:rFonts w:asciiTheme="majorHAnsi" w:hAnsiTheme="majorHAnsi" w:eastAsiaTheme="majorEastAsia" w:cstheme="majorBidi"/>
      <w:b/>
      <w:bCs/>
      <w:kern w:val="2"/>
      <w:sz w:val="32"/>
      <w:szCs w:val="32"/>
    </w:rPr>
  </w:style>
  <w:style w:type="character" w:customStyle="1" w:styleId="24">
    <w:name w:val="标题 3 Char"/>
    <w:basedOn w:val="18"/>
    <w:link w:val="5"/>
    <w:qFormat/>
    <w:uiPriority w:val="9"/>
    <w:rPr>
      <w:rFonts w:ascii="Times New Roman" w:hAnsi="Times New Roman"/>
      <w:b/>
      <w:bCs/>
      <w:kern w:val="2"/>
      <w:sz w:val="32"/>
      <w:szCs w:val="32"/>
    </w:rPr>
  </w:style>
  <w:style w:type="character" w:customStyle="1" w:styleId="25">
    <w:name w:val="批注框文本 Char"/>
    <w:basedOn w:val="18"/>
    <w:link w:val="9"/>
    <w:semiHidden/>
    <w:qFormat/>
    <w:uiPriority w:val="99"/>
    <w:rPr>
      <w:rFonts w:ascii="Times New Roman" w:hAnsi="Times New Roman"/>
      <w:kern w:val="2"/>
      <w:sz w:val="18"/>
      <w:szCs w:val="18"/>
    </w:rPr>
  </w:style>
  <w:style w:type="character" w:customStyle="1" w:styleId="26">
    <w:name w:val="页脚 Char"/>
    <w:link w:val="10"/>
    <w:qFormat/>
    <w:locked/>
    <w:uiPriority w:val="99"/>
    <w:rPr>
      <w:sz w:val="18"/>
    </w:rPr>
  </w:style>
  <w:style w:type="character" w:customStyle="1" w:styleId="27">
    <w:name w:val="页眉 Char"/>
    <w:link w:val="11"/>
    <w:semiHidden/>
    <w:qFormat/>
    <w:locked/>
    <w:uiPriority w:val="99"/>
    <w:rPr>
      <w:sz w:val="18"/>
    </w:rPr>
  </w:style>
  <w:style w:type="paragraph" w:customStyle="1" w:styleId="2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9">
    <w:name w:val="Header Char"/>
    <w:basedOn w:val="18"/>
    <w:semiHidden/>
    <w:qFormat/>
    <w:uiPriority w:val="99"/>
    <w:rPr>
      <w:rFonts w:ascii="Times New Roman" w:hAnsi="Times New Roman"/>
      <w:sz w:val="18"/>
      <w:szCs w:val="18"/>
    </w:rPr>
  </w:style>
  <w:style w:type="character" w:customStyle="1" w:styleId="30">
    <w:name w:val="Footer Char"/>
    <w:basedOn w:val="18"/>
    <w:semiHidden/>
    <w:qFormat/>
    <w:uiPriority w:val="99"/>
    <w:rPr>
      <w:rFonts w:ascii="Times New Roman" w:hAnsi="Times New Roman"/>
      <w:sz w:val="18"/>
      <w:szCs w:val="18"/>
    </w:rPr>
  </w:style>
  <w:style w:type="character" w:customStyle="1" w:styleId="31">
    <w:name w:val="Body Text Char"/>
    <w:basedOn w:val="18"/>
    <w:semiHidden/>
    <w:qFormat/>
    <w:uiPriority w:val="99"/>
    <w:rPr>
      <w:rFonts w:ascii="Times New Roman" w:hAnsi="Times New Roman"/>
      <w:szCs w:val="24"/>
    </w:rPr>
  </w:style>
  <w:style w:type="paragraph" w:customStyle="1" w:styleId="3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3">
    <w:name w:val="List Paragraph"/>
    <w:basedOn w:val="1"/>
    <w:qFormat/>
    <w:uiPriority w:val="34"/>
    <w:pPr>
      <w:ind w:firstLine="420" w:firstLineChars="200"/>
    </w:p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paragraph" w:customStyle="1" w:styleId="37">
    <w:name w:val="正文2"/>
    <w:basedOn w:val="1"/>
    <w:next w:val="1"/>
    <w:qFormat/>
    <w:uiPriority w:val="0"/>
    <w:pPr>
      <w:adjustRightInd w:val="0"/>
      <w:snapToGrid w:val="0"/>
      <w:spacing w:line="400" w:lineRule="exact"/>
      <w:ind w:firstLine="872" w:firstLineChars="200"/>
      <w:jc w:val="left"/>
    </w:pPr>
    <w:rPr>
      <w:rFonts w:ascii="Calibri" w:hAnsi="Calibri"/>
      <w:kern w:val="0"/>
      <w:sz w:val="24"/>
      <w:lang w:val="zh-CN"/>
    </w:rPr>
  </w:style>
  <w:style w:type="paragraph" w:customStyle="1" w:styleId="38">
    <w:name w:val="章标题"/>
    <w:basedOn w:val="1"/>
    <w:next w:val="39"/>
    <w:qFormat/>
    <w:uiPriority w:val="0"/>
    <w:pPr>
      <w:widowControl/>
      <w:spacing w:line="323" w:lineRule="atLeast"/>
      <w:ind w:right="-120"/>
      <w:jc w:val="center"/>
      <w:textAlignment w:val="baseline"/>
    </w:pPr>
    <w:rPr>
      <w:color w:val="FF0000"/>
      <w:kern w:val="0"/>
      <w:sz w:val="18"/>
      <w:szCs w:val="18"/>
    </w:rPr>
  </w:style>
  <w:style w:type="paragraph" w:customStyle="1" w:styleId="39">
    <w:name w:val="节标题"/>
    <w:basedOn w:val="1"/>
    <w:next w:val="1"/>
    <w:qFormat/>
    <w:uiPriority w:val="0"/>
    <w:pPr>
      <w:widowControl/>
      <w:spacing w:line="289" w:lineRule="atLeast"/>
      <w:jc w:val="center"/>
      <w:textAlignment w:val="baseline"/>
    </w:pPr>
    <w:rPr>
      <w:color w:val="000000"/>
      <w:kern w:val="0"/>
      <w:sz w:val="28"/>
      <w:szCs w:val="20"/>
    </w:rPr>
  </w:style>
  <w:style w:type="character" w:customStyle="1" w:styleId="40">
    <w:name w:val="font91"/>
    <w:basedOn w:val="18"/>
    <w:qFormat/>
    <w:uiPriority w:val="0"/>
    <w:rPr>
      <w:rFonts w:hint="eastAsia" w:ascii="宋体" w:hAnsi="宋体" w:eastAsia="宋体" w:cs="宋体"/>
      <w:color w:val="000000"/>
      <w:sz w:val="24"/>
      <w:szCs w:val="24"/>
      <w:u w:val="none"/>
    </w:rPr>
  </w:style>
  <w:style w:type="character" w:customStyle="1" w:styleId="41">
    <w:name w:val="font122"/>
    <w:basedOn w:val="18"/>
    <w:qFormat/>
    <w:uiPriority w:val="0"/>
    <w:rPr>
      <w:rFonts w:hint="eastAsia" w:ascii="宋体" w:hAnsi="宋体" w:eastAsia="宋体" w:cs="宋体"/>
      <w:color w:val="FF0000"/>
      <w:sz w:val="24"/>
      <w:szCs w:val="24"/>
      <w:u w:val="none"/>
    </w:rPr>
  </w:style>
  <w:style w:type="paragraph" w:customStyle="1" w:styleId="42">
    <w:name w:val="常用样式（方正仿宋简）"/>
    <w:basedOn w:val="1"/>
    <w:next w:val="1"/>
    <w:qFormat/>
    <w:uiPriority w:val="0"/>
    <w:pPr>
      <w:spacing w:line="560" w:lineRule="exact"/>
      <w:ind w:firstLine="640" w:firstLineChars="200"/>
    </w:pPr>
    <w:rPr>
      <w:rFonts w:eastAsia="方正仿宋简体"/>
      <w:sz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6.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Sheet1!$B$2:$B$3</c:f>
              <c:numCache>
                <c:formatCode>General</c:formatCode>
                <c:ptCount val="2"/>
                <c:pt idx="0">
                  <c:v>7404.94</c:v>
                </c:pt>
                <c:pt idx="1">
                  <c:v>4867.44</c:v>
                </c:pt>
              </c:numCache>
            </c:numRef>
          </c:val>
        </c:ser>
        <c:dLbls>
          <c:showLegendKey val="0"/>
          <c:showVal val="1"/>
          <c:showCatName val="0"/>
          <c:showSerName val="0"/>
          <c:showPercent val="0"/>
          <c:showBubbleSize val="0"/>
        </c:dLbls>
        <c:gapWidth val="150"/>
        <c:overlap val="100"/>
        <c:axId val="136733824"/>
        <c:axId val="136735360"/>
      </c:barChart>
      <c:catAx>
        <c:axId val="13673382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6735360"/>
        <c:crosses val="autoZero"/>
        <c:auto val="1"/>
        <c:lblAlgn val="ctr"/>
        <c:lblOffset val="100"/>
        <c:noMultiLvlLbl val="0"/>
      </c:catAx>
      <c:valAx>
        <c:axId val="1367353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6733824"/>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0483987478931"/>
          <c:y val="0.225379310344828"/>
          <c:w val="0.223125451480857"/>
          <c:h val="0.473379310344828"/>
        </c:manualLayout>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Lbls>
            <c:dLbl>
              <c:idx val="0"/>
              <c:layout>
                <c:manualLayout>
                  <c:x val="0.0281724054900072"/>
                  <c:y val="-0.0426564495530013"/>
                </c:manualLayout>
              </c:layout>
              <c:dLblPos val="bestFit"/>
              <c:showLegendKey val="0"/>
              <c:showVal val="1"/>
              <c:showCatName val="0"/>
              <c:showSerName val="0"/>
              <c:showPercent val="1"/>
              <c:showBubbleSize val="0"/>
              <c:extLst>
                <c:ext xmlns:c15="http://schemas.microsoft.com/office/drawing/2012/chart" uri="{CE6537A1-D6FC-4f65-9D91-7224C49458BB}">
                  <c15:layout>
                    <c:manualLayout>
                      <c:w val="0.197327233325307"/>
                      <c:h val="0.0947637292464879"/>
                    </c:manualLayout>
                  </c15:layout>
                </c:ext>
              </c:extLst>
            </c:dLbl>
            <c:dLbl>
              <c:idx val="1"/>
              <c:layout>
                <c:manualLayout>
                  <c:x val="-0.0237726165973231"/>
                  <c:y val="0.0376587954084976"/>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358776787864195"/>
                  <c:y val="-0.0339719029374202"/>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一、一般公共预算财政拨款收入</c:v>
                </c:pt>
                <c:pt idx="1">
                  <c:v>二、政府性基金预算财政拨款收入</c:v>
                </c:pt>
                <c:pt idx="2">
                  <c:v>八、其他收入</c:v>
                </c:pt>
              </c:strCache>
            </c:strRef>
          </c:cat>
          <c:val>
            <c:numRef>
              <c:f>Sheet1!$B$2:$B$5</c:f>
              <c:numCache>
                <c:formatCode>0.00_ </c:formatCode>
                <c:ptCount val="4"/>
                <c:pt idx="0">
                  <c:v>1423.26</c:v>
                </c:pt>
                <c:pt idx="1">
                  <c:v>10.98</c:v>
                </c:pt>
                <c:pt idx="2">
                  <c:v>1415.51</c:v>
                </c:pt>
              </c:numCache>
            </c:numRef>
          </c:val>
        </c:ser>
        <c:dLbls>
          <c:showLegendKey val="0"/>
          <c:showVal val="1"/>
          <c:showCatName val="0"/>
          <c:showSerName val="0"/>
          <c:showPercent val="0"/>
          <c:showBubbleSize val="0"/>
          <c:showLeaderLines val="1"/>
        </c:dLbls>
        <c:firstSliceAng val="0"/>
      </c:pieChart>
    </c:plotArea>
    <c:legend>
      <c:legendPos val="t"/>
      <c:layout>
        <c:manualLayout>
          <c:xMode val="edge"/>
          <c:yMode val="edge"/>
          <c:x val="0.205393691307489"/>
          <c:y val="0.0288633461047254"/>
          <c:w val="0.558632313989887"/>
          <c:h val="0.15427841634738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dPt>
          <c:dPt>
            <c:idx val="1"/>
            <c:bubble3D val="0"/>
          </c:dPt>
          <c:dLbls>
            <c:dLbl>
              <c:idx val="0"/>
              <c:layout>
                <c:manualLayout>
                  <c:x val="-0.152042628774423"/>
                  <c:y val="0.0357798165137615"/>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157844878626406"/>
                  <c:y val="-0.0458715596330275"/>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1224.51</c:v>
                </c:pt>
                <c:pt idx="1">
                  <c:v>1519.33</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2022年</c:v>
                </c:pt>
              </c:strCache>
            </c:strRef>
          </c:cat>
          <c:val>
            <c:numRef>
              <c:f>Sheet1!$B$2:$B$3</c:f>
              <c:numCache>
                <c:formatCode>General</c:formatCode>
                <c:ptCount val="2"/>
                <c:pt idx="0">
                  <c:v>1434.24</c:v>
                </c:pt>
                <c:pt idx="1">
                  <c:v>1990.06</c:v>
                </c:pt>
              </c:numCache>
            </c:numRef>
          </c:val>
        </c:ser>
        <c:dLbls>
          <c:showLegendKey val="0"/>
          <c:showVal val="1"/>
          <c:showCatName val="0"/>
          <c:showSerName val="0"/>
          <c:showPercent val="0"/>
          <c:showBubbleSize val="0"/>
        </c:dLbls>
        <c:gapWidth val="150"/>
        <c:overlap val="100"/>
        <c:axId val="149411328"/>
        <c:axId val="149412864"/>
      </c:barChart>
      <c:catAx>
        <c:axId val="14941132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9412864"/>
        <c:crosses val="autoZero"/>
        <c:auto val="1"/>
        <c:lblAlgn val="ctr"/>
        <c:lblOffset val="100"/>
        <c:noMultiLvlLbl val="0"/>
      </c:catAx>
      <c:valAx>
        <c:axId val="1494128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9411328"/>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系列 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2022年</c:v>
                </c:pt>
              </c:strCache>
            </c:strRef>
          </c:cat>
          <c:val>
            <c:numRef>
              <c:f>Sheet1!$B$2:$B$3</c:f>
              <c:numCache>
                <c:formatCode>General</c:formatCode>
                <c:ptCount val="2"/>
                <c:pt idx="0">
                  <c:v>1424.36</c:v>
                </c:pt>
                <c:pt idx="1">
                  <c:v>1990.06</c:v>
                </c:pt>
              </c:numCache>
            </c:numRef>
          </c:val>
        </c:ser>
        <c:dLbls>
          <c:showLegendKey val="0"/>
          <c:showVal val="1"/>
          <c:showCatName val="0"/>
          <c:showSerName val="0"/>
          <c:showPercent val="0"/>
          <c:showBubbleSize val="0"/>
        </c:dLbls>
        <c:gapWidth val="150"/>
        <c:overlap val="100"/>
        <c:axId val="136722688"/>
        <c:axId val="148787200"/>
      </c:barChart>
      <c:catAx>
        <c:axId val="13672268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8787200"/>
        <c:crosses val="autoZero"/>
        <c:auto val="1"/>
        <c:lblAlgn val="ctr"/>
        <c:lblOffset val="100"/>
        <c:noMultiLvlLbl val="0"/>
      </c:catAx>
      <c:valAx>
        <c:axId val="1487872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6722688"/>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Pt>
            <c:idx val="4"/>
            <c:bubble3D val="0"/>
          </c:dPt>
          <c:dPt>
            <c:idx val="5"/>
            <c:bubble3D val="0"/>
          </c:dPt>
          <c:dLbls>
            <c:dLbl>
              <c:idx val="0"/>
              <c:layout>
                <c:manualLayout>
                  <c:x val="-0.134578922390809"/>
                  <c:y val="0.0688214385111799"/>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1744566323714"/>
                  <c:y val="-0.034321862791817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231029712281696"/>
                  <c:y val="0.013572116247529"/>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172765753253491"/>
                  <c:y val="-0.00340833788755428"/>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4"/>
              <c:layout>
                <c:manualLayout>
                  <c:x val="0.0749373473637586"/>
                  <c:y val="-0.045603290125361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5"/>
              <c:layout>
                <c:manualLayout>
                  <c:x val="-0.134444677665849"/>
                  <c:y val="-0.00204500337039191"/>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一般公共服务支出</c:v>
                </c:pt>
                <c:pt idx="1">
                  <c:v>文化旅游体育与传媒支出</c:v>
                </c:pt>
                <c:pt idx="2">
                  <c:v>社会保障和就业支出</c:v>
                </c:pt>
                <c:pt idx="3">
                  <c:v>卫生健康支出</c:v>
                </c:pt>
                <c:pt idx="4">
                  <c:v>农林水支出</c:v>
                </c:pt>
                <c:pt idx="5">
                  <c:v>住房保障支出</c:v>
                </c:pt>
              </c:strCache>
            </c:strRef>
          </c:cat>
          <c:val>
            <c:numRef>
              <c:f>Sheet1!$B$2:$B$7</c:f>
              <c:numCache>
                <c:formatCode>General</c:formatCode>
                <c:ptCount val="6"/>
                <c:pt idx="0">
                  <c:v>602.7</c:v>
                </c:pt>
                <c:pt idx="1">
                  <c:v>6</c:v>
                </c:pt>
                <c:pt idx="2">
                  <c:v>100.01</c:v>
                </c:pt>
                <c:pt idx="3">
                  <c:v>48.58</c:v>
                </c:pt>
                <c:pt idx="4">
                  <c:v>600.42</c:v>
                </c:pt>
                <c:pt idx="5">
                  <c:v>65.56</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37C2A2-CC44-4775-B64F-4F12B215A299}">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7605</Words>
  <Characters>8432</Characters>
  <Lines>215</Lines>
  <Paragraphs>60</Paragraphs>
  <TotalTime>9</TotalTime>
  <ScaleCrop>false</ScaleCrop>
  <LinksUpToDate>false</LinksUpToDate>
  <CharactersWithSpaces>8465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joker</cp:lastModifiedBy>
  <cp:lastPrinted>2023-07-31T02:35:00Z</cp:lastPrinted>
  <dcterms:modified xsi:type="dcterms:W3CDTF">2024-09-18T02:27:17Z</dcterms:modified>
  <dc:title>四川省***</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4301D380A02149F689E91F434A98FC4C_12</vt:lpwstr>
  </property>
</Properties>
</file>