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ascii="方正小标宋简体" w:hAnsi="宋体" w:eastAsia="方正小标宋简体"/>
          <w:color w:val="auto"/>
          <w:sz w:val="72"/>
          <w:szCs w:val="72"/>
          <w:highlight w:val="none"/>
        </w:rPr>
      </w:pPr>
      <w:bookmarkStart w:id="0" w:name="_Toc15378441"/>
      <w:bookmarkStart w:id="1" w:name="_Toc15377425"/>
      <w:bookmarkStart w:id="2" w:name="_Toc15377193"/>
      <w:bookmarkStart w:id="3" w:name="_Toc15396597"/>
      <w:bookmarkStart w:id="4" w:name="_Toc15396475"/>
      <w:bookmarkStart w:id="5" w:name="_Toc15306267"/>
    </w:p>
    <w:p>
      <w:pPr>
        <w:pStyle w:val="21"/>
      </w:pPr>
    </w:p>
    <w:p>
      <w:pPr>
        <w:spacing w:line="600" w:lineRule="exact"/>
        <w:jc w:val="center"/>
        <w:outlineLvl w:val="9"/>
        <w:rPr>
          <w:rFonts w:ascii="方正小标宋简体" w:hAnsi="宋体" w:eastAsia="方正小标宋简体"/>
          <w:color w:val="auto"/>
          <w:sz w:val="72"/>
          <w:szCs w:val="72"/>
          <w:highlight w:val="none"/>
        </w:rPr>
      </w:pPr>
    </w:p>
    <w:bookmarkEnd w:id="0"/>
    <w:bookmarkEnd w:id="1"/>
    <w:bookmarkEnd w:id="2"/>
    <w:bookmarkEnd w:id="3"/>
    <w:bookmarkEnd w:id="4"/>
    <w:bookmarkEnd w:id="5"/>
    <w:p>
      <w:pPr>
        <w:pStyle w:val="6"/>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2023年度</w:t>
      </w:r>
      <w:bookmarkStart w:id="6" w:name="_Toc15396598"/>
      <w:bookmarkStart w:id="7" w:name="_Toc15396476"/>
      <w:bookmarkStart w:id="8" w:name="_Toc15378442"/>
      <w:bookmarkStart w:id="9" w:name="_Toc15377194"/>
      <w:bookmarkStart w:id="10" w:name="_Toc15377426"/>
      <w:r>
        <w:rPr>
          <w:rFonts w:hint="eastAsia" w:ascii="方正小标宋简体" w:hAnsi="宋体" w:eastAsia="方正小标宋简体" w:cs="Times New Roman"/>
          <w:color w:val="auto"/>
          <w:kern w:val="2"/>
          <w:sz w:val="44"/>
          <w:szCs w:val="44"/>
          <w:highlight w:val="none"/>
          <w:lang w:val="en-US" w:eastAsia="zh-CN" w:bidi="ar-SA"/>
        </w:rPr>
        <w:t>四川省</w:t>
      </w:r>
      <w:bookmarkStart w:id="11" w:name="_Toc15306268"/>
      <w:r>
        <w:rPr>
          <w:rFonts w:hint="eastAsia" w:ascii="方正小标宋简体" w:hAnsi="宋体" w:eastAsia="方正小标宋简体" w:cs="Times New Roman"/>
          <w:color w:val="auto"/>
          <w:kern w:val="2"/>
          <w:sz w:val="44"/>
          <w:szCs w:val="44"/>
          <w:highlight w:val="none"/>
          <w:lang w:val="en-US" w:eastAsia="zh-CN" w:bidi="ar-SA"/>
        </w:rPr>
        <w:t>遂宁市船山区残疾人联合会部门决算</w:t>
      </w:r>
      <w:bookmarkEnd w:id="6"/>
      <w:bookmarkEnd w:id="7"/>
      <w:bookmarkEnd w:id="8"/>
      <w:bookmarkEnd w:id="9"/>
      <w:bookmarkEnd w:id="10"/>
      <w:bookmarkEnd w:id="11"/>
    </w:p>
    <w:p>
      <w:pPr>
        <w:widowControl/>
        <w:jc w:val="center"/>
        <w:rPr>
          <w:rFonts w:ascii="黑体" w:hAnsi="黑体" w:eastAsia="黑体"/>
          <w:color w:val="000000" w:themeColor="text1"/>
          <w:sz w:val="48"/>
          <w:szCs w:val="48"/>
          <w:highlight w:val="none"/>
          <w14:textFill>
            <w14:solidFill>
              <w14:schemeClr w14:val="tx1"/>
            </w14:solidFill>
          </w14:textFill>
        </w:rPr>
      </w:pPr>
      <w:r>
        <w:rPr>
          <w:rFonts w:ascii="方正小标宋简体" w:hAnsi="宋体" w:eastAsia="方正小标宋简体"/>
          <w:color w:val="auto"/>
          <w:sz w:val="36"/>
          <w:szCs w:val="36"/>
          <w:highlight w:val="none"/>
        </w:rPr>
        <w:br w:type="page"/>
      </w:r>
      <w:r>
        <w:rPr>
          <w:rFonts w:hint="eastAsia" w:ascii="黑体" w:hAnsi="黑体" w:eastAsia="黑体"/>
          <w:color w:val="000000" w:themeColor="text1"/>
          <w:sz w:val="48"/>
          <w:szCs w:val="48"/>
          <w:highlight w:val="none"/>
          <w14:textFill>
            <w14:solidFill>
              <w14:schemeClr w14:val="tx1"/>
            </w14:solidFill>
          </w14:textFill>
        </w:rPr>
        <w:t>目录</w:t>
      </w:r>
    </w:p>
    <w:p>
      <w:pPr>
        <w:pStyle w:val="13"/>
        <w:rPr>
          <w:color w:val="auto"/>
          <w:highlight w:val="none"/>
        </w:rPr>
      </w:pPr>
      <w:r>
        <w:rPr>
          <w:rFonts w:hint="eastAsia"/>
          <w:color w:val="auto"/>
          <w:highlight w:val="none"/>
        </w:rPr>
        <w:t>公开时间：20</w:t>
      </w:r>
      <w:r>
        <w:rPr>
          <w:rFonts w:hint="eastAsia"/>
          <w:color w:val="auto"/>
          <w:highlight w:val="none"/>
          <w:lang w:val="en-US" w:eastAsia="zh-CN"/>
        </w:rPr>
        <w:t>24</w:t>
      </w:r>
      <w:r>
        <w:rPr>
          <w:rFonts w:hint="eastAsia"/>
          <w:color w:val="auto"/>
          <w:highlight w:val="none"/>
        </w:rPr>
        <w:t>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11</w:t>
      </w:r>
      <w:r>
        <w:rPr>
          <w:rFonts w:hint="eastAsia"/>
          <w:color w:val="auto"/>
          <w:highlight w:val="none"/>
        </w:rPr>
        <w:t>日</w:t>
      </w:r>
    </w:p>
    <w:sdt>
      <w:sdtPr>
        <w:rPr>
          <w:rFonts w:ascii="宋体" w:hAnsi="宋体" w:eastAsia="宋体" w:cs="Times New Roman"/>
          <w:kern w:val="2"/>
          <w:sz w:val="21"/>
          <w:szCs w:val="24"/>
          <w:lang w:val="en-US" w:eastAsia="zh-CN" w:bidi="ar-SA"/>
        </w:rPr>
        <w:id w:val="147475258"/>
        <w15:color w:val="DBDBDB"/>
        <w:docPartObj>
          <w:docPartGallery w:val="Table of Contents"/>
          <w:docPartUnique/>
        </w:docPartObj>
      </w:sdtPr>
      <w:sdtEndPr>
        <w:rPr>
          <w:rFonts w:ascii="宋体" w:hAnsi="宋体" w:eastAsia="宋体" w:cs="Times New Roman"/>
          <w:b/>
          <w:kern w:val="2"/>
          <w:sz w:val="21"/>
          <w:szCs w:val="24"/>
          <w:lang w:val="en-US" w:eastAsia="zh-CN" w:bidi="ar-SA"/>
        </w:rPr>
      </w:sdtEndPr>
      <w:sdtContent>
        <w:p>
          <w:pPr>
            <w:rPr>
              <w:rFonts w:ascii="Times New Roman" w:hAnsi="Times New Roman" w:eastAsia="宋体" w:cs="Times New Roman"/>
              <w:b/>
              <w:kern w:val="2"/>
              <w:sz w:val="21"/>
              <w:szCs w:val="24"/>
              <w:lang w:val="en-US" w:eastAsia="zh-CN" w:bidi="ar-SA"/>
            </w:rPr>
          </w:pPr>
          <w:bookmarkStart w:id="12" w:name="_Toc15396599"/>
          <w:bookmarkStart w:id="13" w:name="_Toc15377196"/>
          <w:r>
            <w:fldChar w:fldCharType="begin"/>
          </w:r>
          <w:r>
            <w:instrText xml:space="preserve">TOC \o "1-2" \h \u </w:instrText>
          </w:r>
          <w:r>
            <w:fldChar w:fldCharType="separate"/>
          </w:r>
        </w:p>
        <w:p>
          <w:pPr>
            <w:pStyle w:val="13"/>
            <w:tabs>
              <w:tab w:val="right" w:leader="dot" w:pos="8844"/>
              <w:tab w:val="clear" w:pos="8296"/>
            </w:tabs>
          </w:pPr>
          <w:r>
            <w:fldChar w:fldCharType="begin"/>
          </w:r>
          <w:r>
            <w:instrText xml:space="preserve"> HYPERLINK \l _Toc13565 </w:instrText>
          </w:r>
          <w:r>
            <w:fldChar w:fldCharType="separate"/>
          </w:r>
          <w:r>
            <w:rPr>
              <w:rFonts w:hint="eastAsia" w:ascii="黑体" w:hAnsi="黑体" w:eastAsia="黑体"/>
              <w:highlight w:val="none"/>
            </w:rPr>
            <w:t xml:space="preserve">第一部分 </w:t>
          </w:r>
          <w:r>
            <w:rPr>
              <w:rFonts w:hint="eastAsia" w:ascii="黑体" w:hAnsi="黑体" w:eastAsia="黑体"/>
              <w:bCs w:val="0"/>
              <w:highlight w:val="none"/>
            </w:rPr>
            <w:t>部门概况</w:t>
          </w:r>
          <w:r>
            <w:tab/>
          </w:r>
          <w:r>
            <w:fldChar w:fldCharType="begin"/>
          </w:r>
          <w:r>
            <w:instrText xml:space="preserve"> PAGEREF _Toc13565 \h </w:instrText>
          </w:r>
          <w:r>
            <w:fldChar w:fldCharType="separate"/>
          </w:r>
          <w:r>
            <w:t>1</w:t>
          </w:r>
          <w:r>
            <w:fldChar w:fldCharType="end"/>
          </w:r>
          <w:r>
            <w:fldChar w:fldCharType="end"/>
          </w:r>
        </w:p>
        <w:p>
          <w:pPr>
            <w:pStyle w:val="15"/>
            <w:tabs>
              <w:tab w:val="right" w:leader="dot" w:pos="8844"/>
              <w:tab w:val="clear" w:pos="8296"/>
            </w:tabs>
          </w:pPr>
          <w:r>
            <w:fldChar w:fldCharType="begin"/>
          </w:r>
          <w:r>
            <w:instrText xml:space="preserve"> HYPERLINK \l _Toc21806 </w:instrText>
          </w:r>
          <w:r>
            <w:fldChar w:fldCharType="separate"/>
          </w:r>
          <w:r>
            <w:rPr>
              <w:rFonts w:hint="eastAsia" w:ascii="黑体" w:hAnsi="黑体" w:eastAsia="黑体"/>
              <w:lang w:eastAsia="zh-CN"/>
            </w:rPr>
            <w:t xml:space="preserve">一、 </w:t>
          </w:r>
          <w:r>
            <w:rPr>
              <w:rFonts w:hint="eastAsia" w:ascii="黑体" w:hAnsi="黑体" w:eastAsia="黑体"/>
              <w:highlight w:val="none"/>
              <w:lang w:eastAsia="zh-CN"/>
            </w:rPr>
            <w:t>部门职责</w:t>
          </w:r>
          <w:r>
            <w:tab/>
          </w:r>
          <w:r>
            <w:fldChar w:fldCharType="begin"/>
          </w:r>
          <w:r>
            <w:instrText xml:space="preserve"> PAGEREF _Toc21806 \h </w:instrText>
          </w:r>
          <w:r>
            <w:fldChar w:fldCharType="separate"/>
          </w:r>
          <w:r>
            <w:t>1</w:t>
          </w:r>
          <w:r>
            <w:fldChar w:fldCharType="end"/>
          </w:r>
          <w:r>
            <w:fldChar w:fldCharType="end"/>
          </w:r>
        </w:p>
        <w:p>
          <w:pPr>
            <w:pStyle w:val="15"/>
            <w:tabs>
              <w:tab w:val="right" w:leader="dot" w:pos="8844"/>
              <w:tab w:val="clear" w:pos="8296"/>
            </w:tabs>
          </w:pPr>
          <w:r>
            <w:fldChar w:fldCharType="begin"/>
          </w:r>
          <w:r>
            <w:instrText xml:space="preserve"> HYPERLINK \l _Toc21882 </w:instrText>
          </w:r>
          <w:r>
            <w:fldChar w:fldCharType="separate"/>
          </w:r>
          <w:r>
            <w:rPr>
              <w:rFonts w:hint="eastAsia" w:ascii="黑体" w:eastAsia="黑体"/>
              <w:highlight w:val="none"/>
            </w:rPr>
            <w:t>二、</w:t>
          </w:r>
          <w:r>
            <w:rPr>
              <w:rFonts w:hint="eastAsia" w:ascii="黑体" w:hAnsi="黑体" w:eastAsia="黑体"/>
              <w:highlight w:val="none"/>
            </w:rPr>
            <w:t>机</w:t>
          </w:r>
          <w:r>
            <w:rPr>
              <w:rFonts w:hint="eastAsia" w:ascii="黑体" w:hAnsi="黑体" w:eastAsia="黑体"/>
              <w:bCs w:val="0"/>
              <w:highlight w:val="none"/>
            </w:rPr>
            <w:t>构设置</w:t>
          </w:r>
          <w:r>
            <w:tab/>
          </w:r>
          <w:r>
            <w:fldChar w:fldCharType="begin"/>
          </w:r>
          <w:r>
            <w:instrText xml:space="preserve"> PAGEREF _Toc21882 \h </w:instrText>
          </w:r>
          <w:r>
            <w:fldChar w:fldCharType="separate"/>
          </w:r>
          <w:r>
            <w:t>2</w:t>
          </w:r>
          <w:r>
            <w:fldChar w:fldCharType="end"/>
          </w:r>
          <w:r>
            <w:fldChar w:fldCharType="end"/>
          </w:r>
        </w:p>
        <w:p>
          <w:pPr>
            <w:pStyle w:val="13"/>
            <w:tabs>
              <w:tab w:val="right" w:leader="dot" w:pos="8844"/>
              <w:tab w:val="clear" w:pos="8296"/>
            </w:tabs>
          </w:pPr>
          <w:r>
            <w:fldChar w:fldCharType="begin"/>
          </w:r>
          <w:r>
            <w:instrText xml:space="preserve"> HYPERLINK \l _Toc4718 </w:instrText>
          </w:r>
          <w:r>
            <w:fldChar w:fldCharType="separate"/>
          </w:r>
          <w:r>
            <w:rPr>
              <w:rFonts w:hint="eastAsia" w:ascii="黑体" w:hAnsi="黑体" w:eastAsia="黑体"/>
              <w:bCs/>
              <w:highlight w:val="none"/>
            </w:rPr>
            <w:t xml:space="preserve">第二部分 </w:t>
          </w:r>
          <w:r>
            <w:rPr>
              <w:rFonts w:hint="eastAsia" w:ascii="黑体" w:hAnsi="黑体" w:eastAsia="黑体"/>
              <w:bCs/>
              <w:highlight w:val="none"/>
              <w:lang w:val="en-US" w:eastAsia="zh-CN"/>
            </w:rPr>
            <w:t>2023年度</w:t>
          </w:r>
          <w:r>
            <w:rPr>
              <w:rFonts w:hint="eastAsia" w:ascii="黑体" w:hAnsi="黑体" w:eastAsia="黑体"/>
              <w:bCs/>
              <w:highlight w:val="none"/>
            </w:rPr>
            <w:t>部门决算情况说明</w:t>
          </w:r>
          <w:r>
            <w:tab/>
          </w:r>
          <w:r>
            <w:fldChar w:fldCharType="begin"/>
          </w:r>
          <w:r>
            <w:instrText xml:space="preserve"> PAGEREF _Toc4718 \h </w:instrText>
          </w:r>
          <w:r>
            <w:fldChar w:fldCharType="separate"/>
          </w:r>
          <w:r>
            <w:t>3</w:t>
          </w:r>
          <w:r>
            <w:fldChar w:fldCharType="end"/>
          </w:r>
          <w:r>
            <w:fldChar w:fldCharType="end"/>
          </w:r>
        </w:p>
        <w:p>
          <w:pPr>
            <w:pStyle w:val="15"/>
            <w:tabs>
              <w:tab w:val="right" w:leader="dot" w:pos="8844"/>
              <w:tab w:val="clear" w:pos="8296"/>
            </w:tabs>
          </w:pPr>
          <w:r>
            <w:fldChar w:fldCharType="begin"/>
          </w:r>
          <w:r>
            <w:instrText xml:space="preserve"> HYPERLINK \l _Toc16569 </w:instrText>
          </w:r>
          <w:r>
            <w:fldChar w:fldCharType="separate"/>
          </w:r>
          <w:r>
            <w:rPr>
              <w:rFonts w:hint="default" w:ascii="黑体" w:hAnsi="黑体" w:eastAsia="黑体"/>
            </w:rPr>
            <w:t xml:space="preserve">一、 </w:t>
          </w:r>
          <w:r>
            <w:rPr>
              <w:rFonts w:hint="eastAsia" w:ascii="黑体" w:hAnsi="黑体" w:eastAsia="黑体"/>
              <w:szCs w:val="32"/>
              <w:highlight w:val="none"/>
            </w:rPr>
            <w:t>收</w:t>
          </w:r>
          <w:r>
            <w:rPr>
              <w:rFonts w:hint="eastAsia" w:ascii="黑体" w:hAnsi="黑体" w:eastAsia="黑体"/>
              <w:highlight w:val="none"/>
            </w:rPr>
            <w:t>入支出决算总体情况说明</w:t>
          </w:r>
          <w:r>
            <w:tab/>
          </w:r>
          <w:r>
            <w:fldChar w:fldCharType="begin"/>
          </w:r>
          <w:r>
            <w:instrText xml:space="preserve"> PAGEREF _Toc16569 \h </w:instrText>
          </w:r>
          <w:r>
            <w:fldChar w:fldCharType="separate"/>
          </w:r>
          <w:r>
            <w:t>3</w:t>
          </w:r>
          <w:r>
            <w:fldChar w:fldCharType="end"/>
          </w:r>
          <w:r>
            <w:fldChar w:fldCharType="end"/>
          </w:r>
        </w:p>
        <w:p>
          <w:pPr>
            <w:pStyle w:val="15"/>
            <w:tabs>
              <w:tab w:val="right" w:leader="dot" w:pos="8844"/>
              <w:tab w:val="clear" w:pos="8296"/>
            </w:tabs>
          </w:pPr>
          <w:r>
            <w:fldChar w:fldCharType="begin"/>
          </w:r>
          <w:r>
            <w:instrText xml:space="preserve"> HYPERLINK \l _Toc27215 </w:instrText>
          </w:r>
          <w:r>
            <w:fldChar w:fldCharType="separate"/>
          </w:r>
          <w:r>
            <w:rPr>
              <w:rFonts w:hint="default" w:ascii="黑体" w:hAnsi="黑体" w:eastAsia="黑体"/>
            </w:rPr>
            <w:t xml:space="preserve">二、 </w:t>
          </w:r>
          <w:r>
            <w:rPr>
              <w:rFonts w:hint="eastAsia" w:ascii="黑体" w:hAnsi="黑体" w:eastAsia="黑体"/>
              <w:szCs w:val="32"/>
              <w:highlight w:val="none"/>
            </w:rPr>
            <w:t>收</w:t>
          </w:r>
          <w:r>
            <w:rPr>
              <w:rFonts w:hint="eastAsia" w:ascii="黑体" w:hAnsi="黑体" w:eastAsia="黑体"/>
              <w:highlight w:val="none"/>
            </w:rPr>
            <w:t>入决算情况说明</w:t>
          </w:r>
          <w:r>
            <w:tab/>
          </w:r>
          <w:r>
            <w:fldChar w:fldCharType="begin"/>
          </w:r>
          <w:r>
            <w:instrText xml:space="preserve"> PAGEREF _Toc27215 \h </w:instrText>
          </w:r>
          <w:r>
            <w:fldChar w:fldCharType="separate"/>
          </w:r>
          <w:r>
            <w:t>3</w:t>
          </w:r>
          <w:r>
            <w:fldChar w:fldCharType="end"/>
          </w:r>
          <w:r>
            <w:fldChar w:fldCharType="end"/>
          </w:r>
        </w:p>
        <w:p>
          <w:pPr>
            <w:pStyle w:val="15"/>
            <w:tabs>
              <w:tab w:val="right" w:leader="dot" w:pos="8844"/>
              <w:tab w:val="clear" w:pos="8296"/>
            </w:tabs>
          </w:pPr>
          <w:r>
            <w:fldChar w:fldCharType="begin"/>
          </w:r>
          <w:r>
            <w:instrText xml:space="preserve"> HYPERLINK \l _Toc5454 </w:instrText>
          </w:r>
          <w:r>
            <w:fldChar w:fldCharType="separate"/>
          </w:r>
          <w:r>
            <w:rPr>
              <w:rFonts w:hint="default" w:ascii="黑体" w:hAnsi="黑体" w:eastAsia="黑体"/>
            </w:rPr>
            <w:t xml:space="preserve">三、 </w:t>
          </w:r>
          <w:r>
            <w:rPr>
              <w:rFonts w:hint="eastAsia" w:ascii="黑体" w:hAnsi="黑体" w:eastAsia="黑体"/>
              <w:szCs w:val="32"/>
              <w:highlight w:val="none"/>
            </w:rPr>
            <w:t>支</w:t>
          </w:r>
          <w:r>
            <w:rPr>
              <w:rFonts w:hint="eastAsia" w:ascii="黑体" w:hAnsi="黑体" w:eastAsia="黑体"/>
              <w:highlight w:val="none"/>
            </w:rPr>
            <w:t>出决算情况说明</w:t>
          </w:r>
          <w:r>
            <w:tab/>
          </w:r>
          <w:r>
            <w:fldChar w:fldCharType="begin"/>
          </w:r>
          <w:r>
            <w:instrText xml:space="preserve"> PAGEREF _Toc5454 \h </w:instrText>
          </w:r>
          <w:r>
            <w:fldChar w:fldCharType="separate"/>
          </w:r>
          <w:r>
            <w:t>4</w:t>
          </w:r>
          <w:r>
            <w:fldChar w:fldCharType="end"/>
          </w:r>
          <w:r>
            <w:fldChar w:fldCharType="end"/>
          </w:r>
        </w:p>
        <w:p>
          <w:pPr>
            <w:pStyle w:val="15"/>
            <w:tabs>
              <w:tab w:val="right" w:leader="dot" w:pos="8844"/>
              <w:tab w:val="clear" w:pos="8296"/>
            </w:tabs>
          </w:pPr>
          <w:r>
            <w:fldChar w:fldCharType="begin"/>
          </w:r>
          <w:r>
            <w:instrText xml:space="preserve"> HYPERLINK \l _Toc8088 </w:instrText>
          </w:r>
          <w:r>
            <w:fldChar w:fldCharType="separate"/>
          </w:r>
          <w:r>
            <w:rPr>
              <w:rFonts w:hint="eastAsia" w:ascii="黑体" w:hAnsi="黑体" w:eastAsia="黑体"/>
              <w:szCs w:val="32"/>
              <w:highlight w:val="none"/>
            </w:rPr>
            <w:t>四、财</w:t>
          </w:r>
          <w:r>
            <w:rPr>
              <w:rFonts w:hint="eastAsia" w:ascii="黑体" w:hAnsi="黑体" w:eastAsia="黑体"/>
              <w:highlight w:val="none"/>
            </w:rPr>
            <w:t>政拨款收入支出决算总体情况说明</w:t>
          </w:r>
          <w:r>
            <w:tab/>
          </w:r>
          <w:r>
            <w:fldChar w:fldCharType="begin"/>
          </w:r>
          <w:r>
            <w:instrText xml:space="preserve"> PAGEREF _Toc8088 \h </w:instrText>
          </w:r>
          <w:r>
            <w:fldChar w:fldCharType="separate"/>
          </w:r>
          <w:r>
            <w:t>5</w:t>
          </w:r>
          <w:r>
            <w:fldChar w:fldCharType="end"/>
          </w:r>
          <w:r>
            <w:fldChar w:fldCharType="end"/>
          </w:r>
        </w:p>
        <w:p>
          <w:pPr>
            <w:pStyle w:val="15"/>
            <w:tabs>
              <w:tab w:val="right" w:leader="dot" w:pos="8844"/>
              <w:tab w:val="clear" w:pos="8296"/>
            </w:tabs>
          </w:pPr>
          <w:r>
            <w:fldChar w:fldCharType="begin"/>
          </w:r>
          <w:r>
            <w:instrText xml:space="preserve"> HYPERLINK \l _Toc29755 </w:instrText>
          </w:r>
          <w:r>
            <w:fldChar w:fldCharType="separate"/>
          </w:r>
          <w:r>
            <w:rPr>
              <w:rFonts w:hint="eastAsia" w:ascii="黑体" w:hAnsi="黑体" w:eastAsia="黑体"/>
              <w:szCs w:val="32"/>
              <w:highlight w:val="none"/>
            </w:rPr>
            <w:t>五、一</w:t>
          </w:r>
          <w:r>
            <w:rPr>
              <w:rFonts w:hint="eastAsia" w:ascii="黑体" w:hAnsi="黑体" w:eastAsia="黑体"/>
              <w:highlight w:val="none"/>
            </w:rPr>
            <w:t>般公共预算财政拨款支出决算情况说明</w:t>
          </w:r>
          <w:r>
            <w:tab/>
          </w:r>
          <w:r>
            <w:fldChar w:fldCharType="begin"/>
          </w:r>
          <w:r>
            <w:instrText xml:space="preserve"> PAGEREF _Toc29755 \h </w:instrText>
          </w:r>
          <w:r>
            <w:fldChar w:fldCharType="separate"/>
          </w:r>
          <w:r>
            <w:t>5</w:t>
          </w:r>
          <w:r>
            <w:fldChar w:fldCharType="end"/>
          </w:r>
          <w:r>
            <w:fldChar w:fldCharType="end"/>
          </w:r>
        </w:p>
        <w:p>
          <w:pPr>
            <w:pStyle w:val="15"/>
            <w:tabs>
              <w:tab w:val="right" w:leader="dot" w:pos="8844"/>
              <w:tab w:val="clear" w:pos="8296"/>
            </w:tabs>
          </w:pPr>
          <w:r>
            <w:fldChar w:fldCharType="begin"/>
          </w:r>
          <w:r>
            <w:instrText xml:space="preserve"> HYPERLINK \l _Toc9386 </w:instrText>
          </w:r>
          <w:r>
            <w:fldChar w:fldCharType="separate"/>
          </w:r>
          <w:r>
            <w:rPr>
              <w:rFonts w:hint="eastAsia" w:ascii="黑体" w:eastAsia="黑体"/>
              <w:szCs w:val="32"/>
              <w:highlight w:val="none"/>
            </w:rPr>
            <w:t>六、</w:t>
          </w:r>
          <w:r>
            <w:rPr>
              <w:rFonts w:hint="eastAsia" w:ascii="黑体" w:hAnsi="黑体" w:eastAsia="黑体"/>
              <w:szCs w:val="32"/>
              <w:highlight w:val="none"/>
            </w:rPr>
            <w:t>一</w:t>
          </w:r>
          <w:r>
            <w:rPr>
              <w:rFonts w:hint="eastAsia" w:ascii="黑体" w:hAnsi="黑体" w:eastAsia="黑体"/>
              <w:highlight w:val="none"/>
            </w:rPr>
            <w:t>般公共预算财政拨款基本支出决算情况说明</w:t>
          </w:r>
          <w:r>
            <w:tab/>
          </w:r>
          <w:r>
            <w:fldChar w:fldCharType="begin"/>
          </w:r>
          <w:r>
            <w:instrText xml:space="preserve"> PAGEREF _Toc9386 \h </w:instrText>
          </w:r>
          <w:r>
            <w:fldChar w:fldCharType="separate"/>
          </w:r>
          <w:r>
            <w:t>8</w:t>
          </w:r>
          <w:r>
            <w:fldChar w:fldCharType="end"/>
          </w:r>
          <w:r>
            <w:fldChar w:fldCharType="end"/>
          </w:r>
        </w:p>
        <w:p>
          <w:pPr>
            <w:pStyle w:val="15"/>
            <w:tabs>
              <w:tab w:val="right" w:leader="dot" w:pos="8844"/>
              <w:tab w:val="clear" w:pos="8296"/>
            </w:tabs>
          </w:pPr>
          <w:r>
            <w:fldChar w:fldCharType="begin"/>
          </w:r>
          <w:r>
            <w:instrText xml:space="preserve"> HYPERLINK \l _Toc1288 </w:instrText>
          </w:r>
          <w:r>
            <w:fldChar w:fldCharType="separate"/>
          </w:r>
          <w:r>
            <w:rPr>
              <w:rFonts w:hint="eastAsia" w:ascii="黑体" w:eastAsia="黑体"/>
              <w:szCs w:val="32"/>
              <w:highlight w:val="none"/>
            </w:rPr>
            <w:t>七、</w:t>
          </w:r>
          <w:r>
            <w:rPr>
              <w:rFonts w:hint="eastAsia" w:ascii="黑体" w:hAnsi="黑体" w:eastAsia="黑体"/>
              <w:highlight w:val="none"/>
            </w:rPr>
            <w:t>财政拨款“三公”经费支出决算情况说明</w:t>
          </w:r>
          <w:r>
            <w:tab/>
          </w:r>
          <w:r>
            <w:fldChar w:fldCharType="begin"/>
          </w:r>
          <w:r>
            <w:instrText xml:space="preserve"> PAGEREF _Toc1288 \h </w:instrText>
          </w:r>
          <w:r>
            <w:fldChar w:fldCharType="separate"/>
          </w:r>
          <w:r>
            <w:t>8</w:t>
          </w:r>
          <w:r>
            <w:fldChar w:fldCharType="end"/>
          </w:r>
          <w:r>
            <w:fldChar w:fldCharType="end"/>
          </w:r>
        </w:p>
        <w:p>
          <w:pPr>
            <w:pStyle w:val="15"/>
            <w:tabs>
              <w:tab w:val="right" w:leader="dot" w:pos="8844"/>
              <w:tab w:val="clear" w:pos="8296"/>
            </w:tabs>
          </w:pPr>
          <w:r>
            <w:fldChar w:fldCharType="begin"/>
          </w:r>
          <w:r>
            <w:instrText xml:space="preserve"> HYPERLINK \l _Toc22752 </w:instrText>
          </w:r>
          <w:r>
            <w:fldChar w:fldCharType="separate"/>
          </w:r>
          <w:r>
            <w:rPr>
              <w:rFonts w:hint="eastAsia" w:ascii="黑体" w:eastAsia="黑体"/>
              <w:szCs w:val="32"/>
              <w:highlight w:val="none"/>
            </w:rPr>
            <w:t>八、</w:t>
          </w:r>
          <w:r>
            <w:rPr>
              <w:rFonts w:hint="eastAsia" w:ascii="黑体" w:hAnsi="黑体" w:eastAsia="黑体"/>
              <w:highlight w:val="none"/>
            </w:rPr>
            <w:t>政府性基金预算支出决算情况说明</w:t>
          </w:r>
          <w:r>
            <w:tab/>
          </w:r>
          <w:r>
            <w:fldChar w:fldCharType="begin"/>
          </w:r>
          <w:r>
            <w:instrText xml:space="preserve"> PAGEREF _Toc22752 \h </w:instrText>
          </w:r>
          <w:r>
            <w:fldChar w:fldCharType="separate"/>
          </w:r>
          <w:r>
            <w:t>11</w:t>
          </w:r>
          <w:r>
            <w:fldChar w:fldCharType="end"/>
          </w:r>
          <w:r>
            <w:fldChar w:fldCharType="end"/>
          </w:r>
        </w:p>
        <w:p>
          <w:pPr>
            <w:pStyle w:val="15"/>
            <w:tabs>
              <w:tab w:val="right" w:leader="dot" w:pos="8844"/>
              <w:tab w:val="clear" w:pos="8296"/>
            </w:tabs>
          </w:pPr>
          <w:r>
            <w:fldChar w:fldCharType="begin"/>
          </w:r>
          <w:r>
            <w:instrText xml:space="preserve"> HYPERLINK \l _Toc24751 </w:instrText>
          </w:r>
          <w:r>
            <w:fldChar w:fldCharType="separate"/>
          </w:r>
          <w:r>
            <w:rPr>
              <w:rFonts w:hint="eastAsia" w:ascii="黑体" w:hAnsi="黑体" w:eastAsia="黑体"/>
            </w:rPr>
            <w:t xml:space="preserve">九、 </w:t>
          </w:r>
          <w:r>
            <w:rPr>
              <w:rFonts w:hint="eastAsia" w:ascii="黑体" w:hAnsi="黑体" w:eastAsia="黑体"/>
              <w:highlight w:val="none"/>
            </w:rPr>
            <w:t>国有资本经营预算支出决算情况说明</w:t>
          </w:r>
          <w:r>
            <w:tab/>
          </w:r>
          <w:r>
            <w:fldChar w:fldCharType="begin"/>
          </w:r>
          <w:r>
            <w:instrText xml:space="preserve"> PAGEREF _Toc24751 \h </w:instrText>
          </w:r>
          <w:r>
            <w:fldChar w:fldCharType="separate"/>
          </w:r>
          <w:r>
            <w:t>11</w:t>
          </w:r>
          <w:r>
            <w:fldChar w:fldCharType="end"/>
          </w:r>
          <w:r>
            <w:fldChar w:fldCharType="end"/>
          </w:r>
        </w:p>
        <w:p>
          <w:pPr>
            <w:pStyle w:val="15"/>
            <w:tabs>
              <w:tab w:val="right" w:leader="dot" w:pos="8844"/>
              <w:tab w:val="clear" w:pos="8296"/>
            </w:tabs>
          </w:pPr>
          <w:r>
            <w:fldChar w:fldCharType="begin"/>
          </w:r>
          <w:r>
            <w:instrText xml:space="preserve"> HYPERLINK \l _Toc22700 </w:instrText>
          </w:r>
          <w:r>
            <w:fldChar w:fldCharType="separate"/>
          </w:r>
          <w:r>
            <w:rPr>
              <w:rFonts w:hint="eastAsia" w:ascii="黑体" w:hAnsi="黑体" w:eastAsia="黑体"/>
            </w:rPr>
            <w:t xml:space="preserve">十、 </w:t>
          </w:r>
          <w:r>
            <w:rPr>
              <w:rFonts w:hint="eastAsia" w:ascii="黑体" w:hAnsi="黑体" w:eastAsia="黑体"/>
              <w:highlight w:val="none"/>
            </w:rPr>
            <w:t>其他重要事项的情况说明</w:t>
          </w:r>
          <w:r>
            <w:tab/>
          </w:r>
          <w:r>
            <w:fldChar w:fldCharType="begin"/>
          </w:r>
          <w:r>
            <w:instrText xml:space="preserve"> PAGEREF _Toc22700 \h </w:instrText>
          </w:r>
          <w:r>
            <w:fldChar w:fldCharType="separate"/>
          </w:r>
          <w:r>
            <w:t>11</w:t>
          </w:r>
          <w:r>
            <w:fldChar w:fldCharType="end"/>
          </w:r>
          <w:r>
            <w:fldChar w:fldCharType="end"/>
          </w:r>
        </w:p>
        <w:p>
          <w:pPr>
            <w:pStyle w:val="13"/>
            <w:tabs>
              <w:tab w:val="right" w:leader="dot" w:pos="8844"/>
              <w:tab w:val="clear" w:pos="8296"/>
            </w:tabs>
          </w:pPr>
          <w:r>
            <w:fldChar w:fldCharType="begin"/>
          </w:r>
          <w:r>
            <w:instrText xml:space="preserve"> HYPERLINK \l _Toc13864 </w:instrText>
          </w:r>
          <w:r>
            <w:fldChar w:fldCharType="separate"/>
          </w:r>
          <w:r>
            <w:rPr>
              <w:rFonts w:hint="eastAsia" w:ascii="黑体" w:hAnsi="黑体" w:eastAsia="黑体"/>
            </w:rPr>
            <w:t xml:space="preserve">第三部分 </w:t>
          </w:r>
          <w:r>
            <w:rPr>
              <w:rFonts w:hint="eastAsia" w:ascii="黑体" w:hAnsi="黑体" w:eastAsia="黑体"/>
              <w:szCs w:val="44"/>
              <w:highlight w:val="none"/>
            </w:rPr>
            <w:t>名</w:t>
          </w:r>
          <w:r>
            <w:rPr>
              <w:rFonts w:hint="eastAsia" w:ascii="黑体" w:hAnsi="黑体" w:eastAsia="黑体"/>
              <w:highlight w:val="none"/>
            </w:rPr>
            <w:t>词解释</w:t>
          </w:r>
          <w:r>
            <w:tab/>
          </w:r>
          <w:r>
            <w:fldChar w:fldCharType="begin"/>
          </w:r>
          <w:r>
            <w:instrText xml:space="preserve"> PAGEREF _Toc13864 \h </w:instrText>
          </w:r>
          <w:r>
            <w:fldChar w:fldCharType="separate"/>
          </w:r>
          <w:r>
            <w:t>13</w:t>
          </w:r>
          <w:r>
            <w:fldChar w:fldCharType="end"/>
          </w:r>
          <w:r>
            <w:fldChar w:fldCharType="end"/>
          </w:r>
        </w:p>
        <w:p>
          <w:pPr>
            <w:pStyle w:val="13"/>
            <w:tabs>
              <w:tab w:val="right" w:leader="dot" w:pos="8844"/>
              <w:tab w:val="clear" w:pos="8296"/>
            </w:tabs>
          </w:pPr>
          <w:r>
            <w:fldChar w:fldCharType="begin"/>
          </w:r>
          <w:r>
            <w:instrText xml:space="preserve"> HYPERLINK \l _Toc12871 </w:instrText>
          </w:r>
          <w:r>
            <w:fldChar w:fldCharType="separate"/>
          </w:r>
          <w:r>
            <w:rPr>
              <w:rFonts w:hint="eastAsia" w:ascii="黑体" w:hAnsi="黑体" w:eastAsia="黑体"/>
              <w:szCs w:val="44"/>
              <w:highlight w:val="none"/>
            </w:rPr>
            <w:t>第</w:t>
          </w:r>
          <w:r>
            <w:rPr>
              <w:rFonts w:hint="eastAsia" w:ascii="黑体" w:hAnsi="黑体" w:eastAsia="黑体"/>
              <w:highlight w:val="none"/>
            </w:rPr>
            <w:t>四部分 附件</w:t>
          </w:r>
          <w:r>
            <w:tab/>
          </w:r>
          <w:r>
            <w:fldChar w:fldCharType="begin"/>
          </w:r>
          <w:r>
            <w:instrText xml:space="preserve"> PAGEREF _Toc12871 \h </w:instrText>
          </w:r>
          <w:r>
            <w:fldChar w:fldCharType="separate"/>
          </w:r>
          <w:r>
            <w:t>17</w:t>
          </w:r>
          <w:r>
            <w:fldChar w:fldCharType="end"/>
          </w:r>
          <w:r>
            <w:fldChar w:fldCharType="end"/>
          </w:r>
        </w:p>
        <w:p>
          <w:pPr>
            <w:pStyle w:val="13"/>
            <w:tabs>
              <w:tab w:val="right" w:leader="dot" w:pos="8844"/>
              <w:tab w:val="clear" w:pos="8296"/>
            </w:tabs>
          </w:pPr>
          <w:r>
            <w:fldChar w:fldCharType="begin"/>
          </w:r>
          <w:r>
            <w:instrText xml:space="preserve"> HYPERLINK \l _Toc3232 </w:instrText>
          </w:r>
          <w:r>
            <w:fldChar w:fldCharType="separate"/>
          </w:r>
          <w:r>
            <w:rPr>
              <w:rFonts w:hint="eastAsia" w:ascii="黑体" w:hAnsi="黑体" w:eastAsia="黑体"/>
            </w:rPr>
            <w:t xml:space="preserve">第五部分 </w:t>
          </w:r>
          <w:r>
            <w:rPr>
              <w:rFonts w:hint="eastAsia" w:ascii="黑体" w:hAnsi="黑体" w:eastAsia="黑体"/>
              <w:highlight w:val="none"/>
            </w:rPr>
            <w:t>附表</w:t>
          </w:r>
          <w:r>
            <w:tab/>
          </w:r>
          <w:r>
            <w:fldChar w:fldCharType="begin"/>
          </w:r>
          <w:r>
            <w:instrText xml:space="preserve"> PAGEREF _Toc3232 \h </w:instrText>
          </w:r>
          <w:r>
            <w:fldChar w:fldCharType="separate"/>
          </w:r>
          <w:r>
            <w:t>69</w:t>
          </w:r>
          <w:r>
            <w:fldChar w:fldCharType="end"/>
          </w:r>
          <w:r>
            <w:fldChar w:fldCharType="end"/>
          </w:r>
        </w:p>
        <w:p>
          <w:pPr>
            <w:pStyle w:val="13"/>
            <w:tabs>
              <w:tab w:val="right" w:leader="dot" w:pos="8844"/>
              <w:tab w:val="clear" w:pos="8296"/>
            </w:tabs>
            <w:rPr>
              <w:rFonts w:hint="eastAsia" w:ascii="黑体" w:hAnsi="黑体" w:eastAsia="黑体" w:cs="黑体"/>
              <w:sz w:val="21"/>
              <w:szCs w:val="21"/>
            </w:rPr>
          </w:pPr>
          <w:r>
            <w:rPr>
              <w:rFonts w:hint="eastAsia"/>
              <w:lang w:val="en-US" w:eastAsia="zh-CN"/>
            </w:rPr>
            <w:t xml:space="preserve">   </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_Toc15129 </w:instrText>
          </w:r>
          <w:r>
            <w:rPr>
              <w:rFonts w:hint="eastAsia" w:ascii="黑体" w:hAnsi="黑体" w:eastAsia="黑体" w:cs="黑体"/>
              <w:sz w:val="21"/>
              <w:szCs w:val="21"/>
            </w:rPr>
            <w:fldChar w:fldCharType="separate"/>
          </w:r>
          <w:r>
            <w:rPr>
              <w:rFonts w:hint="eastAsia" w:ascii="黑体" w:hAnsi="黑体" w:eastAsia="黑体" w:cs="黑体"/>
              <w:bCs w:val="0"/>
              <w:sz w:val="21"/>
              <w:szCs w:val="21"/>
            </w:rPr>
            <w:t xml:space="preserve">一、 </w:t>
          </w:r>
          <w:r>
            <w:rPr>
              <w:rFonts w:hint="eastAsia" w:ascii="黑体" w:hAnsi="黑体" w:eastAsia="黑体" w:cs="黑体"/>
              <w:sz w:val="21"/>
              <w:szCs w:val="21"/>
              <w:highlight w:val="none"/>
            </w:rPr>
            <w:t>收</w:t>
          </w:r>
          <w:r>
            <w:rPr>
              <w:rFonts w:hint="eastAsia" w:ascii="黑体" w:hAnsi="黑体" w:eastAsia="黑体" w:cs="黑体"/>
              <w:bCs w:val="0"/>
              <w:sz w:val="21"/>
              <w:szCs w:val="21"/>
              <w:highlight w:val="none"/>
            </w:rPr>
            <w:t>入支出决算总表</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_Toc15129 \h </w:instrText>
          </w:r>
          <w:r>
            <w:rPr>
              <w:rFonts w:hint="eastAsia" w:ascii="黑体" w:hAnsi="黑体" w:eastAsia="黑体" w:cs="黑体"/>
              <w:sz w:val="21"/>
              <w:szCs w:val="21"/>
            </w:rPr>
            <w:fldChar w:fldCharType="separate"/>
          </w:r>
          <w:r>
            <w:rPr>
              <w:rFonts w:hint="eastAsia" w:ascii="黑体" w:hAnsi="黑体" w:eastAsia="黑体" w:cs="黑体"/>
              <w:sz w:val="21"/>
              <w:szCs w:val="21"/>
            </w:rPr>
            <w:t>69</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13"/>
            <w:tabs>
              <w:tab w:val="right" w:leader="dot" w:pos="8844"/>
              <w:tab w:val="clear" w:pos="8296"/>
            </w:tabs>
            <w:rPr>
              <w:rFonts w:hint="eastAsia" w:ascii="黑体" w:hAnsi="黑体" w:eastAsia="黑体" w:cs="黑体"/>
              <w:sz w:val="21"/>
              <w:szCs w:val="21"/>
            </w:rPr>
          </w:pPr>
          <w:r>
            <w:rPr>
              <w:rFonts w:hint="eastAsia" w:ascii="黑体" w:hAnsi="黑体" w:eastAsia="黑体" w:cs="黑体"/>
              <w:sz w:val="21"/>
              <w:szCs w:val="21"/>
              <w:lang w:val="en-US" w:eastAsia="zh-CN"/>
            </w:rPr>
            <w:t xml:space="preserve">    </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_Toc22915 </w:instrText>
          </w:r>
          <w:r>
            <w:rPr>
              <w:rFonts w:hint="eastAsia" w:ascii="黑体" w:hAnsi="黑体" w:eastAsia="黑体" w:cs="黑体"/>
              <w:sz w:val="21"/>
              <w:szCs w:val="21"/>
            </w:rPr>
            <w:fldChar w:fldCharType="separate"/>
          </w:r>
          <w:r>
            <w:rPr>
              <w:rFonts w:hint="eastAsia" w:ascii="黑体" w:hAnsi="黑体" w:eastAsia="黑体" w:cs="黑体"/>
              <w:sz w:val="21"/>
              <w:szCs w:val="21"/>
            </w:rPr>
            <w:t xml:space="preserve">二、 </w:t>
          </w:r>
          <w:r>
            <w:rPr>
              <w:rFonts w:hint="eastAsia" w:ascii="黑体" w:hAnsi="黑体" w:eastAsia="黑体" w:cs="黑体"/>
              <w:sz w:val="21"/>
              <w:szCs w:val="21"/>
              <w:highlight w:val="none"/>
            </w:rPr>
            <w:t>收</w:t>
          </w:r>
          <w:r>
            <w:rPr>
              <w:rFonts w:hint="eastAsia" w:ascii="黑体" w:hAnsi="黑体" w:eastAsia="黑体" w:cs="黑体"/>
              <w:bCs w:val="0"/>
              <w:sz w:val="21"/>
              <w:szCs w:val="21"/>
              <w:highlight w:val="none"/>
            </w:rPr>
            <w:t>入决算表</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_Toc22915 \h </w:instrText>
          </w:r>
          <w:r>
            <w:rPr>
              <w:rFonts w:hint="eastAsia" w:ascii="黑体" w:hAnsi="黑体" w:eastAsia="黑体" w:cs="黑体"/>
              <w:sz w:val="21"/>
              <w:szCs w:val="21"/>
            </w:rPr>
            <w:fldChar w:fldCharType="separate"/>
          </w:r>
          <w:r>
            <w:rPr>
              <w:rFonts w:hint="eastAsia" w:ascii="黑体" w:hAnsi="黑体" w:eastAsia="黑体" w:cs="黑体"/>
              <w:sz w:val="21"/>
              <w:szCs w:val="21"/>
            </w:rPr>
            <w:t>69</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15"/>
            <w:tabs>
              <w:tab w:val="right" w:leader="dot" w:pos="8844"/>
              <w:tab w:val="clear" w:pos="829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_Toc28724 </w:instrText>
          </w:r>
          <w:r>
            <w:rPr>
              <w:rFonts w:hint="eastAsia" w:ascii="黑体" w:hAnsi="黑体" w:eastAsia="黑体" w:cs="黑体"/>
              <w:sz w:val="21"/>
              <w:szCs w:val="21"/>
            </w:rPr>
            <w:fldChar w:fldCharType="separate"/>
          </w:r>
          <w:r>
            <w:rPr>
              <w:rFonts w:hint="eastAsia" w:ascii="黑体" w:hAnsi="黑体" w:eastAsia="黑体" w:cs="黑体"/>
              <w:bCs w:val="0"/>
              <w:sz w:val="21"/>
              <w:szCs w:val="21"/>
              <w:highlight w:val="none"/>
            </w:rPr>
            <w:t>三、</w:t>
          </w:r>
          <w:r>
            <w:rPr>
              <w:rFonts w:hint="eastAsia" w:ascii="黑体" w:hAnsi="黑体" w:eastAsia="黑体" w:cs="黑体"/>
              <w:sz w:val="21"/>
              <w:szCs w:val="21"/>
              <w:highlight w:val="none"/>
            </w:rPr>
            <w:t>支</w:t>
          </w:r>
          <w:r>
            <w:rPr>
              <w:rFonts w:hint="eastAsia" w:ascii="黑体" w:hAnsi="黑体" w:eastAsia="黑体" w:cs="黑体"/>
              <w:bCs w:val="0"/>
              <w:sz w:val="21"/>
              <w:szCs w:val="21"/>
              <w:highlight w:val="none"/>
            </w:rPr>
            <w:t>出决算表</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_Toc28724 \h </w:instrText>
          </w:r>
          <w:r>
            <w:rPr>
              <w:rFonts w:hint="eastAsia" w:ascii="黑体" w:hAnsi="黑体" w:eastAsia="黑体" w:cs="黑体"/>
              <w:sz w:val="21"/>
              <w:szCs w:val="21"/>
            </w:rPr>
            <w:fldChar w:fldCharType="separate"/>
          </w:r>
          <w:r>
            <w:rPr>
              <w:rFonts w:hint="eastAsia" w:ascii="黑体" w:hAnsi="黑体" w:eastAsia="黑体" w:cs="黑体"/>
              <w:sz w:val="21"/>
              <w:szCs w:val="21"/>
            </w:rPr>
            <w:t>69</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15"/>
            <w:tabs>
              <w:tab w:val="right" w:leader="dot" w:pos="8844"/>
              <w:tab w:val="clear" w:pos="829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_Toc18431 </w:instrText>
          </w:r>
          <w:r>
            <w:rPr>
              <w:rFonts w:hint="eastAsia" w:ascii="黑体" w:hAnsi="黑体" w:eastAsia="黑体" w:cs="黑体"/>
              <w:sz w:val="21"/>
              <w:szCs w:val="21"/>
            </w:rPr>
            <w:fldChar w:fldCharType="separate"/>
          </w:r>
          <w:r>
            <w:rPr>
              <w:rFonts w:hint="eastAsia" w:ascii="黑体" w:hAnsi="黑体" w:eastAsia="黑体" w:cs="黑体"/>
              <w:bCs w:val="0"/>
              <w:sz w:val="21"/>
              <w:szCs w:val="21"/>
              <w:highlight w:val="none"/>
            </w:rPr>
            <w:t>四、</w:t>
          </w:r>
          <w:r>
            <w:rPr>
              <w:rFonts w:hint="eastAsia" w:ascii="黑体" w:hAnsi="黑体" w:eastAsia="黑体" w:cs="黑体"/>
              <w:sz w:val="21"/>
              <w:szCs w:val="21"/>
              <w:highlight w:val="none"/>
            </w:rPr>
            <w:t>财</w:t>
          </w:r>
          <w:r>
            <w:rPr>
              <w:rFonts w:hint="eastAsia" w:ascii="黑体" w:hAnsi="黑体" w:eastAsia="黑体" w:cs="黑体"/>
              <w:bCs w:val="0"/>
              <w:sz w:val="21"/>
              <w:szCs w:val="21"/>
              <w:highlight w:val="none"/>
            </w:rPr>
            <w:t>政拨款收入支出决算总表</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_Toc18431 \h </w:instrText>
          </w:r>
          <w:r>
            <w:rPr>
              <w:rFonts w:hint="eastAsia" w:ascii="黑体" w:hAnsi="黑体" w:eastAsia="黑体" w:cs="黑体"/>
              <w:sz w:val="21"/>
              <w:szCs w:val="21"/>
            </w:rPr>
            <w:fldChar w:fldCharType="separate"/>
          </w:r>
          <w:r>
            <w:rPr>
              <w:rFonts w:hint="eastAsia" w:ascii="黑体" w:hAnsi="黑体" w:eastAsia="黑体" w:cs="黑体"/>
              <w:sz w:val="21"/>
              <w:szCs w:val="21"/>
            </w:rPr>
            <w:t>69</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15"/>
            <w:tabs>
              <w:tab w:val="right" w:leader="dot" w:pos="8844"/>
              <w:tab w:val="clear" w:pos="829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_Toc22517 </w:instrText>
          </w:r>
          <w:r>
            <w:rPr>
              <w:rFonts w:hint="eastAsia" w:ascii="黑体" w:hAnsi="黑体" w:eastAsia="黑体" w:cs="黑体"/>
              <w:sz w:val="21"/>
              <w:szCs w:val="21"/>
            </w:rPr>
            <w:fldChar w:fldCharType="separate"/>
          </w:r>
          <w:r>
            <w:rPr>
              <w:rFonts w:hint="eastAsia" w:ascii="黑体" w:hAnsi="黑体" w:eastAsia="黑体" w:cs="黑体"/>
              <w:bCs w:val="0"/>
              <w:sz w:val="21"/>
              <w:szCs w:val="21"/>
              <w:highlight w:val="none"/>
            </w:rPr>
            <w:t>五、</w:t>
          </w:r>
          <w:r>
            <w:rPr>
              <w:rFonts w:hint="eastAsia" w:ascii="黑体" w:hAnsi="黑体" w:eastAsia="黑体" w:cs="黑体"/>
              <w:sz w:val="21"/>
              <w:szCs w:val="21"/>
              <w:highlight w:val="none"/>
            </w:rPr>
            <w:t>财</w:t>
          </w:r>
          <w:r>
            <w:rPr>
              <w:rFonts w:hint="eastAsia" w:ascii="黑体" w:hAnsi="黑体" w:eastAsia="黑体" w:cs="黑体"/>
              <w:bCs w:val="0"/>
              <w:sz w:val="21"/>
              <w:szCs w:val="21"/>
              <w:highlight w:val="none"/>
            </w:rPr>
            <w:t>政拨款支出决算明细表</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_Toc22517 \h </w:instrText>
          </w:r>
          <w:r>
            <w:rPr>
              <w:rFonts w:hint="eastAsia" w:ascii="黑体" w:hAnsi="黑体" w:eastAsia="黑体" w:cs="黑体"/>
              <w:sz w:val="21"/>
              <w:szCs w:val="21"/>
            </w:rPr>
            <w:fldChar w:fldCharType="separate"/>
          </w:r>
          <w:r>
            <w:rPr>
              <w:rFonts w:hint="eastAsia" w:ascii="黑体" w:hAnsi="黑体" w:eastAsia="黑体" w:cs="黑体"/>
              <w:sz w:val="21"/>
              <w:szCs w:val="21"/>
            </w:rPr>
            <w:t>69</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15"/>
            <w:tabs>
              <w:tab w:val="right" w:leader="dot" w:pos="8844"/>
              <w:tab w:val="clear" w:pos="829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_Toc24898 </w:instrText>
          </w:r>
          <w:r>
            <w:rPr>
              <w:rFonts w:hint="eastAsia" w:ascii="黑体" w:hAnsi="黑体" w:eastAsia="黑体" w:cs="黑体"/>
              <w:sz w:val="21"/>
              <w:szCs w:val="21"/>
            </w:rPr>
            <w:fldChar w:fldCharType="separate"/>
          </w:r>
          <w:r>
            <w:rPr>
              <w:rFonts w:hint="eastAsia" w:ascii="黑体" w:hAnsi="黑体" w:eastAsia="黑体" w:cs="黑体"/>
              <w:bCs w:val="0"/>
              <w:sz w:val="21"/>
              <w:szCs w:val="21"/>
              <w:highlight w:val="none"/>
            </w:rPr>
            <w:t>六、</w:t>
          </w:r>
          <w:r>
            <w:rPr>
              <w:rFonts w:hint="eastAsia" w:ascii="黑体" w:hAnsi="黑体" w:eastAsia="黑体" w:cs="黑体"/>
              <w:sz w:val="21"/>
              <w:szCs w:val="21"/>
              <w:highlight w:val="none"/>
            </w:rPr>
            <w:t>一</w:t>
          </w:r>
          <w:r>
            <w:rPr>
              <w:rFonts w:hint="eastAsia" w:ascii="黑体" w:hAnsi="黑体" w:eastAsia="黑体" w:cs="黑体"/>
              <w:bCs w:val="0"/>
              <w:sz w:val="21"/>
              <w:szCs w:val="21"/>
              <w:highlight w:val="none"/>
            </w:rPr>
            <w:t>般公共预算财政拨款支出决算表</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_Toc24898 \h </w:instrText>
          </w:r>
          <w:r>
            <w:rPr>
              <w:rFonts w:hint="eastAsia" w:ascii="黑体" w:hAnsi="黑体" w:eastAsia="黑体" w:cs="黑体"/>
              <w:sz w:val="21"/>
              <w:szCs w:val="21"/>
            </w:rPr>
            <w:fldChar w:fldCharType="separate"/>
          </w:r>
          <w:r>
            <w:rPr>
              <w:rFonts w:hint="eastAsia" w:ascii="黑体" w:hAnsi="黑体" w:eastAsia="黑体" w:cs="黑体"/>
              <w:sz w:val="21"/>
              <w:szCs w:val="21"/>
            </w:rPr>
            <w:t>69</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15"/>
            <w:tabs>
              <w:tab w:val="right" w:leader="dot" w:pos="8844"/>
              <w:tab w:val="clear" w:pos="829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_Toc23615 </w:instrText>
          </w:r>
          <w:r>
            <w:rPr>
              <w:rFonts w:hint="eastAsia" w:ascii="黑体" w:hAnsi="黑体" w:eastAsia="黑体" w:cs="黑体"/>
              <w:sz w:val="21"/>
              <w:szCs w:val="21"/>
            </w:rPr>
            <w:fldChar w:fldCharType="separate"/>
          </w:r>
          <w:r>
            <w:rPr>
              <w:rFonts w:hint="eastAsia" w:ascii="黑体" w:hAnsi="黑体" w:eastAsia="黑体" w:cs="黑体"/>
              <w:bCs w:val="0"/>
              <w:sz w:val="21"/>
              <w:szCs w:val="21"/>
              <w:highlight w:val="none"/>
            </w:rPr>
            <w:t>七、</w:t>
          </w:r>
          <w:r>
            <w:rPr>
              <w:rFonts w:hint="eastAsia" w:ascii="黑体" w:hAnsi="黑体" w:eastAsia="黑体" w:cs="黑体"/>
              <w:sz w:val="21"/>
              <w:szCs w:val="21"/>
              <w:highlight w:val="none"/>
            </w:rPr>
            <w:t>一</w:t>
          </w:r>
          <w:r>
            <w:rPr>
              <w:rFonts w:hint="eastAsia" w:ascii="黑体" w:hAnsi="黑体" w:eastAsia="黑体" w:cs="黑体"/>
              <w:bCs w:val="0"/>
              <w:sz w:val="21"/>
              <w:szCs w:val="21"/>
              <w:highlight w:val="none"/>
            </w:rPr>
            <w:t>般公共预算财政拨款支出决算明细表</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_Toc23615 \h </w:instrText>
          </w:r>
          <w:r>
            <w:rPr>
              <w:rFonts w:hint="eastAsia" w:ascii="黑体" w:hAnsi="黑体" w:eastAsia="黑体" w:cs="黑体"/>
              <w:sz w:val="21"/>
              <w:szCs w:val="21"/>
            </w:rPr>
            <w:fldChar w:fldCharType="separate"/>
          </w:r>
          <w:r>
            <w:rPr>
              <w:rFonts w:hint="eastAsia" w:ascii="黑体" w:hAnsi="黑体" w:eastAsia="黑体" w:cs="黑体"/>
              <w:sz w:val="21"/>
              <w:szCs w:val="21"/>
            </w:rPr>
            <w:t>69</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15"/>
            <w:tabs>
              <w:tab w:val="right" w:leader="dot" w:pos="8844"/>
              <w:tab w:val="clear" w:pos="829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_Toc8005 </w:instrText>
          </w:r>
          <w:r>
            <w:rPr>
              <w:rFonts w:hint="eastAsia" w:ascii="黑体" w:hAnsi="黑体" w:eastAsia="黑体" w:cs="黑体"/>
              <w:sz w:val="21"/>
              <w:szCs w:val="21"/>
            </w:rPr>
            <w:fldChar w:fldCharType="separate"/>
          </w:r>
          <w:r>
            <w:rPr>
              <w:rFonts w:hint="eastAsia" w:ascii="黑体" w:hAnsi="黑体" w:eastAsia="黑体" w:cs="黑体"/>
              <w:bCs w:val="0"/>
              <w:sz w:val="21"/>
              <w:szCs w:val="21"/>
              <w:highlight w:val="none"/>
            </w:rPr>
            <w:t>八、</w:t>
          </w:r>
          <w:r>
            <w:rPr>
              <w:rFonts w:hint="eastAsia" w:ascii="黑体" w:hAnsi="黑体" w:eastAsia="黑体" w:cs="黑体"/>
              <w:sz w:val="21"/>
              <w:szCs w:val="21"/>
              <w:highlight w:val="none"/>
            </w:rPr>
            <w:t>一</w:t>
          </w:r>
          <w:r>
            <w:rPr>
              <w:rFonts w:hint="eastAsia" w:ascii="黑体" w:hAnsi="黑体" w:eastAsia="黑体" w:cs="黑体"/>
              <w:bCs w:val="0"/>
              <w:sz w:val="21"/>
              <w:szCs w:val="21"/>
              <w:highlight w:val="none"/>
            </w:rPr>
            <w:t>般公共预算财政拨款基本支出决算表</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_Toc8005 \h </w:instrText>
          </w:r>
          <w:r>
            <w:rPr>
              <w:rFonts w:hint="eastAsia" w:ascii="黑体" w:hAnsi="黑体" w:eastAsia="黑体" w:cs="黑体"/>
              <w:sz w:val="21"/>
              <w:szCs w:val="21"/>
            </w:rPr>
            <w:fldChar w:fldCharType="separate"/>
          </w:r>
          <w:r>
            <w:rPr>
              <w:rFonts w:hint="eastAsia" w:ascii="黑体" w:hAnsi="黑体" w:eastAsia="黑体" w:cs="黑体"/>
              <w:sz w:val="21"/>
              <w:szCs w:val="21"/>
            </w:rPr>
            <w:t>69</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15"/>
            <w:tabs>
              <w:tab w:val="right" w:leader="dot" w:pos="8844"/>
              <w:tab w:val="clear" w:pos="829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_Toc4142 </w:instrText>
          </w:r>
          <w:r>
            <w:rPr>
              <w:rFonts w:hint="eastAsia" w:ascii="黑体" w:hAnsi="黑体" w:eastAsia="黑体" w:cs="黑体"/>
              <w:sz w:val="21"/>
              <w:szCs w:val="21"/>
            </w:rPr>
            <w:fldChar w:fldCharType="separate"/>
          </w:r>
          <w:r>
            <w:rPr>
              <w:rFonts w:hint="eastAsia" w:ascii="黑体" w:hAnsi="黑体" w:eastAsia="黑体" w:cs="黑体"/>
              <w:bCs w:val="0"/>
              <w:sz w:val="21"/>
              <w:szCs w:val="21"/>
              <w:highlight w:val="none"/>
            </w:rPr>
            <w:t>九、</w:t>
          </w:r>
          <w:r>
            <w:rPr>
              <w:rFonts w:hint="eastAsia" w:ascii="黑体" w:hAnsi="黑体" w:eastAsia="黑体" w:cs="黑体"/>
              <w:sz w:val="21"/>
              <w:szCs w:val="21"/>
              <w:highlight w:val="none"/>
            </w:rPr>
            <w:t>一</w:t>
          </w:r>
          <w:r>
            <w:rPr>
              <w:rFonts w:hint="eastAsia" w:ascii="黑体" w:hAnsi="黑体" w:eastAsia="黑体" w:cs="黑体"/>
              <w:bCs w:val="0"/>
              <w:sz w:val="21"/>
              <w:szCs w:val="21"/>
              <w:highlight w:val="none"/>
            </w:rPr>
            <w:t>般公共预算财政拨款项目支出决算表</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_Toc4142 \h </w:instrText>
          </w:r>
          <w:r>
            <w:rPr>
              <w:rFonts w:hint="eastAsia" w:ascii="黑体" w:hAnsi="黑体" w:eastAsia="黑体" w:cs="黑体"/>
              <w:sz w:val="21"/>
              <w:szCs w:val="21"/>
            </w:rPr>
            <w:fldChar w:fldCharType="separate"/>
          </w:r>
          <w:r>
            <w:rPr>
              <w:rFonts w:hint="eastAsia" w:ascii="黑体" w:hAnsi="黑体" w:eastAsia="黑体" w:cs="黑体"/>
              <w:sz w:val="21"/>
              <w:szCs w:val="21"/>
            </w:rPr>
            <w:t>69</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15"/>
            <w:tabs>
              <w:tab w:val="right" w:leader="dot" w:pos="8844"/>
              <w:tab w:val="clear" w:pos="829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_Toc19895 </w:instrText>
          </w:r>
          <w:r>
            <w:rPr>
              <w:rFonts w:hint="eastAsia" w:ascii="黑体" w:hAnsi="黑体" w:eastAsia="黑体" w:cs="黑体"/>
              <w:sz w:val="21"/>
              <w:szCs w:val="21"/>
            </w:rPr>
            <w:fldChar w:fldCharType="separate"/>
          </w:r>
          <w:r>
            <w:rPr>
              <w:rFonts w:hint="eastAsia" w:ascii="黑体" w:hAnsi="黑体" w:eastAsia="黑体" w:cs="黑体"/>
              <w:bCs w:val="0"/>
              <w:sz w:val="21"/>
              <w:szCs w:val="21"/>
              <w:highlight w:val="none"/>
            </w:rPr>
            <w:t>十、</w:t>
          </w:r>
          <w:r>
            <w:rPr>
              <w:rFonts w:hint="eastAsia" w:ascii="黑体" w:hAnsi="黑体" w:eastAsia="黑体" w:cs="黑体"/>
              <w:sz w:val="21"/>
              <w:szCs w:val="21"/>
              <w:highlight w:val="none"/>
            </w:rPr>
            <w:t>政</w:t>
          </w:r>
          <w:r>
            <w:rPr>
              <w:rFonts w:hint="eastAsia" w:ascii="黑体" w:hAnsi="黑体" w:eastAsia="黑体" w:cs="黑体"/>
              <w:bCs w:val="0"/>
              <w:sz w:val="21"/>
              <w:szCs w:val="21"/>
              <w:highlight w:val="none"/>
            </w:rPr>
            <w:t>府性基金预算财政拨款收入支出决算表</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_Toc19895 \h </w:instrText>
          </w:r>
          <w:r>
            <w:rPr>
              <w:rFonts w:hint="eastAsia" w:ascii="黑体" w:hAnsi="黑体" w:eastAsia="黑体" w:cs="黑体"/>
              <w:sz w:val="21"/>
              <w:szCs w:val="21"/>
            </w:rPr>
            <w:fldChar w:fldCharType="separate"/>
          </w:r>
          <w:r>
            <w:rPr>
              <w:rFonts w:hint="eastAsia" w:ascii="黑体" w:hAnsi="黑体" w:eastAsia="黑体" w:cs="黑体"/>
              <w:sz w:val="21"/>
              <w:szCs w:val="21"/>
            </w:rPr>
            <w:t>69</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15"/>
            <w:tabs>
              <w:tab w:val="right" w:leader="dot" w:pos="8844"/>
              <w:tab w:val="clear" w:pos="829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_Toc27076 </w:instrText>
          </w:r>
          <w:r>
            <w:rPr>
              <w:rFonts w:hint="eastAsia" w:ascii="黑体" w:hAnsi="黑体" w:eastAsia="黑体" w:cs="黑体"/>
              <w:sz w:val="21"/>
              <w:szCs w:val="21"/>
            </w:rPr>
            <w:fldChar w:fldCharType="separate"/>
          </w:r>
          <w:r>
            <w:rPr>
              <w:rFonts w:hint="eastAsia" w:ascii="黑体" w:hAnsi="黑体" w:eastAsia="黑体" w:cs="黑体"/>
              <w:bCs w:val="0"/>
              <w:sz w:val="21"/>
              <w:szCs w:val="21"/>
              <w:highlight w:val="none"/>
            </w:rPr>
            <w:t>十一、</w:t>
          </w:r>
          <w:r>
            <w:rPr>
              <w:rFonts w:hint="eastAsia" w:ascii="黑体" w:hAnsi="黑体" w:eastAsia="黑体" w:cs="黑体"/>
              <w:sz w:val="21"/>
              <w:szCs w:val="21"/>
              <w:highlight w:val="none"/>
            </w:rPr>
            <w:t>国</w:t>
          </w:r>
          <w:r>
            <w:rPr>
              <w:rFonts w:hint="eastAsia" w:ascii="黑体" w:hAnsi="黑体" w:eastAsia="黑体" w:cs="黑体"/>
              <w:bCs w:val="0"/>
              <w:sz w:val="21"/>
              <w:szCs w:val="21"/>
              <w:highlight w:val="none"/>
            </w:rPr>
            <w:t>有资本经营预算</w:t>
          </w:r>
          <w:r>
            <w:rPr>
              <w:rFonts w:hint="eastAsia" w:ascii="黑体" w:hAnsi="黑体" w:eastAsia="黑体" w:cs="黑体"/>
              <w:bCs w:val="0"/>
              <w:sz w:val="21"/>
              <w:szCs w:val="21"/>
              <w:highlight w:val="none"/>
              <w:lang w:eastAsia="zh-CN"/>
            </w:rPr>
            <w:t>财政拨款收入</w:t>
          </w:r>
          <w:r>
            <w:rPr>
              <w:rFonts w:hint="eastAsia" w:ascii="黑体" w:hAnsi="黑体" w:eastAsia="黑体" w:cs="黑体"/>
              <w:bCs w:val="0"/>
              <w:sz w:val="21"/>
              <w:szCs w:val="21"/>
              <w:highlight w:val="none"/>
            </w:rPr>
            <w:t>支出决算表</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_Toc27076 \h </w:instrText>
          </w:r>
          <w:r>
            <w:rPr>
              <w:rFonts w:hint="eastAsia" w:ascii="黑体" w:hAnsi="黑体" w:eastAsia="黑体" w:cs="黑体"/>
              <w:sz w:val="21"/>
              <w:szCs w:val="21"/>
            </w:rPr>
            <w:fldChar w:fldCharType="separate"/>
          </w:r>
          <w:r>
            <w:rPr>
              <w:rFonts w:hint="eastAsia" w:ascii="黑体" w:hAnsi="黑体" w:eastAsia="黑体" w:cs="黑体"/>
              <w:sz w:val="21"/>
              <w:szCs w:val="21"/>
            </w:rPr>
            <w:t>69</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15"/>
            <w:tabs>
              <w:tab w:val="right" w:leader="dot" w:pos="8844"/>
              <w:tab w:val="clear" w:pos="829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_Toc18259 </w:instrText>
          </w:r>
          <w:r>
            <w:rPr>
              <w:rFonts w:hint="eastAsia" w:ascii="黑体" w:hAnsi="黑体" w:eastAsia="黑体" w:cs="黑体"/>
              <w:sz w:val="21"/>
              <w:szCs w:val="21"/>
            </w:rPr>
            <w:fldChar w:fldCharType="separate"/>
          </w:r>
          <w:r>
            <w:rPr>
              <w:rFonts w:hint="eastAsia" w:ascii="黑体" w:hAnsi="黑体" w:eastAsia="黑体" w:cs="黑体"/>
              <w:bCs w:val="0"/>
              <w:sz w:val="21"/>
              <w:szCs w:val="21"/>
              <w:highlight w:val="none"/>
            </w:rPr>
            <w:t>十二、</w:t>
          </w:r>
          <w:r>
            <w:rPr>
              <w:rFonts w:hint="eastAsia" w:ascii="黑体" w:hAnsi="黑体" w:eastAsia="黑体" w:cs="黑体"/>
              <w:bCs w:val="0"/>
              <w:sz w:val="21"/>
              <w:szCs w:val="21"/>
              <w:highlight w:val="none"/>
              <w:lang w:eastAsia="zh-CN"/>
            </w:rPr>
            <w:t>国有资本经营预算财政拨款支出决算表</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_Toc18259 \h </w:instrText>
          </w:r>
          <w:r>
            <w:rPr>
              <w:rFonts w:hint="eastAsia" w:ascii="黑体" w:hAnsi="黑体" w:eastAsia="黑体" w:cs="黑体"/>
              <w:sz w:val="21"/>
              <w:szCs w:val="21"/>
            </w:rPr>
            <w:fldChar w:fldCharType="separate"/>
          </w:r>
          <w:r>
            <w:rPr>
              <w:rFonts w:hint="eastAsia" w:ascii="黑体" w:hAnsi="黑体" w:eastAsia="黑体" w:cs="黑体"/>
              <w:sz w:val="21"/>
              <w:szCs w:val="21"/>
            </w:rPr>
            <w:t>69</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15"/>
            <w:tabs>
              <w:tab w:val="right" w:leader="dot" w:pos="8844"/>
              <w:tab w:val="clear" w:pos="8296"/>
            </w:tabs>
            <w:rPr>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_Toc19057 </w:instrText>
          </w:r>
          <w:r>
            <w:rPr>
              <w:rFonts w:hint="eastAsia" w:ascii="黑体" w:hAnsi="黑体" w:eastAsia="黑体" w:cs="黑体"/>
              <w:sz w:val="21"/>
              <w:szCs w:val="21"/>
            </w:rPr>
            <w:fldChar w:fldCharType="separate"/>
          </w:r>
          <w:r>
            <w:rPr>
              <w:rFonts w:hint="eastAsia" w:ascii="黑体" w:hAnsi="黑体" w:eastAsia="黑体" w:cs="黑体"/>
              <w:bCs w:val="0"/>
              <w:sz w:val="21"/>
              <w:szCs w:val="21"/>
              <w:highlight w:val="none"/>
            </w:rPr>
            <w:t>十三、</w:t>
          </w:r>
          <w:r>
            <w:rPr>
              <w:rFonts w:hint="eastAsia" w:ascii="黑体" w:hAnsi="黑体" w:eastAsia="黑体" w:cs="黑体"/>
              <w:bCs w:val="0"/>
              <w:sz w:val="21"/>
              <w:szCs w:val="21"/>
              <w:highlight w:val="none"/>
              <w:lang w:eastAsia="zh-CN"/>
            </w:rPr>
            <w:t>财政拨款“三公”经费支出决算表</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_Toc19057 \h </w:instrText>
          </w:r>
          <w:r>
            <w:rPr>
              <w:rFonts w:hint="eastAsia" w:ascii="黑体" w:hAnsi="黑体" w:eastAsia="黑体" w:cs="黑体"/>
              <w:sz w:val="21"/>
              <w:szCs w:val="21"/>
            </w:rPr>
            <w:fldChar w:fldCharType="separate"/>
          </w:r>
          <w:r>
            <w:rPr>
              <w:rFonts w:hint="eastAsia" w:ascii="黑体" w:hAnsi="黑体" w:eastAsia="黑体" w:cs="黑体"/>
              <w:sz w:val="21"/>
              <w:szCs w:val="21"/>
            </w:rPr>
            <w:t>69</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spacing w:before="0" w:beforeLines="0" w:after="0" w:afterLines="0" w:line="240" w:lineRule="auto"/>
            <w:ind w:left="0" w:leftChars="0" w:right="0" w:rightChars="0" w:firstLine="0" w:firstLineChars="0"/>
            <w:jc w:val="center"/>
          </w:pPr>
          <w:r>
            <w:rPr>
              <w:b/>
            </w:rPr>
            <w:fldChar w:fldCharType="end"/>
          </w:r>
        </w:p>
      </w:sdtContent>
    </w:sdt>
    <w:p>
      <w:pPr>
        <w:pStyle w:val="3"/>
        <w:jc w:val="center"/>
        <w:rPr>
          <w:rFonts w:hint="eastAsia" w:ascii="黑体" w:hAnsi="黑体" w:eastAsia="黑体"/>
          <w:b w:val="0"/>
          <w:color w:val="000000" w:themeColor="text1"/>
          <w:highlight w:val="none"/>
          <w14:textFill>
            <w14:solidFill>
              <w14:schemeClr w14:val="tx1"/>
            </w14:solidFill>
          </w14:textFill>
        </w:rPr>
        <w:sectPr>
          <w:footerReference r:id="rId3" w:type="default"/>
          <w:pgSz w:w="11906" w:h="16838"/>
          <w:pgMar w:top="2098" w:right="1474" w:bottom="1984" w:left="1588" w:header="851" w:footer="1701" w:gutter="0"/>
          <w:pgNumType w:fmt="decimal" w:start="2"/>
          <w:cols w:space="720" w:num="1"/>
          <w:docGrid w:type="linesAndChars" w:linePitch="579" w:charSpace="-849"/>
        </w:sectPr>
      </w:pPr>
    </w:p>
    <w:p>
      <w:pPr>
        <w:pStyle w:val="3"/>
        <w:jc w:val="center"/>
        <w:rPr>
          <w:rStyle w:val="32"/>
          <w:rFonts w:ascii="黑体" w:hAnsi="黑体" w:eastAsia="黑体"/>
          <w:b/>
          <w:bCs w:val="0"/>
          <w:color w:val="000000" w:themeColor="text1"/>
          <w:highlight w:val="none"/>
          <w14:textFill>
            <w14:solidFill>
              <w14:schemeClr w14:val="tx1"/>
            </w14:solidFill>
          </w14:textFill>
        </w:rPr>
      </w:pPr>
      <w:bookmarkStart w:id="14" w:name="_Toc13565"/>
      <w:r>
        <w:rPr>
          <w:rFonts w:hint="eastAsia" w:ascii="黑体" w:hAnsi="黑体" w:eastAsia="黑体"/>
          <w:b w:val="0"/>
          <w:color w:val="000000" w:themeColor="text1"/>
          <w:highlight w:val="none"/>
          <w14:textFill>
            <w14:solidFill>
              <w14:schemeClr w14:val="tx1"/>
            </w14:solidFill>
          </w14:textFill>
        </w:rPr>
        <w:t xml:space="preserve">第一部分 </w:t>
      </w:r>
      <w:r>
        <w:rPr>
          <w:rStyle w:val="32"/>
          <w:rFonts w:hint="eastAsia" w:ascii="黑体" w:hAnsi="黑体" w:eastAsia="黑体"/>
          <w:b w:val="0"/>
          <w:bCs w:val="0"/>
          <w:color w:val="000000" w:themeColor="text1"/>
          <w:highlight w:val="none"/>
          <w14:textFill>
            <w14:solidFill>
              <w14:schemeClr w14:val="tx1"/>
            </w14:solidFill>
          </w14:textFill>
        </w:rPr>
        <w:t>部门概况</w:t>
      </w:r>
      <w:bookmarkEnd w:id="12"/>
      <w:bookmarkEnd w:id="13"/>
      <w:bookmarkEnd w:id="14"/>
    </w:p>
    <w:p>
      <w:pPr>
        <w:pStyle w:val="4"/>
        <w:numPr>
          <w:ilvl w:val="0"/>
          <w:numId w:val="2"/>
        </w:numPr>
        <w:rPr>
          <w:rFonts w:hint="eastAsia" w:ascii="黑体" w:hAnsi="黑体" w:eastAsia="黑体"/>
          <w:b w:val="0"/>
          <w:color w:val="000000" w:themeColor="text1"/>
          <w:highlight w:val="none"/>
          <w:lang w:eastAsia="zh-CN"/>
          <w14:textFill>
            <w14:solidFill>
              <w14:schemeClr w14:val="tx1"/>
            </w14:solidFill>
          </w14:textFill>
        </w:rPr>
      </w:pPr>
      <w:bookmarkStart w:id="15" w:name="_Toc21806"/>
      <w:r>
        <w:rPr>
          <w:rFonts w:hint="eastAsia" w:ascii="黑体" w:hAnsi="黑体" w:eastAsia="黑体"/>
          <w:b w:val="0"/>
          <w:color w:val="000000" w:themeColor="text1"/>
          <w:highlight w:val="none"/>
          <w:lang w:eastAsia="zh-CN"/>
          <w14:textFill>
            <w14:solidFill>
              <w14:schemeClr w14:val="tx1"/>
            </w14:solidFill>
          </w14:textFill>
        </w:rPr>
        <w:t>部门职责</w:t>
      </w:r>
      <w:bookmarkEnd w:id="15"/>
    </w:p>
    <w:p>
      <w:pPr>
        <w:pStyle w:val="6"/>
        <w:adjustRightInd w:val="0"/>
        <w:snapToGrid w:val="0"/>
        <w:spacing w:before="93" w:line="600" w:lineRule="exact"/>
        <w:ind w:firstLine="632" w:firstLineChars="200"/>
        <w:outlineLvl w:val="2"/>
        <w:rPr>
          <w:rFonts w:hint="eastAsia" w:ascii="仿宋" w:hAnsi="仿宋" w:eastAsia="仿宋"/>
          <w:bCs/>
          <w:color w:val="auto"/>
          <w:sz w:val="32"/>
          <w:szCs w:val="32"/>
          <w:highlight w:val="none"/>
        </w:rPr>
        <w:sectPr>
          <w:footerReference r:id="rId4" w:type="default"/>
          <w:pgSz w:w="11906" w:h="16838"/>
          <w:pgMar w:top="2098" w:right="1474" w:bottom="1984" w:left="1588" w:header="851" w:footer="1701" w:gutter="0"/>
          <w:pgNumType w:fmt="decimal" w:start="1"/>
          <w:cols w:space="720" w:num="1"/>
          <w:docGrid w:type="linesAndChars" w:linePitch="579" w:charSpace="-849"/>
        </w:sectPr>
      </w:pPr>
      <w:r>
        <w:rPr>
          <w:rFonts w:hint="eastAsia" w:ascii="仿宋" w:hAnsi="仿宋" w:eastAsia="仿宋"/>
          <w:bCs/>
          <w:color w:val="000000" w:themeColor="text1"/>
          <w:sz w:val="32"/>
          <w:szCs w:val="32"/>
          <w:highlight w:val="none"/>
          <w14:textFill>
            <w14:solidFill>
              <w14:schemeClr w14:val="tx1"/>
            </w14:solidFill>
          </w14:textFill>
        </w:rPr>
        <w:t>遂宁市船山区残疾人联合会受区人民政府领导和管理，业务上接受市残疾人联合会和区委、区政府各有关部门对口指导。其主要职责是：1.听取残疾人意见，反映残疾人需求，维护残疾人合法权益，为残疾人服务。2.团结、教育残疾人遵守法纪，履行应尽的义务，发扬乐观进取精神，自尊、自信、自强、自立，为社会主义建设贡献力量。3.弘扬人道主义，宣传残疾人事业，沟通政府、社会与残疾人之间的联系，动员社会理解、尊重、关心、帮助残疾人。4.开展残疾人康复、扶贫、教育、劳动就业、文化、体育、科研、用品供应、福利、社会服务、无障碍设施和残疾预防工作，创造良好的环境和条件，扶助残疾人平等参与社会生活。5.协助政府研究、制定和实施残疾人事业的法规、政策、</w:t>
      </w:r>
      <w:r>
        <w:rPr>
          <w:rFonts w:hint="eastAsia" w:ascii="仿宋" w:hAnsi="仿宋" w:eastAsia="仿宋"/>
          <w:bCs/>
          <w:color w:val="auto"/>
          <w:sz w:val="32"/>
          <w:szCs w:val="32"/>
          <w:highlight w:val="none"/>
        </w:rPr>
        <w:t>规划和计划，调查掌握残疾人状况，进行综合分析，向政府提出决策建议，对有关业务领域进行指导和管理。6.承担区人民政府残疾人工作协调委员会的日常工作，做好综合组织、协调和服务。7.指导、监督和宏观管理残联系统的残疾人福利企业，会同有关部门制定并监督实施残疾人社会福利生产的扶持保护政策，颁发残疾</w:t>
      </w:r>
    </w:p>
    <w:p>
      <w:pPr>
        <w:pStyle w:val="6"/>
        <w:adjustRightInd w:val="0"/>
        <w:snapToGrid w:val="0"/>
        <w:spacing w:before="93" w:line="600" w:lineRule="exact"/>
        <w:ind w:firstLine="632" w:firstLineChars="200"/>
        <w:outlineLvl w:val="2"/>
        <w:rPr>
          <w:rFonts w:hint="eastAsia" w:ascii="仿宋" w:hAnsi="仿宋" w:eastAsia="仿宋"/>
          <w:bCs/>
          <w:color w:val="auto"/>
          <w:sz w:val="32"/>
          <w:szCs w:val="32"/>
          <w:highlight w:val="none"/>
        </w:rPr>
      </w:pPr>
      <w:r>
        <w:rPr>
          <w:rFonts w:hint="eastAsia" w:ascii="仿宋" w:hAnsi="仿宋" w:eastAsia="仿宋"/>
          <w:bCs/>
          <w:color w:val="auto"/>
          <w:sz w:val="32"/>
          <w:szCs w:val="32"/>
          <w:highlight w:val="none"/>
        </w:rPr>
        <w:t>人福利企业证书。8.管理和发放残疾人证，指导和管理各类残疾人社团组织。9.统筹开展为残疾人事业募捐活动，管好、用好募捐资金。10.指导管理乡镇、街道办事处、企事业单位等基层残联工作。11.开展残疾人事业的对外交流合作。12.负责按比例安置残疾人就业工作，负责残疾人劳动资源和社会用工调查、劳力评估、求职登记、就业咨询、安置就业，核实全区机关、企事业、经济组织完成安置任务情况，对未完成安置任务的单位征收残疾人就业保障金，管理、使用就业保障金等工作。13.在为残疾人救助、解困的基础上，入户对残疾人实施扶贫攻坚，提高生活水平，共同奔小康。14.是在宣扬“人道”“人权”基础上，提升到弘扬扶残、助残社会风气，营造文明进步社会环境，提高社会文明程度，参与“三个文明”建设。15.是承办区委、区政府和上级主管部门交办的其他工作。</w:t>
      </w:r>
    </w:p>
    <w:p>
      <w:pPr>
        <w:numPr>
          <w:ilvl w:val="0"/>
          <w:numId w:val="0"/>
        </w:numPr>
        <w:rPr>
          <w:rFonts w:hint="default"/>
          <w:lang w:val="en-US" w:eastAsia="zh-CN"/>
        </w:rPr>
      </w:pPr>
    </w:p>
    <w:p>
      <w:pPr>
        <w:pStyle w:val="4"/>
        <w:rPr>
          <w:rStyle w:val="33"/>
          <w:b w:val="0"/>
          <w:bCs w:val="0"/>
          <w:color w:val="000000" w:themeColor="text1"/>
          <w:highlight w:val="none"/>
          <w14:textFill>
            <w14:solidFill>
              <w14:schemeClr w14:val="tx1"/>
            </w14:solidFill>
          </w14:textFill>
        </w:rPr>
      </w:pPr>
      <w:bookmarkStart w:id="16" w:name="_Toc15396601"/>
      <w:bookmarkStart w:id="17" w:name="_Toc15377200"/>
      <w:bookmarkStart w:id="18" w:name="_Toc21882"/>
      <w:r>
        <w:rPr>
          <w:rFonts w:hint="eastAsia" w:ascii="黑体" w:eastAsia="黑体"/>
          <w:b w:val="0"/>
          <w:color w:val="000000" w:themeColor="text1"/>
          <w:highlight w:val="none"/>
          <w14:textFill>
            <w14:solidFill>
              <w14:schemeClr w14:val="tx1"/>
            </w14:solidFill>
          </w14:textFill>
        </w:rPr>
        <w:t>二、</w:t>
      </w:r>
      <w:r>
        <w:rPr>
          <w:rFonts w:hint="eastAsia" w:ascii="黑体" w:hAnsi="黑体" w:eastAsia="黑体"/>
          <w:b w:val="0"/>
          <w:color w:val="000000" w:themeColor="text1"/>
          <w:highlight w:val="none"/>
          <w14:textFill>
            <w14:solidFill>
              <w14:schemeClr w14:val="tx1"/>
            </w14:solidFill>
          </w14:textFill>
        </w:rPr>
        <w:t>机</w:t>
      </w:r>
      <w:r>
        <w:rPr>
          <w:rStyle w:val="33"/>
          <w:rFonts w:hint="eastAsia" w:ascii="黑体" w:hAnsi="黑体" w:eastAsia="黑体"/>
          <w:b w:val="0"/>
          <w:bCs w:val="0"/>
          <w:color w:val="000000" w:themeColor="text1"/>
          <w:highlight w:val="none"/>
          <w14:textFill>
            <w14:solidFill>
              <w14:schemeClr w14:val="tx1"/>
            </w14:solidFill>
          </w14:textFill>
        </w:rPr>
        <w:t>构设置</w:t>
      </w:r>
      <w:bookmarkEnd w:id="16"/>
      <w:bookmarkEnd w:id="17"/>
      <w:bookmarkEnd w:id="18"/>
    </w:p>
    <w:p>
      <w:pPr>
        <w:ind w:firstLine="790" w:firstLineChars="250"/>
        <w:rPr>
          <w:rFonts w:ascii="仿宋" w:hAnsi="仿宋" w:eastAsia="仿宋"/>
          <w:color w:val="000000" w:themeColor="text1"/>
          <w:sz w:val="32"/>
          <w:szCs w:val="32"/>
          <w:highlight w:val="none"/>
          <w14:textFill>
            <w14:solidFill>
              <w14:schemeClr w14:val="tx1"/>
            </w14:solidFill>
          </w14:textFill>
        </w:rPr>
      </w:pPr>
      <w:bookmarkStart w:id="19" w:name="_Toc15377204"/>
      <w:bookmarkStart w:id="20" w:name="_Toc15396602"/>
      <w:r>
        <w:rPr>
          <w:rFonts w:hint="eastAsia" w:ascii="仿宋" w:hAnsi="仿宋" w:eastAsia="仿宋"/>
          <w:color w:val="000000" w:themeColor="text1"/>
          <w:sz w:val="32"/>
          <w:szCs w:val="32"/>
          <w:highlight w:val="none"/>
          <w14:textFill>
            <w14:solidFill>
              <w14:schemeClr w14:val="tx1"/>
            </w14:solidFill>
          </w14:textFill>
        </w:rPr>
        <w:t>船山区残联下属二级预算单位0个，其中行政单位0个，参照公务员法管理的事业单位0个，其他事业单位0个。</w:t>
      </w:r>
    </w:p>
    <w:p>
      <w:pPr>
        <w:pStyle w:val="3"/>
        <w:ind w:right="440"/>
        <w:jc w:val="center"/>
        <w:rPr>
          <w:rStyle w:val="32"/>
          <w:rFonts w:ascii="黑体" w:hAnsi="黑体" w:eastAsia="黑体"/>
          <w:b w:val="0"/>
          <w:bCs/>
          <w:color w:val="auto"/>
          <w:highlight w:val="none"/>
        </w:rPr>
      </w:pPr>
      <w:bookmarkStart w:id="21" w:name="_Toc4718"/>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2023年度</w:t>
      </w:r>
      <w:r>
        <w:rPr>
          <w:rStyle w:val="32"/>
          <w:rFonts w:hint="eastAsia" w:ascii="黑体" w:hAnsi="黑体" w:eastAsia="黑体"/>
          <w:b w:val="0"/>
          <w:bCs/>
          <w:color w:val="auto"/>
          <w:highlight w:val="none"/>
        </w:rPr>
        <w:t>部门决算情况说明</w:t>
      </w:r>
      <w:bookmarkEnd w:id="19"/>
      <w:bookmarkEnd w:id="20"/>
      <w:bookmarkEnd w:id="21"/>
    </w:p>
    <w:p>
      <w:pPr>
        <w:pStyle w:val="31"/>
        <w:numPr>
          <w:ilvl w:val="0"/>
          <w:numId w:val="3"/>
        </w:numPr>
        <w:spacing w:line="600" w:lineRule="exact"/>
        <w:ind w:firstLineChars="0"/>
        <w:outlineLvl w:val="1"/>
        <w:rPr>
          <w:rStyle w:val="33"/>
          <w:rFonts w:ascii="黑体" w:hAnsi="黑体" w:eastAsia="黑体"/>
          <w:b w:val="0"/>
          <w:color w:val="auto"/>
          <w:highlight w:val="none"/>
        </w:rPr>
      </w:pPr>
      <w:bookmarkStart w:id="22" w:name="_Toc16569"/>
      <w:bookmarkStart w:id="23" w:name="_Toc15377205"/>
      <w:bookmarkStart w:id="24" w:name="_Toc15396603"/>
      <w:r>
        <w:rPr>
          <w:rFonts w:hint="eastAsia" w:ascii="黑体" w:hAnsi="黑体" w:eastAsia="黑体"/>
          <w:color w:val="auto"/>
          <w:sz w:val="32"/>
          <w:szCs w:val="32"/>
          <w:highlight w:val="none"/>
        </w:rPr>
        <w:t>收</w:t>
      </w:r>
      <w:r>
        <w:rPr>
          <w:rStyle w:val="33"/>
          <w:rFonts w:hint="eastAsia" w:ascii="黑体" w:hAnsi="黑体" w:eastAsia="黑体"/>
          <w:b w:val="0"/>
          <w:color w:val="auto"/>
          <w:highlight w:val="none"/>
        </w:rPr>
        <w:t>入支出决算总体情况说明</w:t>
      </w:r>
      <w:bookmarkEnd w:id="22"/>
      <w:bookmarkEnd w:id="23"/>
      <w:bookmarkEnd w:id="24"/>
    </w:p>
    <w:p>
      <w:pPr>
        <w:spacing w:line="600" w:lineRule="exact"/>
        <w:ind w:firstLine="632" w:firstLineChars="200"/>
        <w:rPr>
          <w:rFonts w:hint="eastAsia" w:ascii="仿宋" w:hAnsi="仿宋" w:eastAsia="仿宋"/>
          <w:color w:val="000000" w:themeColor="text1"/>
          <w:sz w:val="32"/>
          <w:szCs w:val="32"/>
          <w:highlight w:val="none"/>
          <w:lang w:eastAsia="zh-CN"/>
          <w14:textFill>
            <w14:solidFill>
              <w14:schemeClr w14:val="tx1"/>
            </w14:solidFill>
          </w14:textFill>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820.51</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769.42万元</w:t>
      </w:r>
      <w:r>
        <w:rPr>
          <w:rFonts w:hint="eastAsia" w:ascii="仿宋" w:hAnsi="仿宋" w:eastAsia="仿宋"/>
          <w:color w:val="auto"/>
          <w:sz w:val="32"/>
          <w:szCs w:val="32"/>
          <w:highlight w:val="none"/>
        </w:rPr>
        <w:t>相比，收、支总计各</w:t>
      </w:r>
      <w:r>
        <w:rPr>
          <w:rFonts w:hint="eastAsia" w:ascii="仿宋" w:hAnsi="仿宋" w:eastAsia="仿宋"/>
          <w:color w:val="auto"/>
          <w:sz w:val="32"/>
          <w:szCs w:val="32"/>
          <w:highlight w:val="none"/>
          <w:lang w:val="en-US" w:eastAsia="zh-CN"/>
        </w:rPr>
        <w:t>增加51.09</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val="en-US" w:eastAsia="zh-CN"/>
        </w:rPr>
        <w:t>增长6.64</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。主要变动原因是</w:t>
      </w:r>
      <w:r>
        <w:rPr>
          <w:rFonts w:hint="eastAsia" w:ascii="仿宋" w:hAnsi="仿宋" w:eastAsia="仿宋"/>
          <w:color w:val="000000" w:themeColor="text1"/>
          <w:sz w:val="32"/>
          <w:szCs w:val="32"/>
          <w:highlight w:val="none"/>
          <w:lang w:val="en-US" w:eastAsia="zh-CN"/>
          <w14:textFill>
            <w14:solidFill>
              <w14:schemeClr w14:val="tx1"/>
            </w14:solidFill>
          </w14:textFill>
        </w:rPr>
        <w:t>2022年</w:t>
      </w:r>
      <w:r>
        <w:rPr>
          <w:rFonts w:hint="eastAsia" w:ascii="仿宋" w:hAnsi="仿宋" w:eastAsia="仿宋"/>
          <w:color w:val="000000" w:themeColor="text1"/>
          <w:sz w:val="32"/>
          <w:szCs w:val="32"/>
          <w:highlight w:val="none"/>
          <w:lang w:eastAsia="zh-CN"/>
          <w14:textFill>
            <w14:solidFill>
              <w14:schemeClr w14:val="tx1"/>
            </w14:solidFill>
          </w14:textFill>
        </w:rPr>
        <w:t>全区残疾人就业保障金未纳入本部门预算。</w:t>
      </w:r>
    </w:p>
    <w:p>
      <w:pPr>
        <w:pStyle w:val="6"/>
        <w:rPr>
          <w:rFonts w:hint="eastAsia" w:ascii="仿宋" w:hAnsi="仿宋" w:eastAsia="仿宋"/>
          <w:color w:val="auto"/>
          <w:sz w:val="32"/>
          <w:szCs w:val="32"/>
          <w:highlight w:val="none"/>
          <w:lang w:eastAsia="zh-CN"/>
        </w:rPr>
      </w:pPr>
    </w:p>
    <w:p>
      <w:pPr>
        <w:pStyle w:val="6"/>
        <w:rPr>
          <w:rFonts w:hint="eastAsia" w:ascii="仿宋" w:hAnsi="仿宋" w:eastAsia="仿宋"/>
          <w:color w:val="auto"/>
          <w:sz w:val="32"/>
          <w:szCs w:val="32"/>
          <w:highlight w:val="none"/>
          <w:lang w:eastAsia="zh-CN"/>
        </w:rPr>
      </w:pPr>
      <w:r>
        <w:rPr>
          <w:rFonts w:hint="eastAsia" w:ascii="仿宋" w:hAnsi="仿宋" w:eastAsia="仿宋"/>
          <w:color w:val="0000FF"/>
          <w:sz w:val="32"/>
          <w:szCs w:val="32"/>
        </w:rPr>
        <w:pict>
          <v:shape id="_x0000_s1026" o:spid="_x0000_s1026" o:spt="75" type="#_x0000_t75" style="position:absolute;left:0pt;margin-left:12.35pt;margin-top:6.15pt;height:220.1pt;width:364.55pt;mso-wrap-distance-bottom:0pt;mso-wrap-distance-left:9pt;mso-wrap-distance-right:9pt;mso-wrap-distance-top:0pt;z-index:251659264;mso-width-relative:page;mso-height-relative:page;" o:ole="t" filled="f" o:preferrelative="t" stroked="f" coordsize="21600,21600">
            <v:path/>
            <v:fill on="f" focussize="0,0"/>
            <v:stroke on="f"/>
            <v:imagedata r:id="rId10" o:title=""/>
            <o:lock v:ext="edit" aspectratio="t"/>
            <w10:wrap type="square"/>
          </v:shape>
          <o:OLEObject Type="Embed" ProgID="Excel.Chart.8" ShapeID="_x0000_s1026" DrawAspect="Content" ObjectID="_1468075725" r:id="rId9">
            <o:LockedField>false</o:LockedField>
          </o:OLEObject>
        </w:pict>
      </w:r>
    </w:p>
    <w:p>
      <w:pPr>
        <w:spacing w:line="600" w:lineRule="exact"/>
        <w:ind w:firstLine="632" w:firstLineChars="200"/>
        <w:rPr>
          <w:rFonts w:hint="eastAsia" w:ascii="仿宋" w:hAnsi="仿宋" w:eastAsia="仿宋"/>
          <w:color w:val="auto"/>
          <w:sz w:val="32"/>
          <w:szCs w:val="32"/>
          <w:highlight w:val="none"/>
        </w:rPr>
      </w:pPr>
    </w:p>
    <w:p>
      <w:pPr>
        <w:spacing w:line="600" w:lineRule="exact"/>
        <w:ind w:firstLine="632" w:firstLineChars="200"/>
        <w:rPr>
          <w:rFonts w:hint="eastAsia" w:ascii="仿宋" w:hAnsi="仿宋" w:eastAsia="仿宋"/>
          <w:color w:val="auto"/>
          <w:sz w:val="32"/>
          <w:szCs w:val="32"/>
          <w:highlight w:val="none"/>
        </w:rPr>
      </w:pPr>
    </w:p>
    <w:p>
      <w:pPr>
        <w:spacing w:line="600" w:lineRule="exact"/>
        <w:ind w:firstLine="632" w:firstLineChars="200"/>
        <w:rPr>
          <w:rFonts w:hint="eastAsia" w:ascii="仿宋" w:hAnsi="仿宋" w:eastAsia="仿宋"/>
          <w:color w:val="auto"/>
          <w:sz w:val="32"/>
          <w:szCs w:val="32"/>
          <w:highlight w:val="none"/>
        </w:rPr>
      </w:pPr>
    </w:p>
    <w:p>
      <w:pPr>
        <w:spacing w:line="600" w:lineRule="exact"/>
        <w:ind w:firstLine="632" w:firstLineChars="200"/>
        <w:rPr>
          <w:rFonts w:hint="eastAsia" w:ascii="仿宋" w:hAnsi="仿宋" w:eastAsia="仿宋"/>
          <w:color w:val="auto"/>
          <w:sz w:val="32"/>
          <w:szCs w:val="32"/>
          <w:highlight w:val="none"/>
        </w:rPr>
      </w:pPr>
    </w:p>
    <w:p>
      <w:pPr>
        <w:spacing w:line="600" w:lineRule="exact"/>
        <w:rPr>
          <w:rFonts w:hint="eastAsia" w:ascii="仿宋" w:hAnsi="仿宋" w:eastAsia="仿宋"/>
          <w:color w:val="auto"/>
          <w:sz w:val="32"/>
          <w:szCs w:val="32"/>
          <w:highlight w:val="none"/>
        </w:rPr>
      </w:pPr>
    </w:p>
    <w:p>
      <w:pPr>
        <w:spacing w:line="600" w:lineRule="exact"/>
        <w:rPr>
          <w:rFonts w:hint="eastAsia" w:ascii="仿宋" w:hAnsi="仿宋" w:eastAsia="仿宋"/>
          <w:color w:val="auto"/>
          <w:sz w:val="32"/>
          <w:szCs w:val="32"/>
          <w:highlight w:val="none"/>
        </w:rPr>
      </w:pPr>
    </w:p>
    <w:p>
      <w:pPr>
        <w:spacing w:line="600" w:lineRule="exact"/>
        <w:rPr>
          <w:rFonts w:hint="eastAsia" w:ascii="仿宋" w:hAnsi="仿宋" w:eastAsia="仿宋"/>
          <w:color w:val="auto"/>
          <w:sz w:val="32"/>
          <w:szCs w:val="32"/>
          <w:highlight w:val="none"/>
        </w:rPr>
      </w:pPr>
    </w:p>
    <w:p>
      <w:pPr>
        <w:spacing w:line="600" w:lineRule="exact"/>
        <w:rPr>
          <w:rFonts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w:t>
      </w:r>
    </w:p>
    <w:p>
      <w:pPr>
        <w:pStyle w:val="31"/>
        <w:numPr>
          <w:ilvl w:val="0"/>
          <w:numId w:val="3"/>
        </w:numPr>
        <w:spacing w:line="600" w:lineRule="exact"/>
        <w:ind w:firstLineChars="0"/>
        <w:outlineLvl w:val="1"/>
        <w:rPr>
          <w:rStyle w:val="33"/>
          <w:rFonts w:ascii="黑体" w:hAnsi="黑体" w:eastAsia="黑体"/>
          <w:b w:val="0"/>
          <w:color w:val="auto"/>
          <w:highlight w:val="none"/>
        </w:rPr>
      </w:pPr>
      <w:bookmarkStart w:id="25" w:name="_Toc15377206"/>
      <w:bookmarkStart w:id="26" w:name="_Toc27215"/>
      <w:bookmarkStart w:id="27" w:name="_Toc15396604"/>
      <w:r>
        <w:rPr>
          <w:rFonts w:hint="eastAsia" w:ascii="黑体" w:hAnsi="黑体" w:eastAsia="黑体"/>
          <w:color w:val="auto"/>
          <w:sz w:val="32"/>
          <w:szCs w:val="32"/>
          <w:highlight w:val="none"/>
        </w:rPr>
        <w:t>收</w:t>
      </w:r>
      <w:r>
        <w:rPr>
          <w:rStyle w:val="33"/>
          <w:rFonts w:hint="eastAsia" w:ascii="黑体" w:hAnsi="黑体" w:eastAsia="黑体"/>
          <w:b w:val="0"/>
          <w:color w:val="auto"/>
          <w:highlight w:val="none"/>
        </w:rPr>
        <w:t>入决算情况说明</w:t>
      </w:r>
      <w:bookmarkEnd w:id="25"/>
      <w:bookmarkEnd w:id="26"/>
      <w:bookmarkEnd w:id="27"/>
    </w:p>
    <w:p>
      <w:pPr>
        <w:spacing w:line="600" w:lineRule="exact"/>
        <w:ind w:firstLine="632" w:firstLineChars="200"/>
        <w:outlineLvl w:val="1"/>
        <w:rPr>
          <w:rFonts w:ascii="仿宋" w:hAnsi="仿宋" w:eastAsia="仿宋"/>
          <w:color w:val="auto"/>
          <w:sz w:val="32"/>
          <w:szCs w:val="32"/>
          <w:highlight w:val="none"/>
        </w:rPr>
      </w:pPr>
      <w:bookmarkStart w:id="28" w:name="_Toc13934"/>
      <w:bookmarkStart w:id="29" w:name="_Toc25688"/>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820.44</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686.05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83.61</w:t>
      </w:r>
      <w:r>
        <w:rPr>
          <w:rFonts w:ascii="仿宋" w:hAnsi="仿宋" w:eastAsia="仿宋"/>
          <w:color w:val="auto"/>
          <w:sz w:val="32"/>
          <w:szCs w:val="32"/>
          <w:highlight w:val="none"/>
        </w:rPr>
        <w:t>%</w:t>
      </w:r>
      <w:r>
        <w:rPr>
          <w:rFonts w:hint="eastAsia" w:ascii="仿宋" w:hAnsi="仿宋" w:eastAsia="仿宋"/>
          <w:color w:val="auto"/>
          <w:sz w:val="32"/>
          <w:szCs w:val="32"/>
          <w:highlight w:val="none"/>
        </w:rPr>
        <w:t>；政府性基金预算财政拨款收入</w:t>
      </w:r>
      <w:r>
        <w:rPr>
          <w:rFonts w:hint="eastAsia" w:ascii="仿宋" w:hAnsi="仿宋" w:eastAsia="仿宋"/>
          <w:color w:val="auto"/>
          <w:sz w:val="32"/>
          <w:szCs w:val="32"/>
          <w:highlight w:val="none"/>
          <w:lang w:val="en-US" w:eastAsia="zh-CN"/>
        </w:rPr>
        <w:t>128.07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15.61</w:t>
      </w:r>
      <w:r>
        <w:rPr>
          <w:rFonts w:ascii="仿宋" w:hAnsi="仿宋" w:eastAsia="仿宋"/>
          <w:color w:val="auto"/>
          <w:sz w:val="32"/>
          <w:szCs w:val="32"/>
          <w:highlight w:val="none"/>
        </w:rPr>
        <w:t>%</w:t>
      </w:r>
      <w:bookmarkEnd w:id="28"/>
      <w:r>
        <w:rPr>
          <w:rFonts w:hint="eastAsia" w:ascii="仿宋" w:hAnsi="仿宋" w:eastAsia="仿宋"/>
          <w:color w:val="auto"/>
          <w:sz w:val="32"/>
          <w:szCs w:val="32"/>
          <w:highlight w:val="none"/>
          <w:lang w:eastAsia="zh-CN"/>
        </w:rPr>
        <w:t>，其他收入</w:t>
      </w:r>
      <w:r>
        <w:rPr>
          <w:rFonts w:hint="eastAsia" w:ascii="仿宋" w:hAnsi="仿宋" w:eastAsia="仿宋"/>
          <w:color w:val="auto"/>
          <w:sz w:val="32"/>
          <w:szCs w:val="32"/>
          <w:highlight w:val="none"/>
          <w:lang w:val="en-US" w:eastAsia="zh-CN"/>
        </w:rPr>
        <w:t>6.32万元，占0.77%。</w:t>
      </w:r>
      <w:bookmarkEnd w:id="29"/>
    </w:p>
    <w:p>
      <w:pPr>
        <w:spacing w:line="600" w:lineRule="exact"/>
        <w:ind w:firstLine="632" w:firstLineChars="200"/>
        <w:outlineLvl w:val="9"/>
        <w:rPr>
          <w:rFonts w:ascii="仿宋" w:hAnsi="仿宋" w:eastAsia="仿宋"/>
          <w:color w:val="auto"/>
          <w:sz w:val="32"/>
          <w:szCs w:val="32"/>
          <w:highlight w:val="none"/>
        </w:rPr>
      </w:pPr>
    </w:p>
    <w:p>
      <w:pPr>
        <w:pStyle w:val="6"/>
        <w:rPr>
          <w:rFonts w:ascii="仿宋" w:hAnsi="仿宋" w:eastAsia="仿宋"/>
          <w:color w:val="auto"/>
          <w:sz w:val="32"/>
          <w:szCs w:val="32"/>
          <w:highlight w:val="none"/>
        </w:rPr>
      </w:pPr>
      <w:r>
        <w:rPr>
          <w:rFonts w:hint="eastAsia" w:ascii="仿宋" w:hAnsi="仿宋" w:eastAsia="仿宋"/>
          <w:color w:val="000000"/>
          <w:sz w:val="32"/>
          <w:szCs w:val="32"/>
        </w:rPr>
        <w:pict>
          <v:shape id="_x0000_s1027" o:spid="_x0000_s1027" o:spt="75" type="#_x0000_t75" style="position:absolute;left:0pt;margin-left:7.1pt;margin-top:3.2pt;height:216.3pt;width:378.6pt;mso-wrap-distance-bottom:0pt;mso-wrap-distance-left:9pt;mso-wrap-distance-right:9pt;mso-wrap-distance-top:0pt;z-index:251660288;mso-width-relative:page;mso-height-relative:page;" o:ole="t" filled="f" o:preferrelative="t" stroked="f" coordsize="21600,21600">
            <v:path/>
            <v:fill on="f" focussize="0,0"/>
            <v:stroke on="f"/>
            <v:imagedata r:id="rId12" o:title=""/>
            <o:lock v:ext="edit" aspectratio="t"/>
            <w10:wrap type="square"/>
          </v:shape>
          <o:OLEObject Type="Embed" ProgID="Excel.Chart.8" ShapeID="_x0000_s1027" DrawAspect="Content" ObjectID="_1468075726" r:id="rId11">
            <o:LockedField>false</o:LockedField>
          </o:OLEObject>
        </w:pict>
      </w:r>
    </w:p>
    <w:p>
      <w:pPr>
        <w:pStyle w:val="6"/>
        <w:rPr>
          <w:rFonts w:ascii="仿宋" w:hAnsi="仿宋" w:eastAsia="仿宋"/>
          <w:color w:val="auto"/>
          <w:sz w:val="32"/>
          <w:szCs w:val="32"/>
          <w:highlight w:val="none"/>
        </w:rPr>
      </w:pPr>
    </w:p>
    <w:p>
      <w:pPr>
        <w:pStyle w:val="6"/>
        <w:rPr>
          <w:rFonts w:ascii="仿宋" w:hAnsi="仿宋" w:eastAsia="仿宋"/>
          <w:color w:val="auto"/>
          <w:sz w:val="32"/>
          <w:szCs w:val="32"/>
          <w:highlight w:val="none"/>
        </w:rPr>
      </w:pPr>
    </w:p>
    <w:p>
      <w:pPr>
        <w:spacing w:line="600" w:lineRule="exact"/>
        <w:ind w:firstLine="632" w:firstLineChars="200"/>
        <w:rPr>
          <w:rFonts w:hint="eastAsia" w:ascii="仿宋" w:hAnsi="仿宋" w:eastAsia="仿宋"/>
          <w:color w:val="auto"/>
          <w:sz w:val="32"/>
          <w:szCs w:val="32"/>
          <w:highlight w:val="none"/>
        </w:rPr>
      </w:pPr>
    </w:p>
    <w:p>
      <w:pPr>
        <w:spacing w:line="600" w:lineRule="exact"/>
        <w:ind w:firstLine="632" w:firstLineChars="200"/>
        <w:rPr>
          <w:rFonts w:hint="eastAsia" w:ascii="仿宋" w:hAnsi="仿宋" w:eastAsia="仿宋"/>
          <w:color w:val="auto"/>
          <w:sz w:val="32"/>
          <w:szCs w:val="32"/>
          <w:highlight w:val="none"/>
        </w:rPr>
      </w:pPr>
    </w:p>
    <w:p>
      <w:pPr>
        <w:spacing w:line="600" w:lineRule="exact"/>
        <w:ind w:firstLine="632" w:firstLineChars="200"/>
        <w:rPr>
          <w:rFonts w:hint="eastAsia" w:ascii="仿宋" w:hAnsi="仿宋" w:eastAsia="仿宋"/>
          <w:color w:val="auto"/>
          <w:sz w:val="32"/>
          <w:szCs w:val="32"/>
          <w:highlight w:val="none"/>
        </w:rPr>
      </w:pPr>
    </w:p>
    <w:p>
      <w:pPr>
        <w:spacing w:line="600" w:lineRule="exact"/>
        <w:ind w:firstLine="632" w:firstLineChars="200"/>
        <w:rPr>
          <w:rFonts w:hint="eastAsia" w:ascii="仿宋" w:hAnsi="仿宋" w:eastAsia="仿宋"/>
          <w:color w:val="auto"/>
          <w:sz w:val="32"/>
          <w:szCs w:val="32"/>
          <w:highlight w:val="none"/>
        </w:rPr>
      </w:pPr>
    </w:p>
    <w:p>
      <w:pPr>
        <w:spacing w:line="600" w:lineRule="exact"/>
        <w:ind w:firstLine="632"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（图2：收入决算结构图）</w:t>
      </w:r>
    </w:p>
    <w:p>
      <w:pPr>
        <w:pStyle w:val="31"/>
        <w:numPr>
          <w:ilvl w:val="0"/>
          <w:numId w:val="3"/>
        </w:numPr>
        <w:spacing w:line="600" w:lineRule="exact"/>
        <w:ind w:firstLineChars="0"/>
        <w:outlineLvl w:val="1"/>
        <w:rPr>
          <w:rStyle w:val="33"/>
          <w:rFonts w:ascii="黑体" w:hAnsi="黑体" w:eastAsia="黑体"/>
          <w:b w:val="0"/>
          <w:color w:val="auto"/>
          <w:highlight w:val="none"/>
        </w:rPr>
      </w:pPr>
      <w:bookmarkStart w:id="30" w:name="_Toc15377207"/>
      <w:bookmarkStart w:id="31" w:name="_Toc5454"/>
      <w:bookmarkStart w:id="32" w:name="_Toc15396605"/>
      <w:r>
        <w:rPr>
          <w:rFonts w:hint="eastAsia" w:ascii="黑体" w:hAnsi="黑体" w:eastAsia="黑体"/>
          <w:color w:val="auto"/>
          <w:sz w:val="32"/>
          <w:szCs w:val="32"/>
          <w:highlight w:val="none"/>
        </w:rPr>
        <w:t>支</w:t>
      </w:r>
      <w:r>
        <w:rPr>
          <w:rStyle w:val="33"/>
          <w:rFonts w:hint="eastAsia" w:ascii="黑体" w:hAnsi="黑体" w:eastAsia="黑体"/>
          <w:b w:val="0"/>
          <w:color w:val="auto"/>
          <w:highlight w:val="none"/>
        </w:rPr>
        <w:t>出决算情况说明</w:t>
      </w:r>
      <w:bookmarkEnd w:id="30"/>
      <w:bookmarkEnd w:id="31"/>
      <w:bookmarkEnd w:id="32"/>
    </w:p>
    <w:p>
      <w:pPr>
        <w:spacing w:line="600" w:lineRule="exact"/>
        <w:ind w:firstLine="632" w:firstLineChars="200"/>
        <w:outlineLvl w:val="1"/>
        <w:rPr>
          <w:rFonts w:ascii="仿宋" w:hAnsi="仿宋" w:eastAsia="仿宋"/>
          <w:color w:val="auto"/>
          <w:sz w:val="32"/>
          <w:szCs w:val="32"/>
          <w:highlight w:val="none"/>
        </w:rPr>
      </w:pPr>
      <w:bookmarkStart w:id="33" w:name="_Toc23272"/>
      <w:bookmarkStart w:id="34" w:name="_Toc21776"/>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820.33</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219.49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26.76</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600.84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73.24</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33"/>
      <w:bookmarkEnd w:id="34"/>
    </w:p>
    <w:p>
      <w:pPr>
        <w:spacing w:line="600" w:lineRule="exact"/>
        <w:ind w:firstLine="640"/>
        <w:rPr>
          <w:rFonts w:ascii="仿宋" w:hAnsi="仿宋" w:eastAsia="仿宋"/>
          <w:color w:val="auto"/>
          <w:sz w:val="32"/>
          <w:szCs w:val="32"/>
          <w:highlight w:val="none"/>
          <w:shd w:val="pct10" w:color="auto" w:fill="FFFFFF"/>
        </w:rPr>
      </w:pPr>
      <w:r>
        <w:rPr>
          <w:rFonts w:hint="eastAsia" w:ascii="仿宋" w:hAnsi="仿宋" w:eastAsia="仿宋"/>
          <w:color w:val="000000"/>
          <w:sz w:val="32"/>
          <w:szCs w:val="32"/>
        </w:rPr>
        <w:pict>
          <v:shape id="_x0000_s1028" o:spid="_x0000_s1028" o:spt="75" type="#_x0000_t75" style="position:absolute;left:0pt;margin-left:-2pt;margin-top:18.15pt;height:205.7pt;width:340.6pt;mso-wrap-distance-bottom:0pt;mso-wrap-distance-left:9pt;mso-wrap-distance-right:9pt;mso-wrap-distance-top:0pt;z-index:251661312;mso-width-relative:page;mso-height-relative:page;" o:ole="t" filled="f" o:preferrelative="t" stroked="f" coordsize="21600,21600">
            <v:path/>
            <v:fill on="f" focussize="0,0"/>
            <v:stroke on="f"/>
            <v:imagedata r:id="rId14" o:title=""/>
            <o:lock v:ext="edit" aspectratio="t"/>
            <w10:wrap type="square"/>
          </v:shape>
          <o:OLEObject Type="Embed" ProgID="Excel.Chart.8" ShapeID="_x0000_s1028" DrawAspect="Content" ObjectID="_1468075727" r:id="rId13">
            <o:LockedField>false</o:LockedField>
          </o:OLEObject>
        </w:pict>
      </w:r>
    </w:p>
    <w:p>
      <w:pPr>
        <w:pStyle w:val="6"/>
        <w:rPr>
          <w:rFonts w:ascii="仿宋" w:hAnsi="仿宋" w:eastAsia="仿宋"/>
          <w:color w:val="auto"/>
          <w:sz w:val="32"/>
          <w:szCs w:val="32"/>
          <w:highlight w:val="none"/>
          <w:shd w:val="pct10" w:color="auto" w:fill="FFFFFF"/>
        </w:rPr>
      </w:pPr>
    </w:p>
    <w:p>
      <w:pPr>
        <w:pStyle w:val="6"/>
        <w:rPr>
          <w:rFonts w:ascii="仿宋" w:hAnsi="仿宋" w:eastAsia="仿宋"/>
          <w:color w:val="auto"/>
          <w:sz w:val="32"/>
          <w:szCs w:val="32"/>
          <w:highlight w:val="none"/>
          <w:shd w:val="pct10" w:color="auto" w:fill="FFFFFF"/>
        </w:rPr>
      </w:pPr>
    </w:p>
    <w:p>
      <w:pPr>
        <w:pStyle w:val="6"/>
        <w:rPr>
          <w:rFonts w:ascii="仿宋" w:hAnsi="仿宋" w:eastAsia="仿宋"/>
          <w:color w:val="auto"/>
          <w:sz w:val="32"/>
          <w:szCs w:val="32"/>
          <w:highlight w:val="none"/>
          <w:shd w:val="pct10" w:color="auto" w:fill="FFFFFF"/>
        </w:rPr>
      </w:pPr>
    </w:p>
    <w:p>
      <w:pPr>
        <w:pStyle w:val="6"/>
        <w:rPr>
          <w:rFonts w:ascii="仿宋" w:hAnsi="仿宋" w:eastAsia="仿宋"/>
          <w:color w:val="auto"/>
          <w:sz w:val="32"/>
          <w:szCs w:val="32"/>
          <w:highlight w:val="none"/>
          <w:shd w:val="pct10" w:color="auto" w:fill="FFFFFF"/>
        </w:rPr>
      </w:pPr>
    </w:p>
    <w:p>
      <w:pPr>
        <w:pStyle w:val="6"/>
        <w:rPr>
          <w:rFonts w:ascii="仿宋" w:hAnsi="仿宋" w:eastAsia="仿宋"/>
          <w:color w:val="auto"/>
          <w:sz w:val="32"/>
          <w:szCs w:val="32"/>
          <w:highlight w:val="none"/>
          <w:shd w:val="pct10" w:color="auto" w:fill="FFFFFF"/>
        </w:rPr>
      </w:pPr>
    </w:p>
    <w:p>
      <w:pPr>
        <w:pStyle w:val="6"/>
        <w:rPr>
          <w:rFonts w:ascii="仿宋" w:hAnsi="仿宋" w:eastAsia="仿宋"/>
          <w:color w:val="auto"/>
          <w:sz w:val="32"/>
          <w:szCs w:val="32"/>
          <w:highlight w:val="none"/>
          <w:shd w:val="pct10" w:color="auto" w:fill="FFFFFF"/>
        </w:rPr>
      </w:pPr>
    </w:p>
    <w:p>
      <w:pPr>
        <w:spacing w:line="600" w:lineRule="exact"/>
        <w:ind w:firstLine="632"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（图3：支出决算结构图）</w:t>
      </w:r>
    </w:p>
    <w:p>
      <w:pPr>
        <w:spacing w:line="600" w:lineRule="exact"/>
        <w:ind w:firstLine="632" w:firstLineChars="200"/>
        <w:rPr>
          <w:rFonts w:ascii="仿宋_GB2312" w:eastAsia="仿宋_GB2312"/>
          <w:color w:val="auto"/>
          <w:sz w:val="32"/>
          <w:szCs w:val="32"/>
          <w:highlight w:val="none"/>
        </w:rPr>
      </w:pPr>
    </w:p>
    <w:p>
      <w:pPr>
        <w:spacing w:line="600" w:lineRule="exact"/>
        <w:ind w:firstLine="632" w:firstLineChars="200"/>
        <w:outlineLvl w:val="1"/>
        <w:rPr>
          <w:rStyle w:val="33"/>
          <w:rFonts w:ascii="黑体" w:hAnsi="黑体" w:eastAsia="黑体"/>
          <w:b w:val="0"/>
          <w:color w:val="auto"/>
          <w:highlight w:val="none"/>
        </w:rPr>
      </w:pPr>
      <w:bookmarkStart w:id="35" w:name="_Toc8088"/>
      <w:bookmarkStart w:id="36" w:name="_Toc15377208"/>
      <w:bookmarkStart w:id="37" w:name="_Toc15396606"/>
      <w:r>
        <w:rPr>
          <w:rFonts w:hint="eastAsia" w:ascii="黑体" w:hAnsi="黑体" w:eastAsia="黑体"/>
          <w:color w:val="auto"/>
          <w:sz w:val="32"/>
          <w:szCs w:val="32"/>
          <w:highlight w:val="none"/>
        </w:rPr>
        <w:t>四、财</w:t>
      </w:r>
      <w:r>
        <w:rPr>
          <w:rStyle w:val="33"/>
          <w:rFonts w:hint="eastAsia" w:ascii="黑体" w:hAnsi="黑体" w:eastAsia="黑体"/>
          <w:b w:val="0"/>
          <w:color w:val="auto"/>
          <w:highlight w:val="none"/>
        </w:rPr>
        <w:t>政拨款收入支出决算总体情况说明</w:t>
      </w:r>
      <w:bookmarkEnd w:id="35"/>
      <w:bookmarkEnd w:id="36"/>
      <w:bookmarkEnd w:id="37"/>
    </w:p>
    <w:p>
      <w:pPr>
        <w:spacing w:line="600" w:lineRule="exact"/>
        <w:ind w:firstLine="64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814.12</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769.35</w:t>
      </w:r>
      <w:r>
        <w:rPr>
          <w:rFonts w:hint="eastAsia" w:ascii="仿宋" w:hAnsi="仿宋" w:eastAsia="仿宋"/>
          <w:color w:val="auto"/>
          <w:sz w:val="32"/>
          <w:szCs w:val="32"/>
          <w:highlight w:val="none"/>
        </w:rPr>
        <w:t>相比，财政拨款收、支总计</w:t>
      </w:r>
      <w:r>
        <w:rPr>
          <w:rFonts w:hint="eastAsia" w:ascii="仿宋" w:hAnsi="仿宋" w:eastAsia="仿宋"/>
          <w:color w:val="auto"/>
          <w:sz w:val="32"/>
          <w:szCs w:val="32"/>
          <w:highlight w:val="none"/>
          <w:lang w:val="en-US" w:eastAsia="zh-CN"/>
        </w:rPr>
        <w:t>增加44.77</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增</w:t>
      </w:r>
      <w:r>
        <w:rPr>
          <w:rFonts w:hint="eastAsia" w:ascii="仿宋" w:hAnsi="仿宋" w:eastAsia="仿宋"/>
          <w:color w:val="auto"/>
          <w:sz w:val="32"/>
          <w:szCs w:val="32"/>
          <w:highlight w:val="none"/>
          <w:lang w:val="en-US" w:eastAsia="zh-CN"/>
        </w:rPr>
        <w:t>长5.82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主要变动原因是</w:t>
      </w:r>
      <w:r>
        <w:rPr>
          <w:rFonts w:hint="eastAsia" w:ascii="仿宋" w:hAnsi="仿宋" w:eastAsia="仿宋"/>
          <w:color w:val="000000" w:themeColor="text1"/>
          <w:sz w:val="32"/>
          <w:szCs w:val="32"/>
          <w:highlight w:val="none"/>
          <w:lang w:val="en-US" w:eastAsia="zh-CN"/>
          <w14:textFill>
            <w14:solidFill>
              <w14:schemeClr w14:val="tx1"/>
            </w14:solidFill>
          </w14:textFill>
        </w:rPr>
        <w:t>2022年</w:t>
      </w:r>
      <w:r>
        <w:rPr>
          <w:rFonts w:hint="eastAsia" w:ascii="仿宋" w:hAnsi="仿宋" w:eastAsia="仿宋"/>
          <w:color w:val="000000" w:themeColor="text1"/>
          <w:sz w:val="32"/>
          <w:szCs w:val="32"/>
          <w:highlight w:val="none"/>
          <w:lang w:eastAsia="zh-CN"/>
          <w14:textFill>
            <w14:solidFill>
              <w14:schemeClr w14:val="tx1"/>
            </w14:solidFill>
          </w14:textFill>
        </w:rPr>
        <w:t>全区残疾人就业保障金未纳入本部门预算。</w:t>
      </w:r>
    </w:p>
    <w:p>
      <w:pPr>
        <w:spacing w:line="600" w:lineRule="exact"/>
        <w:rPr>
          <w:rFonts w:ascii="仿宋" w:hAnsi="仿宋" w:eastAsia="仿宋"/>
          <w:color w:val="auto"/>
          <w:sz w:val="32"/>
          <w:szCs w:val="32"/>
          <w:highlight w:val="none"/>
        </w:rPr>
      </w:pPr>
      <w:r>
        <w:rPr>
          <w:rFonts w:hint="eastAsia" w:ascii="仿宋" w:hAnsi="仿宋" w:eastAsia="仿宋"/>
          <w:color w:val="auto"/>
          <w:sz w:val="32"/>
          <w:szCs w:val="32"/>
        </w:rPr>
        <w:pict>
          <v:shape id="_x0000_s1029" o:spid="_x0000_s1029" o:spt="75" type="#_x0000_t75" style="position:absolute;left:0pt;margin-left:40.2pt;margin-top:13.05pt;height:222.35pt;width:368.25pt;mso-wrap-distance-bottom:0pt;mso-wrap-distance-left:9pt;mso-wrap-distance-right:9pt;mso-wrap-distance-top:0pt;z-index:251662336;mso-width-relative:page;mso-height-relative:page;" o:ole="t" filled="f" o:preferrelative="t" stroked="f" coordsize="21600,21600">
            <v:path/>
            <v:fill on="f" focussize="0,0"/>
            <v:stroke on="f"/>
            <v:imagedata r:id="rId16" o:title=""/>
            <o:lock v:ext="edit" aspectratio="t"/>
            <w10:wrap type="square"/>
          </v:shape>
          <o:OLEObject Type="Embed" ProgID="Excel.Chart.8" ShapeID="_x0000_s1029" DrawAspect="Content" ObjectID="_1468075728" r:id="rId15">
            <o:LockedField>false</o:LockedField>
          </o:OLEObject>
        </w:pict>
      </w:r>
    </w:p>
    <w:p>
      <w:pPr>
        <w:pStyle w:val="6"/>
        <w:rPr>
          <w:rFonts w:hint="eastAsia" w:ascii="仿宋" w:hAnsi="仿宋" w:eastAsia="仿宋"/>
          <w:color w:val="auto"/>
          <w:sz w:val="32"/>
          <w:szCs w:val="32"/>
          <w:highlight w:val="none"/>
        </w:rPr>
      </w:pPr>
    </w:p>
    <w:p>
      <w:pPr>
        <w:pStyle w:val="6"/>
        <w:rPr>
          <w:rFonts w:hint="eastAsia" w:ascii="仿宋" w:hAnsi="仿宋" w:eastAsia="仿宋"/>
          <w:color w:val="auto"/>
          <w:sz w:val="32"/>
          <w:szCs w:val="32"/>
          <w:highlight w:val="none"/>
        </w:rPr>
      </w:pPr>
    </w:p>
    <w:p>
      <w:pPr>
        <w:pStyle w:val="6"/>
        <w:rPr>
          <w:rFonts w:hint="eastAsia" w:ascii="仿宋" w:hAnsi="仿宋" w:eastAsia="仿宋"/>
          <w:color w:val="auto"/>
          <w:sz w:val="32"/>
          <w:szCs w:val="32"/>
          <w:highlight w:val="none"/>
        </w:rPr>
      </w:pPr>
    </w:p>
    <w:p>
      <w:pPr>
        <w:pStyle w:val="6"/>
        <w:rPr>
          <w:rFonts w:hint="eastAsia" w:ascii="仿宋" w:hAnsi="仿宋" w:eastAsia="仿宋"/>
          <w:color w:val="auto"/>
          <w:sz w:val="32"/>
          <w:szCs w:val="32"/>
          <w:highlight w:val="none"/>
        </w:rPr>
      </w:pPr>
    </w:p>
    <w:p>
      <w:pPr>
        <w:pStyle w:val="6"/>
        <w:rPr>
          <w:rFonts w:hint="eastAsia" w:ascii="仿宋" w:hAnsi="仿宋" w:eastAsia="仿宋"/>
          <w:color w:val="auto"/>
          <w:sz w:val="32"/>
          <w:szCs w:val="32"/>
          <w:highlight w:val="none"/>
        </w:rPr>
      </w:pPr>
    </w:p>
    <w:p>
      <w:pPr>
        <w:pStyle w:val="6"/>
        <w:rPr>
          <w:rFonts w:hint="eastAsia" w:ascii="仿宋" w:hAnsi="仿宋" w:eastAsia="仿宋"/>
          <w:color w:val="auto"/>
          <w:sz w:val="32"/>
          <w:szCs w:val="32"/>
          <w:highlight w:val="none"/>
        </w:rPr>
      </w:pPr>
    </w:p>
    <w:p>
      <w:pPr>
        <w:pStyle w:val="6"/>
        <w:ind w:firstLine="1580" w:firstLineChars="500"/>
        <w:rPr>
          <w:rFonts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w:t>
      </w:r>
    </w:p>
    <w:p>
      <w:pPr>
        <w:spacing w:line="600" w:lineRule="exact"/>
        <w:ind w:firstLine="632" w:firstLineChars="200"/>
        <w:outlineLvl w:val="1"/>
        <w:rPr>
          <w:rStyle w:val="33"/>
          <w:rFonts w:ascii="黑体" w:hAnsi="黑体" w:eastAsia="黑体"/>
          <w:b w:val="0"/>
          <w:color w:val="auto"/>
          <w:highlight w:val="none"/>
        </w:rPr>
      </w:pPr>
      <w:bookmarkStart w:id="38" w:name="_Toc15396607"/>
      <w:bookmarkStart w:id="39" w:name="_Toc29755"/>
      <w:bookmarkStart w:id="40" w:name="_Toc15377209"/>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33"/>
          <w:rFonts w:hint="eastAsia" w:ascii="黑体" w:hAnsi="黑体" w:eastAsia="黑体"/>
          <w:b w:val="0"/>
          <w:color w:val="auto"/>
          <w:highlight w:val="none"/>
        </w:rPr>
        <w:t>般公共预算财政拨款支出决算情况说明</w:t>
      </w:r>
      <w:bookmarkEnd w:id="38"/>
      <w:bookmarkEnd w:id="39"/>
      <w:bookmarkEnd w:id="40"/>
    </w:p>
    <w:p>
      <w:pPr>
        <w:spacing w:line="600" w:lineRule="exact"/>
        <w:ind w:firstLine="632" w:firstLineChars="200"/>
        <w:outlineLvl w:val="2"/>
        <w:rPr>
          <w:rFonts w:ascii="仿宋" w:hAnsi="仿宋" w:eastAsia="仿宋"/>
          <w:b/>
          <w:color w:val="auto"/>
          <w:sz w:val="32"/>
          <w:szCs w:val="32"/>
          <w:highlight w:val="none"/>
        </w:rPr>
      </w:pPr>
      <w:bookmarkStart w:id="41" w:name="_Toc15377210"/>
      <w:r>
        <w:rPr>
          <w:rFonts w:hint="eastAsia" w:ascii="仿宋" w:hAnsi="仿宋" w:eastAsia="仿宋"/>
          <w:b/>
          <w:color w:val="auto"/>
          <w:sz w:val="32"/>
          <w:szCs w:val="32"/>
          <w:highlight w:val="none"/>
        </w:rPr>
        <w:t>（一）一般公共预算财政拨款支出决算总体情况</w:t>
      </w:r>
      <w:bookmarkEnd w:id="41"/>
    </w:p>
    <w:p>
      <w:pPr>
        <w:spacing w:line="600" w:lineRule="exact"/>
        <w:ind w:firstLine="632" w:firstLineChars="200"/>
        <w:rPr>
          <w:rFonts w:hint="default" w:ascii="仿宋" w:hAnsi="仿宋" w:eastAsia="仿宋"/>
          <w:color w:val="000000" w:themeColor="text1"/>
          <w:sz w:val="32"/>
          <w:szCs w:val="32"/>
          <w:highlight w:val="none"/>
          <w:lang w:val="en-US"/>
          <w14:textFill>
            <w14:solidFill>
              <w14:schemeClr w14:val="tx1"/>
            </w14:solidFill>
          </w14:textFill>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686.05</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83.63</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669.14万元</w:t>
      </w:r>
      <w:r>
        <w:rPr>
          <w:rFonts w:hint="eastAsia" w:ascii="仿宋" w:hAnsi="仿宋" w:eastAsia="仿宋"/>
          <w:color w:val="auto"/>
          <w:sz w:val="32"/>
          <w:szCs w:val="32"/>
          <w:highlight w:val="none"/>
        </w:rPr>
        <w:t>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lang w:val="en-US" w:eastAsia="zh-CN"/>
        </w:rPr>
        <w:t>增加16.91</w:t>
      </w:r>
      <w:r>
        <w:rPr>
          <w:rFonts w:hint="eastAsia" w:ascii="仿宋" w:hAnsi="仿宋" w:eastAsia="仿宋"/>
          <w:color w:val="auto"/>
          <w:sz w:val="32"/>
          <w:szCs w:val="32"/>
          <w:highlight w:val="none"/>
        </w:rPr>
        <w:t>万元，</w:t>
      </w:r>
      <w:r>
        <w:rPr>
          <w:rFonts w:hint="eastAsia" w:ascii="仿宋" w:hAnsi="仿宋" w:eastAsia="仿宋"/>
          <w:color w:val="000000" w:themeColor="text1"/>
          <w:sz w:val="32"/>
          <w:szCs w:val="32"/>
          <w:highlight w:val="none"/>
          <w:lang w:val="en-US" w:eastAsia="zh-CN"/>
          <w14:textFill>
            <w14:solidFill>
              <w14:schemeClr w14:val="tx1"/>
            </w14:solidFill>
          </w14:textFill>
        </w:rPr>
        <w:t>增长2.53</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。主要变动原因是</w:t>
      </w:r>
      <w:r>
        <w:rPr>
          <w:rFonts w:hint="eastAsia" w:ascii="仿宋" w:hAnsi="仿宋" w:eastAsia="仿宋"/>
          <w:color w:val="000000" w:themeColor="text1"/>
          <w:sz w:val="32"/>
          <w:szCs w:val="32"/>
          <w:highlight w:val="none"/>
          <w:lang w:val="en-US" w:eastAsia="zh-CN"/>
          <w14:textFill>
            <w14:solidFill>
              <w14:schemeClr w14:val="tx1"/>
            </w14:solidFill>
          </w14:textFill>
        </w:rPr>
        <w:t>2022年</w:t>
      </w:r>
      <w:r>
        <w:rPr>
          <w:rFonts w:hint="eastAsia" w:ascii="仿宋" w:hAnsi="仿宋" w:eastAsia="仿宋"/>
          <w:color w:val="000000" w:themeColor="text1"/>
          <w:sz w:val="32"/>
          <w:szCs w:val="32"/>
          <w:highlight w:val="none"/>
          <w:lang w:eastAsia="zh-CN"/>
          <w14:textFill>
            <w14:solidFill>
              <w14:schemeClr w14:val="tx1"/>
            </w14:solidFill>
          </w14:textFill>
        </w:rPr>
        <w:t>全区残疾人就业保障金未纳入本部门预算。</w:t>
      </w:r>
    </w:p>
    <w:p>
      <w:pPr>
        <w:spacing w:line="600" w:lineRule="exact"/>
        <w:ind w:firstLine="632" w:firstLineChars="200"/>
        <w:rPr>
          <w:rFonts w:ascii="仿宋" w:hAnsi="仿宋" w:eastAsia="仿宋"/>
          <w:color w:val="auto"/>
          <w:sz w:val="32"/>
          <w:szCs w:val="32"/>
          <w:highlight w:val="none"/>
        </w:rPr>
      </w:pPr>
    </w:p>
    <w:p>
      <w:pPr>
        <w:pStyle w:val="6"/>
        <w:rPr>
          <w:rFonts w:ascii="仿宋" w:hAnsi="仿宋" w:eastAsia="仿宋"/>
          <w:color w:val="auto"/>
          <w:sz w:val="32"/>
          <w:szCs w:val="32"/>
          <w:highlight w:val="none"/>
        </w:rPr>
      </w:pPr>
      <w:r>
        <w:rPr>
          <w:rFonts w:hint="eastAsia" w:ascii="仿宋" w:hAnsi="仿宋" w:eastAsia="仿宋"/>
          <w:color w:val="auto"/>
          <w:sz w:val="32"/>
          <w:szCs w:val="32"/>
        </w:rPr>
        <w:pict>
          <v:shape id="_x0000_s1030" o:spid="_x0000_s1030" o:spt="75" type="#_x0000_t75" style="position:absolute;left:0pt;margin-left:30.1pt;margin-top:19.8pt;height:222.35pt;width:368.25pt;mso-wrap-distance-bottom:0pt;mso-wrap-distance-left:9pt;mso-wrap-distance-right:9pt;mso-wrap-distance-top:0pt;z-index:251663360;mso-width-relative:page;mso-height-relative:page;" o:ole="t" filled="f" o:preferrelative="t" stroked="f" coordsize="21600,21600">
            <v:path/>
            <v:fill on="f" focussize="0,0"/>
            <v:stroke on="f"/>
            <v:imagedata r:id="rId18" o:title=""/>
            <o:lock v:ext="edit" aspectratio="t"/>
            <w10:wrap type="square"/>
          </v:shape>
          <o:OLEObject Type="Embed" ProgID="Excel.Chart.8" ShapeID="_x0000_s1030" DrawAspect="Content" ObjectID="_1468075729" r:id="rId17">
            <o:LockedField>false</o:LockedField>
          </o:OLEObject>
        </w:pict>
      </w:r>
    </w:p>
    <w:p>
      <w:pPr>
        <w:pStyle w:val="6"/>
        <w:rPr>
          <w:rFonts w:ascii="仿宋" w:hAnsi="仿宋" w:eastAsia="仿宋"/>
          <w:color w:val="auto"/>
          <w:sz w:val="32"/>
          <w:szCs w:val="32"/>
          <w:highlight w:val="none"/>
        </w:rPr>
      </w:pPr>
    </w:p>
    <w:p>
      <w:pPr>
        <w:pStyle w:val="6"/>
        <w:rPr>
          <w:rFonts w:ascii="仿宋" w:hAnsi="仿宋" w:eastAsia="仿宋"/>
          <w:color w:val="auto"/>
          <w:sz w:val="32"/>
          <w:szCs w:val="32"/>
          <w:highlight w:val="none"/>
        </w:rPr>
      </w:pPr>
    </w:p>
    <w:p>
      <w:pPr>
        <w:pStyle w:val="6"/>
        <w:rPr>
          <w:rFonts w:ascii="仿宋" w:hAnsi="仿宋" w:eastAsia="仿宋"/>
          <w:color w:val="auto"/>
          <w:sz w:val="32"/>
          <w:szCs w:val="32"/>
          <w:highlight w:val="none"/>
        </w:rPr>
      </w:pPr>
    </w:p>
    <w:p>
      <w:pPr>
        <w:pStyle w:val="6"/>
        <w:rPr>
          <w:rFonts w:ascii="仿宋" w:hAnsi="仿宋" w:eastAsia="仿宋"/>
          <w:color w:val="auto"/>
          <w:sz w:val="32"/>
          <w:szCs w:val="32"/>
          <w:highlight w:val="none"/>
        </w:rPr>
      </w:pPr>
    </w:p>
    <w:p>
      <w:pPr>
        <w:pStyle w:val="6"/>
        <w:rPr>
          <w:rFonts w:ascii="仿宋" w:hAnsi="仿宋" w:eastAsia="仿宋"/>
          <w:color w:val="auto"/>
          <w:sz w:val="32"/>
          <w:szCs w:val="32"/>
          <w:highlight w:val="none"/>
        </w:rPr>
      </w:pPr>
    </w:p>
    <w:p>
      <w:pPr>
        <w:pStyle w:val="6"/>
        <w:rPr>
          <w:rFonts w:ascii="仿宋" w:hAnsi="仿宋" w:eastAsia="仿宋"/>
          <w:color w:val="auto"/>
          <w:sz w:val="32"/>
          <w:szCs w:val="32"/>
          <w:highlight w:val="none"/>
        </w:rPr>
      </w:pPr>
    </w:p>
    <w:p>
      <w:pPr>
        <w:spacing w:line="600" w:lineRule="exact"/>
        <w:ind w:firstLine="632"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w:t>
      </w:r>
    </w:p>
    <w:p>
      <w:pPr>
        <w:spacing w:line="600" w:lineRule="exact"/>
        <w:ind w:firstLine="632" w:firstLineChars="200"/>
        <w:outlineLvl w:val="2"/>
        <w:rPr>
          <w:rFonts w:ascii="仿宋" w:hAnsi="仿宋" w:eastAsia="仿宋"/>
          <w:b/>
          <w:color w:val="auto"/>
          <w:sz w:val="32"/>
          <w:szCs w:val="32"/>
          <w:highlight w:val="none"/>
        </w:rPr>
      </w:pPr>
      <w:bookmarkStart w:id="42" w:name="_Toc15377211"/>
      <w:r>
        <w:rPr>
          <w:rFonts w:hint="eastAsia" w:ascii="仿宋" w:hAnsi="仿宋" w:eastAsia="仿宋"/>
          <w:b/>
          <w:color w:val="auto"/>
          <w:sz w:val="32"/>
          <w:szCs w:val="32"/>
          <w:highlight w:val="none"/>
        </w:rPr>
        <w:t>（二）一般公共预算财政拨款支出决算结构情况</w:t>
      </w:r>
      <w:bookmarkEnd w:id="42"/>
    </w:p>
    <w:p>
      <w:pPr>
        <w:spacing w:line="600" w:lineRule="exact"/>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686.05</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社会保障和就业</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473.65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80.82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lang w:val="en-US" w:eastAsia="zh-CN"/>
        </w:rPr>
        <w:t>8.47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1.45</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农林水支出</w:t>
      </w:r>
      <w:r>
        <w:rPr>
          <w:rFonts w:hint="eastAsia" w:ascii="仿宋" w:hAnsi="仿宋" w:eastAsia="仿宋"/>
          <w:color w:val="auto"/>
          <w:sz w:val="32"/>
          <w:szCs w:val="32"/>
          <w:highlight w:val="none"/>
          <w:lang w:val="en-US" w:eastAsia="zh-CN"/>
        </w:rPr>
        <w:t>189.18万元，占15.22%；</w:t>
      </w:r>
      <w:r>
        <w:rPr>
          <w:rFonts w:hint="eastAsia" w:ascii="仿宋" w:hAnsi="仿宋" w:eastAsia="仿宋"/>
          <w:b/>
          <w:bCs/>
          <w:color w:val="auto"/>
          <w:sz w:val="32"/>
          <w:szCs w:val="32"/>
          <w:highlight w:val="none"/>
        </w:rPr>
        <w:t>住房保障支出</w:t>
      </w:r>
      <w:r>
        <w:rPr>
          <w:rFonts w:hint="eastAsia" w:ascii="仿宋" w:hAnsi="仿宋" w:eastAsia="仿宋"/>
          <w:color w:val="auto"/>
          <w:sz w:val="32"/>
          <w:szCs w:val="32"/>
          <w:highlight w:val="none"/>
          <w:lang w:val="en-US" w:eastAsia="zh-CN"/>
        </w:rPr>
        <w:t>14.74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2.52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rPr>
        <w:pict>
          <v:shape id="_x0000_s1031" o:spid="_x0000_s1031" o:spt="75" type="#_x0000_t75" style="position:absolute;left:0pt;margin-left:28.25pt;margin-top:20.2pt;height:194.05pt;width:354.1pt;mso-wrap-distance-bottom:0pt;mso-wrap-distance-left:9pt;mso-wrap-distance-right:9pt;mso-wrap-distance-top:0pt;z-index:251664384;mso-width-relative:page;mso-height-relative:page;" o:ole="t" filled="f" o:preferrelative="t" stroked="f" coordsize="21600,21600">
            <v:path/>
            <v:fill on="f" focussize="0,0"/>
            <v:stroke on="f"/>
            <v:imagedata r:id="rId20" o:title=""/>
            <o:lock v:ext="edit" aspectratio="t"/>
            <w10:wrap type="square"/>
          </v:shape>
          <o:OLEObject Type="Embed" ProgID="Excel.Chart.8" ShapeID="_x0000_s1031" DrawAspect="Content" ObjectID="_1468075730" r:id="rId19">
            <o:LockedField>false</o:LockedField>
          </o:OLEObject>
        </w:pict>
      </w:r>
    </w:p>
    <w:p>
      <w:pPr>
        <w:pStyle w:val="6"/>
        <w:rPr>
          <w:rFonts w:ascii="仿宋" w:hAnsi="仿宋" w:eastAsia="仿宋"/>
          <w:color w:val="auto"/>
          <w:sz w:val="32"/>
          <w:szCs w:val="32"/>
          <w:highlight w:val="none"/>
        </w:rPr>
      </w:pPr>
    </w:p>
    <w:p>
      <w:pPr>
        <w:pStyle w:val="6"/>
        <w:rPr>
          <w:rFonts w:ascii="仿宋" w:hAnsi="仿宋" w:eastAsia="仿宋"/>
          <w:color w:val="auto"/>
          <w:sz w:val="32"/>
          <w:szCs w:val="32"/>
          <w:highlight w:val="none"/>
        </w:rPr>
      </w:pPr>
    </w:p>
    <w:p>
      <w:pPr>
        <w:spacing w:line="600" w:lineRule="exact"/>
        <w:ind w:firstLine="632"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w:t>
      </w:r>
    </w:p>
    <w:p>
      <w:pPr>
        <w:spacing w:line="600" w:lineRule="exact"/>
        <w:ind w:firstLine="632" w:firstLineChars="200"/>
        <w:outlineLvl w:val="2"/>
        <w:rPr>
          <w:rFonts w:ascii="仿宋" w:hAnsi="仿宋" w:eastAsia="仿宋"/>
          <w:b/>
          <w:color w:val="auto"/>
          <w:sz w:val="32"/>
          <w:szCs w:val="32"/>
          <w:highlight w:val="none"/>
        </w:rPr>
      </w:pPr>
      <w:bookmarkStart w:id="43" w:name="_Toc15377212"/>
      <w:r>
        <w:rPr>
          <w:rFonts w:hint="eastAsia" w:ascii="仿宋" w:hAnsi="仿宋" w:eastAsia="仿宋"/>
          <w:b/>
          <w:color w:val="auto"/>
          <w:sz w:val="32"/>
          <w:szCs w:val="32"/>
          <w:highlight w:val="none"/>
        </w:rPr>
        <w:t>（三）一般公共预算财政拨款支出决算具体情况</w:t>
      </w:r>
      <w:bookmarkEnd w:id="43"/>
    </w:p>
    <w:p>
      <w:pPr>
        <w:spacing w:line="600" w:lineRule="exact"/>
        <w:ind w:firstLine="632" w:firstLineChars="200"/>
        <w:outlineLvl w:val="2"/>
        <w:rPr>
          <w:rFonts w:ascii="仿宋" w:hAnsi="仿宋" w:eastAsia="仿宋"/>
          <w:color w:val="auto"/>
          <w:sz w:val="32"/>
          <w:szCs w:val="32"/>
          <w:highlight w:val="none"/>
        </w:rPr>
      </w:pPr>
      <w:bookmarkStart w:id="44" w:name="_Toc15378460"/>
      <w:bookmarkStart w:id="45" w:name="_Toc15377444"/>
      <w:bookmarkStart w:id="46" w:name="_Toc15377213"/>
      <w:r>
        <w:rPr>
          <w:rFonts w:hint="eastAsia" w:ascii="仿宋" w:hAnsi="仿宋" w:eastAsia="仿宋"/>
          <w:b/>
          <w:color w:val="auto"/>
          <w:sz w:val="32"/>
          <w:szCs w:val="32"/>
          <w:highlight w:val="none"/>
          <w:lang w:eastAsia="zh-CN"/>
        </w:rPr>
        <w:t>2023</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686.05万元</w:t>
      </w:r>
      <w:r>
        <w:rPr>
          <w:rFonts w:hint="eastAsia" w:ascii="仿宋" w:hAnsi="仿宋" w:eastAsia="仿宋"/>
          <w:color w:val="auto"/>
          <w:sz w:val="32"/>
          <w:szCs w:val="32"/>
          <w:highlight w:val="none"/>
        </w:rPr>
        <w:t>，</w:t>
      </w:r>
      <w:r>
        <w:rPr>
          <w:rStyle w:val="19"/>
          <w:rFonts w:hint="eastAsia" w:ascii="仿宋" w:hAnsi="仿宋" w:eastAsia="仿宋"/>
          <w:bCs/>
          <w:color w:val="auto"/>
          <w:sz w:val="32"/>
          <w:szCs w:val="32"/>
          <w:highlight w:val="none"/>
        </w:rPr>
        <w:t>完成预算</w:t>
      </w:r>
      <w:r>
        <w:rPr>
          <w:rStyle w:val="19"/>
          <w:rFonts w:hint="eastAsia" w:ascii="仿宋" w:hAnsi="仿宋" w:eastAsia="仿宋"/>
          <w:bCs/>
          <w:color w:val="auto"/>
          <w:sz w:val="32"/>
          <w:szCs w:val="32"/>
          <w:highlight w:val="none"/>
          <w:lang w:val="en-US" w:eastAsia="zh-CN"/>
        </w:rPr>
        <w:t>100</w:t>
      </w:r>
      <w:r>
        <w:rPr>
          <w:rStyle w:val="19"/>
          <w:rFonts w:ascii="仿宋" w:hAnsi="仿宋" w:eastAsia="仿宋"/>
          <w:bCs/>
          <w:color w:val="auto"/>
          <w:sz w:val="32"/>
          <w:szCs w:val="32"/>
          <w:highlight w:val="none"/>
        </w:rPr>
        <w:t>%</w:t>
      </w:r>
      <w:r>
        <w:rPr>
          <w:rStyle w:val="19"/>
          <w:rFonts w:hint="eastAsia" w:ascii="仿宋" w:hAnsi="仿宋" w:eastAsia="仿宋"/>
          <w:bCs/>
          <w:color w:val="auto"/>
          <w:sz w:val="32"/>
          <w:szCs w:val="32"/>
          <w:highlight w:val="none"/>
        </w:rPr>
        <w:t>。其中：</w:t>
      </w:r>
      <w:bookmarkEnd w:id="44"/>
      <w:bookmarkEnd w:id="45"/>
      <w:bookmarkEnd w:id="46"/>
    </w:p>
    <w:p>
      <w:pPr>
        <w:spacing w:line="600" w:lineRule="exact"/>
        <w:ind w:firstLine="632" w:firstLineChars="200"/>
        <w:rPr>
          <w:rStyle w:val="19"/>
          <w:rFonts w:hint="eastAsia" w:ascii="仿宋" w:hAnsi="仿宋" w:eastAsia="仿宋" w:cs="仿宋"/>
          <w:b w:val="0"/>
          <w:bCs/>
          <w:color w:val="auto"/>
          <w:sz w:val="32"/>
          <w:szCs w:val="32"/>
        </w:rPr>
      </w:pPr>
      <w:r>
        <w:rPr>
          <w:rStyle w:val="19"/>
          <w:rFonts w:hint="eastAsia" w:ascii="仿宋" w:hAnsi="仿宋" w:eastAsia="仿宋" w:cs="仿宋"/>
          <w:bCs/>
          <w:color w:val="auto"/>
          <w:sz w:val="32"/>
          <w:szCs w:val="32"/>
          <w:lang w:val="en-US" w:eastAsia="zh-CN"/>
        </w:rPr>
        <w:t>1</w:t>
      </w:r>
      <w:r>
        <w:rPr>
          <w:rStyle w:val="19"/>
          <w:rFonts w:hint="eastAsia" w:ascii="仿宋" w:hAnsi="仿宋" w:eastAsia="仿宋" w:cs="仿宋"/>
          <w:bCs/>
          <w:color w:val="auto"/>
          <w:sz w:val="32"/>
          <w:szCs w:val="32"/>
        </w:rPr>
        <w:t>.</w:t>
      </w:r>
      <w:r>
        <w:rPr>
          <w:rStyle w:val="19"/>
          <w:rFonts w:hint="eastAsia" w:ascii="仿宋" w:hAnsi="仿宋" w:eastAsia="仿宋" w:cs="仿宋"/>
          <w:color w:val="auto"/>
          <w:sz w:val="32"/>
          <w:szCs w:val="32"/>
        </w:rPr>
        <w:t>社会保障和就业</w:t>
      </w:r>
      <w:r>
        <w:rPr>
          <w:rStyle w:val="19"/>
          <w:rFonts w:hint="eastAsia" w:ascii="仿宋" w:hAnsi="仿宋" w:eastAsia="仿宋" w:cs="仿宋"/>
          <w:color w:val="auto"/>
          <w:sz w:val="32"/>
          <w:szCs w:val="32"/>
          <w:lang w:eastAsia="zh-CN"/>
        </w:rPr>
        <w:t>支出</w:t>
      </w:r>
      <w:r>
        <w:rPr>
          <w:rStyle w:val="19"/>
          <w:rFonts w:hint="eastAsia" w:ascii="仿宋" w:hAnsi="仿宋" w:eastAsia="仿宋" w:cs="仿宋"/>
          <w:color w:val="auto"/>
          <w:sz w:val="32"/>
          <w:szCs w:val="32"/>
        </w:rPr>
        <w:t>（208</w:t>
      </w:r>
      <w:r>
        <w:rPr>
          <w:rStyle w:val="19"/>
          <w:rFonts w:hint="eastAsia" w:ascii="仿宋" w:hAnsi="仿宋" w:eastAsia="仿宋" w:cs="仿宋"/>
          <w:color w:val="auto"/>
          <w:sz w:val="32"/>
          <w:szCs w:val="32"/>
          <w:lang w:eastAsia="zh-CN"/>
        </w:rPr>
        <w:t>）</w:t>
      </w:r>
      <w:r>
        <w:rPr>
          <w:rStyle w:val="19"/>
          <w:rFonts w:hint="eastAsia" w:ascii="仿宋" w:hAnsi="仿宋" w:eastAsia="仿宋" w:cs="仿宋"/>
          <w:color w:val="auto"/>
          <w:sz w:val="32"/>
          <w:szCs w:val="32"/>
        </w:rPr>
        <w:t>行政事业单位养老支出（05）行政单位离退休（0</w:t>
      </w:r>
      <w:r>
        <w:rPr>
          <w:rStyle w:val="19"/>
          <w:rFonts w:hint="eastAsia" w:ascii="仿宋" w:hAnsi="仿宋" w:eastAsia="仿宋" w:cs="仿宋"/>
          <w:color w:val="auto"/>
          <w:sz w:val="32"/>
          <w:szCs w:val="32"/>
          <w:lang w:val="en-US" w:eastAsia="zh-CN"/>
        </w:rPr>
        <w:t>1</w:t>
      </w:r>
      <w:r>
        <w:rPr>
          <w:rStyle w:val="19"/>
          <w:rFonts w:hint="eastAsia" w:ascii="仿宋" w:hAnsi="仿宋" w:eastAsia="仿宋" w:cs="仿宋"/>
          <w:color w:val="auto"/>
          <w:sz w:val="32"/>
          <w:szCs w:val="32"/>
        </w:rPr>
        <w:t>）</w:t>
      </w:r>
      <w:r>
        <w:rPr>
          <w:rStyle w:val="19"/>
          <w:rFonts w:hint="eastAsia" w:ascii="仿宋" w:hAnsi="仿宋" w:eastAsia="仿宋" w:cs="仿宋"/>
          <w:bCs/>
          <w:color w:val="auto"/>
          <w:sz w:val="32"/>
          <w:szCs w:val="32"/>
        </w:rPr>
        <w:t>:</w:t>
      </w:r>
      <w:r>
        <w:rPr>
          <w:rStyle w:val="19"/>
          <w:rFonts w:hint="eastAsia" w:ascii="仿宋" w:hAnsi="仿宋" w:eastAsia="仿宋" w:cs="仿宋"/>
          <w:b w:val="0"/>
          <w:bCs/>
          <w:color w:val="auto"/>
          <w:sz w:val="32"/>
          <w:szCs w:val="32"/>
        </w:rPr>
        <w:t xml:space="preserve"> 支出决算为</w:t>
      </w:r>
      <w:r>
        <w:rPr>
          <w:rStyle w:val="19"/>
          <w:rFonts w:hint="eastAsia" w:ascii="仿宋" w:hAnsi="仿宋" w:eastAsia="仿宋" w:cs="仿宋"/>
          <w:b w:val="0"/>
          <w:bCs/>
          <w:color w:val="auto"/>
          <w:sz w:val="32"/>
          <w:szCs w:val="32"/>
          <w:lang w:val="en-US" w:eastAsia="zh-CN"/>
        </w:rPr>
        <w:t>0.04</w:t>
      </w:r>
      <w:r>
        <w:rPr>
          <w:rStyle w:val="19"/>
          <w:rFonts w:hint="eastAsia" w:ascii="仿宋" w:hAnsi="仿宋" w:eastAsia="仿宋" w:cs="仿宋"/>
          <w:b w:val="0"/>
          <w:bCs/>
          <w:color w:val="auto"/>
          <w:sz w:val="32"/>
          <w:szCs w:val="32"/>
        </w:rPr>
        <w:t>万元</w:t>
      </w:r>
      <w:r>
        <w:rPr>
          <w:rStyle w:val="19"/>
          <w:rFonts w:hint="eastAsia" w:ascii="仿宋" w:hAnsi="仿宋" w:eastAsia="仿宋" w:cs="仿宋"/>
          <w:b w:val="0"/>
          <w:bCs/>
          <w:color w:val="auto"/>
          <w:sz w:val="32"/>
          <w:szCs w:val="32"/>
          <w:lang w:eastAsia="zh-CN"/>
        </w:rPr>
        <w:t>，</w:t>
      </w:r>
      <w:r>
        <w:rPr>
          <w:rStyle w:val="19"/>
          <w:rFonts w:hint="eastAsia" w:ascii="仿宋" w:hAnsi="仿宋" w:eastAsia="仿宋" w:cs="仿宋"/>
          <w:b w:val="0"/>
          <w:bCs/>
          <w:color w:val="auto"/>
          <w:sz w:val="32"/>
          <w:szCs w:val="32"/>
        </w:rPr>
        <w:t>完成预算</w:t>
      </w:r>
      <w:r>
        <w:rPr>
          <w:rStyle w:val="19"/>
          <w:rFonts w:hint="eastAsia" w:ascii="仿宋" w:hAnsi="仿宋" w:eastAsia="仿宋" w:cs="仿宋"/>
          <w:b w:val="0"/>
          <w:bCs/>
          <w:color w:val="auto"/>
          <w:sz w:val="32"/>
          <w:szCs w:val="32"/>
          <w:lang w:val="en-US" w:eastAsia="zh-CN"/>
        </w:rPr>
        <w:t>100</w:t>
      </w:r>
      <w:r>
        <w:rPr>
          <w:rStyle w:val="19"/>
          <w:rFonts w:hint="eastAsia" w:ascii="仿宋" w:hAnsi="仿宋" w:eastAsia="仿宋" w:cs="仿宋"/>
          <w:b w:val="0"/>
          <w:bCs/>
          <w:color w:val="auto"/>
          <w:sz w:val="32"/>
          <w:szCs w:val="32"/>
        </w:rPr>
        <w:t>%。</w:t>
      </w:r>
    </w:p>
    <w:p>
      <w:pPr>
        <w:spacing w:line="600" w:lineRule="exact"/>
        <w:ind w:firstLine="632" w:firstLineChars="200"/>
        <w:rPr>
          <w:rStyle w:val="19"/>
          <w:rFonts w:hint="eastAsia" w:ascii="仿宋" w:hAnsi="仿宋" w:eastAsia="仿宋" w:cs="仿宋"/>
          <w:b w:val="0"/>
          <w:bCs/>
          <w:color w:val="auto"/>
          <w:sz w:val="32"/>
          <w:szCs w:val="32"/>
        </w:rPr>
      </w:pPr>
      <w:r>
        <w:rPr>
          <w:rStyle w:val="19"/>
          <w:rFonts w:hint="eastAsia" w:ascii="仿宋" w:hAnsi="仿宋" w:eastAsia="仿宋" w:cs="仿宋"/>
          <w:bCs/>
          <w:color w:val="auto"/>
          <w:sz w:val="32"/>
          <w:szCs w:val="32"/>
          <w:lang w:val="en-US" w:eastAsia="zh-CN"/>
        </w:rPr>
        <w:t>2</w:t>
      </w:r>
      <w:r>
        <w:rPr>
          <w:rStyle w:val="19"/>
          <w:rFonts w:hint="eastAsia" w:ascii="仿宋" w:hAnsi="仿宋" w:eastAsia="仿宋" w:cs="仿宋"/>
          <w:bCs/>
          <w:color w:val="auto"/>
          <w:sz w:val="32"/>
          <w:szCs w:val="32"/>
        </w:rPr>
        <w:t>.</w:t>
      </w:r>
      <w:r>
        <w:rPr>
          <w:rStyle w:val="19"/>
          <w:rFonts w:hint="eastAsia" w:ascii="仿宋" w:hAnsi="仿宋" w:eastAsia="仿宋" w:cs="仿宋"/>
          <w:color w:val="auto"/>
          <w:sz w:val="32"/>
          <w:szCs w:val="32"/>
        </w:rPr>
        <w:t>社会保障和就业</w:t>
      </w:r>
      <w:r>
        <w:rPr>
          <w:rStyle w:val="19"/>
          <w:rFonts w:hint="eastAsia" w:ascii="仿宋" w:hAnsi="仿宋" w:eastAsia="仿宋" w:cs="仿宋"/>
          <w:color w:val="auto"/>
          <w:sz w:val="32"/>
          <w:szCs w:val="32"/>
          <w:lang w:eastAsia="zh-CN"/>
        </w:rPr>
        <w:t>支出</w:t>
      </w:r>
      <w:r>
        <w:rPr>
          <w:rStyle w:val="19"/>
          <w:rFonts w:hint="eastAsia" w:ascii="仿宋" w:hAnsi="仿宋" w:eastAsia="仿宋" w:cs="仿宋"/>
          <w:color w:val="auto"/>
          <w:sz w:val="32"/>
          <w:szCs w:val="32"/>
        </w:rPr>
        <w:t>（208</w:t>
      </w:r>
      <w:r>
        <w:rPr>
          <w:rStyle w:val="19"/>
          <w:rFonts w:hint="eastAsia" w:ascii="仿宋" w:hAnsi="仿宋" w:eastAsia="仿宋" w:cs="仿宋"/>
          <w:color w:val="auto"/>
          <w:sz w:val="32"/>
          <w:szCs w:val="32"/>
          <w:lang w:eastAsia="zh-CN"/>
        </w:rPr>
        <w:t>）</w:t>
      </w:r>
      <w:r>
        <w:rPr>
          <w:rStyle w:val="19"/>
          <w:rFonts w:hint="eastAsia" w:ascii="仿宋" w:hAnsi="仿宋" w:eastAsia="仿宋" w:cs="仿宋"/>
          <w:color w:val="auto"/>
          <w:sz w:val="32"/>
          <w:szCs w:val="32"/>
        </w:rPr>
        <w:t>行政事业单位养老支出（05）机关事业单位基本养老保险缴费支出（05）</w:t>
      </w:r>
      <w:r>
        <w:rPr>
          <w:rStyle w:val="19"/>
          <w:rFonts w:hint="eastAsia" w:ascii="仿宋" w:hAnsi="仿宋" w:eastAsia="仿宋" w:cs="仿宋"/>
          <w:bCs/>
          <w:color w:val="auto"/>
          <w:sz w:val="32"/>
          <w:szCs w:val="32"/>
        </w:rPr>
        <w:t>:</w:t>
      </w:r>
      <w:r>
        <w:rPr>
          <w:rStyle w:val="19"/>
          <w:rFonts w:hint="eastAsia" w:ascii="仿宋" w:hAnsi="仿宋" w:eastAsia="仿宋" w:cs="仿宋"/>
          <w:b w:val="0"/>
          <w:bCs/>
          <w:color w:val="auto"/>
          <w:sz w:val="32"/>
          <w:szCs w:val="32"/>
        </w:rPr>
        <w:t xml:space="preserve"> 支出决算为</w:t>
      </w:r>
      <w:r>
        <w:rPr>
          <w:rStyle w:val="19"/>
          <w:rFonts w:hint="eastAsia" w:ascii="仿宋" w:hAnsi="仿宋" w:eastAsia="仿宋" w:cs="仿宋"/>
          <w:b w:val="0"/>
          <w:bCs/>
          <w:color w:val="auto"/>
          <w:sz w:val="32"/>
          <w:szCs w:val="32"/>
          <w:lang w:val="en-US" w:eastAsia="zh-CN"/>
        </w:rPr>
        <w:t>18.42</w:t>
      </w:r>
      <w:r>
        <w:rPr>
          <w:rStyle w:val="19"/>
          <w:rFonts w:hint="eastAsia" w:ascii="仿宋" w:hAnsi="仿宋" w:eastAsia="仿宋" w:cs="仿宋"/>
          <w:b w:val="0"/>
          <w:bCs/>
          <w:color w:val="auto"/>
          <w:sz w:val="32"/>
          <w:szCs w:val="32"/>
        </w:rPr>
        <w:t>万元</w:t>
      </w:r>
      <w:r>
        <w:rPr>
          <w:rStyle w:val="19"/>
          <w:rFonts w:hint="eastAsia" w:ascii="仿宋" w:hAnsi="仿宋" w:eastAsia="仿宋" w:cs="仿宋"/>
          <w:b w:val="0"/>
          <w:bCs/>
          <w:color w:val="auto"/>
          <w:sz w:val="32"/>
          <w:szCs w:val="32"/>
          <w:lang w:eastAsia="zh-CN"/>
        </w:rPr>
        <w:t>，</w:t>
      </w:r>
      <w:r>
        <w:rPr>
          <w:rStyle w:val="19"/>
          <w:rFonts w:hint="eastAsia" w:ascii="仿宋" w:hAnsi="仿宋" w:eastAsia="仿宋" w:cs="仿宋"/>
          <w:b w:val="0"/>
          <w:bCs/>
          <w:color w:val="auto"/>
          <w:sz w:val="32"/>
          <w:szCs w:val="32"/>
        </w:rPr>
        <w:t>完成预算</w:t>
      </w:r>
      <w:r>
        <w:rPr>
          <w:rStyle w:val="19"/>
          <w:rFonts w:hint="eastAsia" w:ascii="仿宋" w:hAnsi="仿宋" w:eastAsia="仿宋" w:cs="仿宋"/>
          <w:b w:val="0"/>
          <w:bCs/>
          <w:color w:val="auto"/>
          <w:sz w:val="32"/>
          <w:szCs w:val="32"/>
          <w:lang w:val="en-US" w:eastAsia="zh-CN"/>
        </w:rPr>
        <w:t>100</w:t>
      </w:r>
      <w:r>
        <w:rPr>
          <w:rStyle w:val="19"/>
          <w:rFonts w:hint="eastAsia" w:ascii="仿宋" w:hAnsi="仿宋" w:eastAsia="仿宋" w:cs="仿宋"/>
          <w:b w:val="0"/>
          <w:bCs/>
          <w:color w:val="auto"/>
          <w:sz w:val="32"/>
          <w:szCs w:val="32"/>
        </w:rPr>
        <w:t>%。</w:t>
      </w:r>
    </w:p>
    <w:p>
      <w:pPr>
        <w:spacing w:line="600" w:lineRule="exact"/>
        <w:ind w:firstLine="632" w:firstLineChars="200"/>
        <w:rPr>
          <w:rStyle w:val="19"/>
          <w:rFonts w:hint="eastAsia" w:ascii="仿宋" w:hAnsi="仿宋" w:eastAsia="仿宋" w:cs="仿宋"/>
          <w:b w:val="0"/>
          <w:bCs/>
          <w:color w:val="auto"/>
          <w:sz w:val="32"/>
          <w:szCs w:val="32"/>
        </w:rPr>
      </w:pPr>
      <w:r>
        <w:rPr>
          <w:rStyle w:val="19"/>
          <w:rFonts w:hint="eastAsia" w:ascii="仿宋" w:hAnsi="仿宋" w:eastAsia="仿宋" w:cs="仿宋"/>
          <w:bCs/>
          <w:color w:val="auto"/>
          <w:sz w:val="32"/>
          <w:szCs w:val="32"/>
          <w:lang w:val="en-US" w:eastAsia="zh-CN"/>
        </w:rPr>
        <w:t>3</w:t>
      </w:r>
      <w:r>
        <w:rPr>
          <w:rStyle w:val="19"/>
          <w:rFonts w:hint="eastAsia" w:ascii="仿宋" w:hAnsi="仿宋" w:eastAsia="仿宋" w:cs="仿宋"/>
          <w:bCs/>
          <w:color w:val="auto"/>
          <w:sz w:val="32"/>
          <w:szCs w:val="32"/>
        </w:rPr>
        <w:t>.社会保障和就业支出（208）残疾人事业（11）行政运行（01）:</w:t>
      </w:r>
      <w:r>
        <w:rPr>
          <w:rStyle w:val="19"/>
          <w:rFonts w:hint="eastAsia" w:ascii="仿宋" w:hAnsi="仿宋" w:eastAsia="仿宋" w:cs="仿宋"/>
          <w:b w:val="0"/>
          <w:bCs/>
          <w:color w:val="auto"/>
          <w:sz w:val="32"/>
          <w:szCs w:val="32"/>
        </w:rPr>
        <w:t xml:space="preserve"> 支出决算为</w:t>
      </w:r>
      <w:r>
        <w:rPr>
          <w:rStyle w:val="19"/>
          <w:rFonts w:hint="eastAsia" w:ascii="仿宋" w:hAnsi="仿宋" w:eastAsia="仿宋" w:cs="仿宋"/>
          <w:b w:val="0"/>
          <w:bCs/>
          <w:color w:val="auto"/>
          <w:sz w:val="32"/>
          <w:szCs w:val="32"/>
          <w:lang w:val="en-US" w:eastAsia="zh-CN"/>
        </w:rPr>
        <w:t>113.04</w:t>
      </w:r>
      <w:r>
        <w:rPr>
          <w:rStyle w:val="19"/>
          <w:rFonts w:hint="eastAsia" w:ascii="仿宋" w:hAnsi="仿宋" w:eastAsia="仿宋" w:cs="仿宋"/>
          <w:b w:val="0"/>
          <w:bCs/>
          <w:color w:val="auto"/>
          <w:sz w:val="32"/>
          <w:szCs w:val="32"/>
        </w:rPr>
        <w:t>万元，完成预算</w:t>
      </w:r>
      <w:r>
        <w:rPr>
          <w:rStyle w:val="19"/>
          <w:rFonts w:hint="eastAsia" w:ascii="仿宋" w:hAnsi="仿宋" w:eastAsia="仿宋" w:cs="仿宋"/>
          <w:b w:val="0"/>
          <w:bCs/>
          <w:color w:val="auto"/>
          <w:sz w:val="32"/>
          <w:szCs w:val="32"/>
          <w:lang w:val="en-US" w:eastAsia="zh-CN"/>
        </w:rPr>
        <w:t>100</w:t>
      </w:r>
      <w:r>
        <w:rPr>
          <w:rStyle w:val="19"/>
          <w:rFonts w:hint="eastAsia" w:ascii="仿宋" w:hAnsi="仿宋" w:eastAsia="仿宋" w:cs="仿宋"/>
          <w:b w:val="0"/>
          <w:bCs/>
          <w:color w:val="auto"/>
          <w:sz w:val="32"/>
          <w:szCs w:val="32"/>
        </w:rPr>
        <w:t>%。</w:t>
      </w:r>
    </w:p>
    <w:p>
      <w:pPr>
        <w:spacing w:line="600" w:lineRule="exact"/>
        <w:ind w:firstLine="632" w:firstLineChars="200"/>
        <w:rPr>
          <w:rFonts w:hint="eastAsia" w:ascii="仿宋" w:hAnsi="仿宋" w:eastAsia="仿宋" w:cs="仿宋"/>
          <w:b/>
          <w:color w:val="auto"/>
          <w:sz w:val="32"/>
          <w:szCs w:val="32"/>
        </w:rPr>
      </w:pPr>
      <w:r>
        <w:rPr>
          <w:rStyle w:val="19"/>
          <w:rFonts w:hint="eastAsia" w:ascii="仿宋" w:hAnsi="仿宋" w:eastAsia="仿宋" w:cs="仿宋"/>
          <w:bCs/>
          <w:color w:val="auto"/>
          <w:sz w:val="32"/>
          <w:szCs w:val="32"/>
          <w:lang w:val="en-US" w:eastAsia="zh-CN"/>
        </w:rPr>
        <w:t>4</w:t>
      </w:r>
      <w:r>
        <w:rPr>
          <w:rStyle w:val="19"/>
          <w:rFonts w:hint="eastAsia" w:ascii="仿宋" w:hAnsi="仿宋" w:eastAsia="仿宋" w:cs="仿宋"/>
          <w:bCs/>
          <w:color w:val="auto"/>
          <w:sz w:val="32"/>
          <w:szCs w:val="32"/>
        </w:rPr>
        <w:t>.社会保障和就业支出（208）残疾人事业（11）残疾人康复（04）:</w:t>
      </w:r>
      <w:r>
        <w:rPr>
          <w:rStyle w:val="19"/>
          <w:rFonts w:hint="eastAsia" w:ascii="仿宋" w:hAnsi="仿宋" w:eastAsia="仿宋" w:cs="仿宋"/>
          <w:b w:val="0"/>
          <w:bCs/>
          <w:color w:val="auto"/>
          <w:sz w:val="32"/>
          <w:szCs w:val="32"/>
        </w:rPr>
        <w:t xml:space="preserve"> 支出决算为</w:t>
      </w:r>
      <w:r>
        <w:rPr>
          <w:rStyle w:val="19"/>
          <w:rFonts w:hint="eastAsia" w:ascii="仿宋" w:hAnsi="仿宋" w:eastAsia="仿宋" w:cs="仿宋"/>
          <w:b w:val="0"/>
          <w:bCs/>
          <w:color w:val="auto"/>
          <w:sz w:val="32"/>
          <w:szCs w:val="32"/>
          <w:lang w:val="en-US" w:eastAsia="zh-CN"/>
        </w:rPr>
        <w:t>60.54</w:t>
      </w:r>
      <w:r>
        <w:rPr>
          <w:rStyle w:val="19"/>
          <w:rFonts w:hint="eastAsia" w:ascii="仿宋" w:hAnsi="仿宋" w:eastAsia="仿宋" w:cs="仿宋"/>
          <w:b w:val="0"/>
          <w:bCs/>
          <w:color w:val="auto"/>
          <w:sz w:val="32"/>
          <w:szCs w:val="32"/>
        </w:rPr>
        <w:t>万元，完成预算</w:t>
      </w:r>
      <w:r>
        <w:rPr>
          <w:rStyle w:val="19"/>
          <w:rFonts w:hint="eastAsia" w:ascii="仿宋" w:hAnsi="仿宋" w:eastAsia="仿宋" w:cs="仿宋"/>
          <w:b w:val="0"/>
          <w:bCs/>
          <w:color w:val="auto"/>
          <w:sz w:val="32"/>
          <w:szCs w:val="32"/>
          <w:lang w:val="en-US" w:eastAsia="zh-CN"/>
        </w:rPr>
        <w:t>100</w:t>
      </w:r>
      <w:r>
        <w:rPr>
          <w:rStyle w:val="19"/>
          <w:rFonts w:hint="eastAsia" w:ascii="仿宋" w:hAnsi="仿宋" w:eastAsia="仿宋" w:cs="仿宋"/>
          <w:b w:val="0"/>
          <w:bCs/>
          <w:color w:val="auto"/>
          <w:sz w:val="32"/>
          <w:szCs w:val="32"/>
        </w:rPr>
        <w:t>%。</w:t>
      </w:r>
    </w:p>
    <w:p>
      <w:pPr>
        <w:spacing w:line="600" w:lineRule="exact"/>
        <w:ind w:firstLine="632" w:firstLineChars="200"/>
        <w:rPr>
          <w:rFonts w:hint="eastAsia" w:ascii="仿宋" w:hAnsi="仿宋" w:eastAsia="仿宋" w:cs="仿宋"/>
          <w:b/>
          <w:color w:val="auto"/>
          <w:sz w:val="32"/>
          <w:szCs w:val="32"/>
        </w:rPr>
      </w:pPr>
      <w:r>
        <w:rPr>
          <w:rStyle w:val="19"/>
          <w:rFonts w:hint="eastAsia" w:ascii="仿宋" w:hAnsi="仿宋" w:eastAsia="仿宋" w:cs="仿宋"/>
          <w:bCs/>
          <w:color w:val="auto"/>
          <w:sz w:val="32"/>
          <w:szCs w:val="32"/>
          <w:lang w:val="en-US" w:eastAsia="zh-CN"/>
        </w:rPr>
        <w:t>5</w:t>
      </w:r>
      <w:r>
        <w:rPr>
          <w:rStyle w:val="19"/>
          <w:rFonts w:hint="eastAsia" w:ascii="仿宋" w:hAnsi="仿宋" w:eastAsia="仿宋" w:cs="仿宋"/>
          <w:bCs/>
          <w:color w:val="auto"/>
          <w:sz w:val="32"/>
          <w:szCs w:val="32"/>
        </w:rPr>
        <w:t>.社会保障和就业支出（208）残疾人事业（11）残疾人就业（05）:</w:t>
      </w:r>
      <w:r>
        <w:rPr>
          <w:rStyle w:val="19"/>
          <w:rFonts w:hint="eastAsia" w:ascii="仿宋" w:hAnsi="仿宋" w:eastAsia="仿宋" w:cs="仿宋"/>
          <w:b w:val="0"/>
          <w:bCs/>
          <w:color w:val="auto"/>
          <w:sz w:val="32"/>
          <w:szCs w:val="32"/>
        </w:rPr>
        <w:t xml:space="preserve"> 支出决算</w:t>
      </w:r>
      <w:r>
        <w:rPr>
          <w:rStyle w:val="19"/>
          <w:rFonts w:hint="eastAsia" w:ascii="仿宋" w:hAnsi="仿宋" w:eastAsia="仿宋" w:cs="仿宋"/>
          <w:b w:val="0"/>
          <w:bCs/>
          <w:color w:val="auto"/>
          <w:sz w:val="32"/>
          <w:szCs w:val="32"/>
          <w:lang w:val="en-US" w:eastAsia="zh-CN"/>
        </w:rPr>
        <w:t>12.07</w:t>
      </w:r>
      <w:r>
        <w:rPr>
          <w:rStyle w:val="19"/>
          <w:rFonts w:hint="eastAsia" w:ascii="仿宋" w:hAnsi="仿宋" w:eastAsia="仿宋" w:cs="仿宋"/>
          <w:b w:val="0"/>
          <w:bCs/>
          <w:color w:val="auto"/>
          <w:sz w:val="32"/>
          <w:szCs w:val="32"/>
        </w:rPr>
        <w:t>万元，完成预算</w:t>
      </w:r>
      <w:r>
        <w:rPr>
          <w:rStyle w:val="19"/>
          <w:rFonts w:hint="eastAsia" w:ascii="仿宋" w:hAnsi="仿宋" w:eastAsia="仿宋" w:cs="仿宋"/>
          <w:b w:val="0"/>
          <w:bCs/>
          <w:color w:val="auto"/>
          <w:sz w:val="32"/>
          <w:szCs w:val="32"/>
          <w:lang w:val="en-US" w:eastAsia="zh-CN"/>
        </w:rPr>
        <w:t>100</w:t>
      </w:r>
      <w:r>
        <w:rPr>
          <w:rStyle w:val="19"/>
          <w:rFonts w:hint="eastAsia" w:ascii="仿宋" w:hAnsi="仿宋" w:eastAsia="仿宋" w:cs="仿宋"/>
          <w:b w:val="0"/>
          <w:bCs/>
          <w:color w:val="auto"/>
          <w:sz w:val="32"/>
          <w:szCs w:val="32"/>
        </w:rPr>
        <w:t>%。</w:t>
      </w:r>
    </w:p>
    <w:p>
      <w:pPr>
        <w:spacing w:line="600" w:lineRule="exact"/>
        <w:ind w:firstLine="632" w:firstLineChars="200"/>
        <w:rPr>
          <w:rFonts w:hint="eastAsia" w:ascii="仿宋" w:hAnsi="仿宋" w:eastAsia="仿宋" w:cs="仿宋"/>
          <w:b/>
          <w:color w:val="auto"/>
          <w:sz w:val="32"/>
          <w:szCs w:val="32"/>
        </w:rPr>
      </w:pPr>
      <w:r>
        <w:rPr>
          <w:rStyle w:val="19"/>
          <w:rFonts w:hint="eastAsia" w:ascii="仿宋" w:hAnsi="仿宋" w:eastAsia="仿宋" w:cs="仿宋"/>
          <w:bCs/>
          <w:color w:val="auto"/>
          <w:sz w:val="32"/>
          <w:szCs w:val="32"/>
          <w:lang w:val="en-US" w:eastAsia="zh-CN"/>
        </w:rPr>
        <w:t>6</w:t>
      </w:r>
      <w:r>
        <w:rPr>
          <w:rStyle w:val="19"/>
          <w:rFonts w:hint="eastAsia" w:ascii="仿宋" w:hAnsi="仿宋" w:eastAsia="仿宋" w:cs="仿宋"/>
          <w:bCs/>
          <w:color w:val="auto"/>
          <w:sz w:val="32"/>
          <w:szCs w:val="32"/>
        </w:rPr>
        <w:t>.社会保障和就业支出（208）残疾人事业（11）其他残疾人事业支出（99）:</w:t>
      </w:r>
      <w:r>
        <w:rPr>
          <w:rStyle w:val="19"/>
          <w:rFonts w:hint="eastAsia" w:ascii="仿宋" w:hAnsi="仿宋" w:eastAsia="仿宋" w:cs="仿宋"/>
          <w:b w:val="0"/>
          <w:color w:val="auto"/>
          <w:sz w:val="32"/>
          <w:szCs w:val="32"/>
        </w:rPr>
        <w:t>支出决算为</w:t>
      </w:r>
      <w:r>
        <w:rPr>
          <w:rStyle w:val="19"/>
          <w:rFonts w:hint="eastAsia" w:ascii="仿宋" w:hAnsi="仿宋" w:eastAsia="仿宋" w:cs="仿宋"/>
          <w:b w:val="0"/>
          <w:color w:val="auto"/>
          <w:sz w:val="32"/>
          <w:szCs w:val="32"/>
          <w:lang w:val="en-US" w:eastAsia="zh-CN"/>
        </w:rPr>
        <w:t>269.19</w:t>
      </w:r>
      <w:r>
        <w:rPr>
          <w:rStyle w:val="19"/>
          <w:rFonts w:hint="eastAsia" w:ascii="仿宋" w:hAnsi="仿宋" w:eastAsia="仿宋" w:cs="仿宋"/>
          <w:b w:val="0"/>
          <w:color w:val="auto"/>
          <w:sz w:val="32"/>
          <w:szCs w:val="32"/>
        </w:rPr>
        <w:t>万元，</w:t>
      </w:r>
      <w:r>
        <w:rPr>
          <w:rStyle w:val="19"/>
          <w:rFonts w:hint="eastAsia" w:ascii="仿宋" w:hAnsi="仿宋" w:eastAsia="仿宋" w:cs="仿宋"/>
          <w:b w:val="0"/>
          <w:bCs/>
          <w:color w:val="auto"/>
          <w:sz w:val="32"/>
          <w:szCs w:val="32"/>
        </w:rPr>
        <w:t>完成预算</w:t>
      </w:r>
      <w:r>
        <w:rPr>
          <w:rStyle w:val="19"/>
          <w:rFonts w:hint="eastAsia" w:ascii="仿宋" w:hAnsi="仿宋" w:eastAsia="仿宋" w:cs="仿宋"/>
          <w:b w:val="0"/>
          <w:bCs/>
          <w:color w:val="auto"/>
          <w:sz w:val="32"/>
          <w:szCs w:val="32"/>
          <w:lang w:val="en-US" w:eastAsia="zh-CN"/>
        </w:rPr>
        <w:t>100</w:t>
      </w:r>
      <w:r>
        <w:rPr>
          <w:rStyle w:val="19"/>
          <w:rFonts w:hint="eastAsia" w:ascii="仿宋" w:hAnsi="仿宋" w:eastAsia="仿宋" w:cs="仿宋"/>
          <w:b w:val="0"/>
          <w:bCs/>
          <w:color w:val="auto"/>
          <w:sz w:val="32"/>
          <w:szCs w:val="32"/>
        </w:rPr>
        <w:t>%。</w:t>
      </w:r>
    </w:p>
    <w:p>
      <w:pPr>
        <w:spacing w:line="600" w:lineRule="exact"/>
        <w:ind w:firstLine="632" w:firstLineChars="200"/>
        <w:rPr>
          <w:rStyle w:val="19"/>
          <w:rFonts w:hint="eastAsia" w:ascii="仿宋" w:hAnsi="仿宋" w:eastAsia="仿宋" w:cs="仿宋"/>
          <w:b w:val="0"/>
          <w:color w:val="auto"/>
          <w:sz w:val="32"/>
          <w:szCs w:val="32"/>
        </w:rPr>
      </w:pPr>
      <w:r>
        <w:rPr>
          <w:rStyle w:val="19"/>
          <w:rFonts w:hint="eastAsia" w:ascii="仿宋" w:hAnsi="仿宋" w:eastAsia="仿宋" w:cs="仿宋"/>
          <w:bCs/>
          <w:color w:val="auto"/>
          <w:sz w:val="32"/>
          <w:szCs w:val="32"/>
          <w:lang w:val="en-US" w:eastAsia="zh-CN"/>
        </w:rPr>
        <w:t>7</w:t>
      </w:r>
      <w:r>
        <w:rPr>
          <w:rStyle w:val="19"/>
          <w:rFonts w:hint="eastAsia" w:ascii="仿宋" w:hAnsi="仿宋" w:eastAsia="仿宋" w:cs="仿宋"/>
          <w:bCs/>
          <w:color w:val="auto"/>
          <w:sz w:val="32"/>
          <w:szCs w:val="32"/>
        </w:rPr>
        <w:t>.社会保障和就业支出（208）其他社会保障和就业支出（99）其他社会保障和就业支出（</w:t>
      </w:r>
      <w:r>
        <w:rPr>
          <w:rStyle w:val="19"/>
          <w:rFonts w:hint="eastAsia" w:ascii="仿宋" w:hAnsi="仿宋" w:eastAsia="仿宋" w:cs="仿宋"/>
          <w:bCs/>
          <w:color w:val="auto"/>
          <w:sz w:val="32"/>
          <w:szCs w:val="32"/>
          <w:lang w:val="en-US" w:eastAsia="zh-CN"/>
        </w:rPr>
        <w:t>99</w:t>
      </w:r>
      <w:r>
        <w:rPr>
          <w:rStyle w:val="19"/>
          <w:rFonts w:hint="eastAsia" w:ascii="仿宋" w:hAnsi="仿宋" w:eastAsia="仿宋" w:cs="仿宋"/>
          <w:bCs/>
          <w:color w:val="auto"/>
          <w:sz w:val="32"/>
          <w:szCs w:val="32"/>
        </w:rPr>
        <w:t>）:</w:t>
      </w:r>
      <w:r>
        <w:rPr>
          <w:rStyle w:val="19"/>
          <w:rFonts w:hint="eastAsia" w:ascii="仿宋" w:hAnsi="仿宋" w:eastAsia="仿宋" w:cs="仿宋"/>
          <w:b w:val="0"/>
          <w:color w:val="auto"/>
          <w:sz w:val="32"/>
          <w:szCs w:val="32"/>
        </w:rPr>
        <w:t>支出决算为</w:t>
      </w:r>
      <w:r>
        <w:rPr>
          <w:rStyle w:val="19"/>
          <w:rFonts w:hint="eastAsia" w:ascii="仿宋" w:hAnsi="仿宋" w:eastAsia="仿宋" w:cs="仿宋"/>
          <w:b w:val="0"/>
          <w:color w:val="auto"/>
          <w:sz w:val="32"/>
          <w:szCs w:val="32"/>
          <w:lang w:val="en-US" w:eastAsia="zh-CN"/>
        </w:rPr>
        <w:t>0.35</w:t>
      </w:r>
      <w:r>
        <w:rPr>
          <w:rStyle w:val="19"/>
          <w:rFonts w:hint="eastAsia" w:ascii="仿宋" w:hAnsi="仿宋" w:eastAsia="仿宋" w:cs="仿宋"/>
          <w:b w:val="0"/>
          <w:color w:val="auto"/>
          <w:sz w:val="32"/>
          <w:szCs w:val="32"/>
        </w:rPr>
        <w:t>万元，</w:t>
      </w:r>
      <w:r>
        <w:rPr>
          <w:rStyle w:val="19"/>
          <w:rFonts w:hint="eastAsia" w:ascii="仿宋" w:hAnsi="仿宋" w:eastAsia="仿宋" w:cs="仿宋"/>
          <w:b w:val="0"/>
          <w:bCs/>
          <w:color w:val="auto"/>
          <w:sz w:val="32"/>
          <w:szCs w:val="32"/>
        </w:rPr>
        <w:t>完成预算</w:t>
      </w:r>
      <w:r>
        <w:rPr>
          <w:rStyle w:val="19"/>
          <w:rFonts w:hint="eastAsia" w:ascii="仿宋" w:hAnsi="仿宋" w:eastAsia="仿宋" w:cs="仿宋"/>
          <w:b w:val="0"/>
          <w:bCs/>
          <w:color w:val="auto"/>
          <w:sz w:val="32"/>
          <w:szCs w:val="32"/>
          <w:lang w:val="en-US" w:eastAsia="zh-CN"/>
        </w:rPr>
        <w:t>100</w:t>
      </w:r>
      <w:r>
        <w:rPr>
          <w:rStyle w:val="19"/>
          <w:rFonts w:hint="eastAsia" w:ascii="仿宋" w:hAnsi="仿宋" w:eastAsia="仿宋" w:cs="仿宋"/>
          <w:b w:val="0"/>
          <w:bCs/>
          <w:color w:val="auto"/>
          <w:sz w:val="32"/>
          <w:szCs w:val="32"/>
        </w:rPr>
        <w:t>%。</w:t>
      </w:r>
    </w:p>
    <w:p>
      <w:pPr>
        <w:spacing w:line="600" w:lineRule="exact"/>
        <w:ind w:firstLine="632" w:firstLineChars="200"/>
        <w:rPr>
          <w:rStyle w:val="19"/>
          <w:rFonts w:hint="eastAsia" w:ascii="仿宋" w:hAnsi="仿宋" w:eastAsia="仿宋" w:cs="仿宋"/>
          <w:b w:val="0"/>
          <w:color w:val="auto"/>
          <w:sz w:val="32"/>
          <w:szCs w:val="32"/>
        </w:rPr>
      </w:pPr>
      <w:r>
        <w:rPr>
          <w:rStyle w:val="19"/>
          <w:rFonts w:hint="eastAsia" w:ascii="仿宋" w:hAnsi="仿宋" w:eastAsia="仿宋" w:cs="仿宋"/>
          <w:bCs/>
          <w:color w:val="auto"/>
          <w:sz w:val="32"/>
          <w:szCs w:val="32"/>
          <w:lang w:val="en-US" w:eastAsia="zh-CN"/>
        </w:rPr>
        <w:t>8</w:t>
      </w:r>
      <w:r>
        <w:rPr>
          <w:rStyle w:val="19"/>
          <w:rFonts w:hint="eastAsia" w:ascii="仿宋" w:hAnsi="仿宋" w:eastAsia="仿宋" w:cs="仿宋"/>
          <w:bCs/>
          <w:color w:val="auto"/>
          <w:sz w:val="32"/>
          <w:szCs w:val="32"/>
        </w:rPr>
        <w:t>.卫生健康支出（210）行政事业单位医疗（11）行政单位医疗（01）:</w:t>
      </w:r>
      <w:r>
        <w:rPr>
          <w:rStyle w:val="19"/>
          <w:rFonts w:hint="eastAsia" w:ascii="仿宋" w:hAnsi="仿宋" w:eastAsia="仿宋" w:cs="仿宋"/>
          <w:b w:val="0"/>
          <w:color w:val="auto"/>
          <w:sz w:val="32"/>
          <w:szCs w:val="32"/>
        </w:rPr>
        <w:t>支出决算为</w:t>
      </w:r>
      <w:r>
        <w:rPr>
          <w:rStyle w:val="19"/>
          <w:rFonts w:hint="eastAsia" w:ascii="仿宋" w:hAnsi="仿宋" w:eastAsia="仿宋" w:cs="仿宋"/>
          <w:b w:val="0"/>
          <w:color w:val="auto"/>
          <w:sz w:val="32"/>
          <w:szCs w:val="32"/>
          <w:lang w:val="en-US" w:eastAsia="zh-CN"/>
        </w:rPr>
        <w:t>3.45</w:t>
      </w:r>
      <w:r>
        <w:rPr>
          <w:rStyle w:val="19"/>
          <w:rFonts w:hint="eastAsia" w:ascii="仿宋" w:hAnsi="仿宋" w:eastAsia="仿宋" w:cs="仿宋"/>
          <w:b w:val="0"/>
          <w:color w:val="auto"/>
          <w:sz w:val="32"/>
          <w:szCs w:val="32"/>
        </w:rPr>
        <w:t>万元，</w:t>
      </w:r>
      <w:r>
        <w:rPr>
          <w:rStyle w:val="19"/>
          <w:rFonts w:hint="eastAsia" w:ascii="仿宋" w:hAnsi="仿宋" w:eastAsia="仿宋" w:cs="仿宋"/>
          <w:b w:val="0"/>
          <w:bCs/>
          <w:color w:val="auto"/>
          <w:sz w:val="32"/>
          <w:szCs w:val="32"/>
        </w:rPr>
        <w:t>完成预算</w:t>
      </w:r>
      <w:r>
        <w:rPr>
          <w:rStyle w:val="19"/>
          <w:rFonts w:hint="eastAsia" w:ascii="仿宋" w:hAnsi="仿宋" w:eastAsia="仿宋" w:cs="仿宋"/>
          <w:b w:val="0"/>
          <w:bCs/>
          <w:color w:val="auto"/>
          <w:sz w:val="32"/>
          <w:szCs w:val="32"/>
          <w:lang w:val="en-US" w:eastAsia="zh-CN"/>
        </w:rPr>
        <w:t>100</w:t>
      </w:r>
      <w:r>
        <w:rPr>
          <w:rStyle w:val="19"/>
          <w:rFonts w:hint="eastAsia" w:ascii="仿宋" w:hAnsi="仿宋" w:eastAsia="仿宋" w:cs="仿宋"/>
          <w:b w:val="0"/>
          <w:bCs/>
          <w:color w:val="auto"/>
          <w:sz w:val="32"/>
          <w:szCs w:val="32"/>
        </w:rPr>
        <w:t>%。</w:t>
      </w:r>
    </w:p>
    <w:p>
      <w:pPr>
        <w:spacing w:line="600" w:lineRule="exact"/>
        <w:ind w:firstLine="632" w:firstLineChars="200"/>
        <w:rPr>
          <w:rStyle w:val="19"/>
          <w:rFonts w:hint="eastAsia" w:ascii="仿宋" w:hAnsi="仿宋" w:eastAsia="仿宋" w:cs="仿宋"/>
          <w:b w:val="0"/>
          <w:color w:val="auto"/>
          <w:sz w:val="32"/>
          <w:szCs w:val="32"/>
        </w:rPr>
      </w:pPr>
      <w:r>
        <w:rPr>
          <w:rStyle w:val="19"/>
          <w:rFonts w:hint="eastAsia" w:ascii="仿宋" w:hAnsi="仿宋" w:eastAsia="仿宋" w:cs="仿宋"/>
          <w:bCs/>
          <w:color w:val="auto"/>
          <w:sz w:val="32"/>
          <w:szCs w:val="32"/>
          <w:lang w:val="en-US" w:eastAsia="zh-CN"/>
        </w:rPr>
        <w:t>9</w:t>
      </w:r>
      <w:r>
        <w:rPr>
          <w:rStyle w:val="19"/>
          <w:rFonts w:hint="eastAsia" w:ascii="仿宋" w:hAnsi="仿宋" w:eastAsia="仿宋" w:cs="仿宋"/>
          <w:bCs/>
          <w:color w:val="auto"/>
          <w:sz w:val="32"/>
          <w:szCs w:val="32"/>
        </w:rPr>
        <w:t>.卫生健康支出（210）行政事业单位医疗（11）事业单位医疗（02）:</w:t>
      </w:r>
      <w:r>
        <w:rPr>
          <w:rStyle w:val="19"/>
          <w:rFonts w:hint="eastAsia" w:ascii="仿宋" w:hAnsi="仿宋" w:eastAsia="仿宋" w:cs="仿宋"/>
          <w:b w:val="0"/>
          <w:color w:val="auto"/>
          <w:sz w:val="32"/>
          <w:szCs w:val="32"/>
        </w:rPr>
        <w:t>支出决算为</w:t>
      </w:r>
      <w:r>
        <w:rPr>
          <w:rStyle w:val="19"/>
          <w:rFonts w:hint="eastAsia" w:ascii="仿宋" w:hAnsi="仿宋" w:eastAsia="仿宋" w:cs="仿宋"/>
          <w:b w:val="0"/>
          <w:color w:val="auto"/>
          <w:sz w:val="32"/>
          <w:szCs w:val="32"/>
          <w:lang w:val="en-US" w:eastAsia="zh-CN"/>
        </w:rPr>
        <w:t>2.48</w:t>
      </w:r>
      <w:r>
        <w:rPr>
          <w:rStyle w:val="19"/>
          <w:rFonts w:hint="eastAsia" w:ascii="仿宋" w:hAnsi="仿宋" w:eastAsia="仿宋" w:cs="仿宋"/>
          <w:b w:val="0"/>
          <w:color w:val="auto"/>
          <w:sz w:val="32"/>
          <w:szCs w:val="32"/>
        </w:rPr>
        <w:t>万元，</w:t>
      </w:r>
      <w:r>
        <w:rPr>
          <w:rStyle w:val="19"/>
          <w:rFonts w:hint="eastAsia" w:ascii="仿宋" w:hAnsi="仿宋" w:eastAsia="仿宋" w:cs="仿宋"/>
          <w:b w:val="0"/>
          <w:bCs/>
          <w:color w:val="auto"/>
          <w:sz w:val="32"/>
          <w:szCs w:val="32"/>
        </w:rPr>
        <w:t>完成预算</w:t>
      </w:r>
      <w:r>
        <w:rPr>
          <w:rStyle w:val="19"/>
          <w:rFonts w:hint="eastAsia" w:ascii="仿宋" w:hAnsi="仿宋" w:eastAsia="仿宋" w:cs="仿宋"/>
          <w:b w:val="0"/>
          <w:bCs/>
          <w:color w:val="auto"/>
          <w:sz w:val="32"/>
          <w:szCs w:val="32"/>
          <w:lang w:val="en-US" w:eastAsia="zh-CN"/>
        </w:rPr>
        <w:t>100</w:t>
      </w:r>
      <w:r>
        <w:rPr>
          <w:rStyle w:val="19"/>
          <w:rFonts w:hint="eastAsia" w:ascii="仿宋" w:hAnsi="仿宋" w:eastAsia="仿宋" w:cs="仿宋"/>
          <w:b w:val="0"/>
          <w:bCs/>
          <w:color w:val="auto"/>
          <w:sz w:val="32"/>
          <w:szCs w:val="32"/>
        </w:rPr>
        <w:t>%。</w:t>
      </w:r>
    </w:p>
    <w:p>
      <w:pPr>
        <w:spacing w:line="600" w:lineRule="exact"/>
        <w:ind w:firstLine="632" w:firstLineChars="200"/>
        <w:rPr>
          <w:rStyle w:val="19"/>
          <w:rFonts w:hint="eastAsia" w:ascii="仿宋" w:hAnsi="仿宋" w:eastAsia="仿宋" w:cs="仿宋"/>
          <w:b w:val="0"/>
          <w:bCs/>
          <w:color w:val="auto"/>
          <w:sz w:val="32"/>
          <w:szCs w:val="32"/>
        </w:rPr>
      </w:pPr>
      <w:r>
        <w:rPr>
          <w:rStyle w:val="19"/>
          <w:rFonts w:hint="eastAsia" w:ascii="仿宋" w:hAnsi="仿宋" w:eastAsia="仿宋" w:cs="仿宋"/>
          <w:bCs/>
          <w:color w:val="auto"/>
          <w:sz w:val="32"/>
          <w:szCs w:val="32"/>
          <w:lang w:val="en-US" w:eastAsia="zh-CN"/>
        </w:rPr>
        <w:t>10</w:t>
      </w:r>
      <w:r>
        <w:rPr>
          <w:rStyle w:val="19"/>
          <w:rFonts w:hint="eastAsia" w:ascii="仿宋" w:hAnsi="仿宋" w:eastAsia="仿宋" w:cs="仿宋"/>
          <w:bCs/>
          <w:color w:val="auto"/>
          <w:sz w:val="32"/>
          <w:szCs w:val="32"/>
        </w:rPr>
        <w:t>.卫生健康支出（210）行政事业单位医疗（11）公务员医疗补助（03）:</w:t>
      </w:r>
      <w:r>
        <w:rPr>
          <w:rStyle w:val="19"/>
          <w:rFonts w:hint="eastAsia" w:ascii="仿宋" w:hAnsi="仿宋" w:eastAsia="仿宋" w:cs="仿宋"/>
          <w:b w:val="0"/>
          <w:color w:val="auto"/>
          <w:sz w:val="32"/>
          <w:szCs w:val="32"/>
        </w:rPr>
        <w:t>支出决算为</w:t>
      </w:r>
      <w:r>
        <w:rPr>
          <w:rStyle w:val="19"/>
          <w:rFonts w:hint="eastAsia" w:ascii="仿宋" w:hAnsi="仿宋" w:eastAsia="仿宋" w:cs="仿宋"/>
          <w:b w:val="0"/>
          <w:color w:val="auto"/>
          <w:sz w:val="32"/>
          <w:szCs w:val="32"/>
          <w:lang w:val="en-US" w:eastAsia="zh-CN"/>
        </w:rPr>
        <w:t>2.54</w:t>
      </w:r>
      <w:r>
        <w:rPr>
          <w:rStyle w:val="19"/>
          <w:rFonts w:hint="eastAsia" w:ascii="仿宋" w:hAnsi="仿宋" w:eastAsia="仿宋" w:cs="仿宋"/>
          <w:b w:val="0"/>
          <w:color w:val="auto"/>
          <w:sz w:val="32"/>
          <w:szCs w:val="32"/>
        </w:rPr>
        <w:t>万元，</w:t>
      </w:r>
      <w:r>
        <w:rPr>
          <w:rStyle w:val="19"/>
          <w:rFonts w:hint="eastAsia" w:ascii="仿宋" w:hAnsi="仿宋" w:eastAsia="仿宋" w:cs="仿宋"/>
          <w:b w:val="0"/>
          <w:bCs/>
          <w:color w:val="auto"/>
          <w:sz w:val="32"/>
          <w:szCs w:val="32"/>
        </w:rPr>
        <w:t>完成预算</w:t>
      </w:r>
      <w:r>
        <w:rPr>
          <w:rStyle w:val="19"/>
          <w:rFonts w:hint="eastAsia" w:ascii="仿宋" w:hAnsi="仿宋" w:eastAsia="仿宋" w:cs="仿宋"/>
          <w:b w:val="0"/>
          <w:bCs/>
          <w:color w:val="auto"/>
          <w:sz w:val="32"/>
          <w:szCs w:val="32"/>
          <w:lang w:val="en-US" w:eastAsia="zh-CN"/>
        </w:rPr>
        <w:t>100</w:t>
      </w:r>
      <w:r>
        <w:rPr>
          <w:rStyle w:val="19"/>
          <w:rFonts w:hint="eastAsia" w:ascii="仿宋" w:hAnsi="仿宋" w:eastAsia="仿宋" w:cs="仿宋"/>
          <w:b w:val="0"/>
          <w:bCs/>
          <w:color w:val="auto"/>
          <w:sz w:val="32"/>
          <w:szCs w:val="32"/>
        </w:rPr>
        <w:t>%。</w:t>
      </w:r>
    </w:p>
    <w:p>
      <w:pPr>
        <w:tabs>
          <w:tab w:val="left" w:pos="312"/>
        </w:tabs>
        <w:spacing w:line="600" w:lineRule="exact"/>
        <w:ind w:firstLine="632" w:firstLineChars="200"/>
        <w:rPr>
          <w:rFonts w:hint="eastAsia" w:ascii="仿宋" w:hAnsi="仿宋" w:eastAsia="仿宋"/>
          <w:color w:val="auto"/>
          <w:sz w:val="32"/>
          <w:szCs w:val="32"/>
          <w:lang w:val="en-US" w:eastAsia="zh-CN"/>
        </w:rPr>
      </w:pPr>
      <w:r>
        <w:rPr>
          <w:rStyle w:val="19"/>
          <w:rFonts w:hint="eastAsia" w:ascii="仿宋" w:hAnsi="仿宋" w:eastAsia="仿宋" w:cs="仿宋"/>
          <w:bCs/>
          <w:color w:val="auto"/>
          <w:sz w:val="32"/>
          <w:szCs w:val="32"/>
          <w:lang w:val="en-US" w:eastAsia="zh-CN"/>
        </w:rPr>
        <w:t>11</w:t>
      </w:r>
      <w:r>
        <w:rPr>
          <w:rStyle w:val="19"/>
          <w:rFonts w:hint="eastAsia" w:ascii="仿宋" w:hAnsi="仿宋" w:eastAsia="仿宋" w:cs="仿宋"/>
          <w:bCs/>
          <w:color w:val="auto"/>
          <w:sz w:val="32"/>
          <w:szCs w:val="32"/>
        </w:rPr>
        <w:t>.住房保障支出（221）住房改革支出（02）住房公积金（01）:</w:t>
      </w:r>
      <w:r>
        <w:rPr>
          <w:rStyle w:val="19"/>
          <w:rFonts w:hint="eastAsia" w:ascii="仿宋" w:hAnsi="仿宋" w:eastAsia="仿宋" w:cs="仿宋"/>
          <w:b w:val="0"/>
          <w:color w:val="auto"/>
          <w:sz w:val="32"/>
          <w:szCs w:val="32"/>
        </w:rPr>
        <w:t>支出决算为</w:t>
      </w:r>
      <w:r>
        <w:rPr>
          <w:rStyle w:val="19"/>
          <w:rFonts w:hint="eastAsia" w:ascii="仿宋" w:hAnsi="仿宋" w:eastAsia="仿宋" w:cs="仿宋"/>
          <w:b w:val="0"/>
          <w:color w:val="auto"/>
          <w:sz w:val="32"/>
          <w:szCs w:val="32"/>
          <w:lang w:val="en-US" w:eastAsia="zh-CN"/>
        </w:rPr>
        <w:t>14.74</w:t>
      </w:r>
      <w:r>
        <w:rPr>
          <w:rStyle w:val="19"/>
          <w:rFonts w:hint="eastAsia" w:ascii="仿宋" w:hAnsi="仿宋" w:eastAsia="仿宋" w:cs="仿宋"/>
          <w:b w:val="0"/>
          <w:color w:val="auto"/>
          <w:sz w:val="32"/>
          <w:szCs w:val="32"/>
        </w:rPr>
        <w:t>万元，</w:t>
      </w:r>
      <w:r>
        <w:rPr>
          <w:rStyle w:val="19"/>
          <w:rFonts w:hint="eastAsia" w:ascii="仿宋" w:hAnsi="仿宋" w:eastAsia="仿宋" w:cs="仿宋"/>
          <w:b w:val="0"/>
          <w:bCs/>
          <w:color w:val="auto"/>
          <w:sz w:val="32"/>
          <w:szCs w:val="32"/>
        </w:rPr>
        <w:t>完成预算</w:t>
      </w:r>
      <w:r>
        <w:rPr>
          <w:rStyle w:val="19"/>
          <w:rFonts w:hint="eastAsia" w:ascii="仿宋" w:hAnsi="仿宋" w:eastAsia="仿宋" w:cs="仿宋"/>
          <w:b w:val="0"/>
          <w:bCs/>
          <w:color w:val="auto"/>
          <w:sz w:val="32"/>
          <w:szCs w:val="32"/>
          <w:lang w:val="en-US" w:eastAsia="zh-CN"/>
        </w:rPr>
        <w:t>100</w:t>
      </w:r>
      <w:r>
        <w:rPr>
          <w:rStyle w:val="19"/>
          <w:rFonts w:hint="eastAsia" w:ascii="仿宋" w:hAnsi="仿宋" w:eastAsia="仿宋" w:cs="仿宋"/>
          <w:b w:val="0"/>
          <w:bCs/>
          <w:color w:val="auto"/>
          <w:sz w:val="32"/>
          <w:szCs w:val="32"/>
        </w:rPr>
        <w:t>%。</w:t>
      </w:r>
    </w:p>
    <w:p>
      <w:pPr>
        <w:spacing w:line="600" w:lineRule="exact"/>
        <w:ind w:firstLine="640"/>
        <w:rPr>
          <w:rFonts w:hint="default" w:ascii="仿宋" w:hAnsi="仿宋" w:eastAsia="仿宋"/>
          <w:b/>
          <w:color w:val="auto"/>
          <w:sz w:val="32"/>
          <w:szCs w:val="32"/>
          <w:highlight w:val="none"/>
          <w:lang w:val="en-US" w:eastAsia="zh-CN"/>
        </w:rPr>
      </w:pPr>
      <w:r>
        <w:rPr>
          <w:rFonts w:hint="eastAsia" w:ascii="仿宋" w:hAnsi="仿宋" w:eastAsia="仿宋"/>
          <w:b/>
          <w:color w:val="auto"/>
          <w:sz w:val="32"/>
          <w:szCs w:val="32"/>
          <w:highlight w:val="none"/>
          <w:lang w:val="en-US" w:eastAsia="zh-CN"/>
        </w:rPr>
        <w:t>12.农林水支出（213）巩固拓展脱贫攻坚成果衔接乡村振兴（05）其他巩固拓展脱贫攻坚成果衔接乡村振兴支出（99）：</w:t>
      </w:r>
      <w:r>
        <w:rPr>
          <w:rStyle w:val="19"/>
          <w:rFonts w:hint="eastAsia" w:ascii="仿宋" w:hAnsi="仿宋" w:eastAsia="仿宋" w:cs="仿宋"/>
          <w:b w:val="0"/>
          <w:color w:val="auto"/>
          <w:sz w:val="32"/>
          <w:szCs w:val="32"/>
        </w:rPr>
        <w:t>支出决算为</w:t>
      </w:r>
      <w:r>
        <w:rPr>
          <w:rStyle w:val="19"/>
          <w:rFonts w:hint="eastAsia" w:ascii="仿宋" w:hAnsi="仿宋" w:eastAsia="仿宋" w:cs="仿宋"/>
          <w:b w:val="0"/>
          <w:color w:val="auto"/>
          <w:sz w:val="32"/>
          <w:szCs w:val="32"/>
          <w:lang w:val="en-US" w:eastAsia="zh-CN"/>
        </w:rPr>
        <w:t>189.18</w:t>
      </w:r>
      <w:r>
        <w:rPr>
          <w:rStyle w:val="19"/>
          <w:rFonts w:hint="eastAsia" w:ascii="仿宋" w:hAnsi="仿宋" w:eastAsia="仿宋" w:cs="仿宋"/>
          <w:b w:val="0"/>
          <w:color w:val="auto"/>
          <w:sz w:val="32"/>
          <w:szCs w:val="32"/>
        </w:rPr>
        <w:t>万元，</w:t>
      </w:r>
      <w:r>
        <w:rPr>
          <w:rStyle w:val="19"/>
          <w:rFonts w:hint="eastAsia" w:ascii="仿宋" w:hAnsi="仿宋" w:eastAsia="仿宋" w:cs="仿宋"/>
          <w:b w:val="0"/>
          <w:bCs/>
          <w:color w:val="auto"/>
          <w:sz w:val="32"/>
          <w:szCs w:val="32"/>
        </w:rPr>
        <w:t>完成预算</w:t>
      </w:r>
      <w:r>
        <w:rPr>
          <w:rStyle w:val="19"/>
          <w:rFonts w:hint="eastAsia" w:ascii="仿宋" w:hAnsi="仿宋" w:eastAsia="仿宋" w:cs="仿宋"/>
          <w:b w:val="0"/>
          <w:bCs/>
          <w:color w:val="auto"/>
          <w:sz w:val="32"/>
          <w:szCs w:val="32"/>
          <w:lang w:val="en-US" w:eastAsia="zh-CN"/>
        </w:rPr>
        <w:t>100</w:t>
      </w:r>
      <w:r>
        <w:rPr>
          <w:rStyle w:val="19"/>
          <w:rFonts w:hint="eastAsia" w:ascii="仿宋" w:hAnsi="仿宋" w:eastAsia="仿宋" w:cs="仿宋"/>
          <w:b w:val="0"/>
          <w:bCs/>
          <w:color w:val="auto"/>
          <w:sz w:val="32"/>
          <w:szCs w:val="32"/>
        </w:rPr>
        <w:t>%。</w:t>
      </w:r>
    </w:p>
    <w:p>
      <w:pPr>
        <w:tabs>
          <w:tab w:val="right" w:pos="8306"/>
        </w:tabs>
        <w:spacing w:line="600" w:lineRule="exact"/>
        <w:ind w:firstLine="640"/>
        <w:outlineLvl w:val="1"/>
        <w:rPr>
          <w:rStyle w:val="33"/>
          <w:color w:val="auto"/>
          <w:highlight w:val="none"/>
        </w:rPr>
      </w:pPr>
      <w:bookmarkStart w:id="47" w:name="_Toc15377214"/>
      <w:bookmarkStart w:id="48" w:name="_Toc15396608"/>
      <w:bookmarkStart w:id="49" w:name="_Toc9386"/>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33"/>
          <w:rFonts w:hint="eastAsia" w:ascii="黑体" w:hAnsi="黑体" w:eastAsia="黑体"/>
          <w:b w:val="0"/>
          <w:color w:val="auto"/>
          <w:highlight w:val="none"/>
        </w:rPr>
        <w:t>般公共预算财政拨款基本支出决算情况说明</w:t>
      </w:r>
      <w:bookmarkEnd w:id="47"/>
      <w:bookmarkEnd w:id="48"/>
      <w:bookmarkEnd w:id="49"/>
      <w:r>
        <w:rPr>
          <w:rStyle w:val="33"/>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218.06</w:t>
      </w:r>
      <w:r>
        <w:rPr>
          <w:rFonts w:hint="eastAsia" w:ascii="仿宋" w:hAnsi="仿宋" w:eastAsia="仿宋"/>
          <w:color w:val="auto"/>
          <w:sz w:val="32"/>
          <w:szCs w:val="32"/>
          <w:highlight w:val="none"/>
        </w:rPr>
        <w:t>万元，其中：</w:t>
      </w:r>
    </w:p>
    <w:p>
      <w:pPr>
        <w:spacing w:line="600" w:lineRule="exact"/>
        <w:ind w:firstLine="645"/>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181.95</w:t>
      </w:r>
      <w:r>
        <w:rPr>
          <w:rFonts w:hint="eastAsia" w:ascii="仿宋" w:hAnsi="仿宋" w:eastAsia="仿宋"/>
          <w:color w:val="auto"/>
          <w:sz w:val="32"/>
          <w:szCs w:val="32"/>
          <w:highlight w:val="none"/>
        </w:rPr>
        <w:t>万元，主要包括：基本工资、津贴补贴、奖金、绩效工资、机关事业单位基本养老保险缴费、</w:t>
      </w:r>
      <w:r>
        <w:rPr>
          <w:rFonts w:hint="eastAsia" w:ascii="仿宋" w:hAnsi="仿宋" w:eastAsia="仿宋"/>
          <w:color w:val="auto"/>
          <w:sz w:val="32"/>
          <w:szCs w:val="32"/>
        </w:rPr>
        <w:t>职工基本医疗保险缴费、公务员医疗补助缴费、</w:t>
      </w:r>
      <w:r>
        <w:rPr>
          <w:rFonts w:hint="eastAsia" w:ascii="仿宋" w:hAnsi="仿宋" w:eastAsia="仿宋"/>
          <w:color w:val="auto"/>
          <w:sz w:val="32"/>
          <w:szCs w:val="32"/>
          <w:highlight w:val="none"/>
        </w:rPr>
        <w:t>其他社会保障缴费、其他工资福利支出、住房公积金、其他对个人和家庭的补助支出。</w:t>
      </w:r>
    </w:p>
    <w:p>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rPr>
        <w:t>　　公用经费</w:t>
      </w:r>
      <w:r>
        <w:rPr>
          <w:rFonts w:hint="eastAsia" w:ascii="仿宋" w:hAnsi="仿宋" w:eastAsia="仿宋"/>
          <w:color w:val="auto"/>
          <w:sz w:val="32"/>
          <w:szCs w:val="32"/>
          <w:highlight w:val="none"/>
          <w:lang w:val="en-US" w:eastAsia="zh-CN"/>
        </w:rPr>
        <w:t>36.11</w:t>
      </w:r>
      <w:r>
        <w:rPr>
          <w:rFonts w:hint="eastAsia" w:ascii="仿宋" w:hAnsi="仿宋" w:eastAsia="仿宋"/>
          <w:color w:val="auto"/>
          <w:sz w:val="32"/>
          <w:szCs w:val="32"/>
          <w:highlight w:val="none"/>
        </w:rPr>
        <w:t>万元，主要包括：办公费、印刷费、电费、邮电费</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差旅费、维修（护）费、</w:t>
      </w:r>
      <w:r>
        <w:rPr>
          <w:rFonts w:hint="eastAsia" w:ascii="仿宋" w:hAnsi="仿宋" w:eastAsia="仿宋"/>
          <w:color w:val="auto"/>
          <w:sz w:val="32"/>
          <w:szCs w:val="32"/>
          <w:highlight w:val="none"/>
          <w:lang w:eastAsia="zh-CN"/>
        </w:rPr>
        <w:t>培训</w:t>
      </w:r>
      <w:r>
        <w:rPr>
          <w:rFonts w:hint="eastAsia" w:ascii="仿宋" w:hAnsi="仿宋" w:eastAsia="仿宋"/>
          <w:color w:val="auto"/>
          <w:sz w:val="32"/>
          <w:szCs w:val="32"/>
          <w:highlight w:val="none"/>
        </w:rPr>
        <w:t>费、公务接待费、劳务费、工会经费、福利费、公务用车运行维护费、其他交通费、其他商品和服务支出。</w:t>
      </w:r>
    </w:p>
    <w:p>
      <w:pPr>
        <w:spacing w:line="600" w:lineRule="exact"/>
        <w:ind w:firstLine="640"/>
        <w:outlineLvl w:val="1"/>
        <w:rPr>
          <w:rStyle w:val="33"/>
          <w:rFonts w:ascii="黑体" w:hAnsi="黑体" w:eastAsia="黑体"/>
          <w:b w:val="0"/>
          <w:color w:val="auto"/>
          <w:highlight w:val="none"/>
        </w:rPr>
      </w:pPr>
      <w:bookmarkStart w:id="50" w:name="_Toc15396609"/>
      <w:bookmarkStart w:id="51" w:name="_Toc15377215"/>
      <w:bookmarkStart w:id="52" w:name="_Toc1288"/>
      <w:r>
        <w:rPr>
          <w:rFonts w:hint="eastAsia" w:ascii="黑体" w:eastAsia="黑体"/>
          <w:color w:val="auto"/>
          <w:sz w:val="32"/>
          <w:szCs w:val="32"/>
          <w:highlight w:val="none"/>
        </w:rPr>
        <w:t>七、</w:t>
      </w:r>
      <w:r>
        <w:rPr>
          <w:rStyle w:val="33"/>
          <w:rFonts w:hint="eastAsia" w:ascii="黑体" w:hAnsi="黑体" w:eastAsia="黑体"/>
          <w:b w:val="0"/>
          <w:color w:val="auto"/>
          <w:highlight w:val="none"/>
        </w:rPr>
        <w:t>财政拨款</w:t>
      </w:r>
      <w:r>
        <w:rPr>
          <w:rStyle w:val="33"/>
          <w:rFonts w:hint="eastAsia" w:ascii="黑体" w:hAnsi="黑体" w:eastAsia="黑体"/>
          <w:color w:val="auto"/>
          <w:highlight w:val="none"/>
        </w:rPr>
        <w:t>“</w:t>
      </w:r>
      <w:r>
        <w:rPr>
          <w:rStyle w:val="33"/>
          <w:rFonts w:hint="eastAsia" w:ascii="黑体" w:hAnsi="黑体" w:eastAsia="黑体"/>
          <w:b w:val="0"/>
          <w:color w:val="auto"/>
          <w:highlight w:val="none"/>
        </w:rPr>
        <w:t>三公”经费支出决算情况说明</w:t>
      </w:r>
      <w:bookmarkEnd w:id="50"/>
      <w:bookmarkEnd w:id="51"/>
      <w:bookmarkEnd w:id="52"/>
    </w:p>
    <w:p>
      <w:pPr>
        <w:spacing w:line="600" w:lineRule="exact"/>
        <w:ind w:firstLine="640"/>
        <w:outlineLvl w:val="2"/>
        <w:rPr>
          <w:rFonts w:ascii="仿宋" w:hAnsi="仿宋" w:eastAsia="仿宋"/>
          <w:b/>
          <w:color w:val="auto"/>
          <w:sz w:val="32"/>
          <w:szCs w:val="32"/>
          <w:highlight w:val="none"/>
        </w:rPr>
      </w:pPr>
      <w:bookmarkStart w:id="53" w:name="_Toc15377216"/>
      <w:r>
        <w:rPr>
          <w:rFonts w:hint="eastAsia" w:ascii="仿宋" w:hAnsi="仿宋" w:eastAsia="仿宋"/>
          <w:b/>
          <w:color w:val="auto"/>
          <w:sz w:val="32"/>
          <w:szCs w:val="32"/>
          <w:highlight w:val="none"/>
        </w:rPr>
        <w:t>（一）“三公”经费财政拨款支出决算总体情况说明</w:t>
      </w:r>
      <w:bookmarkEnd w:id="53"/>
    </w:p>
    <w:p>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3.22</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较上年</w:t>
      </w:r>
      <w:r>
        <w:rPr>
          <w:rFonts w:hint="eastAsia" w:ascii="仿宋" w:hAnsi="仿宋" w:eastAsia="仿宋"/>
          <w:color w:val="auto"/>
          <w:sz w:val="32"/>
          <w:szCs w:val="32"/>
          <w:highlight w:val="none"/>
          <w:lang w:val="en-US" w:eastAsia="zh-CN"/>
        </w:rPr>
        <w:t>2.95万元增加0.27万元，增加9.15%。</w:t>
      </w:r>
      <w:r>
        <w:rPr>
          <w:rFonts w:hint="eastAsia" w:ascii="仿宋" w:hAnsi="仿宋" w:eastAsia="仿宋"/>
          <w:color w:val="auto"/>
          <w:sz w:val="32"/>
          <w:szCs w:val="32"/>
          <w:highlight w:val="none"/>
        </w:rPr>
        <w:t>决算数与预算数持平的主要原因是</w:t>
      </w:r>
      <w:r>
        <w:rPr>
          <w:rFonts w:hint="eastAsia" w:ascii="仿宋" w:hAnsi="仿宋" w:eastAsia="仿宋"/>
          <w:color w:val="auto"/>
          <w:sz w:val="32"/>
          <w:szCs w:val="32"/>
          <w:highlight w:val="none"/>
          <w:lang w:eastAsia="zh-CN"/>
        </w:rPr>
        <w:t>严格按照预算执行</w:t>
      </w:r>
      <w:r>
        <w:rPr>
          <w:rFonts w:hint="eastAsia" w:ascii="仿宋" w:hAnsi="仿宋" w:eastAsia="仿宋"/>
          <w:color w:val="auto"/>
          <w:sz w:val="32"/>
          <w:szCs w:val="32"/>
          <w:highlight w:val="none"/>
        </w:rPr>
        <w:t>。</w:t>
      </w:r>
    </w:p>
    <w:p>
      <w:pPr>
        <w:spacing w:line="600" w:lineRule="exact"/>
        <w:ind w:firstLine="640"/>
        <w:outlineLvl w:val="2"/>
        <w:rPr>
          <w:rFonts w:ascii="仿宋" w:hAnsi="仿宋" w:eastAsia="仿宋"/>
          <w:b/>
          <w:color w:val="auto"/>
          <w:sz w:val="32"/>
          <w:szCs w:val="32"/>
          <w:highlight w:val="none"/>
        </w:rPr>
      </w:pPr>
      <w:bookmarkStart w:id="54" w:name="_Toc15377217"/>
      <w:r>
        <w:rPr>
          <w:rFonts w:hint="eastAsia" w:ascii="仿宋" w:hAnsi="仿宋" w:eastAsia="仿宋"/>
          <w:b/>
          <w:color w:val="auto"/>
          <w:sz w:val="32"/>
          <w:szCs w:val="32"/>
          <w:highlight w:val="none"/>
        </w:rPr>
        <w:t>（二）“三公”经费财政拨款支出决算具体情况说明</w:t>
      </w:r>
      <w:bookmarkEnd w:id="54"/>
    </w:p>
    <w:p>
      <w:pPr>
        <w:spacing w:line="600" w:lineRule="exact"/>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2.91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90.37</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0.31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9.63</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pStyle w:val="6"/>
        <w:rPr>
          <w:rFonts w:hint="eastAsia" w:ascii="仿宋" w:hAnsi="仿宋" w:eastAsia="仿宋"/>
          <w:color w:val="auto"/>
          <w:sz w:val="32"/>
          <w:szCs w:val="32"/>
          <w:highlight w:val="none"/>
        </w:rPr>
      </w:pPr>
    </w:p>
    <w:p>
      <w:pPr>
        <w:pStyle w:val="6"/>
        <w:rPr>
          <w:rFonts w:hint="eastAsia" w:ascii="仿宋" w:hAnsi="仿宋" w:eastAsia="仿宋"/>
          <w:color w:val="auto"/>
          <w:sz w:val="32"/>
          <w:szCs w:val="32"/>
          <w:highlight w:val="none"/>
        </w:rPr>
      </w:pPr>
      <w:r>
        <w:rPr>
          <w:rFonts w:hint="eastAsia" w:ascii="仿宋" w:hAnsi="仿宋" w:eastAsia="仿宋"/>
          <w:color w:val="auto"/>
          <w:sz w:val="32"/>
          <w:szCs w:val="32"/>
        </w:rPr>
        <w:pict>
          <v:shape id="_x0000_s1032" o:spid="_x0000_s1032" o:spt="75" type="#_x0000_t75" style="position:absolute;left:0pt;margin-left:34pt;margin-top:5.15pt;height:198.9pt;width:370.75pt;mso-wrap-distance-bottom:0pt;mso-wrap-distance-left:9pt;mso-wrap-distance-right:9pt;mso-wrap-distance-top:0pt;z-index:251665408;mso-width-relative:page;mso-height-relative:page;" o:ole="t" filled="f" o:preferrelative="t" stroked="f" coordsize="21600,21600">
            <v:path/>
            <v:fill on="f" focussize="0,0"/>
            <v:stroke on="f"/>
            <v:imagedata r:id="rId22" o:title=""/>
            <o:lock v:ext="edit" aspectratio="t"/>
            <w10:wrap type="square"/>
          </v:shape>
          <o:OLEObject Type="Embed" ProgID="Excel.Chart.8" ShapeID="_x0000_s1032" DrawAspect="Content" ObjectID="_1468075731" r:id="rId21">
            <o:LockedField>false</o:LockedField>
          </o:OLEObject>
        </w:pict>
      </w:r>
    </w:p>
    <w:p>
      <w:pPr>
        <w:pStyle w:val="6"/>
        <w:rPr>
          <w:rFonts w:hint="eastAsia" w:ascii="仿宋" w:hAnsi="仿宋" w:eastAsia="仿宋"/>
          <w:color w:val="auto"/>
          <w:sz w:val="32"/>
          <w:szCs w:val="32"/>
          <w:highlight w:val="none"/>
        </w:rPr>
      </w:pPr>
    </w:p>
    <w:p>
      <w:pPr>
        <w:pStyle w:val="6"/>
        <w:rPr>
          <w:rFonts w:hint="eastAsia" w:ascii="仿宋" w:hAnsi="仿宋" w:eastAsia="仿宋"/>
          <w:color w:val="auto"/>
          <w:sz w:val="32"/>
          <w:szCs w:val="32"/>
          <w:highlight w:val="none"/>
        </w:rPr>
      </w:pPr>
    </w:p>
    <w:p>
      <w:pPr>
        <w:pStyle w:val="6"/>
        <w:rPr>
          <w:rFonts w:hint="eastAsia" w:ascii="仿宋" w:hAnsi="仿宋" w:eastAsia="仿宋"/>
          <w:color w:val="auto"/>
          <w:sz w:val="32"/>
          <w:szCs w:val="32"/>
          <w:highlight w:val="none"/>
        </w:rPr>
      </w:pPr>
    </w:p>
    <w:p>
      <w:pPr>
        <w:pStyle w:val="6"/>
        <w:rPr>
          <w:rFonts w:hint="eastAsia" w:ascii="仿宋" w:hAnsi="仿宋" w:eastAsia="仿宋"/>
          <w:color w:val="auto"/>
          <w:sz w:val="32"/>
          <w:szCs w:val="32"/>
          <w:highlight w:val="none"/>
        </w:rPr>
      </w:pPr>
    </w:p>
    <w:p>
      <w:pPr>
        <w:pStyle w:val="6"/>
        <w:rPr>
          <w:rFonts w:hint="eastAsia" w:ascii="仿宋" w:hAnsi="仿宋" w:eastAsia="仿宋"/>
          <w:color w:val="auto"/>
          <w:sz w:val="32"/>
          <w:szCs w:val="32"/>
          <w:highlight w:val="none"/>
        </w:rPr>
      </w:pPr>
    </w:p>
    <w:p>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w:t>
      </w:r>
    </w:p>
    <w:p>
      <w:pPr>
        <w:spacing w:line="600" w:lineRule="exact"/>
        <w:ind w:firstLine="640"/>
        <w:rPr>
          <w:rFonts w:ascii="仿宋_GB2312" w:eastAsia="仿宋_GB2312"/>
          <w:color w:val="auto"/>
          <w:sz w:val="32"/>
          <w:szCs w:val="32"/>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rPr>
        <w:t>0万元，</w:t>
      </w:r>
      <w:r>
        <w:rPr>
          <w:rStyle w:val="19"/>
          <w:rFonts w:hint="eastAsia" w:ascii="仿宋" w:hAnsi="仿宋" w:eastAsia="仿宋"/>
          <w:b w:val="0"/>
          <w:bCs/>
          <w:color w:val="auto"/>
          <w:sz w:val="32"/>
          <w:szCs w:val="32"/>
        </w:rPr>
        <w:t>完成预算0</w:t>
      </w:r>
      <w:r>
        <w:rPr>
          <w:rStyle w:val="19"/>
          <w:rFonts w:ascii="仿宋" w:hAnsi="仿宋" w:eastAsia="仿宋"/>
          <w:b w:val="0"/>
          <w:bCs/>
          <w:color w:val="auto"/>
          <w:sz w:val="32"/>
          <w:szCs w:val="32"/>
        </w:rPr>
        <w:t>%</w:t>
      </w:r>
      <w:r>
        <w:rPr>
          <w:rStyle w:val="19"/>
          <w:rFonts w:hint="eastAsia" w:ascii="仿宋" w:hAnsi="仿宋" w:eastAsia="仿宋"/>
          <w:b w:val="0"/>
          <w:bCs/>
          <w:color w:val="auto"/>
          <w:sz w:val="32"/>
          <w:szCs w:val="32"/>
        </w:rPr>
        <w:t>。</w:t>
      </w:r>
      <w:r>
        <w:rPr>
          <w:rFonts w:hint="eastAsia" w:ascii="仿宋_GB2312" w:eastAsia="仿宋_GB2312"/>
          <w:color w:val="auto"/>
          <w:sz w:val="32"/>
          <w:szCs w:val="32"/>
        </w:rPr>
        <w:t>全年安排因公出国（境）团组0次，出国（境）0人。因公出国（境）支出决算比</w:t>
      </w:r>
      <w:r>
        <w:rPr>
          <w:rFonts w:ascii="仿宋_GB2312" w:eastAsia="仿宋_GB2312"/>
          <w:color w:val="auto"/>
          <w:sz w:val="32"/>
          <w:szCs w:val="32"/>
        </w:rPr>
        <w:t>20</w:t>
      </w:r>
      <w:r>
        <w:rPr>
          <w:rFonts w:hint="eastAsia" w:ascii="仿宋_GB2312" w:eastAsia="仿宋_GB2312"/>
          <w:color w:val="auto"/>
          <w:sz w:val="32"/>
          <w:szCs w:val="32"/>
          <w:lang w:val="en-US" w:eastAsia="zh-CN"/>
        </w:rPr>
        <w:t>22</w:t>
      </w:r>
      <w:r>
        <w:rPr>
          <w:rFonts w:hint="eastAsia" w:ascii="仿宋_GB2312" w:eastAsia="仿宋_GB2312"/>
          <w:color w:val="auto"/>
          <w:sz w:val="32"/>
          <w:szCs w:val="32"/>
        </w:rPr>
        <w:t>年增加0万元，增长0</w:t>
      </w:r>
      <w:r>
        <w:rPr>
          <w:rFonts w:ascii="仿宋_GB2312" w:eastAsia="仿宋_GB2312"/>
          <w:color w:val="auto"/>
          <w:sz w:val="32"/>
          <w:szCs w:val="32"/>
        </w:rPr>
        <w:t>%</w:t>
      </w:r>
      <w:r>
        <w:rPr>
          <w:rFonts w:hint="eastAsia" w:ascii="仿宋_GB2312" w:eastAsia="仿宋_GB2312"/>
          <w:color w:val="auto"/>
          <w:sz w:val="32"/>
          <w:szCs w:val="32"/>
        </w:rPr>
        <w:t>。</w:t>
      </w:r>
    </w:p>
    <w:p>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2.91</w:t>
      </w:r>
      <w:r>
        <w:rPr>
          <w:rFonts w:hint="eastAsia" w:ascii="仿宋_GB2312" w:eastAsia="仿宋_GB2312"/>
          <w:color w:val="auto"/>
          <w:sz w:val="32"/>
          <w:szCs w:val="32"/>
          <w:highlight w:val="none"/>
        </w:rPr>
        <w:t>万元,</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22年2.62万元</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增加0.29</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val="en-US" w:eastAsia="zh-CN"/>
        </w:rPr>
        <w:t>增长11.07</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sz w:val="32"/>
          <w:szCs w:val="32"/>
        </w:rPr>
        <w:t>用于残疾人扶贫、就业、康复等工作所需的公务用车燃料费、维修费、过路过桥费、保险费等支出</w:t>
      </w:r>
      <w:r>
        <w:rPr>
          <w:rFonts w:hint="eastAsia" w:ascii="仿宋_GB2312" w:eastAsia="仿宋_GB2312"/>
          <w:sz w:val="32"/>
          <w:szCs w:val="32"/>
          <w:lang w:val="en-US" w:eastAsia="zh-CN"/>
        </w:rPr>
        <w:t>有所增加</w:t>
      </w:r>
      <w:r>
        <w:rPr>
          <w:rFonts w:hint="eastAsia" w:ascii="仿宋_GB2312" w:eastAsia="仿宋_GB2312"/>
          <w:color w:val="auto"/>
          <w:sz w:val="32"/>
          <w:szCs w:val="32"/>
          <w:highlight w:val="none"/>
        </w:rPr>
        <w:t>。</w:t>
      </w:r>
    </w:p>
    <w:p>
      <w:pPr>
        <w:spacing w:line="600" w:lineRule="exact"/>
        <w:ind w:firstLine="632" w:firstLineChars="200"/>
        <w:rPr>
          <w:rFonts w:ascii="仿宋_GB2312" w:eastAsia="仿宋_GB2312"/>
          <w:b/>
          <w:color w:val="000000" w:themeColor="text1"/>
          <w:sz w:val="32"/>
          <w:szCs w:val="32"/>
          <w:highlight w:val="none"/>
          <w14:textFill>
            <w14:solidFill>
              <w14:schemeClr w14:val="tx1"/>
            </w14:solidFill>
          </w14:textFill>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万元。截至</w:t>
      </w: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w:t>
      </w:r>
      <w:r>
        <w:rPr>
          <w:rFonts w:hint="eastAsia" w:ascii="仿宋_GB2312" w:eastAsia="仿宋_GB2312"/>
          <w:color w:val="000000" w:themeColor="text1"/>
          <w:sz w:val="32"/>
          <w:szCs w:val="32"/>
          <w:highlight w:val="none"/>
          <w14:textFill>
            <w14:solidFill>
              <w14:schemeClr w14:val="tx1"/>
            </w14:solidFill>
          </w14:textFill>
        </w:rPr>
        <w:t>，其中：轿车</w:t>
      </w:r>
      <w:r>
        <w:rPr>
          <w:rFonts w:hint="eastAsia" w:ascii="仿宋_GB2312" w:eastAsia="仿宋_GB2312"/>
          <w:color w:val="000000" w:themeColor="text1"/>
          <w:sz w:val="32"/>
          <w:szCs w:val="32"/>
          <w:highlight w:val="none"/>
          <w:lang w:val="en-US" w:eastAsia="zh-CN"/>
          <w14:textFill>
            <w14:solidFill>
              <w14:schemeClr w14:val="tx1"/>
            </w14:solidFill>
          </w14:textFill>
        </w:rPr>
        <w:t>0</w:t>
      </w:r>
      <w:r>
        <w:rPr>
          <w:rFonts w:hint="eastAsia" w:ascii="仿宋_GB2312" w:eastAsia="仿宋_GB2312"/>
          <w:color w:val="000000" w:themeColor="text1"/>
          <w:sz w:val="32"/>
          <w:szCs w:val="32"/>
          <w:highlight w:val="none"/>
          <w14:textFill>
            <w14:solidFill>
              <w14:schemeClr w14:val="tx1"/>
            </w14:solidFill>
          </w14:textFill>
        </w:rPr>
        <w:t>辆、越野车</w:t>
      </w:r>
      <w:r>
        <w:rPr>
          <w:rFonts w:hint="eastAsia" w:ascii="仿宋_GB2312" w:eastAsia="仿宋_GB2312"/>
          <w:color w:val="000000" w:themeColor="text1"/>
          <w:sz w:val="32"/>
          <w:szCs w:val="32"/>
          <w:highlight w:val="none"/>
          <w:lang w:val="en-US" w:eastAsia="zh-CN"/>
          <w14:textFill>
            <w14:solidFill>
              <w14:schemeClr w14:val="tx1"/>
            </w14:solidFill>
          </w14:textFill>
        </w:rPr>
        <w:t>1</w:t>
      </w:r>
      <w:r>
        <w:rPr>
          <w:rFonts w:hint="eastAsia" w:ascii="仿宋_GB2312" w:eastAsia="仿宋_GB2312"/>
          <w:color w:val="000000" w:themeColor="text1"/>
          <w:sz w:val="32"/>
          <w:szCs w:val="32"/>
          <w:highlight w:val="none"/>
          <w14:textFill>
            <w14:solidFill>
              <w14:schemeClr w14:val="tx1"/>
            </w14:solidFill>
          </w14:textFill>
        </w:rPr>
        <w:t>辆、载客汽车</w:t>
      </w:r>
      <w:r>
        <w:rPr>
          <w:rFonts w:hint="eastAsia" w:ascii="仿宋_GB2312" w:eastAsia="仿宋_GB2312"/>
          <w:color w:val="000000" w:themeColor="text1"/>
          <w:sz w:val="32"/>
          <w:szCs w:val="32"/>
          <w:highlight w:val="none"/>
          <w:lang w:val="en-US" w:eastAsia="zh-CN"/>
          <w14:textFill>
            <w14:solidFill>
              <w14:schemeClr w14:val="tx1"/>
            </w14:solidFill>
          </w14:textFill>
        </w:rPr>
        <w:t>0</w:t>
      </w:r>
      <w:r>
        <w:rPr>
          <w:rFonts w:hint="eastAsia" w:ascii="仿宋_GB2312" w:eastAsia="仿宋_GB2312"/>
          <w:color w:val="000000" w:themeColor="text1"/>
          <w:sz w:val="32"/>
          <w:szCs w:val="32"/>
          <w:highlight w:val="none"/>
          <w14:textFill>
            <w14:solidFill>
              <w14:schemeClr w14:val="tx1"/>
            </w14:solidFill>
          </w14:textFill>
        </w:rPr>
        <w:t>辆。</w:t>
      </w:r>
    </w:p>
    <w:p>
      <w:pPr>
        <w:spacing w:line="600" w:lineRule="exact"/>
        <w:ind w:firstLine="640"/>
        <w:rPr>
          <w:rFonts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b/>
          <w:color w:val="auto"/>
          <w:sz w:val="32"/>
          <w:szCs w:val="32"/>
          <w:highlight w:val="none"/>
          <w:lang w:val="en-US" w:eastAsia="zh-CN"/>
        </w:rPr>
        <w:t>2.91</w:t>
      </w:r>
      <w:r>
        <w:rPr>
          <w:rFonts w:hint="eastAsia" w:ascii="仿宋_GB2312" w:eastAsia="仿宋_GB2312"/>
          <w:color w:val="auto"/>
          <w:sz w:val="32"/>
          <w:szCs w:val="32"/>
          <w:highlight w:val="none"/>
        </w:rPr>
        <w:t>万元。</w:t>
      </w:r>
      <w:r>
        <w:rPr>
          <w:rFonts w:hint="eastAsia" w:ascii="仿宋_GB2312" w:eastAsia="仿宋_GB2312"/>
          <w:sz w:val="32"/>
          <w:szCs w:val="32"/>
        </w:rPr>
        <w:t>主要用于残疾人扶贫、就业、康复等工作所需的公务用车燃料费、维修费、过路过桥费、保险费等支出</w:t>
      </w:r>
      <w:r>
        <w:rPr>
          <w:rFonts w:hint="eastAsia" w:ascii="仿宋_GB2312" w:eastAsia="仿宋_GB2312"/>
          <w:color w:val="auto"/>
          <w:sz w:val="32"/>
          <w:szCs w:val="32"/>
          <w:highlight w:val="none"/>
        </w:rPr>
        <w:t>。</w:t>
      </w:r>
    </w:p>
    <w:p>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0.31</w:t>
      </w:r>
      <w:r>
        <w:rPr>
          <w:rFonts w:hint="eastAsia" w:ascii="仿宋_GB2312" w:eastAsia="仿宋_GB2312"/>
          <w:color w:val="auto"/>
          <w:sz w:val="32"/>
          <w:szCs w:val="32"/>
          <w:highlight w:val="none"/>
        </w:rPr>
        <w:t>万元，</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0.02</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val="en-US" w:eastAsia="zh-CN"/>
        </w:rPr>
        <w:t>下降6%，与2022年相比基本持平，</w:t>
      </w:r>
      <w:r>
        <w:rPr>
          <w:rFonts w:hint="eastAsia" w:ascii="仿宋_GB2312" w:eastAsia="仿宋_GB2312"/>
          <w:color w:val="auto"/>
          <w:sz w:val="32"/>
          <w:szCs w:val="32"/>
          <w:highlight w:val="none"/>
        </w:rPr>
        <w:t>其中：</w:t>
      </w:r>
    </w:p>
    <w:p>
      <w:pPr>
        <w:spacing w:line="600" w:lineRule="exact"/>
        <w:ind w:firstLine="640"/>
        <w:rPr>
          <w:rFonts w:hint="default" w:ascii="仿宋_GB2312" w:eastAsia="仿宋_GB2312"/>
          <w:color w:val="auto"/>
          <w:sz w:val="32"/>
          <w:szCs w:val="32"/>
          <w:highlight w:val="none"/>
          <w:lang w:val="en-US"/>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0.31</w:t>
      </w:r>
      <w:r>
        <w:rPr>
          <w:rFonts w:hint="eastAsia" w:ascii="仿宋_GB2312" w:eastAsia="仿宋_GB2312"/>
          <w:color w:val="auto"/>
          <w:sz w:val="32"/>
          <w:szCs w:val="32"/>
          <w:highlight w:val="none"/>
        </w:rPr>
        <w:t>万元，主要用于</w:t>
      </w:r>
      <w:r>
        <w:rPr>
          <w:rFonts w:hint="eastAsia" w:ascii="仿宋" w:hAnsi="仿宋" w:eastAsia="仿宋"/>
          <w:color w:val="auto"/>
          <w:sz w:val="32"/>
          <w:szCs w:val="32"/>
          <w:highlight w:val="none"/>
          <w:lang w:val="en-US" w:eastAsia="zh-CN"/>
        </w:rPr>
        <w:t>接待各地残联等调研、学习等餐费</w:t>
      </w:r>
      <w:r>
        <w:rPr>
          <w:rFonts w:hint="eastAsia" w:ascii="仿宋_GB2312" w:eastAsia="仿宋_GB2312"/>
          <w:color w:val="auto"/>
          <w:sz w:val="32"/>
          <w:szCs w:val="32"/>
          <w:highlight w:val="none"/>
        </w:rPr>
        <w:t>。国内公务接待</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32</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0.31</w:t>
      </w:r>
      <w:r>
        <w:rPr>
          <w:rFonts w:hint="eastAsia" w:ascii="仿宋_GB2312" w:eastAsia="仿宋_GB2312"/>
          <w:color w:val="auto"/>
          <w:sz w:val="32"/>
          <w:szCs w:val="32"/>
          <w:highlight w:val="none"/>
        </w:rPr>
        <w:t>万元，具体内容包括：</w:t>
      </w:r>
      <w:r>
        <w:rPr>
          <w:rFonts w:hint="eastAsia" w:ascii="仿宋_GB2312" w:eastAsia="仿宋_GB2312"/>
          <w:color w:val="auto"/>
          <w:sz w:val="32"/>
          <w:szCs w:val="32"/>
          <w:highlight w:val="none"/>
          <w:lang w:val="en-US" w:eastAsia="zh-CN"/>
        </w:rPr>
        <w:t>接待中残联调研、潼南区残联考察学习餐费共计支出0.31万元；</w:t>
      </w:r>
    </w:p>
    <w:p>
      <w:pPr>
        <w:spacing w:line="600" w:lineRule="exact"/>
        <w:ind w:firstLine="632" w:firstLineChars="200"/>
        <w:rPr>
          <w:rFonts w:ascii="仿宋_GB2312" w:eastAsia="仿宋_GB2312"/>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rPr>
        <w:t>0</w:t>
      </w:r>
      <w:r>
        <w:rPr>
          <w:rFonts w:hint="eastAsia" w:ascii="仿宋_GB2312" w:eastAsia="仿宋_GB2312"/>
          <w:color w:val="auto"/>
          <w:sz w:val="32"/>
          <w:szCs w:val="32"/>
        </w:rPr>
        <w:t>万元，外事接待0批次，0人，共计支出0万元。</w:t>
      </w:r>
    </w:p>
    <w:p>
      <w:pPr>
        <w:spacing w:line="600" w:lineRule="exact"/>
        <w:ind w:firstLine="640"/>
        <w:outlineLvl w:val="9"/>
        <w:rPr>
          <w:rFonts w:ascii="黑体" w:eastAsia="黑体"/>
          <w:color w:val="auto"/>
          <w:sz w:val="32"/>
          <w:szCs w:val="32"/>
          <w:highlight w:val="none"/>
        </w:rPr>
      </w:pPr>
      <w:bookmarkStart w:id="55" w:name="_Toc15377218"/>
      <w:bookmarkStart w:id="56" w:name="_Toc15396610"/>
    </w:p>
    <w:p>
      <w:pPr>
        <w:spacing w:line="600" w:lineRule="exact"/>
        <w:ind w:firstLine="640"/>
        <w:outlineLvl w:val="1"/>
        <w:rPr>
          <w:rStyle w:val="33"/>
          <w:rFonts w:ascii="黑体" w:hAnsi="黑体" w:eastAsia="黑体"/>
          <w:color w:val="auto"/>
          <w:highlight w:val="none"/>
        </w:rPr>
      </w:pPr>
      <w:bookmarkStart w:id="57" w:name="_Toc22752"/>
      <w:r>
        <w:rPr>
          <w:rFonts w:hint="eastAsia" w:ascii="黑体" w:eastAsia="黑体"/>
          <w:color w:val="auto"/>
          <w:sz w:val="32"/>
          <w:szCs w:val="32"/>
          <w:highlight w:val="none"/>
        </w:rPr>
        <w:t>八、</w:t>
      </w:r>
      <w:r>
        <w:rPr>
          <w:rStyle w:val="33"/>
          <w:rFonts w:hint="eastAsia" w:ascii="黑体" w:hAnsi="黑体" w:eastAsia="黑体"/>
          <w:b w:val="0"/>
          <w:color w:val="auto"/>
          <w:highlight w:val="none"/>
        </w:rPr>
        <w:t>政府性基金预算支出决算情况说明</w:t>
      </w:r>
      <w:bookmarkEnd w:id="55"/>
      <w:bookmarkEnd w:id="56"/>
      <w:bookmarkEnd w:id="57"/>
    </w:p>
    <w:p>
      <w:pPr>
        <w:spacing w:line="600" w:lineRule="exact"/>
        <w:ind w:firstLine="640"/>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128.07</w:t>
      </w:r>
      <w:r>
        <w:rPr>
          <w:rFonts w:hint="eastAsia" w:ascii="仿宋_GB2312" w:eastAsia="仿宋_GB2312"/>
          <w:color w:val="auto"/>
          <w:sz w:val="32"/>
          <w:szCs w:val="32"/>
          <w:highlight w:val="none"/>
        </w:rPr>
        <w:t>万元。</w:t>
      </w:r>
    </w:p>
    <w:p>
      <w:pPr>
        <w:spacing w:line="600" w:lineRule="exact"/>
        <w:ind w:firstLine="640"/>
        <w:rPr>
          <w:rFonts w:ascii="仿宋_GB2312" w:eastAsia="仿宋_GB2312"/>
          <w:color w:val="auto"/>
          <w:sz w:val="32"/>
          <w:szCs w:val="32"/>
          <w:highlight w:val="none"/>
        </w:rPr>
      </w:pPr>
    </w:p>
    <w:p>
      <w:pPr>
        <w:numPr>
          <w:ilvl w:val="0"/>
          <w:numId w:val="4"/>
        </w:numPr>
        <w:spacing w:line="600" w:lineRule="exact"/>
        <w:ind w:firstLine="640"/>
        <w:outlineLvl w:val="1"/>
        <w:rPr>
          <w:rStyle w:val="33"/>
          <w:rFonts w:ascii="黑体" w:hAnsi="黑体" w:eastAsia="黑体"/>
          <w:b w:val="0"/>
          <w:color w:val="auto"/>
          <w:highlight w:val="none"/>
        </w:rPr>
      </w:pPr>
      <w:bookmarkStart w:id="58" w:name="_Toc15377219"/>
      <w:bookmarkStart w:id="59" w:name="_Toc15396611"/>
      <w:bookmarkStart w:id="60" w:name="_Toc24751"/>
      <w:r>
        <w:rPr>
          <w:rStyle w:val="33"/>
          <w:rFonts w:hint="eastAsia" w:ascii="黑体" w:hAnsi="黑体" w:eastAsia="黑体"/>
          <w:b w:val="0"/>
          <w:color w:val="auto"/>
          <w:highlight w:val="none"/>
        </w:rPr>
        <w:t>国有资本经营预算支出决算情况说明</w:t>
      </w:r>
      <w:bookmarkEnd w:id="58"/>
      <w:bookmarkEnd w:id="59"/>
      <w:bookmarkEnd w:id="60"/>
    </w:p>
    <w:p>
      <w:pPr>
        <w:spacing w:line="600" w:lineRule="exact"/>
        <w:ind w:firstLine="640"/>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580" w:lineRule="exact"/>
        <w:jc w:val="center"/>
        <w:rPr>
          <w:rFonts w:ascii="方正小标宋简体" w:hAnsi="方正小标宋简体" w:eastAsia="方正小标宋简体" w:cs="方正小标宋简体"/>
          <w:color w:val="auto"/>
          <w:sz w:val="44"/>
          <w:szCs w:val="44"/>
          <w:highlight w:val="none"/>
        </w:rPr>
      </w:pPr>
    </w:p>
    <w:p>
      <w:pPr>
        <w:numPr>
          <w:ilvl w:val="0"/>
          <w:numId w:val="4"/>
        </w:numPr>
        <w:spacing w:line="600" w:lineRule="exact"/>
        <w:ind w:firstLine="640"/>
        <w:outlineLvl w:val="1"/>
        <w:rPr>
          <w:rStyle w:val="33"/>
          <w:rFonts w:hint="eastAsia" w:ascii="黑体" w:hAnsi="黑体" w:eastAsia="黑体"/>
          <w:b w:val="0"/>
          <w:color w:val="auto"/>
          <w:highlight w:val="none"/>
        </w:rPr>
      </w:pPr>
      <w:bookmarkStart w:id="61" w:name="_Toc15377221"/>
      <w:bookmarkStart w:id="62" w:name="_Toc15396612"/>
      <w:bookmarkStart w:id="63" w:name="_Toc22700"/>
      <w:r>
        <w:rPr>
          <w:rStyle w:val="33"/>
          <w:rFonts w:hint="eastAsia" w:ascii="黑体" w:hAnsi="黑体" w:eastAsia="黑体"/>
          <w:b w:val="0"/>
          <w:color w:val="auto"/>
          <w:highlight w:val="none"/>
        </w:rPr>
        <w:t>其他重要事项的情况说明</w:t>
      </w:r>
      <w:bookmarkEnd w:id="61"/>
      <w:bookmarkEnd w:id="62"/>
      <w:bookmarkEnd w:id="63"/>
    </w:p>
    <w:p>
      <w:pPr>
        <w:spacing w:line="600" w:lineRule="exact"/>
        <w:ind w:firstLine="632" w:firstLineChars="200"/>
        <w:outlineLvl w:val="2"/>
        <w:rPr>
          <w:rFonts w:ascii="仿宋" w:hAnsi="仿宋" w:eastAsia="仿宋"/>
          <w:color w:val="auto"/>
          <w:sz w:val="32"/>
          <w:szCs w:val="32"/>
          <w:highlight w:val="none"/>
        </w:rPr>
      </w:pPr>
      <w:bookmarkStart w:id="64" w:name="_Toc15377222"/>
      <w:r>
        <w:rPr>
          <w:rFonts w:hint="eastAsia" w:ascii="仿宋" w:hAnsi="仿宋" w:eastAsia="仿宋"/>
          <w:b/>
          <w:color w:val="auto"/>
          <w:sz w:val="32"/>
          <w:szCs w:val="32"/>
          <w:highlight w:val="none"/>
        </w:rPr>
        <w:t>（一）机关运行经费支出情况</w:t>
      </w:r>
      <w:bookmarkEnd w:id="64"/>
    </w:p>
    <w:p>
      <w:pPr>
        <w:spacing w:line="600" w:lineRule="exact"/>
        <w:ind w:firstLine="632"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残联</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36.11</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32.1万元增加4.01</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val="en-US" w:eastAsia="zh-CN"/>
        </w:rPr>
        <w:t>增长12.49</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w:t>
      </w:r>
      <w:r>
        <w:rPr>
          <w:rFonts w:hint="eastAsia" w:ascii="仿宋_GB2312" w:eastAsia="仿宋_GB2312"/>
          <w:color w:val="auto"/>
          <w:sz w:val="32"/>
          <w:szCs w:val="32"/>
          <w:highlight w:val="none"/>
          <w:lang w:val="en-US" w:eastAsia="zh-CN"/>
        </w:rPr>
        <w:t>是2023年劳务费以及福利费有所增加</w:t>
      </w:r>
      <w:r>
        <w:rPr>
          <w:rFonts w:hint="eastAsia" w:ascii="仿宋_GB2312" w:eastAsia="仿宋_GB2312"/>
          <w:color w:val="auto"/>
          <w:sz w:val="32"/>
          <w:szCs w:val="32"/>
          <w:highlight w:val="none"/>
          <w:lang w:eastAsia="zh-CN"/>
        </w:rPr>
        <w:t>。</w:t>
      </w:r>
    </w:p>
    <w:p>
      <w:pPr>
        <w:autoSpaceDE w:val="0"/>
        <w:autoSpaceDN w:val="0"/>
        <w:adjustRightInd w:val="0"/>
        <w:spacing w:line="600" w:lineRule="exact"/>
        <w:ind w:firstLine="632" w:firstLineChars="200"/>
        <w:jc w:val="left"/>
        <w:outlineLvl w:val="2"/>
        <w:rPr>
          <w:rFonts w:ascii="仿宋" w:hAnsi="仿宋" w:eastAsia="仿宋"/>
          <w:b/>
          <w:color w:val="auto"/>
          <w:sz w:val="32"/>
          <w:szCs w:val="32"/>
          <w:highlight w:val="none"/>
        </w:rPr>
      </w:pPr>
      <w:bookmarkStart w:id="65" w:name="_Toc15377223"/>
      <w:r>
        <w:rPr>
          <w:rFonts w:hint="eastAsia" w:ascii="仿宋" w:hAnsi="仿宋" w:eastAsia="仿宋"/>
          <w:b/>
          <w:color w:val="auto"/>
          <w:sz w:val="32"/>
          <w:szCs w:val="32"/>
          <w:highlight w:val="none"/>
        </w:rPr>
        <w:t>（二）政府采购支出情况</w:t>
      </w:r>
      <w:bookmarkEnd w:id="65"/>
    </w:p>
    <w:p>
      <w:pPr>
        <w:autoSpaceDE w:val="0"/>
        <w:autoSpaceDN w:val="0"/>
        <w:adjustRightInd w:val="0"/>
        <w:spacing w:line="600" w:lineRule="exact"/>
        <w:ind w:firstLine="632" w:firstLineChars="200"/>
        <w:jc w:val="left"/>
        <w:outlineLvl w:val="2"/>
        <w:rPr>
          <w:rFonts w:ascii="仿宋_GB2312" w:eastAsia="仿宋_GB2312"/>
          <w:color w:val="auto"/>
          <w:sz w:val="32"/>
          <w:szCs w:val="32"/>
          <w:highlight w:val="none"/>
        </w:rPr>
      </w:pPr>
      <w:bookmarkStart w:id="66" w:name="_Toc15377224"/>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残联</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万元。授予中小企业合同金额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p>
    <w:p>
      <w:pPr>
        <w:autoSpaceDE w:val="0"/>
        <w:autoSpaceDN w:val="0"/>
        <w:adjustRightInd w:val="0"/>
        <w:spacing w:line="600" w:lineRule="exact"/>
        <w:ind w:firstLine="632"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（三）国有资产占有使用情况</w:t>
      </w:r>
      <w:bookmarkEnd w:id="66"/>
    </w:p>
    <w:p>
      <w:pPr>
        <w:autoSpaceDE w:val="0"/>
        <w:autoSpaceDN w:val="0"/>
        <w:adjustRightInd w:val="0"/>
        <w:spacing w:line="600" w:lineRule="exact"/>
        <w:ind w:firstLine="632"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残联</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其他用车主要是</w:t>
      </w:r>
      <w:r>
        <w:rPr>
          <w:rFonts w:hint="eastAsia" w:ascii="仿宋_GB2312" w:eastAsia="仿宋_GB2312"/>
          <w:color w:val="auto"/>
          <w:sz w:val="32"/>
          <w:szCs w:val="32"/>
          <w:highlight w:val="none"/>
          <w:lang w:eastAsia="zh-CN"/>
        </w:rPr>
        <w:t>为残疾人提供服务。</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autoSpaceDE w:val="0"/>
        <w:autoSpaceDN w:val="0"/>
        <w:adjustRightInd w:val="0"/>
        <w:spacing w:line="600" w:lineRule="exact"/>
        <w:ind w:firstLine="632"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（四）预算绩效管理情况</w:t>
      </w:r>
    </w:p>
    <w:p>
      <w:pPr>
        <w:spacing w:line="580" w:lineRule="exact"/>
        <w:ind w:firstLine="632"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根据预算绩效管理要求，本部门在</w:t>
      </w:r>
      <w:r>
        <w:rPr>
          <w:rFonts w:hint="eastAsia" w:ascii="仿宋_GB2312" w:hAnsi="仿宋_GB2312" w:eastAsia="仿宋_GB2312" w:cs="仿宋_GB2312"/>
          <w:color w:val="auto"/>
          <w:sz w:val="32"/>
          <w:szCs w:val="32"/>
          <w:highlight w:val="none"/>
          <w:lang w:val="en-US" w:eastAsia="zh-CN"/>
        </w:rPr>
        <w:t>2023年度</w:t>
      </w:r>
      <w:r>
        <w:rPr>
          <w:rFonts w:hint="eastAsia" w:ascii="仿宋_GB2312" w:hAnsi="仿宋_GB2312" w:eastAsia="仿宋_GB2312" w:cs="仿宋_GB2312"/>
          <w:color w:val="auto"/>
          <w:sz w:val="32"/>
          <w:szCs w:val="32"/>
          <w:highlight w:val="none"/>
        </w:rPr>
        <w:t>预算编制阶段，组织对</w:t>
      </w:r>
      <w:r>
        <w:rPr>
          <w:rFonts w:hint="eastAsia" w:ascii="仿宋_GB2312" w:hAnsi="仿宋_GB2312" w:eastAsia="仿宋_GB2312" w:cs="仿宋_GB2312"/>
          <w:color w:val="auto"/>
          <w:sz w:val="32"/>
          <w:szCs w:val="32"/>
          <w:highlight w:val="none"/>
          <w:lang w:val="en-US" w:eastAsia="zh-CN"/>
        </w:rPr>
        <w:t>残疾人康复</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等</w:t>
      </w:r>
      <w:r>
        <w:rPr>
          <w:rFonts w:hint="eastAsia" w:ascii="仿宋_GB2312" w:hAnsi="仿宋_GB2312" w:eastAsia="仿宋_GB2312" w:cs="仿宋_GB2312"/>
          <w:color w:val="auto"/>
          <w:sz w:val="32"/>
          <w:szCs w:val="32"/>
          <w:highlight w:val="none"/>
          <w:lang w:val="en-US" w:eastAsia="zh-CN"/>
        </w:rPr>
        <w:t>5个项目</w:t>
      </w:r>
      <w:r>
        <w:rPr>
          <w:rFonts w:hint="eastAsia" w:ascii="仿宋_GB2312" w:hAnsi="仿宋_GB2312" w:eastAsia="仿宋_GB2312" w:cs="仿宋_GB2312"/>
          <w:color w:val="auto"/>
          <w:sz w:val="32"/>
          <w:szCs w:val="32"/>
          <w:highlight w:val="none"/>
        </w:rPr>
        <w:t>开展了预算事前绩效评估，对</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个项目开展绩效监控</w:t>
      </w:r>
      <w:r>
        <w:rPr>
          <w:rFonts w:hint="eastAsia" w:ascii="仿宋_GB2312" w:hAnsi="仿宋_GB2312" w:eastAsia="仿宋_GB2312" w:cs="仿宋_GB2312"/>
          <w:color w:val="auto"/>
          <w:sz w:val="32"/>
          <w:szCs w:val="32"/>
          <w:highlight w:val="none"/>
          <w:lang w:eastAsia="zh-CN"/>
        </w:rPr>
        <w:t>。</w:t>
      </w:r>
    </w:p>
    <w:p>
      <w:pPr>
        <w:spacing w:line="580" w:lineRule="exact"/>
        <w:ind w:firstLine="632"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组织</w:t>
      </w:r>
      <w:r>
        <w:rPr>
          <w:rFonts w:hint="eastAsia" w:ascii="仿宋_GB2312" w:hAnsi="仿宋_GB2312" w:eastAsia="仿宋_GB2312" w:cs="仿宋_GB2312"/>
          <w:color w:val="auto"/>
          <w:sz w:val="32"/>
          <w:szCs w:val="32"/>
          <w:highlight w:val="none"/>
        </w:rPr>
        <w:t>对</w:t>
      </w:r>
      <w:r>
        <w:rPr>
          <w:rFonts w:hint="eastAsia" w:ascii="仿宋_GB2312" w:hAnsi="仿宋_GB2312" w:eastAsia="仿宋_GB2312" w:cs="仿宋_GB2312"/>
          <w:color w:val="auto"/>
          <w:sz w:val="32"/>
          <w:szCs w:val="32"/>
          <w:highlight w:val="none"/>
          <w:lang w:val="en-US" w:eastAsia="zh-CN"/>
        </w:rPr>
        <w:t>2023年度一般公共预算、</w:t>
      </w:r>
      <w:r>
        <w:rPr>
          <w:rFonts w:hint="eastAsia" w:ascii="仿宋_GB2312" w:hAnsi="仿宋_GB2312" w:eastAsia="仿宋_GB2312" w:cs="仿宋_GB2312"/>
          <w:color w:val="auto"/>
          <w:sz w:val="32"/>
          <w:szCs w:val="32"/>
          <w:highlight w:val="none"/>
          <w:lang w:eastAsia="zh-CN"/>
        </w:rPr>
        <w:t>政府性基金预算、国有资本经营预算、社会保险基金预算以及资本资产、债券资金等</w:t>
      </w:r>
      <w:r>
        <w:rPr>
          <w:rFonts w:hint="eastAsia" w:ascii="仿宋_GB2312" w:hAnsi="仿宋_GB2312" w:eastAsia="仿宋_GB2312" w:cs="仿宋_GB2312"/>
          <w:color w:val="auto"/>
          <w:sz w:val="32"/>
          <w:szCs w:val="32"/>
          <w:highlight w:val="none"/>
          <w:lang w:val="en-US" w:eastAsia="zh-CN"/>
        </w:rPr>
        <w:t>全面开展绩效自评，形成1个</w:t>
      </w:r>
      <w:r>
        <w:rPr>
          <w:rFonts w:hint="eastAsia" w:ascii="仿宋_GB2312" w:hAnsi="仿宋_GB2312" w:eastAsia="仿宋_GB2312" w:cs="仿宋_GB2312"/>
          <w:color w:val="auto"/>
          <w:sz w:val="32"/>
          <w:szCs w:val="32"/>
          <w:highlight w:val="none"/>
          <w:lang w:eastAsia="zh-CN"/>
        </w:rPr>
        <w:t>部门整体（含部门预算项目）</w:t>
      </w:r>
      <w:r>
        <w:rPr>
          <w:rFonts w:hint="eastAsia" w:ascii="仿宋_GB2312" w:hAnsi="仿宋_GB2312" w:eastAsia="仿宋_GB2312" w:cs="仿宋_GB2312"/>
          <w:color w:val="auto"/>
          <w:sz w:val="32"/>
          <w:szCs w:val="32"/>
          <w:highlight w:val="none"/>
          <w:lang w:val="en-US" w:eastAsia="zh-CN"/>
        </w:rPr>
        <w:t>绩效自评报告</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2个残疾人康复等</w:t>
      </w:r>
      <w:r>
        <w:rPr>
          <w:rFonts w:hint="eastAsia" w:ascii="仿宋_GB2312" w:hAnsi="仿宋_GB2312" w:eastAsia="仿宋_GB2312" w:cs="仿宋_GB2312"/>
          <w:color w:val="auto"/>
          <w:sz w:val="32"/>
          <w:szCs w:val="32"/>
          <w:highlight w:val="none"/>
          <w:lang w:eastAsia="zh-CN"/>
        </w:rPr>
        <w:t>专项预算项目</w:t>
      </w:r>
      <w:r>
        <w:rPr>
          <w:rFonts w:hint="eastAsia" w:ascii="仿宋_GB2312" w:hAnsi="仿宋_GB2312" w:eastAsia="仿宋_GB2312" w:cs="仿宋_GB2312"/>
          <w:color w:val="auto"/>
          <w:sz w:val="32"/>
          <w:szCs w:val="32"/>
          <w:highlight w:val="none"/>
          <w:lang w:val="en-US" w:eastAsia="zh-CN"/>
        </w:rPr>
        <w:t>绩效自评报告，其中，区残联部门整体</w:t>
      </w:r>
      <w:r>
        <w:rPr>
          <w:rFonts w:hint="eastAsia" w:ascii="仿宋_GB2312" w:hAnsi="仿宋_GB2312" w:eastAsia="仿宋_GB2312" w:cs="仿宋_GB2312"/>
          <w:color w:val="auto"/>
          <w:sz w:val="32"/>
          <w:szCs w:val="32"/>
          <w:highlight w:val="none"/>
          <w:lang w:eastAsia="zh-CN"/>
        </w:rPr>
        <w:t>（含部门预算项目）</w:t>
      </w:r>
      <w:r>
        <w:rPr>
          <w:rFonts w:hint="eastAsia" w:ascii="仿宋_GB2312" w:hAnsi="仿宋_GB2312" w:eastAsia="仿宋_GB2312" w:cs="仿宋_GB2312"/>
          <w:color w:val="auto"/>
          <w:sz w:val="32"/>
          <w:szCs w:val="32"/>
          <w:highlight w:val="none"/>
          <w:lang w:val="en-US" w:eastAsia="zh-CN"/>
        </w:rPr>
        <w:t>绩效自评得分为96分，残疾人康复</w:t>
      </w:r>
      <w:r>
        <w:rPr>
          <w:rFonts w:hint="eastAsia" w:ascii="仿宋_GB2312" w:hAnsi="仿宋_GB2312" w:eastAsia="仿宋_GB2312" w:cs="仿宋_GB2312"/>
          <w:color w:val="auto"/>
          <w:sz w:val="32"/>
          <w:szCs w:val="32"/>
          <w:highlight w:val="none"/>
          <w:lang w:eastAsia="zh-CN"/>
        </w:rPr>
        <w:t>专项预</w:t>
      </w:r>
      <w:r>
        <w:rPr>
          <w:rFonts w:hint="eastAsia" w:ascii="仿宋_GB2312" w:hAnsi="仿宋_GB2312" w:eastAsia="仿宋_GB2312" w:cs="仿宋_GB2312"/>
          <w:color w:val="auto"/>
          <w:sz w:val="32"/>
          <w:szCs w:val="32"/>
          <w:highlight w:val="none"/>
          <w:lang w:val="en-US" w:eastAsia="zh-CN"/>
        </w:rPr>
        <w:t>算项目绩效自评得分为100分，残疾人就业和扶持经费专项预算绩效自评得分100分，绩效自评报告详见附件。</w:t>
      </w:r>
    </w:p>
    <w:p>
      <w:pPr>
        <w:keepNext w:val="0"/>
        <w:keepLines w:val="0"/>
        <w:pageBreakBefore w:val="0"/>
        <w:widowControl w:val="0"/>
        <w:kinsoku/>
        <w:wordWrap/>
        <w:overflowPunct/>
        <w:topLinePunct w:val="0"/>
        <w:autoSpaceDE/>
        <w:autoSpaceDN/>
        <w:bidi w:val="0"/>
        <w:adjustRightInd w:val="0"/>
        <w:snapToGrid w:val="0"/>
        <w:spacing w:line="560" w:lineRule="atLeast"/>
        <w:ind w:firstLine="632" w:firstLineChars="200"/>
        <w:textAlignment w:val="auto"/>
        <w:rPr>
          <w:rFonts w:ascii="仿宋_GB2312" w:eastAsia="仿宋_GB2312"/>
          <w:b/>
          <w:color w:val="auto"/>
          <w:sz w:val="32"/>
          <w:szCs w:val="32"/>
          <w:highlight w:val="none"/>
        </w:rPr>
      </w:pPr>
      <w:r>
        <w:rPr>
          <w:rFonts w:ascii="仿宋_GB2312" w:eastAsia="仿宋_GB2312"/>
          <w:b/>
          <w:color w:val="auto"/>
          <w:sz w:val="32"/>
          <w:szCs w:val="32"/>
          <w:highlight w:val="yellow"/>
        </w:rPr>
        <w:br w:type="page"/>
      </w:r>
    </w:p>
    <w:p>
      <w:pPr>
        <w:numPr>
          <w:ilvl w:val="0"/>
          <w:numId w:val="5"/>
        </w:numPr>
        <w:spacing w:line="600" w:lineRule="exact"/>
        <w:ind w:firstLine="654" w:firstLineChars="150"/>
        <w:jc w:val="center"/>
        <w:outlineLvl w:val="0"/>
        <w:rPr>
          <w:rStyle w:val="32"/>
          <w:rFonts w:ascii="黑体" w:hAnsi="黑体" w:eastAsia="黑体"/>
          <w:b w:val="0"/>
          <w:color w:val="auto"/>
          <w:highlight w:val="none"/>
        </w:rPr>
      </w:pPr>
      <w:bookmarkStart w:id="67" w:name="_Toc15377225"/>
      <w:bookmarkStart w:id="68" w:name="_Toc15396613"/>
      <w:bookmarkStart w:id="69" w:name="_Toc13864"/>
      <w:r>
        <w:rPr>
          <w:rFonts w:hint="eastAsia" w:ascii="黑体" w:hAnsi="黑体" w:eastAsia="黑体"/>
          <w:color w:val="auto"/>
          <w:sz w:val="44"/>
          <w:szCs w:val="44"/>
          <w:highlight w:val="none"/>
        </w:rPr>
        <w:t>名</w:t>
      </w:r>
      <w:r>
        <w:rPr>
          <w:rStyle w:val="32"/>
          <w:rFonts w:hint="eastAsia" w:ascii="黑体" w:hAnsi="黑体" w:eastAsia="黑体"/>
          <w:b w:val="0"/>
          <w:color w:val="auto"/>
          <w:highlight w:val="none"/>
        </w:rPr>
        <w:t>词解释</w:t>
      </w:r>
      <w:bookmarkEnd w:id="67"/>
      <w:bookmarkEnd w:id="68"/>
      <w:bookmarkEnd w:id="69"/>
    </w:p>
    <w:p>
      <w:pPr>
        <w:pStyle w:val="30"/>
        <w:spacing w:line="560" w:lineRule="exact"/>
        <w:ind w:firstLine="632"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pPr>
        <w:pStyle w:val="30"/>
        <w:spacing w:line="560" w:lineRule="exact"/>
        <w:ind w:firstLine="632"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w:t>
      </w:r>
    </w:p>
    <w:p>
      <w:pPr>
        <w:pStyle w:val="30"/>
        <w:spacing w:line="560" w:lineRule="exact"/>
        <w:ind w:firstLine="632" w:firstLineChars="200"/>
        <w:rPr>
          <w:rFonts w:hint="eastAsia"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rPr>
        <w:t>经营收入：指事业单位在专业业务活动及其辅助活动之外开展非独立核算经营活动取得的收入。</w:t>
      </w:r>
    </w:p>
    <w:p>
      <w:pPr>
        <w:pStyle w:val="30"/>
        <w:spacing w:line="560" w:lineRule="exact"/>
        <w:ind w:firstLine="632" w:firstLineChars="200"/>
        <w:rPr>
          <w:rFonts w:hint="eastAsia" w:ascii="仿宋_GB2312" w:eastAsia="仿宋_GB2312"/>
          <w:color w:val="auto"/>
          <w:sz w:val="32"/>
          <w:szCs w:val="32"/>
          <w:highlight w:val="none"/>
        </w:rPr>
      </w:pPr>
      <w:r>
        <w:rPr>
          <w:rFonts w:ascii="仿宋_GB2312" w:eastAsia="仿宋_GB2312"/>
          <w:color w:val="auto"/>
          <w:sz w:val="32"/>
          <w:szCs w:val="32"/>
          <w:highlight w:val="none"/>
        </w:rPr>
        <w:t>4.</w:t>
      </w:r>
      <w:r>
        <w:rPr>
          <w:rFonts w:hint="eastAsia" w:ascii="仿宋_GB2312" w:eastAsia="仿宋_GB2312"/>
          <w:color w:val="auto"/>
          <w:sz w:val="32"/>
          <w:szCs w:val="32"/>
          <w:highlight w:val="none"/>
        </w:rPr>
        <w:t>其他收入：指单位取得的除上述收入以外的各项收入。</w:t>
      </w:r>
    </w:p>
    <w:p>
      <w:pPr>
        <w:pStyle w:val="30"/>
        <w:spacing w:line="560" w:lineRule="exact"/>
        <w:ind w:firstLine="632" w:firstLineChars="200"/>
        <w:rPr>
          <w:rFonts w:ascii="仿宋_GB2312" w:eastAsia="仿宋_GB2312"/>
          <w:color w:val="auto"/>
          <w:sz w:val="32"/>
          <w:szCs w:val="32"/>
          <w:highlight w:val="none"/>
        </w:rPr>
      </w:pPr>
      <w:r>
        <w:rPr>
          <w:rFonts w:ascii="仿宋_GB2312" w:eastAsia="仿宋_GB2312"/>
          <w:color w:val="auto"/>
          <w:sz w:val="32"/>
          <w:szCs w:val="32"/>
          <w:highlight w:val="none"/>
        </w:rPr>
        <w:t>5.</w:t>
      </w:r>
      <w:r>
        <w:rPr>
          <w:rFonts w:hint="eastAsia" w:ascii="仿宋_GB2312" w:eastAsia="仿宋_GB2312"/>
          <w:color w:val="auto"/>
          <w:sz w:val="32"/>
          <w:szCs w:val="32"/>
          <w:highlight w:val="none"/>
          <w:lang w:eastAsia="zh-CN"/>
        </w:rPr>
        <w:t>使用非财政拨款结余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ascii="仿宋_GB2312" w:eastAsia="仿宋_GB2312"/>
          <w:color w:val="auto"/>
          <w:sz w:val="32"/>
          <w:szCs w:val="32"/>
          <w:highlight w:val="none"/>
        </w:rPr>
        <w:t xml:space="preserve"> </w:t>
      </w:r>
    </w:p>
    <w:p>
      <w:pPr>
        <w:pStyle w:val="30"/>
        <w:spacing w:line="560" w:lineRule="exact"/>
        <w:ind w:firstLine="632" w:firstLineChars="200"/>
        <w:rPr>
          <w:rFonts w:ascii="仿宋_GB2312" w:eastAsia="仿宋_GB2312"/>
          <w:color w:val="auto"/>
          <w:sz w:val="32"/>
          <w:szCs w:val="32"/>
          <w:highlight w:val="none"/>
        </w:rPr>
      </w:pPr>
      <w:r>
        <w:rPr>
          <w:rFonts w:ascii="仿宋_GB2312" w:eastAsia="仿宋_GB2312"/>
          <w:color w:val="auto"/>
          <w:sz w:val="32"/>
          <w:szCs w:val="32"/>
          <w:highlight w:val="none"/>
        </w:rPr>
        <w:t>6.</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pPr>
        <w:pStyle w:val="30"/>
        <w:spacing w:line="560" w:lineRule="exact"/>
        <w:ind w:firstLine="632" w:firstLineChars="200"/>
        <w:rPr>
          <w:rFonts w:ascii="仿宋_GB2312" w:eastAsia="仿宋_GB2312"/>
          <w:color w:val="auto"/>
          <w:sz w:val="32"/>
          <w:szCs w:val="32"/>
          <w:highlight w:val="none"/>
        </w:rPr>
      </w:pPr>
      <w:r>
        <w:rPr>
          <w:rFonts w:ascii="仿宋_GB2312" w:eastAsia="仿宋_GB2312"/>
          <w:color w:val="auto"/>
          <w:sz w:val="32"/>
          <w:szCs w:val="32"/>
          <w:highlight w:val="none"/>
        </w:rPr>
        <w:t>7.</w:t>
      </w: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pPr>
        <w:pStyle w:val="30"/>
        <w:spacing w:line="560" w:lineRule="exact"/>
        <w:ind w:firstLine="632" w:firstLineChars="200"/>
        <w:rPr>
          <w:rFonts w:ascii="仿宋_GB2312" w:eastAsia="仿宋_GB2312"/>
          <w:color w:val="auto"/>
          <w:sz w:val="32"/>
          <w:szCs w:val="32"/>
          <w:highlight w:val="none"/>
        </w:rPr>
      </w:pPr>
      <w:r>
        <w:rPr>
          <w:rFonts w:ascii="仿宋_GB2312" w:eastAsia="仿宋_GB2312"/>
          <w:color w:val="auto"/>
          <w:sz w:val="32"/>
          <w:szCs w:val="32"/>
          <w:highlight w:val="none"/>
        </w:rPr>
        <w:t>8</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年末结转和结余：指单位按有关规定结转到下年或以后年度继续使用的资金。</w:t>
      </w:r>
    </w:p>
    <w:p>
      <w:pPr>
        <w:ind w:firstLine="632" w:firstLineChars="200"/>
        <w:rPr>
          <w:rFonts w:hint="eastAsia" w:ascii="仿宋_GB2312" w:eastAsia="仿宋_GB2312"/>
          <w:color w:val="auto"/>
          <w:sz w:val="32"/>
          <w:szCs w:val="32"/>
        </w:rPr>
      </w:pPr>
      <w:r>
        <w:rPr>
          <w:rFonts w:hint="eastAsia" w:ascii="仿宋_GB2312" w:eastAsia="仿宋_GB2312"/>
          <w:sz w:val="32"/>
          <w:szCs w:val="32"/>
        </w:rPr>
        <w:t>9.一般公共服务支出（201）党委办公厅（室）及相关机构事务（</w:t>
      </w:r>
      <w:r>
        <w:rPr>
          <w:rFonts w:hint="eastAsia" w:ascii="仿宋_GB2312" w:eastAsia="仿宋_GB2312"/>
          <w:sz w:val="32"/>
          <w:szCs w:val="32"/>
          <w:lang w:val="en-US" w:eastAsia="zh-CN"/>
        </w:rPr>
        <w:t>31</w:t>
      </w:r>
      <w:r>
        <w:rPr>
          <w:rFonts w:hint="eastAsia" w:ascii="仿宋_GB2312" w:eastAsia="仿宋_GB2312"/>
          <w:sz w:val="32"/>
          <w:szCs w:val="32"/>
        </w:rPr>
        <w:t>）</w:t>
      </w:r>
      <w:r>
        <w:rPr>
          <w:rFonts w:hint="eastAsia" w:ascii="仿宋_GB2312" w:eastAsia="仿宋_GB2312"/>
          <w:sz w:val="32"/>
          <w:szCs w:val="32"/>
          <w:lang w:eastAsia="zh-CN"/>
        </w:rPr>
        <w:t>行政运行</w:t>
      </w:r>
      <w:r>
        <w:rPr>
          <w:rFonts w:hint="eastAsia" w:ascii="仿宋_GB2312" w:eastAsia="仿宋_GB2312"/>
          <w:sz w:val="32"/>
          <w:szCs w:val="32"/>
        </w:rPr>
        <w:t>（</w:t>
      </w:r>
      <w:r>
        <w:rPr>
          <w:rFonts w:hint="eastAsia" w:ascii="仿宋_GB2312" w:eastAsia="仿宋_GB2312"/>
          <w:sz w:val="32"/>
          <w:szCs w:val="32"/>
          <w:lang w:val="en-US" w:eastAsia="zh-CN"/>
        </w:rPr>
        <w:t>01</w:t>
      </w:r>
      <w:r>
        <w:rPr>
          <w:rFonts w:hint="eastAsia" w:ascii="仿宋_GB2312" w:eastAsia="仿宋_GB2312"/>
          <w:sz w:val="32"/>
          <w:szCs w:val="32"/>
        </w:rPr>
        <w:t>）</w:t>
      </w:r>
      <w:r>
        <w:rPr>
          <w:rFonts w:hint="eastAsia" w:ascii="仿宋_GB2312" w:eastAsia="仿宋_GB2312"/>
          <w:color w:val="auto"/>
          <w:sz w:val="32"/>
          <w:szCs w:val="32"/>
        </w:rPr>
        <w:t>: 反映行政单位（包括实行公务员管理的事业单位）的基本支出。</w:t>
      </w:r>
    </w:p>
    <w:p>
      <w:pPr>
        <w:ind w:firstLine="632" w:firstLineChars="200"/>
        <w:rPr>
          <w:rFonts w:hint="eastAsia" w:ascii="仿宋_GB2312" w:eastAsia="仿宋_GB2312"/>
          <w:color w:val="auto"/>
          <w:sz w:val="32"/>
          <w:szCs w:val="32"/>
        </w:rPr>
      </w:pPr>
      <w:r>
        <w:rPr>
          <w:rFonts w:hint="eastAsia" w:ascii="仿宋_GB2312" w:eastAsia="仿宋_GB2312"/>
          <w:color w:val="auto"/>
          <w:sz w:val="32"/>
          <w:szCs w:val="32"/>
        </w:rPr>
        <w:t>10.社会保障和就业支出（208）行政事业单位</w:t>
      </w:r>
      <w:r>
        <w:rPr>
          <w:rFonts w:hint="eastAsia" w:ascii="仿宋_GB2312" w:eastAsia="仿宋_GB2312"/>
          <w:color w:val="auto"/>
          <w:sz w:val="32"/>
          <w:szCs w:val="32"/>
          <w:lang w:eastAsia="zh-CN"/>
        </w:rPr>
        <w:t>养老支出</w:t>
      </w:r>
      <w:r>
        <w:rPr>
          <w:rFonts w:hint="eastAsia" w:ascii="仿宋_GB2312" w:eastAsia="仿宋_GB2312"/>
          <w:color w:val="auto"/>
          <w:sz w:val="32"/>
          <w:szCs w:val="32"/>
        </w:rPr>
        <w:t>（05）</w:t>
      </w:r>
      <w:r>
        <w:rPr>
          <w:rFonts w:hint="eastAsia" w:ascii="仿宋_GB2312" w:eastAsia="仿宋_GB2312"/>
          <w:color w:val="auto"/>
          <w:sz w:val="32"/>
          <w:szCs w:val="32"/>
          <w:lang w:eastAsia="zh-CN"/>
        </w:rPr>
        <w:t>行政单位离退休</w:t>
      </w:r>
      <w:r>
        <w:rPr>
          <w:rFonts w:hint="eastAsia" w:ascii="仿宋_GB2312" w:eastAsia="仿宋_GB2312"/>
          <w:color w:val="auto"/>
          <w:sz w:val="32"/>
          <w:szCs w:val="32"/>
        </w:rPr>
        <w:t>（0</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）:反映行政单位（包括实行公务员管理的事业单位）的</w:t>
      </w:r>
      <w:r>
        <w:rPr>
          <w:rFonts w:hint="eastAsia" w:ascii="仿宋_GB2312" w:eastAsia="仿宋_GB2312"/>
          <w:color w:val="auto"/>
          <w:sz w:val="32"/>
          <w:szCs w:val="32"/>
          <w:lang w:eastAsia="zh-CN"/>
        </w:rPr>
        <w:t>离退休经费</w:t>
      </w:r>
      <w:r>
        <w:rPr>
          <w:rFonts w:hint="eastAsia" w:ascii="仿宋_GB2312" w:eastAsia="仿宋_GB2312"/>
          <w:color w:val="auto"/>
          <w:sz w:val="32"/>
          <w:szCs w:val="32"/>
        </w:rPr>
        <w:t>。</w:t>
      </w:r>
    </w:p>
    <w:p>
      <w:pPr>
        <w:numPr>
          <w:ilvl w:val="0"/>
          <w:numId w:val="0"/>
        </w:numPr>
        <w:ind w:firstLine="632"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11.</w:t>
      </w:r>
      <w:r>
        <w:rPr>
          <w:rFonts w:hint="eastAsia" w:ascii="仿宋_GB2312" w:eastAsia="仿宋_GB2312"/>
          <w:color w:val="auto"/>
          <w:sz w:val="32"/>
          <w:szCs w:val="32"/>
        </w:rPr>
        <w:t>社会保障和就业支出（208）行政事业单位</w:t>
      </w:r>
      <w:r>
        <w:rPr>
          <w:rFonts w:hint="eastAsia" w:ascii="仿宋_GB2312" w:eastAsia="仿宋_GB2312"/>
          <w:color w:val="auto"/>
          <w:sz w:val="32"/>
          <w:szCs w:val="32"/>
          <w:lang w:eastAsia="zh-CN"/>
        </w:rPr>
        <w:t>养老支出</w:t>
      </w:r>
      <w:r>
        <w:rPr>
          <w:rFonts w:hint="eastAsia" w:ascii="仿宋_GB2312" w:eastAsia="仿宋_GB2312"/>
          <w:color w:val="auto"/>
          <w:sz w:val="32"/>
          <w:szCs w:val="32"/>
        </w:rPr>
        <w:t>（05）机关事业单位基本养老保险缴费支出（05）:反映机关事业单位实施养老保险制度由单位缴纳的基本养老保险支出。</w:t>
      </w:r>
    </w:p>
    <w:p>
      <w:pPr>
        <w:ind w:firstLine="632"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12</w:t>
      </w:r>
      <w:r>
        <w:rPr>
          <w:rFonts w:hint="eastAsia" w:ascii="仿宋_GB2312" w:eastAsia="仿宋_GB2312"/>
          <w:color w:val="auto"/>
          <w:sz w:val="32"/>
          <w:szCs w:val="32"/>
        </w:rPr>
        <w:t>.社会保障和就业支出（208）残疾人事业（11）行政运行（01）:反映行政单位（包括实行公务员管理的事业单位）的基本支出。</w:t>
      </w:r>
    </w:p>
    <w:p>
      <w:pPr>
        <w:ind w:firstLine="632"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13</w:t>
      </w:r>
      <w:r>
        <w:rPr>
          <w:rFonts w:hint="eastAsia" w:ascii="仿宋_GB2312" w:eastAsia="仿宋_GB2312"/>
          <w:color w:val="auto"/>
          <w:sz w:val="32"/>
          <w:szCs w:val="32"/>
        </w:rPr>
        <w:t>.社会保障和就业支出（208）残疾人事业（11）残疾人康复（04）:反映残疾人联合会用于残疾人康复方面的支出。</w:t>
      </w:r>
    </w:p>
    <w:p>
      <w:pPr>
        <w:ind w:firstLine="632"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14</w:t>
      </w:r>
      <w:r>
        <w:rPr>
          <w:rFonts w:hint="eastAsia" w:ascii="仿宋_GB2312" w:eastAsia="仿宋_GB2312"/>
          <w:color w:val="auto"/>
          <w:sz w:val="32"/>
          <w:szCs w:val="32"/>
        </w:rPr>
        <w:t>.社会保障和就业支出（208）残疾人事业（11）残疾人就业（05）:反映残疾人联合会用于就业方面的支出。</w:t>
      </w:r>
    </w:p>
    <w:p>
      <w:pPr>
        <w:ind w:firstLine="632"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15</w:t>
      </w:r>
      <w:r>
        <w:rPr>
          <w:rFonts w:hint="eastAsia" w:ascii="仿宋_GB2312" w:eastAsia="仿宋_GB2312"/>
          <w:color w:val="auto"/>
          <w:sz w:val="32"/>
          <w:szCs w:val="32"/>
        </w:rPr>
        <w:t>.社会保障和就业支出（208）残疾人事业（11）其他残疾人事业支出（99）:反映除上述项目以外其他用于残疾人事业方面的支出。</w:t>
      </w:r>
    </w:p>
    <w:p>
      <w:pPr>
        <w:ind w:firstLine="632"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16</w:t>
      </w:r>
      <w:r>
        <w:rPr>
          <w:rFonts w:hint="eastAsia" w:ascii="仿宋_GB2312" w:eastAsia="仿宋_GB2312"/>
          <w:color w:val="auto"/>
          <w:sz w:val="32"/>
          <w:szCs w:val="32"/>
        </w:rPr>
        <w:t>.社会保障和就业支出（208）其他社会保障和就业支出（99）其他社会保障和就业支出（</w:t>
      </w:r>
      <w:r>
        <w:rPr>
          <w:rFonts w:hint="eastAsia" w:ascii="仿宋_GB2312" w:eastAsia="仿宋_GB2312"/>
          <w:color w:val="auto"/>
          <w:sz w:val="32"/>
          <w:szCs w:val="32"/>
          <w:lang w:val="en-US" w:eastAsia="zh-CN"/>
        </w:rPr>
        <w:t>99</w:t>
      </w:r>
      <w:r>
        <w:rPr>
          <w:rFonts w:hint="eastAsia" w:ascii="仿宋_GB2312" w:eastAsia="仿宋_GB2312"/>
          <w:color w:val="auto"/>
          <w:sz w:val="32"/>
          <w:szCs w:val="32"/>
        </w:rPr>
        <w:t>）:反映除上述项目外其他用于社会保障和就业方面的支出</w:t>
      </w:r>
      <w:r>
        <w:rPr>
          <w:rFonts w:hint="eastAsia" w:ascii="仿宋_GB2312" w:eastAsia="仿宋_GB2312"/>
          <w:color w:val="auto"/>
          <w:sz w:val="32"/>
          <w:szCs w:val="32"/>
          <w:lang w:eastAsia="zh-CN"/>
        </w:rPr>
        <w:t>。</w:t>
      </w:r>
    </w:p>
    <w:p>
      <w:pPr>
        <w:ind w:firstLine="632"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17</w:t>
      </w:r>
      <w:r>
        <w:rPr>
          <w:rFonts w:hint="eastAsia" w:ascii="仿宋_GB2312" w:eastAsia="仿宋_GB2312"/>
          <w:color w:val="auto"/>
          <w:sz w:val="32"/>
          <w:szCs w:val="32"/>
        </w:rPr>
        <w:t>.卫生健康支出（210）行政事业单位医疗（11）行政单位医疗（01）:反映财政部门集中安排的行政单位基本医疗保险缴费经费，未参加医疗保险的行政单位的公费医疗经费，按国家规定享受离休人员、红军老战士待遇人员的医疗经费。</w:t>
      </w:r>
    </w:p>
    <w:p>
      <w:pPr>
        <w:ind w:firstLine="632"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18</w:t>
      </w:r>
      <w:r>
        <w:rPr>
          <w:rFonts w:hint="eastAsia" w:ascii="仿宋_GB2312" w:eastAsia="仿宋_GB2312"/>
          <w:color w:val="auto"/>
          <w:sz w:val="32"/>
          <w:szCs w:val="32"/>
        </w:rPr>
        <w:t>.卫生健康支出（210）行政事业单位医疗（11）事业单位医疗（02）:反映财政部门集中安排的事业单位基本医疗保险缴费经费，未参加医疗保险的事业单位的公费医疗经费，按国家规定享受离休人员待遇人员的医疗经费。</w:t>
      </w:r>
    </w:p>
    <w:p>
      <w:pPr>
        <w:ind w:firstLine="632"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19</w:t>
      </w:r>
      <w:r>
        <w:rPr>
          <w:rFonts w:hint="eastAsia" w:ascii="仿宋_GB2312" w:eastAsia="仿宋_GB2312"/>
          <w:color w:val="auto"/>
          <w:sz w:val="32"/>
          <w:szCs w:val="32"/>
        </w:rPr>
        <w:t>.卫生健康支出（210）行政事业单位医疗（11）公务员医疗补助（03）:反映财政部门集中安排的公务员医疗补助经费。</w:t>
      </w:r>
    </w:p>
    <w:p>
      <w:pPr>
        <w:ind w:firstLine="632"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20</w:t>
      </w:r>
      <w:r>
        <w:rPr>
          <w:rFonts w:hint="eastAsia" w:ascii="仿宋_GB2312" w:eastAsia="仿宋_GB2312"/>
          <w:color w:val="auto"/>
          <w:sz w:val="32"/>
          <w:szCs w:val="32"/>
        </w:rPr>
        <w:t>.住房保障支出（221）住房改革支出（02）住房公积金（01）:反映行政事业单位按人力资源和社会保障部、财政部规定的基本工资和津贴补贴以及规定比例为职工缴纳的住房公积金。</w:t>
      </w:r>
    </w:p>
    <w:p>
      <w:pPr>
        <w:spacing w:line="600" w:lineRule="exact"/>
        <w:ind w:firstLine="640"/>
        <w:rPr>
          <w:rFonts w:hint="eastAsia" w:ascii="仿宋_GB2312" w:eastAsia="仿宋_GB2312"/>
          <w:color w:val="auto"/>
          <w:sz w:val="32"/>
          <w:szCs w:val="32"/>
        </w:rPr>
      </w:pPr>
      <w:r>
        <w:rPr>
          <w:rFonts w:hint="eastAsia" w:ascii="仿宋_GB2312" w:eastAsia="仿宋_GB2312"/>
          <w:color w:val="auto"/>
          <w:sz w:val="32"/>
          <w:szCs w:val="32"/>
          <w:lang w:val="en-US" w:eastAsia="zh-CN"/>
        </w:rPr>
        <w:t>21</w:t>
      </w:r>
      <w:r>
        <w:rPr>
          <w:rFonts w:hint="eastAsia" w:ascii="仿宋_GB2312" w:eastAsia="仿宋_GB2312"/>
          <w:color w:val="auto"/>
          <w:sz w:val="32"/>
          <w:szCs w:val="32"/>
        </w:rPr>
        <w:t>.其他支出（229）彩票公益金安排的支出（60）用于残疾人事业的彩票公益金支出（06）:反映用于残疾人事业的彩票公益金支出。</w:t>
      </w:r>
    </w:p>
    <w:p>
      <w:pPr>
        <w:spacing w:line="600" w:lineRule="exact"/>
        <w:ind w:firstLine="64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22.</w:t>
      </w:r>
      <w:r>
        <w:rPr>
          <w:rFonts w:hint="eastAsia" w:ascii="仿宋_GB2312" w:eastAsia="仿宋_GB2312"/>
          <w:color w:val="auto"/>
          <w:sz w:val="32"/>
          <w:szCs w:val="32"/>
          <w:lang w:eastAsia="zh-CN"/>
        </w:rPr>
        <w:t>农林水支出（</w:t>
      </w:r>
      <w:r>
        <w:rPr>
          <w:rFonts w:hint="eastAsia" w:ascii="仿宋_GB2312" w:eastAsia="仿宋_GB2312"/>
          <w:color w:val="auto"/>
          <w:sz w:val="32"/>
          <w:szCs w:val="32"/>
          <w:lang w:val="en-US" w:eastAsia="zh-CN"/>
        </w:rPr>
        <w:t>213</w:t>
      </w:r>
      <w:r>
        <w:rPr>
          <w:rFonts w:hint="eastAsia" w:ascii="仿宋_GB2312" w:eastAsia="仿宋_GB2312"/>
          <w:color w:val="auto"/>
          <w:sz w:val="32"/>
          <w:szCs w:val="32"/>
          <w:lang w:eastAsia="zh-CN"/>
        </w:rPr>
        <w:t>）巩固拓展脱贫</w:t>
      </w:r>
      <w:r>
        <w:rPr>
          <w:rFonts w:hint="eastAsia" w:ascii="仿宋_GB2312" w:eastAsia="仿宋_GB2312"/>
          <w:color w:val="auto"/>
          <w:sz w:val="32"/>
          <w:szCs w:val="32"/>
          <w:lang w:val="en-US" w:eastAsia="zh-CN"/>
        </w:rPr>
        <w:t>攻坚成果</w:t>
      </w:r>
      <w:r>
        <w:rPr>
          <w:rFonts w:hint="eastAsia" w:ascii="仿宋_GB2312" w:eastAsia="仿宋_GB2312"/>
          <w:color w:val="auto"/>
          <w:sz w:val="32"/>
          <w:szCs w:val="32"/>
          <w:lang w:eastAsia="zh-CN"/>
        </w:rPr>
        <w:t>衔接乡村振兴（</w:t>
      </w:r>
      <w:r>
        <w:rPr>
          <w:rFonts w:hint="eastAsia" w:ascii="仿宋_GB2312" w:eastAsia="仿宋_GB2312"/>
          <w:color w:val="auto"/>
          <w:sz w:val="32"/>
          <w:szCs w:val="32"/>
          <w:lang w:val="en-US" w:eastAsia="zh-CN"/>
        </w:rPr>
        <w:t>05</w:t>
      </w:r>
      <w:r>
        <w:rPr>
          <w:rFonts w:hint="eastAsia" w:ascii="仿宋_GB2312" w:eastAsia="仿宋_GB2312"/>
          <w:color w:val="auto"/>
          <w:sz w:val="32"/>
          <w:szCs w:val="32"/>
          <w:lang w:eastAsia="zh-CN"/>
        </w:rPr>
        <w:t>）其他巩固拓展脱贫</w:t>
      </w:r>
      <w:r>
        <w:rPr>
          <w:rFonts w:hint="eastAsia" w:ascii="仿宋_GB2312" w:eastAsia="仿宋_GB2312"/>
          <w:color w:val="auto"/>
          <w:sz w:val="32"/>
          <w:szCs w:val="32"/>
          <w:lang w:val="en-US" w:eastAsia="zh-CN"/>
        </w:rPr>
        <w:t>攻坚成果</w:t>
      </w:r>
      <w:r>
        <w:rPr>
          <w:rFonts w:hint="eastAsia" w:ascii="仿宋_GB2312" w:eastAsia="仿宋_GB2312"/>
          <w:color w:val="auto"/>
          <w:sz w:val="32"/>
          <w:szCs w:val="32"/>
          <w:lang w:eastAsia="zh-CN"/>
        </w:rPr>
        <w:t>衔接乡村振兴支出（</w:t>
      </w:r>
      <w:r>
        <w:rPr>
          <w:rFonts w:hint="eastAsia" w:ascii="仿宋_GB2312" w:eastAsia="仿宋_GB2312"/>
          <w:color w:val="auto"/>
          <w:sz w:val="32"/>
          <w:szCs w:val="32"/>
          <w:lang w:val="en-US" w:eastAsia="zh-CN"/>
        </w:rPr>
        <w:t>99</w:t>
      </w:r>
      <w:r>
        <w:rPr>
          <w:rFonts w:hint="eastAsia" w:ascii="仿宋_GB2312" w:eastAsia="仿宋_GB2312"/>
          <w:color w:val="auto"/>
          <w:sz w:val="32"/>
          <w:szCs w:val="32"/>
          <w:lang w:eastAsia="zh-CN"/>
        </w:rPr>
        <w:t>）：</w:t>
      </w:r>
      <w:r>
        <w:rPr>
          <w:rFonts w:hint="eastAsia" w:ascii="仿宋_GB2312" w:eastAsia="仿宋_GB2312"/>
          <w:color w:val="auto"/>
          <w:sz w:val="32"/>
          <w:szCs w:val="32"/>
        </w:rPr>
        <w:t>反映除上述项目外其他用于</w:t>
      </w:r>
      <w:r>
        <w:rPr>
          <w:rFonts w:hint="eastAsia" w:ascii="仿宋_GB2312" w:eastAsia="仿宋_GB2312"/>
          <w:color w:val="auto"/>
          <w:sz w:val="32"/>
          <w:szCs w:val="32"/>
          <w:lang w:eastAsia="zh-CN"/>
        </w:rPr>
        <w:t>其他巩固拓展脱贫攻坚成果同乡村振兴有效衔接方面的</w:t>
      </w:r>
      <w:r>
        <w:rPr>
          <w:rFonts w:hint="eastAsia" w:ascii="仿宋_GB2312" w:eastAsia="仿宋_GB2312"/>
          <w:color w:val="auto"/>
          <w:sz w:val="32"/>
          <w:szCs w:val="32"/>
        </w:rPr>
        <w:t>支出</w:t>
      </w:r>
      <w:r>
        <w:rPr>
          <w:rFonts w:hint="eastAsia" w:ascii="仿宋_GB2312" w:eastAsia="仿宋_GB2312"/>
          <w:color w:val="auto"/>
          <w:sz w:val="32"/>
          <w:szCs w:val="32"/>
          <w:lang w:eastAsia="zh-CN"/>
        </w:rPr>
        <w:t>。</w:t>
      </w:r>
    </w:p>
    <w:p>
      <w:pPr>
        <w:ind w:firstLine="632"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23</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pPr>
        <w:ind w:firstLine="632"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24</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pPr>
        <w:ind w:firstLine="632"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25</w:t>
      </w:r>
      <w:r>
        <w:rPr>
          <w:rFonts w:ascii="仿宋_GB2312" w:eastAsia="仿宋_GB2312"/>
          <w:color w:val="auto"/>
          <w:sz w:val="32"/>
          <w:szCs w:val="32"/>
          <w:highlight w:val="none"/>
        </w:rPr>
        <w:t>.</w:t>
      </w:r>
      <w:r>
        <w:rPr>
          <w:rFonts w:hint="eastAsia" w:ascii="仿宋_GB2312" w:eastAsia="仿宋_GB2312"/>
          <w:color w:val="auto"/>
          <w:sz w:val="32"/>
          <w:szCs w:val="32"/>
          <w:highlight w:val="none"/>
        </w:rPr>
        <w:t>经营支出：指事业单位在专业业务活动及其辅助活动之外开展非独立核算经营活动发生的支出。</w:t>
      </w:r>
    </w:p>
    <w:p>
      <w:pPr>
        <w:pStyle w:val="30"/>
        <w:spacing w:line="560" w:lineRule="exact"/>
        <w:ind w:firstLine="632"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26</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30"/>
        <w:spacing w:line="560" w:lineRule="exact"/>
        <w:ind w:firstLine="632"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27</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autoSpaceDN/>
        <w:bidi w:val="0"/>
        <w:adjustRightInd w:val="0"/>
        <w:snapToGrid w:val="0"/>
        <w:spacing w:line="560" w:lineRule="atLeast"/>
        <w:ind w:firstLine="2180" w:firstLineChars="500"/>
        <w:rPr>
          <w:rFonts w:hint="default" w:ascii="Times New Roman" w:hAnsi="Times New Roman" w:eastAsia="仿宋_GB2312" w:cs="Times New Roman"/>
          <w:color w:val="auto"/>
          <w:sz w:val="32"/>
          <w:szCs w:val="32"/>
          <w:shd w:val="clear" w:color="auto" w:fill="FFFFFF"/>
          <w:lang w:val="en-US" w:eastAsia="zh-CN"/>
        </w:rPr>
      </w:pPr>
      <w:bookmarkStart w:id="70" w:name="_Toc15377226"/>
      <w:r>
        <w:rPr>
          <w:rFonts w:ascii="宋体"/>
          <w:b/>
          <w:color w:val="auto"/>
          <w:sz w:val="44"/>
          <w:szCs w:val="44"/>
          <w:highlight w:val="none"/>
        </w:rPr>
        <w:br w:type="page"/>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Style w:val="32"/>
          <w:rFonts w:hint="eastAsia" w:ascii="黑体" w:hAnsi="黑体" w:eastAsia="黑体"/>
          <w:b w:val="0"/>
          <w:color w:val="auto"/>
          <w:highlight w:val="none"/>
          <w:lang w:eastAsia="zh-CN"/>
        </w:rPr>
      </w:pPr>
      <w:bookmarkStart w:id="71" w:name="_Toc15396614"/>
      <w:bookmarkStart w:id="72" w:name="_Toc12871"/>
      <w:r>
        <w:rPr>
          <w:rFonts w:hint="eastAsia" w:ascii="黑体" w:hAnsi="黑体" w:eastAsia="黑体"/>
          <w:color w:val="auto"/>
          <w:sz w:val="44"/>
          <w:szCs w:val="44"/>
          <w:highlight w:val="none"/>
        </w:rPr>
        <w:t>第</w:t>
      </w:r>
      <w:r>
        <w:rPr>
          <w:rStyle w:val="32"/>
          <w:rFonts w:hint="eastAsia" w:ascii="黑体" w:hAnsi="黑体" w:eastAsia="黑体"/>
          <w:b w:val="0"/>
          <w:color w:val="auto"/>
          <w:highlight w:val="none"/>
        </w:rPr>
        <w:t>四部分 附件</w:t>
      </w:r>
      <w:bookmarkEnd w:id="71"/>
      <w:bookmarkEnd w:id="72"/>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FF0000"/>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方正小标宋简体" w:hAnsi="方正小标宋简体" w:eastAsia="黑体" w:cs="方正小标宋简体"/>
          <w:color w:val="auto"/>
          <w:sz w:val="44"/>
          <w:szCs w:val="44"/>
          <w:highlight w:val="none"/>
          <w:lang w:val="en-US" w:eastAsia="zh-CN"/>
        </w:rPr>
      </w:pPr>
      <w:bookmarkStart w:id="73" w:name="_Toc4452"/>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1</w:t>
      </w:r>
      <w:bookmarkEnd w:id="73"/>
    </w:p>
    <w:p>
      <w:pPr>
        <w:pStyle w:val="8"/>
        <w:keepNext w:val="0"/>
        <w:keepLines w:val="0"/>
        <w:pageBreakBefore w:val="0"/>
        <w:numPr>
          <w:ilvl w:val="0"/>
          <w:numId w:val="0"/>
        </w:numPr>
        <w:kinsoku/>
        <w:wordWrap/>
        <w:overflowPunct/>
        <w:topLinePunct w:val="0"/>
        <w:autoSpaceDE/>
        <w:autoSpaceDN/>
        <w:bidi w:val="0"/>
        <w:spacing w:line="560" w:lineRule="exact"/>
        <w:ind w:firstLine="632" w:firstLineChars="200"/>
        <w:textAlignment w:val="auto"/>
        <w:rPr>
          <w:rFonts w:hint="eastAsia" w:hAnsi="Times New Roman" w:cs="Times New Roman"/>
          <w:color w:val="auto"/>
          <w:sz w:val="32"/>
          <w:szCs w:val="32"/>
          <w:highlight w:val="none"/>
          <w:lang w:val="zh-CN" w:eastAsia="zh-CN"/>
        </w:rPr>
      </w:pPr>
    </w:p>
    <w:bookmarkEnd w:id="70"/>
    <w:p>
      <w:pPr>
        <w:pStyle w:val="38"/>
        <w:keepNext w:val="0"/>
        <w:keepLines w:val="0"/>
        <w:pageBreakBefore w:val="0"/>
        <w:widowControl w:val="0"/>
        <w:kinsoku/>
        <w:wordWrap/>
        <w:overflowPunct/>
        <w:topLinePunct w:val="0"/>
        <w:bidi w:val="0"/>
        <w:adjustRightInd w:val="0"/>
        <w:snapToGrid w:val="0"/>
        <w:spacing w:line="560" w:lineRule="atLeast"/>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遂宁市船山区残疾人联合会</w:t>
      </w:r>
    </w:p>
    <w:p>
      <w:pPr>
        <w:pStyle w:val="38"/>
        <w:keepNext w:val="0"/>
        <w:keepLines w:val="0"/>
        <w:pageBreakBefore w:val="0"/>
        <w:widowControl w:val="0"/>
        <w:kinsoku/>
        <w:wordWrap/>
        <w:overflowPunct/>
        <w:topLinePunct w:val="0"/>
        <w:bidi w:val="0"/>
        <w:adjustRightInd w:val="0"/>
        <w:snapToGrid w:val="0"/>
        <w:spacing w:line="560" w:lineRule="atLeast"/>
        <w:jc w:val="center"/>
        <w:rPr>
          <w:rFonts w:hint="default" w:ascii="Times New Roman" w:hAnsi="Times New Roman" w:eastAsia="方正小标宋简体" w:cs="Times New Roman"/>
          <w:color w:val="auto"/>
          <w:kern w:val="2"/>
          <w:sz w:val="44"/>
          <w:szCs w:val="44"/>
        </w:rPr>
      </w:pPr>
      <w:r>
        <w:rPr>
          <w:rFonts w:hint="default" w:ascii="Times New Roman" w:hAnsi="Times New Roman" w:eastAsia="方正小标宋简体" w:cs="Times New Roman"/>
          <w:color w:val="auto"/>
          <w:sz w:val="44"/>
          <w:szCs w:val="44"/>
          <w:lang w:eastAsia="zh-CN"/>
        </w:rPr>
        <w:t>202</w:t>
      </w:r>
      <w:r>
        <w:rPr>
          <w:rFonts w:hint="eastAsia" w:ascii="Times New Roman" w:hAnsi="Times New Roman" w:eastAsia="方正小标宋简体" w:cs="Times New Roman"/>
          <w:color w:val="auto"/>
          <w:sz w:val="44"/>
          <w:szCs w:val="44"/>
          <w:lang w:val="en-US" w:eastAsia="zh-CN"/>
        </w:rPr>
        <w:t>4</w:t>
      </w:r>
      <w:r>
        <w:rPr>
          <w:rFonts w:hint="default" w:ascii="Times New Roman" w:hAnsi="Times New Roman" w:eastAsia="方正小标宋简体" w:cs="Times New Roman"/>
          <w:color w:val="auto"/>
          <w:sz w:val="44"/>
          <w:szCs w:val="44"/>
          <w:lang w:eastAsia="zh-CN"/>
        </w:rPr>
        <w:t>年区级部门整体支出</w:t>
      </w:r>
      <w:r>
        <w:rPr>
          <w:rFonts w:hint="default" w:ascii="Times New Roman" w:hAnsi="Times New Roman" w:eastAsia="方正小标宋简体" w:cs="Times New Roman"/>
          <w:color w:val="auto"/>
          <w:sz w:val="44"/>
          <w:szCs w:val="44"/>
        </w:rPr>
        <w:t>绩效自评报告</w:t>
      </w:r>
    </w:p>
    <w:p>
      <w:pPr>
        <w:keepNext w:val="0"/>
        <w:keepLines w:val="0"/>
        <w:pageBreakBefore w:val="0"/>
        <w:widowControl w:val="0"/>
        <w:kinsoku/>
        <w:wordWrap/>
        <w:overflowPunct/>
        <w:topLinePunct w:val="0"/>
        <w:bidi w:val="0"/>
        <w:adjustRightInd w:val="0"/>
        <w:snapToGrid w:val="0"/>
        <w:spacing w:line="560" w:lineRule="atLeast"/>
        <w:jc w:val="center"/>
        <w:rPr>
          <w:rFonts w:hint="default" w:ascii="Times New Roman" w:hAnsi="Times New Roman" w:eastAsia="仿宋_GB2312" w:cs="Times New Roman"/>
          <w:b/>
          <w:bCs/>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atLeas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区财政局：</w:t>
      </w:r>
    </w:p>
    <w:p>
      <w:pPr>
        <w:keepNext w:val="0"/>
        <w:keepLines w:val="0"/>
        <w:pageBreakBefore w:val="0"/>
        <w:widowControl w:val="0"/>
        <w:kinsoku/>
        <w:wordWrap/>
        <w:overflowPunct/>
        <w:topLinePunct w:val="0"/>
        <w:autoSpaceDE/>
        <w:autoSpaceDN/>
        <w:bidi w:val="0"/>
        <w:adjustRightInd w:val="0"/>
        <w:snapToGrid w:val="0"/>
        <w:spacing w:line="560" w:lineRule="atLeast"/>
        <w:ind w:firstLine="632"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现将我会部门整体支出绩效评价情况报告如下：</w:t>
      </w:r>
    </w:p>
    <w:p>
      <w:pPr>
        <w:keepNext w:val="0"/>
        <w:keepLines w:val="0"/>
        <w:pageBreakBefore w:val="0"/>
        <w:widowControl w:val="0"/>
        <w:kinsoku/>
        <w:wordWrap/>
        <w:overflowPunct/>
        <w:topLinePunct w:val="0"/>
        <w:autoSpaceDE/>
        <w:autoSpaceDN/>
        <w:bidi w:val="0"/>
        <w:adjustRightInd w:val="0"/>
        <w:snapToGrid w:val="0"/>
        <w:spacing w:line="560" w:lineRule="atLeast"/>
        <w:ind w:firstLine="632"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一、部门概况</w:t>
      </w:r>
    </w:p>
    <w:p>
      <w:pPr>
        <w:keepNext w:val="0"/>
        <w:keepLines w:val="0"/>
        <w:pageBreakBefore w:val="0"/>
        <w:widowControl w:val="0"/>
        <w:kinsoku/>
        <w:wordWrap/>
        <w:overflowPunct/>
        <w:topLinePunct w:val="0"/>
        <w:autoSpaceDE/>
        <w:autoSpaceDN/>
        <w:bidi w:val="0"/>
        <w:adjustRightInd w:val="0"/>
        <w:snapToGrid w:val="0"/>
        <w:spacing w:line="560" w:lineRule="atLeast"/>
        <w:ind w:firstLine="474" w:firstLineChars="15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color w:val="auto"/>
          <w:sz w:val="32"/>
          <w:szCs w:val="32"/>
          <w:lang w:val="zh-CN"/>
        </w:rPr>
        <w:t>（一）机构组成。</w:t>
      </w:r>
      <w:r>
        <w:rPr>
          <w:rFonts w:hint="default" w:ascii="Times New Roman" w:hAnsi="Times New Roman" w:eastAsia="仿宋_GB2312" w:cs="Times New Roman"/>
          <w:color w:val="auto"/>
          <w:sz w:val="32"/>
          <w:szCs w:val="32"/>
        </w:rPr>
        <w:t>遂宁市船山区残疾人联合会为正科职参公管理事业单位，下设办公室、康复股、宣文股、维权股等4个股室，区残疾人就业服务所、区残疾人康复中心（含辅助器具服务站）等2个下属事业单位。</w:t>
      </w:r>
    </w:p>
    <w:p>
      <w:pPr>
        <w:keepNext w:val="0"/>
        <w:keepLines w:val="0"/>
        <w:pageBreakBefore w:val="0"/>
        <w:widowControl w:val="0"/>
        <w:kinsoku/>
        <w:wordWrap/>
        <w:overflowPunct/>
        <w:topLinePunct w:val="0"/>
        <w:autoSpaceDE/>
        <w:autoSpaceDN/>
        <w:bidi w:val="0"/>
        <w:adjustRightInd w:val="0"/>
        <w:snapToGrid w:val="0"/>
        <w:spacing w:line="560" w:lineRule="atLeast"/>
        <w:ind w:firstLine="632"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color w:val="auto"/>
          <w:sz w:val="32"/>
          <w:szCs w:val="32"/>
          <w:lang w:val="zh-CN"/>
        </w:rPr>
        <w:t>（二）机构职能。</w:t>
      </w:r>
      <w:r>
        <w:rPr>
          <w:rFonts w:hint="default" w:ascii="Times New Roman" w:hAnsi="Times New Roman" w:eastAsia="仿宋_GB2312" w:cs="Times New Roman"/>
          <w:color w:val="auto"/>
          <w:sz w:val="32"/>
          <w:szCs w:val="32"/>
        </w:rPr>
        <w:t>一是听取残疾人意见，反映残疾人需求，维护残疾人权益，为残疾人服务。二是团结、教育残疾人遵守法律，履行应尽的义务，发扬乐观</w:t>
      </w:r>
      <w:r>
        <w:rPr>
          <w:rFonts w:hint="eastAsia" w:eastAsia="仿宋_GB2312" w:cs="Times New Roman"/>
          <w:color w:val="auto"/>
          <w:sz w:val="32"/>
          <w:szCs w:val="32"/>
          <w:lang w:eastAsia="zh-CN"/>
        </w:rPr>
        <w:t>进取</w:t>
      </w:r>
      <w:r>
        <w:rPr>
          <w:rFonts w:hint="default" w:ascii="Times New Roman" w:hAnsi="Times New Roman" w:eastAsia="仿宋_GB2312" w:cs="Times New Roman"/>
          <w:color w:val="auto"/>
          <w:sz w:val="32"/>
          <w:szCs w:val="32"/>
        </w:rPr>
        <w:t>精神，自尊、自信、自强、自理，为社会主义建设贡献力量。三是弘扬人道主义，宣传残疾人事业，沟通政府、社会与残疾人之间的联系，动员社会理解、尊重、关心、帮助残疾人。四是开展残疾人康复、扶贫、教育、文化、体育、科研、福利、用品供应、社会服务、无障碍设施和残疾预防工作，创造良好的环境和条件，扶助残疾人平等参与社会生活。五是协助政府研究、制定和实施残疾人事业政策、规划和计划，起草有关保障残疾人权益的法规草案；调查掌握残疾人状况，向政府提出决策建议。六是开展法律服务和法律援助工作，协调司法机关、法律援助中心依法维护残疾人的各项权益。七是开展困难残疾人的社会救助，协助有关部门做好困难残疾人的最低生活保障和生活救济等社会保障工作。八是组织实施残疾人分散按比例就业工作，指导和帮助残疾人组织起来或个体就业，开展残疾人的技能培训。九是指导和管理各类残疾人社团组织。十是承担区政府残疾人工作委员会的日常工作，做好综合、组织、协调和服务。十一是承办区委、区政府交办的其他事项。</w:t>
      </w:r>
    </w:p>
    <w:p>
      <w:pPr>
        <w:keepNext w:val="0"/>
        <w:keepLines w:val="0"/>
        <w:pageBreakBefore w:val="0"/>
        <w:widowControl w:val="0"/>
        <w:kinsoku/>
        <w:wordWrap/>
        <w:overflowPunct/>
        <w:topLinePunct w:val="0"/>
        <w:autoSpaceDE/>
        <w:autoSpaceDN/>
        <w:bidi w:val="0"/>
        <w:adjustRightInd w:val="0"/>
        <w:snapToGrid w:val="0"/>
        <w:spacing w:line="560" w:lineRule="atLeast"/>
        <w:ind w:firstLine="474" w:firstLineChars="15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color w:val="auto"/>
          <w:sz w:val="32"/>
          <w:szCs w:val="32"/>
          <w:lang w:val="zh-CN"/>
        </w:rPr>
        <w:t>（三）人员概况。</w:t>
      </w:r>
      <w:r>
        <w:rPr>
          <w:rFonts w:hint="default" w:ascii="Times New Roman" w:hAnsi="Times New Roman" w:eastAsia="仿宋_GB2312" w:cs="Times New Roman"/>
          <w:color w:val="auto"/>
          <w:sz w:val="32"/>
          <w:szCs w:val="32"/>
        </w:rPr>
        <w:t>区残联人员编制10人，20</w:t>
      </w:r>
      <w:r>
        <w:rPr>
          <w:rFonts w:hint="eastAsia" w:ascii="Times New Roman" w:hAnsi="Times New Roman" w:cs="Times New Roman"/>
          <w:color w:val="auto"/>
          <w:sz w:val="32"/>
          <w:szCs w:val="32"/>
          <w:lang w:val="en-US" w:eastAsia="zh-CN"/>
        </w:rPr>
        <w:t>23</w:t>
      </w:r>
      <w:r>
        <w:rPr>
          <w:rFonts w:hint="default" w:ascii="Times New Roman" w:hAnsi="Times New Roman" w:eastAsia="仿宋_GB2312" w:cs="Times New Roman"/>
          <w:color w:val="auto"/>
          <w:sz w:val="32"/>
          <w:szCs w:val="32"/>
        </w:rPr>
        <w:t>年末实有人员</w:t>
      </w:r>
      <w:r>
        <w:rPr>
          <w:rFonts w:hint="default" w:ascii="Times New Roman" w:hAnsi="Times New Roman" w:eastAsia="仿宋_GB2312" w:cs="Times New Roman"/>
          <w:color w:val="auto"/>
          <w:sz w:val="32"/>
          <w:szCs w:val="32"/>
          <w:lang w:val="en-US" w:eastAsia="zh-CN"/>
        </w:rPr>
        <w:t>1</w:t>
      </w:r>
      <w:r>
        <w:rPr>
          <w:rFonts w:hint="eastAsia" w:ascii="Times New Roman" w:hAnsi="Times New Roman" w:cs="Times New Roman"/>
          <w:color w:val="auto"/>
          <w:sz w:val="32"/>
          <w:szCs w:val="32"/>
          <w:lang w:val="en-US" w:eastAsia="zh-CN"/>
        </w:rPr>
        <w:t>1</w:t>
      </w:r>
      <w:r>
        <w:rPr>
          <w:rFonts w:hint="default" w:ascii="Times New Roman" w:hAnsi="Times New Roman" w:eastAsia="仿宋_GB2312" w:cs="Times New Roman"/>
          <w:color w:val="auto"/>
          <w:sz w:val="32"/>
          <w:szCs w:val="32"/>
        </w:rPr>
        <w:t>人。</w:t>
      </w:r>
    </w:p>
    <w:p>
      <w:pPr>
        <w:keepNext w:val="0"/>
        <w:keepLines w:val="0"/>
        <w:pageBreakBefore w:val="0"/>
        <w:widowControl w:val="0"/>
        <w:kinsoku/>
        <w:wordWrap/>
        <w:overflowPunct/>
        <w:topLinePunct w:val="0"/>
        <w:autoSpaceDE/>
        <w:autoSpaceDN/>
        <w:bidi w:val="0"/>
        <w:adjustRightInd w:val="0"/>
        <w:snapToGrid w:val="0"/>
        <w:spacing w:line="560" w:lineRule="atLeast"/>
        <w:ind w:firstLine="632"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二、部门财政资金收支情况</w:t>
      </w:r>
    </w:p>
    <w:p>
      <w:pPr>
        <w:keepNext w:val="0"/>
        <w:keepLines w:val="0"/>
        <w:pageBreakBefore w:val="0"/>
        <w:widowControl w:val="0"/>
        <w:kinsoku/>
        <w:wordWrap/>
        <w:overflowPunct/>
        <w:topLinePunct w:val="0"/>
        <w:autoSpaceDE/>
        <w:autoSpaceDN/>
        <w:bidi w:val="0"/>
        <w:adjustRightInd w:val="0"/>
        <w:snapToGrid w:val="0"/>
        <w:spacing w:line="560" w:lineRule="atLeast"/>
        <w:ind w:firstLine="474" w:firstLineChars="150"/>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楷体_GB2312" w:cs="Times New Roman"/>
          <w:b/>
          <w:bCs/>
          <w:color w:val="auto"/>
          <w:sz w:val="32"/>
          <w:szCs w:val="32"/>
          <w:highlight w:val="none"/>
          <w:lang w:val="zh-CN"/>
        </w:rPr>
        <w:t>（一）部门财政资金收入情况。</w:t>
      </w:r>
      <w:r>
        <w:rPr>
          <w:rFonts w:hint="default" w:ascii="Times New Roman" w:hAnsi="Times New Roman" w:eastAsia="仿宋_GB2312" w:cs="Times New Roman"/>
          <w:color w:val="auto"/>
          <w:sz w:val="32"/>
          <w:szCs w:val="32"/>
          <w:highlight w:val="none"/>
          <w:lang w:val="zh-CN"/>
        </w:rPr>
        <w:t>2023年度收入合计820.44万元，其中财政拨款收入814.12万元，其他收入6.32万元。年初结转和结余0.07万元。</w:t>
      </w:r>
    </w:p>
    <w:p>
      <w:pPr>
        <w:keepNext w:val="0"/>
        <w:keepLines w:val="0"/>
        <w:pageBreakBefore w:val="0"/>
        <w:widowControl w:val="0"/>
        <w:kinsoku/>
        <w:wordWrap/>
        <w:overflowPunct/>
        <w:topLinePunct w:val="0"/>
        <w:autoSpaceDE/>
        <w:autoSpaceDN/>
        <w:bidi w:val="0"/>
        <w:adjustRightInd w:val="0"/>
        <w:snapToGrid w:val="0"/>
        <w:spacing w:line="560" w:lineRule="atLeast"/>
        <w:ind w:firstLine="474" w:firstLineChars="150"/>
        <w:rPr>
          <w:rFonts w:hint="default" w:ascii="Times New Roman" w:hAnsi="Times New Roman" w:eastAsia="仿宋_GB2312" w:cs="Times New Roman"/>
          <w:color w:val="auto"/>
          <w:sz w:val="32"/>
          <w:szCs w:val="32"/>
          <w:lang w:val="zh-CN"/>
        </w:rPr>
      </w:pPr>
      <w:r>
        <w:rPr>
          <w:rFonts w:hint="default" w:ascii="Times New Roman" w:hAnsi="Times New Roman" w:eastAsia="楷体_GB2312" w:cs="Times New Roman"/>
          <w:b/>
          <w:bCs/>
          <w:color w:val="auto"/>
          <w:sz w:val="32"/>
          <w:szCs w:val="32"/>
          <w:lang w:val="zh-CN"/>
        </w:rPr>
        <w:t>（二）部门财政资金支出情况。</w:t>
      </w:r>
      <w:r>
        <w:rPr>
          <w:rFonts w:hint="default" w:ascii="Times New Roman" w:hAnsi="Times New Roman" w:eastAsia="仿宋_GB2312" w:cs="Times New Roman"/>
          <w:color w:val="auto"/>
          <w:sz w:val="32"/>
          <w:szCs w:val="32"/>
          <w:lang w:val="zh-CN"/>
        </w:rPr>
        <w:t>2023年度支出合计820.33万元，其中基本支出219.49万元，项目支出600.84万元。资金</w:t>
      </w:r>
      <w:r>
        <w:rPr>
          <w:rFonts w:hint="default" w:ascii="Times New Roman" w:hAnsi="Times New Roman" w:eastAsia="仿宋_GB2312" w:cs="Times New Roman"/>
          <w:color w:val="auto"/>
          <w:sz w:val="32"/>
          <w:szCs w:val="32"/>
        </w:rPr>
        <w:t>按照现行会计制度规定使用，拨入专款、拨出专款、专项支出等会计科目进行单独核算，财务管理制度健全，并严格执行财务管理制度，账务处理及时，会计核算规范。</w:t>
      </w:r>
    </w:p>
    <w:p>
      <w:pPr>
        <w:keepNext w:val="0"/>
        <w:keepLines w:val="0"/>
        <w:pageBreakBefore w:val="0"/>
        <w:widowControl w:val="0"/>
        <w:kinsoku/>
        <w:wordWrap/>
        <w:overflowPunct/>
        <w:topLinePunct w:val="0"/>
        <w:autoSpaceDE/>
        <w:autoSpaceDN/>
        <w:bidi w:val="0"/>
        <w:adjustRightInd w:val="0"/>
        <w:snapToGrid w:val="0"/>
        <w:spacing w:line="560" w:lineRule="atLeast"/>
        <w:ind w:firstLine="632"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三、部门整体预算绩效管理情况</w:t>
      </w:r>
    </w:p>
    <w:p>
      <w:pPr>
        <w:keepNext w:val="0"/>
        <w:keepLines w:val="0"/>
        <w:pageBreakBefore w:val="0"/>
        <w:widowControl w:val="0"/>
        <w:kinsoku/>
        <w:wordWrap/>
        <w:overflowPunct/>
        <w:topLinePunct w:val="0"/>
        <w:autoSpaceDE/>
        <w:autoSpaceDN/>
        <w:bidi w:val="0"/>
        <w:adjustRightInd w:val="0"/>
        <w:snapToGrid w:val="0"/>
        <w:spacing w:line="560" w:lineRule="atLeast"/>
        <w:ind w:firstLine="632"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color w:val="auto"/>
          <w:sz w:val="32"/>
          <w:szCs w:val="32"/>
          <w:lang w:val="zh-CN"/>
        </w:rPr>
        <w:t>（一）部门预算管理。</w:t>
      </w:r>
      <w:r>
        <w:rPr>
          <w:rFonts w:hint="default" w:ascii="Times New Roman" w:hAnsi="Times New Roman" w:eastAsia="仿宋_GB2312" w:cs="Times New Roman"/>
          <w:color w:val="auto"/>
          <w:sz w:val="32"/>
          <w:szCs w:val="32"/>
          <w:shd w:val="clear" w:color="auto" w:fill="FFFFFF"/>
          <w:lang w:val="zh-CN"/>
        </w:rPr>
        <w:t>绩效目标填报完整合理、细化量化，绩效目标实现程度与预期目标一致，部门年初预算编制科学准确，部门公用经费及非定额公用支出控制得当，部门绩效监控调整取消额与结余注销额均为零，预算执行进度良好，部门预算管理方面无违纪违规记录。</w:t>
      </w:r>
    </w:p>
    <w:p>
      <w:pPr>
        <w:keepNext w:val="0"/>
        <w:keepLines w:val="0"/>
        <w:pageBreakBefore w:val="0"/>
        <w:widowControl w:val="0"/>
        <w:kinsoku/>
        <w:wordWrap/>
        <w:overflowPunct/>
        <w:topLinePunct w:val="0"/>
        <w:autoSpaceDE/>
        <w:autoSpaceDN/>
        <w:bidi w:val="0"/>
        <w:adjustRightInd w:val="0"/>
        <w:snapToGrid w:val="0"/>
        <w:spacing w:line="560" w:lineRule="atLeast"/>
        <w:ind w:firstLine="720"/>
        <w:rPr>
          <w:rFonts w:hint="default" w:ascii="Times New Roman" w:hAnsi="Times New Roman" w:eastAsia="仿宋_GB2312" w:cs="Times New Roman"/>
          <w:color w:val="auto"/>
          <w:sz w:val="32"/>
          <w:szCs w:val="32"/>
          <w:shd w:val="clear" w:color="auto" w:fill="FFFFFF"/>
          <w:lang w:val="zh-CN"/>
        </w:rPr>
      </w:pPr>
      <w:r>
        <w:rPr>
          <w:rFonts w:hint="default" w:ascii="Times New Roman" w:hAnsi="Times New Roman" w:eastAsia="楷体_GB2312" w:cs="Times New Roman"/>
          <w:b/>
          <w:bCs/>
          <w:color w:val="auto"/>
          <w:sz w:val="32"/>
          <w:szCs w:val="32"/>
          <w:lang w:val="zh-CN"/>
        </w:rPr>
        <w:t>（二）结果应用情况。</w:t>
      </w:r>
      <w:r>
        <w:rPr>
          <w:rFonts w:hint="default" w:ascii="Times New Roman" w:hAnsi="Times New Roman" w:eastAsia="仿宋_GB2312" w:cs="Times New Roman"/>
          <w:color w:val="auto"/>
          <w:sz w:val="32"/>
          <w:szCs w:val="32"/>
          <w:shd w:val="clear" w:color="auto" w:fill="FFFFFF"/>
          <w:lang w:val="zh-CN"/>
        </w:rPr>
        <w:t>按要求将部门绩效信息公开，将绩效管理过程中提出的问题进行整改并应用于完善政策、改进管理，在规定时间内向财政部门反馈应用绩效结果报告，部门整体支出自评准确率高。</w:t>
      </w:r>
    </w:p>
    <w:p>
      <w:pPr>
        <w:keepNext w:val="0"/>
        <w:keepLines w:val="0"/>
        <w:pageBreakBefore w:val="0"/>
        <w:widowControl w:val="0"/>
        <w:kinsoku/>
        <w:wordWrap/>
        <w:overflowPunct/>
        <w:topLinePunct w:val="0"/>
        <w:autoSpaceDE/>
        <w:autoSpaceDN/>
        <w:bidi w:val="0"/>
        <w:adjustRightInd w:val="0"/>
        <w:snapToGrid w:val="0"/>
        <w:spacing w:line="560" w:lineRule="atLeast"/>
        <w:ind w:firstLine="632"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四、评价结论及建议</w:t>
      </w:r>
    </w:p>
    <w:p>
      <w:pPr>
        <w:keepNext w:val="0"/>
        <w:keepLines w:val="0"/>
        <w:pageBreakBefore w:val="0"/>
        <w:widowControl w:val="0"/>
        <w:kinsoku/>
        <w:wordWrap/>
        <w:overflowPunct/>
        <w:topLinePunct w:val="0"/>
        <w:autoSpaceDE/>
        <w:autoSpaceDN/>
        <w:bidi w:val="0"/>
        <w:adjustRightInd w:val="0"/>
        <w:snapToGrid w:val="0"/>
        <w:spacing w:line="560" w:lineRule="atLeast"/>
        <w:ind w:firstLine="632" w:firstLineChars="200"/>
        <w:rPr>
          <w:rFonts w:hint="default" w:ascii="Times New Roman" w:hAnsi="Times New Roman" w:eastAsia="仿宋_GB2312" w:cs="Times New Roman"/>
          <w:color w:val="auto"/>
          <w:sz w:val="32"/>
          <w:szCs w:val="32"/>
          <w:shd w:val="clear" w:color="auto" w:fill="FFFFFF"/>
          <w:lang w:val="zh-CN"/>
        </w:rPr>
      </w:pPr>
      <w:r>
        <w:rPr>
          <w:rFonts w:hint="default" w:ascii="Times New Roman" w:hAnsi="Times New Roman" w:eastAsia="楷体_GB2312" w:cs="Times New Roman"/>
          <w:b/>
          <w:bCs/>
          <w:color w:val="auto"/>
          <w:sz w:val="32"/>
          <w:szCs w:val="32"/>
          <w:lang w:val="zh-CN"/>
        </w:rPr>
        <w:t>（一）评价结论。</w:t>
      </w:r>
      <w:r>
        <w:rPr>
          <w:rFonts w:hint="default" w:ascii="Times New Roman" w:hAnsi="Times New Roman" w:eastAsia="仿宋_GB2312" w:cs="Times New Roman"/>
          <w:color w:val="auto"/>
          <w:sz w:val="32"/>
          <w:szCs w:val="32"/>
          <w:shd w:val="clear" w:color="auto" w:fill="FFFFFF"/>
          <w:lang w:val="zh-CN"/>
        </w:rPr>
        <w:t>经我会认真自评，202</w:t>
      </w:r>
      <w:r>
        <w:rPr>
          <w:rFonts w:hint="eastAsia" w:ascii="Times New Roman" w:hAnsi="Times New Roman" w:cs="Times New Roman"/>
          <w:color w:val="auto"/>
          <w:sz w:val="32"/>
          <w:szCs w:val="32"/>
          <w:shd w:val="clear" w:color="auto" w:fill="FFFFFF"/>
          <w:lang w:val="en-US" w:eastAsia="zh-CN"/>
        </w:rPr>
        <w:t>3</w:t>
      </w:r>
      <w:r>
        <w:rPr>
          <w:rFonts w:hint="default" w:ascii="Times New Roman" w:hAnsi="Times New Roman" w:eastAsia="仿宋_GB2312" w:cs="Times New Roman"/>
          <w:color w:val="auto"/>
          <w:sz w:val="32"/>
          <w:szCs w:val="32"/>
          <w:shd w:val="clear" w:color="auto" w:fill="FFFFFF"/>
          <w:lang w:val="zh-CN"/>
        </w:rPr>
        <w:t>年度部门整体支出绩效评价得分为</w:t>
      </w:r>
      <w:r>
        <w:rPr>
          <w:rFonts w:hint="eastAsia" w:eastAsia="仿宋_GB2312" w:cs="Times New Roman"/>
          <w:color w:val="auto"/>
          <w:sz w:val="32"/>
          <w:szCs w:val="32"/>
          <w:shd w:val="clear" w:color="auto" w:fill="FFFFFF"/>
          <w:lang w:val="en-US" w:eastAsia="zh-CN"/>
        </w:rPr>
        <w:t>96</w:t>
      </w:r>
      <w:r>
        <w:rPr>
          <w:rFonts w:hint="default" w:ascii="Times New Roman" w:hAnsi="Times New Roman" w:eastAsia="仿宋_GB2312" w:cs="Times New Roman"/>
          <w:color w:val="auto"/>
          <w:sz w:val="32"/>
          <w:szCs w:val="32"/>
          <w:shd w:val="clear" w:color="auto" w:fill="FFFFFF"/>
          <w:lang w:val="zh-CN"/>
        </w:rPr>
        <w:t>分。</w:t>
      </w:r>
    </w:p>
    <w:p>
      <w:pPr>
        <w:keepNext w:val="0"/>
        <w:keepLines w:val="0"/>
        <w:pageBreakBefore w:val="0"/>
        <w:widowControl w:val="0"/>
        <w:kinsoku/>
        <w:wordWrap/>
        <w:overflowPunct/>
        <w:topLinePunct w:val="0"/>
        <w:autoSpaceDE/>
        <w:autoSpaceDN/>
        <w:bidi w:val="0"/>
        <w:adjustRightInd w:val="0"/>
        <w:snapToGrid w:val="0"/>
        <w:spacing w:line="560" w:lineRule="atLeast"/>
        <w:ind w:firstLine="720"/>
        <w:rPr>
          <w:rFonts w:hint="default" w:ascii="Times New Roman" w:hAnsi="Times New Roman" w:eastAsia="仿宋_GB2312" w:cs="Times New Roman"/>
          <w:color w:val="auto"/>
          <w:sz w:val="32"/>
          <w:szCs w:val="32"/>
          <w:shd w:val="clear" w:color="auto" w:fill="FFFFFF"/>
          <w:lang w:val="zh-CN"/>
        </w:rPr>
      </w:pPr>
      <w:r>
        <w:rPr>
          <w:rFonts w:hint="default" w:ascii="Times New Roman" w:hAnsi="Times New Roman" w:eastAsia="楷体_GB2312" w:cs="Times New Roman"/>
          <w:b/>
          <w:bCs/>
          <w:color w:val="auto"/>
          <w:sz w:val="32"/>
          <w:szCs w:val="32"/>
          <w:lang w:val="zh-CN"/>
        </w:rPr>
        <w:t>（二）存在的问题。</w:t>
      </w:r>
      <w:r>
        <w:rPr>
          <w:rFonts w:hint="default" w:ascii="Times New Roman" w:hAnsi="Times New Roman" w:eastAsia="仿宋_GB2312" w:cs="Times New Roman"/>
          <w:color w:val="auto"/>
          <w:sz w:val="32"/>
          <w:szCs w:val="32"/>
          <w:shd w:val="clear" w:color="auto" w:fill="FFFFFF"/>
          <w:lang w:val="zh-CN"/>
        </w:rPr>
        <w:t>部门预算执行实际支出进度较慢。</w:t>
      </w:r>
    </w:p>
    <w:p>
      <w:pPr>
        <w:keepNext w:val="0"/>
        <w:keepLines w:val="0"/>
        <w:pageBreakBefore w:val="0"/>
        <w:widowControl w:val="0"/>
        <w:kinsoku/>
        <w:wordWrap/>
        <w:overflowPunct/>
        <w:topLinePunct w:val="0"/>
        <w:autoSpaceDE/>
        <w:autoSpaceDN/>
        <w:bidi w:val="0"/>
        <w:adjustRightInd w:val="0"/>
        <w:snapToGrid w:val="0"/>
        <w:spacing w:line="560" w:lineRule="atLeast"/>
        <w:ind w:firstLine="720"/>
        <w:rPr>
          <w:rFonts w:hint="default" w:ascii="Times New Roman" w:hAnsi="Times New Roman" w:eastAsia="仿宋_GB2312" w:cs="Times New Roman"/>
          <w:color w:val="auto"/>
          <w:sz w:val="32"/>
          <w:szCs w:val="32"/>
          <w:shd w:val="clear" w:color="auto" w:fill="FFFFFF"/>
          <w:lang w:val="zh-CN"/>
        </w:rPr>
      </w:pPr>
      <w:r>
        <w:rPr>
          <w:rFonts w:hint="default" w:ascii="Times New Roman" w:hAnsi="Times New Roman" w:eastAsia="楷体_GB2312" w:cs="Times New Roman"/>
          <w:b/>
          <w:bCs/>
          <w:color w:val="auto"/>
          <w:sz w:val="32"/>
          <w:szCs w:val="32"/>
          <w:lang w:val="zh-CN"/>
        </w:rPr>
        <w:t>（三）改进建议。</w:t>
      </w:r>
      <w:r>
        <w:rPr>
          <w:rFonts w:hint="default" w:ascii="Times New Roman" w:hAnsi="Times New Roman" w:eastAsia="仿宋_GB2312" w:cs="Times New Roman"/>
          <w:color w:val="auto"/>
          <w:sz w:val="32"/>
          <w:szCs w:val="32"/>
          <w:shd w:val="clear" w:color="auto" w:fill="FFFFFF"/>
          <w:lang w:val="zh-CN"/>
        </w:rPr>
        <w:t>加强预算执行力，进一步协调国库加快资金拨付进度，提高资金使用效率。</w:t>
      </w:r>
    </w:p>
    <w:p>
      <w:pPr>
        <w:pStyle w:val="21"/>
        <w:keepNext w:val="0"/>
        <w:keepLines w:val="0"/>
        <w:pageBreakBefore w:val="0"/>
        <w:widowControl w:val="0"/>
        <w:kinsoku/>
        <w:wordWrap/>
        <w:overflowPunct/>
        <w:topLinePunct w:val="0"/>
        <w:bidi w:val="0"/>
        <w:adjustRightInd w:val="0"/>
        <w:snapToGrid w:val="0"/>
        <w:spacing w:before="0" w:after="0" w:line="560" w:lineRule="atLeast"/>
        <w:rPr>
          <w:rFonts w:hint="default" w:ascii="Times New Roman" w:hAnsi="Times New Roman" w:eastAsia="仿宋_GB2312" w:cs="Times New Roman"/>
          <w:sz w:val="32"/>
          <w:szCs w:val="32"/>
          <w:lang w:val="zh-CN"/>
        </w:rPr>
      </w:pPr>
    </w:p>
    <w:p>
      <w:pPr>
        <w:keepNext w:val="0"/>
        <w:keepLines w:val="0"/>
        <w:pageBreakBefore w:val="0"/>
        <w:widowControl w:val="0"/>
        <w:kinsoku/>
        <w:wordWrap/>
        <w:overflowPunct/>
        <w:topLinePunct w:val="0"/>
        <w:autoSpaceDE/>
        <w:autoSpaceDN/>
        <w:bidi w:val="0"/>
        <w:adjustRightInd w:val="0"/>
        <w:snapToGrid w:val="0"/>
        <w:spacing w:line="560" w:lineRule="atLeast"/>
        <w:ind w:firstLine="632" w:firstLineChars="200"/>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color w:val="auto"/>
          <w:sz w:val="32"/>
          <w:szCs w:val="32"/>
          <w:shd w:val="clear" w:color="auto" w:fill="FFFFFF"/>
          <w:lang w:val="zh-CN"/>
        </w:rPr>
        <w:t>附件</w:t>
      </w:r>
      <w:r>
        <w:rPr>
          <w:rFonts w:hint="eastAsia" w:ascii="Times New Roman" w:hAnsi="Times New Roman" w:cs="Times New Roman"/>
          <w:color w:val="auto"/>
          <w:sz w:val="32"/>
          <w:szCs w:val="32"/>
          <w:shd w:val="clear" w:color="auto" w:fill="FFFFFF"/>
          <w:lang w:val="zh-CN"/>
        </w:rPr>
        <w:t>：</w:t>
      </w:r>
      <w:r>
        <w:rPr>
          <w:rFonts w:hint="default" w:ascii="Times New Roman" w:hAnsi="Times New Roman" w:cs="Times New Roman"/>
          <w:color w:val="auto"/>
          <w:sz w:val="32"/>
          <w:szCs w:val="32"/>
          <w:shd w:val="clear" w:color="auto" w:fill="FFFFFF"/>
          <w:lang w:val="en-US" w:eastAsia="zh-CN"/>
        </w:rPr>
        <w:t>1．</w:t>
      </w:r>
      <w:r>
        <w:rPr>
          <w:rFonts w:hint="default" w:ascii="Times New Roman" w:hAnsi="Times New Roman" w:eastAsia="仿宋_GB2312" w:cs="Times New Roman"/>
          <w:color w:val="auto"/>
          <w:sz w:val="32"/>
          <w:szCs w:val="32"/>
          <w:shd w:val="clear" w:color="auto" w:fill="FFFFFF"/>
          <w:lang w:val="en-US" w:eastAsia="zh-CN"/>
        </w:rPr>
        <w:t>202</w:t>
      </w:r>
      <w:r>
        <w:rPr>
          <w:rFonts w:hint="eastAsia" w:ascii="Times New Roman" w:hAnsi="Times New Roman" w:cs="Times New Roman"/>
          <w:color w:val="auto"/>
          <w:sz w:val="32"/>
          <w:szCs w:val="32"/>
          <w:shd w:val="clear" w:color="auto" w:fill="FFFFFF"/>
          <w:lang w:val="en-US" w:eastAsia="zh-CN"/>
        </w:rPr>
        <w:t>4</w:t>
      </w:r>
      <w:r>
        <w:rPr>
          <w:rFonts w:hint="default" w:ascii="Times New Roman" w:hAnsi="Times New Roman" w:eastAsia="仿宋_GB2312" w:cs="Times New Roman"/>
          <w:color w:val="auto"/>
          <w:sz w:val="32"/>
          <w:szCs w:val="32"/>
          <w:shd w:val="clear" w:color="auto" w:fill="FFFFFF"/>
          <w:lang w:val="en-US" w:eastAsia="zh-CN"/>
        </w:rPr>
        <w:t>年部门整体支出绩效评价指标体系</w:t>
      </w:r>
    </w:p>
    <w:p>
      <w:pPr>
        <w:keepNext w:val="0"/>
        <w:keepLines w:val="0"/>
        <w:pageBreakBefore w:val="0"/>
        <w:widowControl w:val="0"/>
        <w:kinsoku/>
        <w:wordWrap/>
        <w:overflowPunct/>
        <w:topLinePunct w:val="0"/>
        <w:autoSpaceDE/>
        <w:autoSpaceDN/>
        <w:bidi w:val="0"/>
        <w:adjustRightInd w:val="0"/>
        <w:snapToGrid w:val="0"/>
        <w:spacing w:line="560" w:lineRule="atLeast"/>
        <w:ind w:firstLine="1580" w:firstLineChars="500"/>
        <w:rPr>
          <w:rFonts w:hint="default" w:ascii="Times New Roman" w:hAnsi="Times New Roman" w:eastAsia="仿宋_GB2312" w:cs="Times New Roman"/>
          <w:color w:val="auto"/>
          <w:sz w:val="32"/>
          <w:szCs w:val="32"/>
          <w:shd w:val="clear" w:color="auto" w:fill="FFFFFF"/>
          <w:lang w:val="en-US" w:eastAsia="zh-CN"/>
        </w:rPr>
      </w:pPr>
      <w:r>
        <w:rPr>
          <w:rFonts w:hint="eastAsia" w:ascii="Times New Roman" w:hAnsi="Times New Roman" w:eastAsia="仿宋_GB2312" w:cs="Times New Roman"/>
          <w:color w:val="auto"/>
          <w:sz w:val="32"/>
          <w:szCs w:val="32"/>
          <w:shd w:val="clear" w:color="auto" w:fill="FFFFFF"/>
          <w:lang w:val="en-US" w:eastAsia="zh-CN"/>
        </w:rPr>
        <w:t>2</w:t>
      </w:r>
      <w:r>
        <w:rPr>
          <w:rFonts w:hint="default" w:ascii="Times New Roman" w:hAnsi="Times New Roman" w:eastAsia="仿宋_GB2312" w:cs="Times New Roman"/>
          <w:color w:val="auto"/>
          <w:sz w:val="32"/>
          <w:szCs w:val="32"/>
          <w:shd w:val="clear" w:color="auto" w:fill="FFFFFF"/>
          <w:lang w:val="en-US" w:eastAsia="zh-CN"/>
        </w:rPr>
        <w:t>．202</w:t>
      </w:r>
      <w:r>
        <w:rPr>
          <w:rFonts w:hint="eastAsia" w:ascii="Times New Roman" w:hAnsi="Times New Roman" w:cs="Times New Roman"/>
          <w:color w:val="auto"/>
          <w:sz w:val="32"/>
          <w:szCs w:val="32"/>
          <w:shd w:val="clear" w:color="auto" w:fill="FFFFFF"/>
          <w:lang w:val="en-US" w:eastAsia="zh-CN"/>
        </w:rPr>
        <w:t>4</w:t>
      </w:r>
      <w:r>
        <w:rPr>
          <w:rFonts w:hint="default" w:ascii="Times New Roman" w:hAnsi="Times New Roman" w:eastAsia="仿宋_GB2312" w:cs="Times New Roman"/>
          <w:color w:val="auto"/>
          <w:sz w:val="32"/>
          <w:szCs w:val="32"/>
          <w:shd w:val="clear" w:color="auto" w:fill="FFFFFF"/>
          <w:lang w:val="en-US" w:eastAsia="zh-CN"/>
        </w:rPr>
        <w:t>年度项目支出绩效自评报告</w:t>
      </w:r>
    </w:p>
    <w:p>
      <w:pPr>
        <w:pStyle w:val="22"/>
        <w:rPr>
          <w:rFonts w:hint="default"/>
          <w:lang w:val="zh-CN"/>
        </w:rPr>
      </w:pPr>
    </w:p>
    <w:p>
      <w:pPr>
        <w:rPr>
          <w:rFonts w:hint="default"/>
          <w:lang w:val="zh-CN"/>
        </w:rPr>
      </w:pPr>
    </w:p>
    <w:p>
      <w:pPr>
        <w:pStyle w:val="22"/>
        <w:keepNext w:val="0"/>
        <w:keepLines w:val="0"/>
        <w:pageBreakBefore w:val="0"/>
        <w:widowControl w:val="0"/>
        <w:kinsoku/>
        <w:wordWrap/>
        <w:overflowPunct/>
        <w:topLinePunct w:val="0"/>
        <w:bidi w:val="0"/>
        <w:adjustRightInd w:val="0"/>
        <w:snapToGrid w:val="0"/>
        <w:spacing w:line="560" w:lineRule="atLeast"/>
        <w:rPr>
          <w:rFonts w:hint="default" w:ascii="Times New Roman" w:hAnsi="Times New Roman" w:eastAsia="仿宋_GB2312" w:cs="Times New Roman"/>
          <w:color w:val="auto"/>
          <w:sz w:val="32"/>
          <w:szCs w:val="32"/>
          <w:shd w:val="clear" w:color="auto" w:fill="FFFFFF"/>
          <w:lang w:val="zh-CN"/>
        </w:rPr>
      </w:pPr>
      <w:r>
        <w:rPr>
          <w:rFonts w:hint="default" w:ascii="Times New Roman" w:hAnsi="Times New Roman" w:eastAsia="仿宋_GB2312" w:cs="Times New Roman"/>
          <w:color w:val="auto"/>
          <w:sz w:val="32"/>
          <w:szCs w:val="32"/>
          <w:shd w:val="clear" w:color="auto" w:fill="FFFFFF"/>
          <w:lang w:val="en-US" w:eastAsia="zh-CN"/>
        </w:rPr>
        <w:t xml:space="preserve">                            </w:t>
      </w:r>
      <w:r>
        <w:rPr>
          <w:rFonts w:hint="default" w:ascii="Times New Roman" w:hAnsi="Times New Roman" w:eastAsia="仿宋_GB2312" w:cs="Times New Roman"/>
          <w:color w:val="auto"/>
          <w:sz w:val="32"/>
          <w:szCs w:val="32"/>
          <w:shd w:val="clear" w:color="auto" w:fill="FFFFFF"/>
          <w:lang w:val="zh-CN"/>
        </w:rPr>
        <w:t>遂宁市船山区残疾人联合会</w:t>
      </w:r>
    </w:p>
    <w:p>
      <w:pPr>
        <w:keepNext w:val="0"/>
        <w:keepLines w:val="0"/>
        <w:pageBreakBefore w:val="0"/>
        <w:widowControl w:val="0"/>
        <w:kinsoku/>
        <w:wordWrap/>
        <w:overflowPunct/>
        <w:topLinePunct w:val="0"/>
        <w:bidi w:val="0"/>
        <w:adjustRightInd w:val="0"/>
        <w:snapToGrid w:val="0"/>
        <w:spacing w:line="560" w:lineRule="atLeast"/>
        <w:rPr>
          <w:rFonts w:hint="default" w:ascii="Times New Roman" w:hAnsi="Times New Roman" w:eastAsia="仿宋_GB2312" w:cs="Times New Roman"/>
          <w:color w:val="auto"/>
          <w:kern w:val="0"/>
          <w:sz w:val="32"/>
          <w:szCs w:val="32"/>
        </w:rPr>
        <w:sectPr>
          <w:footerReference r:id="rId5" w:type="default"/>
          <w:pgSz w:w="11906" w:h="16838"/>
          <w:pgMar w:top="2098" w:right="1474" w:bottom="1984" w:left="1588" w:header="851" w:footer="1701" w:gutter="0"/>
          <w:pgNumType w:fmt="decimal"/>
          <w:cols w:space="720" w:num="1"/>
          <w:docGrid w:type="linesAndChars" w:linePitch="579" w:charSpace="-849"/>
        </w:sectPr>
      </w:pPr>
      <w:r>
        <w:rPr>
          <w:rFonts w:hint="default" w:ascii="Times New Roman" w:hAnsi="Times New Roman" w:eastAsia="仿宋_GB2312" w:cs="Times New Roman"/>
          <w:color w:val="auto"/>
          <w:sz w:val="32"/>
          <w:szCs w:val="32"/>
          <w:shd w:val="clear" w:color="auto" w:fill="FFFFFF"/>
          <w:lang w:val="en-US" w:eastAsia="zh-CN"/>
        </w:rPr>
        <w:t xml:space="preserve">                              </w:t>
      </w:r>
      <w:r>
        <w:rPr>
          <w:rFonts w:hint="eastAsia" w:ascii="Times New Roman" w:hAnsi="Times New Roman" w:cs="Times New Roman"/>
          <w:color w:val="auto"/>
          <w:sz w:val="32"/>
          <w:szCs w:val="32"/>
          <w:shd w:val="clear" w:color="auto" w:fill="FFFFFF"/>
          <w:lang w:val="en-US" w:eastAsia="zh-CN"/>
        </w:rPr>
        <w:t xml:space="preserve"> </w:t>
      </w:r>
      <w:r>
        <w:rPr>
          <w:rFonts w:hint="default" w:ascii="Times New Roman" w:hAnsi="Times New Roman" w:eastAsia="仿宋_GB2312" w:cs="Times New Roman"/>
          <w:color w:val="auto"/>
          <w:sz w:val="32"/>
          <w:szCs w:val="32"/>
          <w:shd w:val="clear" w:color="auto" w:fill="FFFFFF"/>
          <w:lang w:val="en-US" w:eastAsia="zh-CN"/>
        </w:rPr>
        <w:t xml:space="preserve">   202</w:t>
      </w:r>
      <w:r>
        <w:rPr>
          <w:rFonts w:hint="eastAsia" w:ascii="Times New Roman" w:hAnsi="Times New Roman" w:cs="Times New Roman"/>
          <w:color w:val="auto"/>
          <w:sz w:val="32"/>
          <w:szCs w:val="32"/>
          <w:shd w:val="clear" w:color="auto" w:fill="FFFFFF"/>
          <w:lang w:val="en-US" w:eastAsia="zh-CN"/>
        </w:rPr>
        <w:t>4</w:t>
      </w:r>
      <w:r>
        <w:rPr>
          <w:rFonts w:hint="default" w:ascii="Times New Roman" w:hAnsi="Times New Roman" w:eastAsia="仿宋_GB2312" w:cs="Times New Roman"/>
          <w:color w:val="auto"/>
          <w:sz w:val="32"/>
          <w:szCs w:val="32"/>
          <w:shd w:val="clear" w:color="auto" w:fill="FFFFFF"/>
          <w:lang w:val="en-US" w:eastAsia="zh-CN"/>
        </w:rPr>
        <w:t>年</w:t>
      </w:r>
      <w:r>
        <w:rPr>
          <w:rFonts w:hint="eastAsia" w:ascii="Times New Roman" w:hAnsi="Times New Roman" w:cs="Times New Roman"/>
          <w:color w:val="auto"/>
          <w:sz w:val="32"/>
          <w:szCs w:val="32"/>
          <w:shd w:val="clear" w:color="auto" w:fill="FFFFFF"/>
          <w:lang w:val="en-US" w:eastAsia="zh-CN"/>
        </w:rPr>
        <w:t>8</w:t>
      </w:r>
      <w:r>
        <w:rPr>
          <w:rFonts w:hint="default" w:ascii="Times New Roman" w:hAnsi="Times New Roman" w:eastAsia="仿宋_GB2312" w:cs="Times New Roman"/>
          <w:color w:val="auto"/>
          <w:sz w:val="32"/>
          <w:szCs w:val="32"/>
          <w:shd w:val="clear" w:color="auto" w:fill="FFFFFF"/>
          <w:lang w:val="en-US" w:eastAsia="zh-CN"/>
        </w:rPr>
        <w:t>月</w:t>
      </w:r>
      <w:r>
        <w:rPr>
          <w:rFonts w:hint="eastAsia" w:ascii="Times New Roman" w:hAnsi="Times New Roman" w:cs="Times New Roman"/>
          <w:color w:val="auto"/>
          <w:sz w:val="32"/>
          <w:szCs w:val="32"/>
          <w:shd w:val="clear" w:color="auto" w:fill="FFFFFF"/>
          <w:lang w:val="en-US" w:eastAsia="zh-CN"/>
        </w:rPr>
        <w:t>28</w:t>
      </w:r>
      <w:r>
        <w:rPr>
          <w:rFonts w:hint="default" w:ascii="Times New Roman" w:hAnsi="Times New Roman" w:eastAsia="仿宋_GB2312" w:cs="Times New Roman"/>
          <w:color w:val="auto"/>
          <w:sz w:val="32"/>
          <w:szCs w:val="32"/>
          <w:shd w:val="clear" w:color="auto" w:fill="FFFFFF"/>
          <w:lang w:val="en-US" w:eastAsia="zh-CN"/>
        </w:rPr>
        <w:t>日</w:t>
      </w:r>
    </w:p>
    <w:p>
      <w:pPr>
        <w:keepNext w:val="0"/>
        <w:keepLines w:val="0"/>
        <w:pageBreakBefore w:val="0"/>
        <w:widowControl w:val="0"/>
        <w:tabs>
          <w:tab w:val="left" w:pos="1350"/>
          <w:tab w:val="left" w:pos="2670"/>
          <w:tab w:val="left" w:pos="4245"/>
          <w:tab w:val="left" w:pos="5381"/>
          <w:tab w:val="left" w:pos="7751"/>
          <w:tab w:val="left" w:pos="12581"/>
          <w:tab w:val="left" w:pos="16361"/>
        </w:tabs>
        <w:kinsoku/>
        <w:wordWrap/>
        <w:overflowPunct/>
        <w:topLinePunct w:val="0"/>
        <w:bidi w:val="0"/>
        <w:adjustRightInd w:val="0"/>
        <w:snapToGrid w:val="0"/>
        <w:spacing w:before="0" w:after="0" w:afterLines="0" w:line="560" w:lineRule="atLeast"/>
        <w:rPr>
          <w:rFonts w:hint="default" w:ascii="Times New Roman" w:hAnsi="Times New Roman" w:eastAsia="黑体" w:cs="Times New Roman"/>
          <w:i w:val="0"/>
          <w:iCs w:val="0"/>
          <w:color w:val="000000"/>
          <w:sz w:val="32"/>
          <w:szCs w:val="32"/>
          <w:u w:val="none"/>
        </w:rPr>
      </w:pPr>
      <w:r>
        <w:rPr>
          <w:rFonts w:hint="default" w:ascii="Times New Roman" w:hAnsi="Times New Roman" w:eastAsia="黑体" w:cs="Times New Roman"/>
          <w:i w:val="0"/>
          <w:iCs w:val="0"/>
          <w:color w:val="000000"/>
          <w:kern w:val="0"/>
          <w:sz w:val="32"/>
          <w:szCs w:val="32"/>
          <w:u w:val="none"/>
          <w:lang w:val="en-US" w:eastAsia="zh-CN" w:bidi="ar"/>
        </w:rPr>
        <w:t>附件1</w:t>
      </w:r>
      <w:r>
        <w:rPr>
          <w:rFonts w:hint="default" w:ascii="Times New Roman" w:hAnsi="Times New Roman" w:eastAsia="黑体" w:cs="Times New Roman"/>
          <w:i w:val="0"/>
          <w:iCs w:val="0"/>
          <w:color w:val="000000"/>
          <w:sz w:val="32"/>
          <w:szCs w:val="32"/>
          <w:u w:val="none"/>
        </w:rPr>
        <w:tab/>
      </w:r>
      <w:r>
        <w:rPr>
          <w:rFonts w:hint="default" w:ascii="Times New Roman" w:hAnsi="Times New Roman" w:eastAsia="黑体" w:cs="Times New Roman"/>
          <w:i w:val="0"/>
          <w:iCs w:val="0"/>
          <w:color w:val="000000"/>
          <w:sz w:val="32"/>
          <w:szCs w:val="32"/>
          <w:u w:val="none"/>
        </w:rPr>
        <w:tab/>
      </w:r>
      <w:r>
        <w:rPr>
          <w:rFonts w:hint="default" w:ascii="Times New Roman" w:hAnsi="Times New Roman" w:eastAsia="黑体" w:cs="Times New Roman"/>
          <w:i w:val="0"/>
          <w:iCs w:val="0"/>
          <w:color w:val="000000"/>
          <w:sz w:val="32"/>
          <w:szCs w:val="32"/>
          <w:u w:val="none"/>
        </w:rPr>
        <w:tab/>
      </w:r>
      <w:r>
        <w:rPr>
          <w:rFonts w:hint="default" w:ascii="Times New Roman" w:hAnsi="Times New Roman" w:eastAsia="黑体" w:cs="Times New Roman"/>
          <w:i w:val="0"/>
          <w:iCs w:val="0"/>
          <w:color w:val="000000"/>
          <w:sz w:val="32"/>
          <w:szCs w:val="32"/>
          <w:u w:val="none"/>
        </w:rPr>
        <w:tab/>
      </w:r>
      <w:r>
        <w:rPr>
          <w:rFonts w:hint="default" w:ascii="Times New Roman" w:hAnsi="Times New Roman" w:eastAsia="黑体" w:cs="Times New Roman"/>
          <w:i w:val="0"/>
          <w:iCs w:val="0"/>
          <w:color w:val="000000"/>
          <w:sz w:val="32"/>
          <w:szCs w:val="32"/>
          <w:u w:val="none"/>
        </w:rPr>
        <w:tab/>
      </w:r>
      <w:r>
        <w:rPr>
          <w:rFonts w:hint="default" w:ascii="Times New Roman" w:hAnsi="Times New Roman" w:eastAsia="黑体" w:cs="Times New Roman"/>
          <w:i w:val="0"/>
          <w:iCs w:val="0"/>
          <w:color w:val="000000"/>
          <w:sz w:val="32"/>
          <w:szCs w:val="32"/>
          <w:u w:val="none"/>
        </w:rPr>
        <w:tab/>
      </w:r>
      <w:r>
        <w:rPr>
          <w:rFonts w:hint="default" w:ascii="Times New Roman" w:hAnsi="Times New Roman" w:eastAsia="黑体" w:cs="Times New Roman"/>
          <w:i w:val="0"/>
          <w:iCs w:val="0"/>
          <w:color w:val="000000"/>
          <w:sz w:val="32"/>
          <w:szCs w:val="32"/>
          <w:u w:val="none"/>
        </w:rPr>
        <w:tab/>
      </w:r>
    </w:p>
    <w:p>
      <w:pPr>
        <w:keepNext w:val="0"/>
        <w:keepLines w:val="0"/>
        <w:pageBreakBefore w:val="0"/>
        <w:widowControl w:val="0"/>
        <w:suppressLineNumbers w:val="0"/>
        <w:kinsoku/>
        <w:wordWrap/>
        <w:overflowPunct/>
        <w:topLinePunct w:val="0"/>
        <w:bidi w:val="0"/>
        <w:adjustRightInd w:val="0"/>
        <w:snapToGrid w:val="0"/>
        <w:spacing w:line="560" w:lineRule="atLeast"/>
        <w:jc w:val="center"/>
        <w:textAlignment w:val="center"/>
        <w:rPr>
          <w:rFonts w:hint="default" w:ascii="Times New Roman" w:hAnsi="Times New Roman" w:eastAsia="方正小标宋简体" w:cs="Times New Roman"/>
          <w:i w:val="0"/>
          <w:iCs w:val="0"/>
          <w:color w:val="000000"/>
          <w:sz w:val="44"/>
          <w:szCs w:val="44"/>
          <w:u w:val="none"/>
        </w:rPr>
      </w:pPr>
      <w:r>
        <w:rPr>
          <w:rFonts w:hint="default" w:ascii="Times New Roman" w:hAnsi="Times New Roman" w:eastAsia="方正小标宋简体" w:cs="Times New Roman"/>
          <w:i w:val="0"/>
          <w:iCs w:val="0"/>
          <w:color w:val="000000"/>
          <w:kern w:val="0"/>
          <w:sz w:val="44"/>
          <w:szCs w:val="44"/>
          <w:u w:val="none"/>
          <w:lang w:val="en-US" w:eastAsia="zh-CN" w:bidi="ar"/>
        </w:rPr>
        <w:t>202</w:t>
      </w:r>
      <w:r>
        <w:rPr>
          <w:rFonts w:hint="eastAsia" w:ascii="Times New Roman" w:hAnsi="Times New Roman" w:eastAsia="方正小标宋简体" w:cs="Times New Roman"/>
          <w:i w:val="0"/>
          <w:iCs w:val="0"/>
          <w:color w:val="000000"/>
          <w:kern w:val="0"/>
          <w:sz w:val="44"/>
          <w:szCs w:val="44"/>
          <w:u w:val="none"/>
          <w:lang w:val="en-US" w:eastAsia="zh-CN" w:bidi="ar"/>
        </w:rPr>
        <w:t>4</w:t>
      </w:r>
      <w:r>
        <w:rPr>
          <w:rFonts w:hint="default" w:ascii="Times New Roman" w:hAnsi="Times New Roman" w:eastAsia="方正小标宋简体" w:cs="Times New Roman"/>
          <w:i w:val="0"/>
          <w:iCs w:val="0"/>
          <w:color w:val="000000"/>
          <w:kern w:val="0"/>
          <w:sz w:val="44"/>
          <w:szCs w:val="44"/>
          <w:u w:val="none"/>
          <w:lang w:val="en-US" w:eastAsia="zh-CN" w:bidi="ar"/>
        </w:rPr>
        <w:t>年部门整体支出绩效评价指标体系</w:t>
      </w:r>
    </w:p>
    <w:tbl>
      <w:tblPr>
        <w:tblStyle w:val="16"/>
        <w:tblW w:w="137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59"/>
        <w:gridCol w:w="1317"/>
        <w:gridCol w:w="800"/>
        <w:gridCol w:w="1000"/>
        <w:gridCol w:w="1771"/>
        <w:gridCol w:w="3500"/>
        <w:gridCol w:w="3465"/>
        <w:gridCol w:w="7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 w:hRule="atLeast"/>
          <w:tblHeader/>
          <w:jc w:val="center"/>
        </w:trPr>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60" w:lineRule="atLeast"/>
              <w:jc w:val="center"/>
              <w:textAlignment w:val="center"/>
              <w:rPr>
                <w:rFonts w:hint="default" w:ascii="Times New Roman" w:hAnsi="Times New Roman" w:eastAsia="黑体" w:cs="Times New Roman"/>
                <w:b w:val="0"/>
                <w:bCs w:val="0"/>
                <w:i w:val="0"/>
                <w:iCs w:val="0"/>
                <w:color w:val="000000"/>
                <w:sz w:val="24"/>
                <w:szCs w:val="24"/>
                <w:u w:val="none"/>
              </w:rPr>
            </w:pPr>
            <w:r>
              <w:rPr>
                <w:rFonts w:hint="default" w:ascii="Times New Roman" w:hAnsi="Times New Roman" w:eastAsia="黑体" w:cs="Times New Roman"/>
                <w:b w:val="0"/>
                <w:bCs w:val="0"/>
                <w:i w:val="0"/>
                <w:iCs w:val="0"/>
                <w:color w:val="000000"/>
                <w:kern w:val="0"/>
                <w:sz w:val="24"/>
                <w:szCs w:val="24"/>
                <w:u w:val="none"/>
                <w:lang w:val="en-US" w:eastAsia="zh-CN" w:bidi="ar"/>
              </w:rPr>
              <w:t>绩效指标</w:t>
            </w:r>
          </w:p>
        </w:tc>
        <w:tc>
          <w:tcPr>
            <w:tcW w:w="100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60" w:lineRule="atLeast"/>
              <w:jc w:val="center"/>
              <w:textAlignment w:val="center"/>
              <w:rPr>
                <w:rFonts w:hint="default" w:ascii="Times New Roman" w:hAnsi="Times New Roman" w:eastAsia="黑体" w:cs="Times New Roman"/>
                <w:b w:val="0"/>
                <w:bCs w:val="0"/>
                <w:i w:val="0"/>
                <w:iCs w:val="0"/>
                <w:color w:val="000000"/>
                <w:kern w:val="0"/>
                <w:sz w:val="24"/>
                <w:szCs w:val="24"/>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指标</w:t>
            </w:r>
          </w:p>
          <w:p>
            <w:pPr>
              <w:keepNext w:val="0"/>
              <w:keepLines w:val="0"/>
              <w:pageBreakBefore w:val="0"/>
              <w:widowControl w:val="0"/>
              <w:suppressLineNumbers w:val="0"/>
              <w:kinsoku/>
              <w:wordWrap/>
              <w:overflowPunct/>
              <w:topLinePunct w:val="0"/>
              <w:autoSpaceDE/>
              <w:autoSpaceDN/>
              <w:bidi w:val="0"/>
              <w:adjustRightInd w:val="0"/>
              <w:snapToGrid w:val="0"/>
              <w:spacing w:line="360" w:lineRule="atLeast"/>
              <w:jc w:val="center"/>
              <w:textAlignment w:val="center"/>
              <w:rPr>
                <w:rFonts w:hint="default" w:ascii="Times New Roman" w:hAnsi="Times New Roman" w:eastAsia="黑体" w:cs="Times New Roman"/>
                <w:b w:val="0"/>
                <w:bCs w:val="0"/>
                <w:i w:val="0"/>
                <w:iCs w:val="0"/>
                <w:color w:val="000000"/>
                <w:sz w:val="24"/>
                <w:szCs w:val="24"/>
                <w:u w:val="none"/>
              </w:rPr>
            </w:pPr>
            <w:r>
              <w:rPr>
                <w:rFonts w:hint="default" w:ascii="Times New Roman" w:hAnsi="Times New Roman" w:eastAsia="黑体" w:cs="Times New Roman"/>
                <w:b w:val="0"/>
                <w:bCs w:val="0"/>
                <w:i w:val="0"/>
                <w:iCs w:val="0"/>
                <w:color w:val="000000"/>
                <w:kern w:val="0"/>
                <w:sz w:val="24"/>
                <w:szCs w:val="24"/>
                <w:u w:val="none"/>
                <w:lang w:val="en-US" w:eastAsia="zh-CN" w:bidi="ar"/>
              </w:rPr>
              <w:t>分值</w:t>
            </w:r>
          </w:p>
        </w:tc>
        <w:tc>
          <w:tcPr>
            <w:tcW w:w="1771"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60" w:lineRule="atLeast"/>
              <w:jc w:val="center"/>
              <w:textAlignment w:val="center"/>
              <w:rPr>
                <w:rFonts w:hint="default" w:ascii="Times New Roman" w:hAnsi="Times New Roman" w:eastAsia="黑体" w:cs="Times New Roman"/>
                <w:b w:val="0"/>
                <w:bCs w:val="0"/>
                <w:i w:val="0"/>
                <w:iCs w:val="0"/>
                <w:color w:val="000000"/>
                <w:sz w:val="24"/>
                <w:szCs w:val="24"/>
                <w:u w:val="none"/>
              </w:rPr>
            </w:pPr>
            <w:r>
              <w:rPr>
                <w:rFonts w:hint="default" w:ascii="Times New Roman" w:hAnsi="Times New Roman" w:eastAsia="黑体" w:cs="Times New Roman"/>
                <w:b w:val="0"/>
                <w:bCs w:val="0"/>
                <w:i w:val="0"/>
                <w:iCs w:val="0"/>
                <w:color w:val="000000"/>
                <w:kern w:val="0"/>
                <w:sz w:val="24"/>
                <w:szCs w:val="24"/>
                <w:u w:val="none"/>
                <w:lang w:val="en-US" w:eastAsia="zh-CN" w:bidi="ar"/>
              </w:rPr>
              <w:t>指标解释</w:t>
            </w:r>
          </w:p>
        </w:tc>
        <w:tc>
          <w:tcPr>
            <w:tcW w:w="350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60" w:lineRule="atLeast"/>
              <w:jc w:val="center"/>
              <w:textAlignment w:val="center"/>
              <w:rPr>
                <w:rFonts w:hint="default" w:ascii="Times New Roman" w:hAnsi="Times New Roman" w:eastAsia="黑体" w:cs="Times New Roman"/>
                <w:b w:val="0"/>
                <w:bCs w:val="0"/>
                <w:i w:val="0"/>
                <w:iCs w:val="0"/>
                <w:color w:val="000000"/>
                <w:sz w:val="24"/>
                <w:szCs w:val="24"/>
                <w:u w:val="none"/>
              </w:rPr>
            </w:pPr>
            <w:r>
              <w:rPr>
                <w:rFonts w:hint="default" w:ascii="Times New Roman" w:hAnsi="Times New Roman" w:eastAsia="黑体" w:cs="Times New Roman"/>
                <w:b w:val="0"/>
                <w:bCs w:val="0"/>
                <w:i w:val="0"/>
                <w:iCs w:val="0"/>
                <w:color w:val="000000"/>
                <w:kern w:val="0"/>
                <w:sz w:val="24"/>
                <w:szCs w:val="24"/>
                <w:u w:val="none"/>
                <w:lang w:val="en-US" w:eastAsia="zh-CN" w:bidi="ar"/>
              </w:rPr>
              <w:t>计分标准</w:t>
            </w:r>
          </w:p>
        </w:tc>
        <w:tc>
          <w:tcPr>
            <w:tcW w:w="346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60" w:lineRule="atLeast"/>
              <w:jc w:val="center"/>
              <w:textAlignment w:val="center"/>
              <w:rPr>
                <w:rFonts w:hint="default" w:ascii="Times New Roman" w:hAnsi="Times New Roman" w:eastAsia="黑体" w:cs="Times New Roman"/>
                <w:b w:val="0"/>
                <w:bCs w:val="0"/>
                <w:i w:val="0"/>
                <w:iCs w:val="0"/>
                <w:color w:val="000000"/>
                <w:sz w:val="24"/>
                <w:szCs w:val="24"/>
                <w:u w:val="none"/>
              </w:rPr>
            </w:pPr>
            <w:r>
              <w:rPr>
                <w:rFonts w:hint="default" w:ascii="Times New Roman" w:hAnsi="Times New Roman" w:eastAsia="黑体" w:cs="Times New Roman"/>
                <w:b w:val="0"/>
                <w:bCs w:val="0"/>
                <w:i w:val="0"/>
                <w:iCs w:val="0"/>
                <w:color w:val="000000"/>
                <w:kern w:val="0"/>
                <w:sz w:val="24"/>
                <w:szCs w:val="24"/>
                <w:u w:val="none"/>
                <w:lang w:val="en-US" w:eastAsia="zh-CN" w:bidi="ar"/>
              </w:rPr>
              <w:t>依据资料</w:t>
            </w:r>
          </w:p>
        </w:tc>
        <w:tc>
          <w:tcPr>
            <w:tcW w:w="78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60" w:lineRule="atLeast"/>
              <w:jc w:val="center"/>
              <w:textAlignment w:val="center"/>
              <w:rPr>
                <w:rFonts w:hint="default" w:ascii="Times New Roman" w:hAnsi="Times New Roman" w:eastAsia="黑体" w:cs="Times New Roman"/>
                <w:b w:val="0"/>
                <w:bCs w:val="0"/>
                <w:i w:val="0"/>
                <w:iCs w:val="0"/>
                <w:color w:val="000000"/>
                <w:sz w:val="24"/>
                <w:szCs w:val="24"/>
                <w:u w:val="none"/>
              </w:rPr>
            </w:pPr>
            <w:r>
              <w:rPr>
                <w:rFonts w:hint="default" w:ascii="Times New Roman" w:hAnsi="Times New Roman" w:eastAsia="黑体" w:cs="Times New Roman"/>
                <w:b w:val="0"/>
                <w:bCs w:val="0"/>
                <w:i w:val="0"/>
                <w:iCs w:val="0"/>
                <w:color w:val="000000"/>
                <w:kern w:val="0"/>
                <w:sz w:val="24"/>
                <w:szCs w:val="24"/>
                <w:u w:val="none"/>
                <w:lang w:val="en-US" w:eastAsia="zh-CN" w:bidi="ar"/>
              </w:rPr>
              <w:t>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blHeader/>
          <w:jc w:val="center"/>
        </w:trPr>
        <w:tc>
          <w:tcPr>
            <w:tcW w:w="11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60" w:lineRule="atLeast"/>
              <w:jc w:val="center"/>
              <w:textAlignment w:val="center"/>
              <w:rPr>
                <w:rFonts w:hint="default" w:ascii="Times New Roman" w:hAnsi="Times New Roman" w:eastAsia="黑体" w:cs="Times New Roman"/>
                <w:b w:val="0"/>
                <w:bCs w:val="0"/>
                <w:i w:val="0"/>
                <w:iCs w:val="0"/>
                <w:color w:val="000000"/>
                <w:kern w:val="0"/>
                <w:sz w:val="24"/>
                <w:szCs w:val="24"/>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一级</w:t>
            </w:r>
          </w:p>
          <w:p>
            <w:pPr>
              <w:keepNext w:val="0"/>
              <w:keepLines w:val="0"/>
              <w:pageBreakBefore w:val="0"/>
              <w:widowControl w:val="0"/>
              <w:suppressLineNumbers w:val="0"/>
              <w:kinsoku/>
              <w:wordWrap/>
              <w:overflowPunct/>
              <w:topLinePunct w:val="0"/>
              <w:autoSpaceDE/>
              <w:autoSpaceDN/>
              <w:bidi w:val="0"/>
              <w:adjustRightInd w:val="0"/>
              <w:snapToGrid w:val="0"/>
              <w:spacing w:line="360" w:lineRule="atLeast"/>
              <w:jc w:val="center"/>
              <w:textAlignment w:val="center"/>
              <w:rPr>
                <w:rFonts w:hint="default" w:ascii="Times New Roman" w:hAnsi="Times New Roman" w:eastAsia="黑体" w:cs="Times New Roman"/>
                <w:b w:val="0"/>
                <w:bCs w:val="0"/>
                <w:i w:val="0"/>
                <w:iCs w:val="0"/>
                <w:color w:val="000000"/>
                <w:sz w:val="24"/>
                <w:szCs w:val="24"/>
                <w:u w:val="none"/>
              </w:rPr>
            </w:pPr>
            <w:r>
              <w:rPr>
                <w:rFonts w:hint="default" w:ascii="Times New Roman" w:hAnsi="Times New Roman" w:eastAsia="黑体" w:cs="Times New Roman"/>
                <w:b w:val="0"/>
                <w:bCs w:val="0"/>
                <w:i w:val="0"/>
                <w:iCs w:val="0"/>
                <w:color w:val="000000"/>
                <w:kern w:val="0"/>
                <w:sz w:val="24"/>
                <w:szCs w:val="24"/>
                <w:u w:val="none"/>
                <w:lang w:val="en-US" w:eastAsia="zh-CN" w:bidi="ar"/>
              </w:rPr>
              <w:t>指标</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60" w:lineRule="atLeast"/>
              <w:jc w:val="center"/>
              <w:textAlignment w:val="center"/>
              <w:rPr>
                <w:rFonts w:hint="default" w:ascii="Times New Roman" w:hAnsi="Times New Roman" w:eastAsia="黑体" w:cs="Times New Roman"/>
                <w:b w:val="0"/>
                <w:bCs w:val="0"/>
                <w:i w:val="0"/>
                <w:iCs w:val="0"/>
                <w:color w:val="000000"/>
                <w:sz w:val="24"/>
                <w:szCs w:val="24"/>
                <w:u w:val="none"/>
              </w:rPr>
            </w:pPr>
            <w:r>
              <w:rPr>
                <w:rFonts w:hint="default" w:ascii="Times New Roman" w:hAnsi="Times New Roman" w:eastAsia="黑体" w:cs="Times New Roman"/>
                <w:b w:val="0"/>
                <w:bCs w:val="0"/>
                <w:i w:val="0"/>
                <w:iCs w:val="0"/>
                <w:color w:val="000000"/>
                <w:kern w:val="0"/>
                <w:sz w:val="24"/>
                <w:szCs w:val="24"/>
                <w:u w:val="none"/>
                <w:lang w:val="en-US" w:eastAsia="zh-CN" w:bidi="ar"/>
              </w:rPr>
              <w:t>二级指标</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60" w:lineRule="atLeast"/>
              <w:jc w:val="center"/>
              <w:textAlignment w:val="center"/>
              <w:rPr>
                <w:rFonts w:hint="default" w:ascii="Times New Roman" w:hAnsi="Times New Roman" w:eastAsia="黑体" w:cs="Times New Roman"/>
                <w:b w:val="0"/>
                <w:bCs w:val="0"/>
                <w:i w:val="0"/>
                <w:iCs w:val="0"/>
                <w:color w:val="000000"/>
                <w:sz w:val="24"/>
                <w:szCs w:val="24"/>
                <w:u w:val="none"/>
              </w:rPr>
            </w:pPr>
            <w:r>
              <w:rPr>
                <w:rFonts w:hint="default" w:ascii="Times New Roman" w:hAnsi="Times New Roman" w:eastAsia="黑体" w:cs="Times New Roman"/>
                <w:b w:val="0"/>
                <w:bCs w:val="0"/>
                <w:i w:val="0"/>
                <w:iCs w:val="0"/>
                <w:color w:val="000000"/>
                <w:kern w:val="0"/>
                <w:sz w:val="24"/>
                <w:szCs w:val="24"/>
                <w:u w:val="none"/>
                <w:lang w:val="en-US" w:eastAsia="zh-CN" w:bidi="ar"/>
              </w:rPr>
              <w:t>三级指标</w:t>
            </w: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afterLines="0" w:line="360" w:lineRule="atLeast"/>
              <w:jc w:val="center"/>
              <w:rPr>
                <w:rFonts w:hint="default" w:ascii="Times New Roman" w:hAnsi="Times New Roman" w:eastAsia="黑体" w:cs="Times New Roman"/>
                <w:b w:val="0"/>
                <w:bCs w:val="0"/>
                <w:i w:val="0"/>
                <w:iCs w:val="0"/>
                <w:color w:val="000000"/>
                <w:sz w:val="24"/>
                <w:szCs w:val="24"/>
                <w:u w:val="none"/>
              </w:rPr>
            </w:pPr>
          </w:p>
        </w:tc>
        <w:tc>
          <w:tcPr>
            <w:tcW w:w="177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afterLines="0" w:line="360" w:lineRule="atLeast"/>
              <w:jc w:val="center"/>
              <w:rPr>
                <w:rFonts w:hint="default" w:ascii="Times New Roman" w:hAnsi="Times New Roman" w:eastAsia="黑体" w:cs="Times New Roman"/>
                <w:b w:val="0"/>
                <w:bCs w:val="0"/>
                <w:i w:val="0"/>
                <w:iCs w:val="0"/>
                <w:color w:val="000000"/>
                <w:sz w:val="24"/>
                <w:szCs w:val="24"/>
                <w:u w:val="none"/>
              </w:rPr>
            </w:pPr>
          </w:p>
        </w:tc>
        <w:tc>
          <w:tcPr>
            <w:tcW w:w="350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afterLines="0" w:line="360" w:lineRule="atLeast"/>
              <w:jc w:val="center"/>
              <w:rPr>
                <w:rFonts w:hint="default" w:ascii="Times New Roman" w:hAnsi="Times New Roman" w:eastAsia="黑体" w:cs="Times New Roman"/>
                <w:b w:val="0"/>
                <w:bCs w:val="0"/>
                <w:i w:val="0"/>
                <w:iCs w:val="0"/>
                <w:color w:val="000000"/>
                <w:sz w:val="24"/>
                <w:szCs w:val="24"/>
                <w:u w:val="none"/>
              </w:rPr>
            </w:pPr>
          </w:p>
        </w:tc>
        <w:tc>
          <w:tcPr>
            <w:tcW w:w="346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afterLines="0" w:line="360" w:lineRule="atLeast"/>
              <w:jc w:val="center"/>
              <w:rPr>
                <w:rFonts w:hint="default" w:ascii="Times New Roman" w:hAnsi="Times New Roman" w:eastAsia="黑体" w:cs="Times New Roman"/>
                <w:b w:val="0"/>
                <w:bCs w:val="0"/>
                <w:i w:val="0"/>
                <w:iCs w:val="0"/>
                <w:color w:val="000000"/>
                <w:sz w:val="24"/>
                <w:szCs w:val="24"/>
                <w:u w:val="none"/>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afterLines="0" w:line="360" w:lineRule="atLeast"/>
              <w:jc w:val="center"/>
              <w:rPr>
                <w:rFonts w:hint="default" w:ascii="Times New Roman" w:hAnsi="Times New Roman" w:eastAsia="黑体" w:cs="Times New Roman"/>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5" w:hRule="atLeast"/>
          <w:jc w:val="center"/>
        </w:trPr>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60" w:lineRule="atLeas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部门预算管理（80分）</w:t>
            </w:r>
          </w:p>
        </w:tc>
        <w:tc>
          <w:tcPr>
            <w:tcW w:w="131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60" w:lineRule="atLeas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预算编制（30分）</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60" w:lineRule="atLeas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目标制定</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60" w:lineRule="atLeas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60" w:lineRule="atLeas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评价部门绩效目标是否要素完整、细化量化。</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60" w:lineRule="atLeas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1.绩效目标编制要素完整的，得5分，否则酌情扣分。                                                       2.绩效指标细化量化的，得5分，否则酌情扣分。</w:t>
            </w: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60" w:lineRule="atLeas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要素指</w:t>
            </w:r>
            <w:r>
              <w:rPr>
                <w:rFonts w:hint="eastAsia" w:eastAsia="仿宋_GB2312" w:cs="Times New Roman"/>
                <w:i w:val="0"/>
                <w:iCs w:val="0"/>
                <w:color w:val="000000"/>
                <w:kern w:val="0"/>
                <w:sz w:val="24"/>
                <w:szCs w:val="24"/>
                <w:u w:val="none"/>
                <w:lang w:val="en-US" w:eastAsia="zh-CN" w:bidi="ar"/>
              </w:rPr>
              <w:t>标</w:t>
            </w:r>
            <w:r>
              <w:rPr>
                <w:rFonts w:hint="default" w:ascii="Times New Roman" w:hAnsi="Times New Roman" w:eastAsia="仿宋_GB2312" w:cs="Times New Roman"/>
                <w:i w:val="0"/>
                <w:iCs w:val="0"/>
                <w:color w:val="000000"/>
                <w:kern w:val="0"/>
                <w:sz w:val="24"/>
                <w:szCs w:val="24"/>
                <w:u w:val="none"/>
                <w:lang w:val="en-US" w:eastAsia="zh-CN" w:bidi="ar"/>
              </w:rPr>
              <w:t>目标的完成指标及效益指标、满意度指标是否填写完整，根据年初制定目标财政局的要求。指标细化量化指该定量表达的是否表达。</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60" w:lineRule="atLeas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jc w:val="center"/>
        </w:trPr>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afterLines="0" w:line="360" w:lineRule="atLeast"/>
              <w:jc w:val="center"/>
              <w:rPr>
                <w:rFonts w:hint="default" w:ascii="Times New Roman" w:hAnsi="Times New Roman" w:eastAsia="仿宋_GB2312" w:cs="Times New Roman"/>
                <w:i w:val="0"/>
                <w:iCs w:val="0"/>
                <w:color w:val="000000"/>
                <w:sz w:val="24"/>
                <w:szCs w:val="24"/>
                <w:u w:val="none"/>
              </w:rPr>
            </w:pPr>
          </w:p>
        </w:tc>
        <w:tc>
          <w:tcPr>
            <w:tcW w:w="131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afterLines="0" w:line="360" w:lineRule="atLeast"/>
              <w:jc w:val="center"/>
              <w:rPr>
                <w:rFonts w:hint="default" w:ascii="Times New Roman" w:hAnsi="Times New Roman" w:eastAsia="仿宋_GB2312" w:cs="Times New Roman"/>
                <w:i w:val="0"/>
                <w:iCs w:val="0"/>
                <w:color w:val="00000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60" w:lineRule="atLeas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目标完成</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60" w:lineRule="atLeas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60" w:lineRule="atLeas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评价部门绩效目标实际实现程度与预期目标的偏离度。</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60" w:lineRule="atLeas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以项目完成数量指标为核心，评价项目实际完成情况是否达到预期绩效目标，指标得分=达到预期绩效目标的部门项目个数/纳入绩效目标管理的部门预算项目个数*10</w:t>
            </w: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60" w:lineRule="atLeas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项目绩效目标申报表（数量指标）</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60" w:lineRule="atLeas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jc w:val="center"/>
        </w:trPr>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afterLines="0" w:line="360" w:lineRule="atLeast"/>
              <w:jc w:val="center"/>
              <w:rPr>
                <w:rFonts w:hint="default" w:ascii="Times New Roman" w:hAnsi="Times New Roman" w:eastAsia="仿宋_GB2312" w:cs="Times New Roman"/>
                <w:i w:val="0"/>
                <w:iCs w:val="0"/>
                <w:color w:val="000000"/>
                <w:sz w:val="24"/>
                <w:szCs w:val="24"/>
                <w:u w:val="none"/>
              </w:rPr>
            </w:pPr>
          </w:p>
        </w:tc>
        <w:tc>
          <w:tcPr>
            <w:tcW w:w="131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afterLines="0" w:line="360" w:lineRule="atLeast"/>
              <w:jc w:val="center"/>
              <w:rPr>
                <w:rFonts w:hint="default" w:ascii="Times New Roman" w:hAnsi="Times New Roman" w:eastAsia="仿宋_GB2312" w:cs="Times New Roman"/>
                <w:i w:val="0"/>
                <w:iCs w:val="0"/>
                <w:color w:val="00000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60" w:lineRule="atLeas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编制准确</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60" w:lineRule="atLeas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60" w:lineRule="atLeas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评价部门年初预算编制是否科学准确。</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60" w:lineRule="atLeas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指标得分=（1-（10×部门全年预算调剂金额/年初部门预算数））*10。其中：若部门全年预算调剂金额/年初部门预算数&gt;0.1，此项得0分。</w:t>
            </w: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60" w:lineRule="atLeas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预算调剂金额：大平台中预算下达指标明细对账单—业务类型中“专项调剂”和“非专项调剂”绝对值合计数</w:t>
            </w:r>
          </w:p>
          <w:p>
            <w:pPr>
              <w:keepNext w:val="0"/>
              <w:keepLines w:val="0"/>
              <w:pageBreakBefore w:val="0"/>
              <w:widowControl w:val="0"/>
              <w:suppressLineNumbers w:val="0"/>
              <w:kinsoku/>
              <w:wordWrap/>
              <w:overflowPunct/>
              <w:topLinePunct w:val="0"/>
              <w:autoSpaceDE/>
              <w:autoSpaceDN/>
              <w:bidi w:val="0"/>
              <w:adjustRightInd w:val="0"/>
              <w:snapToGrid w:val="0"/>
              <w:spacing w:line="360" w:lineRule="atLeas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年初部门预算数：年初部门预算批复表，表1部门预算收支总表“本年支出合计”</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60" w:lineRule="atLeast"/>
              <w:jc w:val="center"/>
              <w:textAlignment w:val="center"/>
              <w:rPr>
                <w:rFonts w:hint="default" w:ascii="Times New Roman" w:hAnsi="Times New Roman" w:eastAsia="仿宋_GB2312" w:cs="Times New Roman"/>
                <w:i w:val="0"/>
                <w:iCs w:val="0"/>
                <w:color w:val="000000"/>
                <w:sz w:val="24"/>
                <w:szCs w:val="24"/>
                <w:u w:val="none"/>
                <w:lang w:val="en-US"/>
              </w:rPr>
            </w:pPr>
            <w:r>
              <w:rPr>
                <w:rFonts w:hint="eastAsia" w:ascii="Times New Roman" w:hAnsi="Times New Roman" w:cs="Times New Roman"/>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7" w:hRule="atLeast"/>
          <w:jc w:val="center"/>
        </w:trPr>
        <w:tc>
          <w:tcPr>
            <w:tcW w:w="1159" w:type="dxa"/>
            <w:vMerge w:val="restart"/>
            <w:tcBorders>
              <w:top w:val="single" w:color="auto" w:sz="4" w:space="0"/>
              <w:left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afterLines="0" w:line="360" w:lineRule="atLeast"/>
              <w:jc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部门预算管理（80分）</w:t>
            </w:r>
          </w:p>
        </w:tc>
        <w:tc>
          <w:tcPr>
            <w:tcW w:w="1317" w:type="dxa"/>
            <w:vMerge w:val="restart"/>
            <w:tcBorders>
              <w:top w:val="single" w:color="auto" w:sz="4" w:space="0"/>
              <w:left w:val="single" w:color="000000" w:sz="4" w:space="0"/>
              <w:bottom w:val="single" w:color="auto"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60" w:lineRule="atLeas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预算执行（30分）</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60" w:lineRule="atLeas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支出控制</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60" w:lineRule="atLeas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60" w:lineRule="atLeas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部门公用经费及非定额公用支出控制情况。</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atLeas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计算部门日常公用经费、项目支出中“办公费、印刷费、水费、电费、物业管理费、差旅费、培训费、会议费”8个科目年初预算数与决算数偏差程度。                                              预决算偏差程度在10%以内的，得10分。偏差度在10%-20%之间的，得5分，偏差度超过20%的，不得分。</w:t>
            </w: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60" w:lineRule="atLeas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决算数：财政批复的决算套表-从决算科目里删选</w:t>
            </w:r>
          </w:p>
          <w:p>
            <w:pPr>
              <w:keepNext w:val="0"/>
              <w:keepLines w:val="0"/>
              <w:pageBreakBefore w:val="0"/>
              <w:widowControl w:val="0"/>
              <w:suppressLineNumbers w:val="0"/>
              <w:kinsoku/>
              <w:wordWrap/>
              <w:overflowPunct/>
              <w:topLinePunct w:val="0"/>
              <w:autoSpaceDE/>
              <w:autoSpaceDN/>
              <w:bidi w:val="0"/>
              <w:adjustRightInd w:val="0"/>
              <w:snapToGrid w:val="0"/>
              <w:spacing w:line="360" w:lineRule="atLeas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预算数：财政批复预算公开表</w:t>
            </w:r>
          </w:p>
          <w:p>
            <w:pPr>
              <w:keepNext w:val="0"/>
              <w:keepLines w:val="0"/>
              <w:pageBreakBefore w:val="0"/>
              <w:widowControl w:val="0"/>
              <w:suppressLineNumbers w:val="0"/>
              <w:kinsoku/>
              <w:wordWrap/>
              <w:overflowPunct/>
              <w:topLinePunct w:val="0"/>
              <w:autoSpaceDE/>
              <w:autoSpaceDN/>
              <w:bidi w:val="0"/>
              <w:adjustRightInd w:val="0"/>
              <w:snapToGrid w:val="0"/>
              <w:spacing w:line="360" w:lineRule="atLeas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偏差程度=（决算数-预算数）的绝对值/决算数*100%</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60" w:lineRule="atLeast"/>
              <w:jc w:val="center"/>
              <w:textAlignment w:val="center"/>
              <w:rPr>
                <w:rFonts w:hint="default" w:ascii="Times New Roman" w:hAnsi="Times New Roman" w:eastAsia="仿宋_GB2312" w:cs="Times New Roman"/>
                <w:i w:val="0"/>
                <w:iCs w:val="0"/>
                <w:color w:val="000000"/>
                <w:sz w:val="24"/>
                <w:szCs w:val="24"/>
                <w:u w:val="none"/>
                <w:lang w:val="en-US"/>
              </w:rPr>
            </w:pPr>
            <w:r>
              <w:rPr>
                <w:rFonts w:hint="eastAsia" w:ascii="Times New Roman" w:hAnsi="Times New Roman" w:eastAsia="仿宋_GB2312" w:cs="Times New Roman"/>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9" w:hRule="atLeast"/>
          <w:jc w:val="center"/>
        </w:trPr>
        <w:tc>
          <w:tcPr>
            <w:tcW w:w="1159" w:type="dxa"/>
            <w:vMerge w:val="continue"/>
            <w:tcBorders>
              <w:top w:val="single" w:color="auto" w:sz="4" w:space="0"/>
              <w:left w:val="single" w:color="000000" w:sz="4" w:space="0"/>
              <w:bottom w:val="single" w:color="auto"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afterLines="0" w:line="360" w:lineRule="atLeast"/>
              <w:jc w:val="center"/>
              <w:rPr>
                <w:rFonts w:hint="default" w:ascii="Times New Roman" w:hAnsi="Times New Roman" w:eastAsia="仿宋_GB2312" w:cs="Times New Roman"/>
                <w:i w:val="0"/>
                <w:iCs w:val="0"/>
                <w:color w:val="000000"/>
                <w:sz w:val="24"/>
                <w:szCs w:val="24"/>
                <w:u w:val="none"/>
              </w:rPr>
            </w:pPr>
          </w:p>
        </w:tc>
        <w:tc>
          <w:tcPr>
            <w:tcW w:w="1317" w:type="dxa"/>
            <w:vMerge w:val="continue"/>
            <w:tcBorders>
              <w:top w:val="single" w:color="auto" w:sz="4" w:space="0"/>
              <w:left w:val="single" w:color="000000" w:sz="4" w:space="0"/>
              <w:bottom w:val="single" w:color="auto"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afterLines="0" w:line="360" w:lineRule="atLeast"/>
              <w:jc w:val="center"/>
              <w:rPr>
                <w:rFonts w:hint="default" w:ascii="Times New Roman" w:hAnsi="Times New Roman" w:eastAsia="仿宋_GB2312" w:cs="Times New Roman"/>
                <w:i w:val="0"/>
                <w:iCs w:val="0"/>
                <w:color w:val="00000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60" w:lineRule="atLeas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动态调整</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60" w:lineRule="atLeas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60" w:lineRule="atLeas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评价部门开展绩效运行监控后，将绩效监控结果应用到预算调整的情况。</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atLeas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 xml:space="preserve">1.当部门绩效监控调整取消额和结余注销额均不为零时，指标得分=部门项目支出绩效监控调整取消额÷(部门绩效监控调整取消额+预算结余注销额）*10                                                  2.当部门绩效监控调整取消额为零，结余注销额不为零时，指标得分=（1-10*结余注销额/年度预算总额）*10，结余注销额超过部门年度预算总额10%的，指标不得分。                  </w:t>
            </w:r>
          </w:p>
          <w:p>
            <w:pPr>
              <w:keepNext w:val="0"/>
              <w:keepLines w:val="0"/>
              <w:pageBreakBefore w:val="0"/>
              <w:widowControl w:val="0"/>
              <w:suppressLineNumbers w:val="0"/>
              <w:kinsoku/>
              <w:wordWrap/>
              <w:overflowPunct/>
              <w:topLinePunct w:val="0"/>
              <w:autoSpaceDE/>
              <w:autoSpaceDN/>
              <w:bidi w:val="0"/>
              <w:adjustRightInd w:val="0"/>
              <w:snapToGrid w:val="0"/>
              <w:spacing w:line="320" w:lineRule="atLeas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3.当部门绩效监控调整取消额与结余注销额均为零时，得满分。</w:t>
            </w: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60" w:lineRule="atLeas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预决算套表（Z01调整预算数、CS01）</w:t>
            </w:r>
          </w:p>
          <w:p>
            <w:pPr>
              <w:keepNext w:val="0"/>
              <w:keepLines w:val="0"/>
              <w:pageBreakBefore w:val="0"/>
              <w:widowControl w:val="0"/>
              <w:suppressLineNumbers w:val="0"/>
              <w:kinsoku/>
              <w:wordWrap/>
              <w:overflowPunct/>
              <w:topLinePunct w:val="0"/>
              <w:autoSpaceDE/>
              <w:autoSpaceDN/>
              <w:bidi w:val="0"/>
              <w:adjustRightInd w:val="0"/>
              <w:snapToGrid w:val="0"/>
              <w:spacing w:line="360" w:lineRule="atLeas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年度预算总额：Z01总计调整预算数</w:t>
            </w:r>
          </w:p>
          <w:p>
            <w:pPr>
              <w:keepNext w:val="0"/>
              <w:keepLines w:val="0"/>
              <w:pageBreakBefore w:val="0"/>
              <w:widowControl w:val="0"/>
              <w:suppressLineNumbers w:val="0"/>
              <w:kinsoku/>
              <w:wordWrap/>
              <w:overflowPunct/>
              <w:topLinePunct w:val="0"/>
              <w:autoSpaceDE/>
              <w:autoSpaceDN/>
              <w:bidi w:val="0"/>
              <w:adjustRightInd w:val="0"/>
              <w:snapToGrid w:val="0"/>
              <w:spacing w:line="360" w:lineRule="atLeas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绩效监控调整取消额：调整前年初结转和结余-调整后年初结转和结余=0，则没有取消额</w:t>
            </w:r>
          </w:p>
          <w:p>
            <w:pPr>
              <w:keepNext w:val="0"/>
              <w:keepLines w:val="0"/>
              <w:pageBreakBefore w:val="0"/>
              <w:widowControl w:val="0"/>
              <w:suppressLineNumbers w:val="0"/>
              <w:kinsoku/>
              <w:wordWrap/>
              <w:overflowPunct/>
              <w:topLinePunct w:val="0"/>
              <w:autoSpaceDE/>
              <w:autoSpaceDN/>
              <w:bidi w:val="0"/>
              <w:adjustRightInd w:val="0"/>
              <w:snapToGrid w:val="0"/>
              <w:spacing w:line="360" w:lineRule="atLeas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预算结余注销额：归集上缴和缴回资金栏为0，表示当年没有注销，如果有数就是注销额</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60" w:lineRule="atLeas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573" w:hRule="atLeast"/>
          <w:jc w:val="center"/>
        </w:trPr>
        <w:tc>
          <w:tcPr>
            <w:tcW w:w="1159" w:type="dxa"/>
            <w:vMerge w:val="restart"/>
            <w:tcBorders>
              <w:top w:val="single" w:color="auto" w:sz="4" w:space="0"/>
              <w:left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afterLines="0" w:line="360" w:lineRule="atLeast"/>
              <w:jc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部门预算管理（80分）</w:t>
            </w:r>
          </w:p>
        </w:tc>
        <w:tc>
          <w:tcPr>
            <w:tcW w:w="1317" w:type="dxa"/>
            <w:tcBorders>
              <w:top w:val="single" w:color="auto" w:sz="4" w:space="0"/>
              <w:left w:val="single" w:color="000000" w:sz="4" w:space="0"/>
              <w:bottom w:val="single" w:color="auto"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afterLines="0" w:line="360" w:lineRule="atLeast"/>
              <w:jc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预算执行（30分）</w:t>
            </w:r>
          </w:p>
        </w:tc>
        <w:tc>
          <w:tcPr>
            <w:tcW w:w="80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60" w:lineRule="atLeas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执行进度</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60" w:lineRule="atLeas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60" w:lineRule="atLeas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评价部门在6、9、11月的预算执行情况。</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60" w:lineRule="atLeas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部门预算执行进度在6、9、11月应达到序时进度的80%、90%、90%，即实际支出进度分别达到40%、67.5%、82.5%。                                                     6、9、11月部门预算执行进度达到量化指标的分别得3、4、3分，未达到目标进度的按其实际进度占目标进度的比重计算得分。</w:t>
            </w: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60" w:lineRule="atLeas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财政部门统一从国库总会计那取数字发送到各单位</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60" w:lineRule="atLeas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9" w:hRule="atLeast"/>
          <w:jc w:val="center"/>
        </w:trPr>
        <w:tc>
          <w:tcPr>
            <w:tcW w:w="1159" w:type="dxa"/>
            <w:vMerge w:val="continue"/>
            <w:tcBorders>
              <w:top w:val="single" w:color="auto" w:sz="4" w:space="0"/>
              <w:left w:val="single" w:color="000000" w:sz="4" w:space="0"/>
              <w:bottom w:val="single" w:color="auto"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afterLines="0" w:line="360" w:lineRule="atLeast"/>
              <w:jc w:val="center"/>
              <w:rPr>
                <w:rFonts w:hint="default" w:ascii="Times New Roman" w:hAnsi="Times New Roman" w:eastAsia="仿宋_GB2312" w:cs="Times New Roman"/>
                <w:i w:val="0"/>
                <w:iCs w:val="0"/>
                <w:color w:val="000000"/>
                <w:sz w:val="24"/>
                <w:szCs w:val="24"/>
                <w:u w:val="none"/>
              </w:rPr>
            </w:pPr>
          </w:p>
        </w:tc>
        <w:tc>
          <w:tcPr>
            <w:tcW w:w="1317" w:type="dxa"/>
            <w:vMerge w:val="restart"/>
            <w:tcBorders>
              <w:top w:val="single" w:color="auto" w:sz="4" w:space="0"/>
              <w:left w:val="single" w:color="000000" w:sz="4" w:space="0"/>
              <w:bottom w:val="single" w:color="auto"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60" w:lineRule="atLeas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完成结果（20分）</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60" w:lineRule="atLeas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预算完成</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60" w:lineRule="atLeas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60" w:lineRule="atLeas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评价部门预算项目年终预算执行情况。</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60" w:lineRule="atLeas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部门预算项目12月预算执行进度达到100%的，得10分，未达100%的，按照实际进度量化计算得分。(含所有下属单位)</w:t>
            </w: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60" w:lineRule="atLeas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预决算套表（Z01调整预算数、决算数）；实际进度量化计算得分=80%*10=8</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60" w:lineRule="atLeas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1159" w:type="dxa"/>
            <w:vMerge w:val="continue"/>
            <w:tcBorders>
              <w:top w:val="single" w:color="auto" w:sz="4" w:space="0"/>
              <w:left w:val="single" w:color="000000" w:sz="4" w:space="0"/>
              <w:bottom w:val="single" w:color="auto"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afterLines="0" w:line="360" w:lineRule="atLeast"/>
              <w:jc w:val="center"/>
              <w:rPr>
                <w:rFonts w:hint="default" w:ascii="Times New Roman" w:hAnsi="Times New Roman" w:eastAsia="仿宋_GB2312" w:cs="Times New Roman"/>
                <w:i w:val="0"/>
                <w:iCs w:val="0"/>
                <w:color w:val="000000"/>
                <w:sz w:val="24"/>
                <w:szCs w:val="24"/>
                <w:u w:val="none"/>
              </w:rPr>
            </w:pPr>
          </w:p>
        </w:tc>
        <w:tc>
          <w:tcPr>
            <w:tcW w:w="1317" w:type="dxa"/>
            <w:vMerge w:val="continue"/>
            <w:tcBorders>
              <w:top w:val="single" w:color="auto" w:sz="4" w:space="0"/>
              <w:left w:val="single" w:color="000000" w:sz="4" w:space="0"/>
              <w:bottom w:val="single" w:color="auto"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afterLines="0" w:line="360" w:lineRule="atLeast"/>
              <w:jc w:val="center"/>
              <w:rPr>
                <w:rFonts w:hint="default" w:ascii="Times New Roman" w:hAnsi="Times New Roman" w:eastAsia="仿宋_GB2312" w:cs="Times New Roman"/>
                <w:i w:val="0"/>
                <w:iCs w:val="0"/>
                <w:color w:val="00000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60" w:lineRule="atLeas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违规记录</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60" w:lineRule="atLeas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60" w:lineRule="atLeas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根据审计监督、财政检查结果反映部门上一年度部门预算管理是否合规。</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60" w:lineRule="atLeas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依据上一年度审计监督、财政检查结果，出现部门预算管理方面违纪违规问题的，每个问题扣0.5分，直至扣完。</w:t>
            </w: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60" w:lineRule="atLeas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上一年度的审计监督、财政检查报告</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60" w:lineRule="atLeas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5" w:hRule="atLeast"/>
          <w:jc w:val="center"/>
        </w:trPr>
        <w:tc>
          <w:tcPr>
            <w:tcW w:w="1159"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60" w:lineRule="atLeas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绩效结果应用（10分）</w:t>
            </w:r>
          </w:p>
        </w:tc>
        <w:tc>
          <w:tcPr>
            <w:tcW w:w="1317"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60" w:lineRule="atLeas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信息公开（6分）</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60" w:lineRule="atLeas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目标公开</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60" w:lineRule="atLeas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1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60" w:lineRule="atLeas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评价部门绩效目标是否按要求向社会公开。</w:t>
            </w:r>
          </w:p>
        </w:tc>
        <w:tc>
          <w:tcPr>
            <w:tcW w:w="3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60" w:lineRule="atLeas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按要求随同预算公开的，得3分。</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60" w:lineRule="atLeas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人民政府信息公开网—预决算公开栏</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60" w:lineRule="atLeas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572" w:hRule="atLeast"/>
          <w:jc w:val="center"/>
        </w:trPr>
        <w:tc>
          <w:tcPr>
            <w:tcW w:w="1159"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afterLines="0" w:line="360" w:lineRule="atLeast"/>
              <w:jc w:val="center"/>
              <w:rPr>
                <w:rFonts w:hint="default" w:ascii="Times New Roman" w:hAnsi="Times New Roman" w:eastAsia="仿宋_GB2312" w:cs="Times New Roman"/>
                <w:i w:val="0"/>
                <w:iCs w:val="0"/>
                <w:color w:val="000000"/>
                <w:sz w:val="24"/>
                <w:szCs w:val="24"/>
                <w:u w:val="none"/>
              </w:rPr>
            </w:pPr>
          </w:p>
        </w:tc>
        <w:tc>
          <w:tcPr>
            <w:tcW w:w="1317"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afterLines="0" w:line="360" w:lineRule="atLeast"/>
              <w:jc w:val="center"/>
              <w:rPr>
                <w:rFonts w:hint="default" w:ascii="Times New Roman" w:hAnsi="Times New Roman" w:eastAsia="仿宋_GB2312" w:cs="Times New Roman"/>
                <w:i w:val="0"/>
                <w:iCs w:val="0"/>
                <w:color w:val="00000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60" w:lineRule="atLeas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自评公开</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60" w:lineRule="atLeas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1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60" w:lineRule="atLeas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评价部门是否按要求将部门整体绩效自评情况和自行组织的评价情况向社会公开。</w:t>
            </w:r>
          </w:p>
        </w:tc>
        <w:tc>
          <w:tcPr>
            <w:tcW w:w="3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60" w:lineRule="atLeas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按要求随同决算公开的，得3分。</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60" w:lineRule="atLeas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人民政府信息公开网—预决算公开栏</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60" w:lineRule="atLeas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8" w:hRule="atLeast"/>
          <w:jc w:val="center"/>
        </w:trPr>
        <w:tc>
          <w:tcPr>
            <w:tcW w:w="1159"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afterLines="0" w:line="360" w:lineRule="atLeast"/>
              <w:jc w:val="center"/>
              <w:rPr>
                <w:rFonts w:hint="default" w:ascii="Times New Roman" w:hAnsi="Times New Roman" w:eastAsia="仿宋_GB2312" w:cs="Times New Roman"/>
                <w:i w:val="0"/>
                <w:iCs w:val="0"/>
                <w:color w:val="000000"/>
                <w:sz w:val="24"/>
                <w:szCs w:val="24"/>
                <w:u w:val="none"/>
              </w:rPr>
            </w:pPr>
          </w:p>
        </w:tc>
        <w:tc>
          <w:tcPr>
            <w:tcW w:w="1317"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60" w:lineRule="atLeas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整改反馈（4分）</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60" w:lineRule="atLeas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结果整改</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60" w:lineRule="atLeas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1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60" w:lineRule="atLeas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评价部门根据绩效管理结果整改问题、完善政策、改进管理的情况。</w:t>
            </w:r>
          </w:p>
        </w:tc>
        <w:tc>
          <w:tcPr>
            <w:tcW w:w="3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60" w:lineRule="atLeas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针对绩效管理过程中（包括绩效目标核查、绩效监控核查和重点绩效评价）提出的问题，发现一处未整改的，扣1分，直至扣完。</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60" w:lineRule="atLeas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结果整改说明、整改报告，现场检查</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60" w:lineRule="atLeas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1" w:hRule="atLeast"/>
          <w:jc w:val="center"/>
        </w:trPr>
        <w:tc>
          <w:tcPr>
            <w:tcW w:w="1159"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afterLines="0" w:line="360" w:lineRule="atLeast"/>
              <w:jc w:val="center"/>
              <w:rPr>
                <w:rFonts w:hint="default" w:ascii="Times New Roman" w:hAnsi="Times New Roman" w:eastAsia="仿宋_GB2312" w:cs="Times New Roman"/>
                <w:i w:val="0"/>
                <w:iCs w:val="0"/>
                <w:color w:val="000000"/>
                <w:sz w:val="24"/>
                <w:szCs w:val="24"/>
                <w:u w:val="none"/>
              </w:rPr>
            </w:pPr>
          </w:p>
        </w:tc>
        <w:tc>
          <w:tcPr>
            <w:tcW w:w="1317"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afterLines="0" w:line="360" w:lineRule="atLeast"/>
              <w:jc w:val="center"/>
              <w:rPr>
                <w:rFonts w:hint="default" w:ascii="Times New Roman" w:hAnsi="Times New Roman" w:eastAsia="仿宋_GB2312" w:cs="Times New Roman"/>
                <w:i w:val="0"/>
                <w:iCs w:val="0"/>
                <w:color w:val="00000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60" w:lineRule="atLeas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应用反馈</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60" w:lineRule="atLeas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1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60" w:lineRule="atLeas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评价部门按要求及时向财政部门反馈结果应用情况。</w:t>
            </w:r>
          </w:p>
        </w:tc>
        <w:tc>
          <w:tcPr>
            <w:tcW w:w="3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60" w:lineRule="atLeas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部门在规定时间内向财政部门反馈应用绩效结果报告的，得满分，否则不得分。</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60" w:lineRule="atLeas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根据财政部门要求反馈的时间限制。</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60" w:lineRule="atLeas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3" w:hRule="atLeast"/>
          <w:jc w:val="center"/>
        </w:trPr>
        <w:tc>
          <w:tcPr>
            <w:tcW w:w="1159" w:type="dxa"/>
            <w:tcBorders>
              <w:top w:val="single" w:color="auto" w:sz="4" w:space="0"/>
              <w:left w:val="single" w:color="000000" w:sz="4" w:space="0"/>
              <w:bottom w:val="single" w:color="000000" w:sz="4" w:space="0"/>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60" w:lineRule="atLeas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自评质量（10分）</w:t>
            </w:r>
          </w:p>
        </w:tc>
        <w:tc>
          <w:tcPr>
            <w:tcW w:w="1317"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60" w:lineRule="atLeas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自评质量（10分）</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60" w:lineRule="atLeas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自评准确</w:t>
            </w:r>
            <w:r>
              <w:rPr>
                <w:rFonts w:hint="eastAsia" w:eastAsia="仿宋_GB2312" w:cs="Times New Roman"/>
                <w:i w:val="0"/>
                <w:iCs w:val="0"/>
                <w:color w:val="000000"/>
                <w:kern w:val="0"/>
                <w:sz w:val="24"/>
                <w:szCs w:val="24"/>
                <w:u w:val="none"/>
                <w:lang w:val="en-US" w:eastAsia="zh-CN" w:bidi="ar"/>
              </w:rPr>
              <w:t>率</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60" w:lineRule="atLeas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w:t>
            </w:r>
          </w:p>
        </w:tc>
        <w:tc>
          <w:tcPr>
            <w:tcW w:w="1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60" w:lineRule="atLeas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评价部门整体支出自评准确率。</w:t>
            </w:r>
          </w:p>
        </w:tc>
        <w:tc>
          <w:tcPr>
            <w:tcW w:w="3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60" w:lineRule="atLeas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部门整体支出自评得分与评价组抽查得分差异在5%以内的，不扣分；在5%-10%之间的，扣4分，在10%-20%的，扣8分，在20%以上的，扣10分。（部门在自评时，此项指标无需打分，部门自评满分为90分）</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afterLines="0" w:line="360" w:lineRule="atLeast"/>
              <w:jc w:val="left"/>
              <w:rPr>
                <w:rFonts w:hint="default" w:ascii="Times New Roman" w:hAnsi="Times New Roman" w:eastAsia="仿宋_GB2312" w:cs="Times New Roman"/>
                <w:i w:val="0"/>
                <w:iCs w:val="0"/>
                <w:color w:val="000000"/>
                <w:sz w:val="24"/>
                <w:szCs w:val="24"/>
                <w:u w:val="none"/>
              </w:rPr>
            </w:pP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afterLines="0" w:line="360" w:lineRule="atLeast"/>
              <w:jc w:val="center"/>
              <w:rPr>
                <w:rFonts w:hint="default" w:ascii="Times New Roman" w:hAnsi="Times New Roman" w:eastAsia="仿宋_GB2312" w:cs="Times New Roman"/>
                <w:i w:val="0"/>
                <w:iCs w:val="0"/>
                <w:color w:val="000000"/>
                <w:sz w:val="24"/>
                <w:szCs w:val="24"/>
                <w:u w:val="none"/>
                <w:lang w:val="en-US" w:eastAsia="zh-CN"/>
              </w:rPr>
            </w:pPr>
            <w:r>
              <w:rPr>
                <w:rFonts w:hint="eastAsia" w:ascii="Times New Roman" w:hAnsi="Times New Roman" w:cs="Times New Roman"/>
                <w:i w:val="0"/>
                <w:iCs w:val="0"/>
                <w:color w:val="000000"/>
                <w:sz w:val="24"/>
                <w:szCs w:val="24"/>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25" w:hRule="atLeast"/>
          <w:jc w:val="center"/>
        </w:trPr>
        <w:tc>
          <w:tcPr>
            <w:tcW w:w="247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60" w:lineRule="atLeas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自评总分</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afterLines="0" w:line="360" w:lineRule="atLeast"/>
              <w:jc w:val="center"/>
              <w:rPr>
                <w:rFonts w:hint="default" w:ascii="Times New Roman" w:hAnsi="Times New Roman" w:eastAsia="仿宋_GB2312" w:cs="Times New Roman"/>
                <w:i w:val="0"/>
                <w:iCs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60" w:lineRule="atLeast"/>
              <w:jc w:val="center"/>
              <w:textAlignment w:val="center"/>
              <w:rPr>
                <w:rFonts w:hint="default" w:ascii="Times New Roman" w:hAnsi="Times New Roman" w:eastAsia="仿宋_GB2312" w:cs="Times New Roman"/>
                <w:i w:val="0"/>
                <w:iCs w:val="0"/>
                <w:color w:val="000000"/>
                <w:sz w:val="24"/>
                <w:szCs w:val="24"/>
                <w:u w:val="none"/>
                <w:lang w:val="en-US"/>
              </w:rPr>
            </w:pPr>
            <w:r>
              <w:rPr>
                <w:rFonts w:hint="eastAsia" w:ascii="Times New Roman" w:hAnsi="Times New Roman" w:cs="Times New Roman"/>
                <w:i w:val="0"/>
                <w:iCs w:val="0"/>
                <w:color w:val="000000"/>
                <w:kern w:val="0"/>
                <w:sz w:val="24"/>
                <w:szCs w:val="24"/>
                <w:u w:val="none"/>
                <w:lang w:val="en-US" w:eastAsia="zh-CN" w:bidi="ar"/>
              </w:rPr>
              <w:t>100</w:t>
            </w:r>
          </w:p>
        </w:tc>
        <w:tc>
          <w:tcPr>
            <w:tcW w:w="1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afterLines="0" w:line="360" w:lineRule="atLeast"/>
              <w:jc w:val="left"/>
              <w:rPr>
                <w:rFonts w:hint="default" w:ascii="Times New Roman" w:hAnsi="Times New Roman" w:eastAsia="仿宋_GB2312" w:cs="Times New Roman"/>
                <w:i w:val="0"/>
                <w:iCs w:val="0"/>
                <w:color w:val="000000"/>
                <w:sz w:val="24"/>
                <w:szCs w:val="24"/>
                <w:u w:val="none"/>
              </w:rPr>
            </w:pPr>
          </w:p>
        </w:tc>
        <w:tc>
          <w:tcPr>
            <w:tcW w:w="3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afterLines="0" w:line="360" w:lineRule="atLeast"/>
              <w:jc w:val="left"/>
              <w:rPr>
                <w:rFonts w:hint="default" w:ascii="Times New Roman" w:hAnsi="Times New Roman" w:eastAsia="仿宋_GB2312" w:cs="Times New Roman"/>
                <w:i w:val="0"/>
                <w:iCs w:val="0"/>
                <w:color w:val="000000"/>
                <w:sz w:val="24"/>
                <w:szCs w:val="24"/>
                <w:u w:val="none"/>
              </w:rPr>
            </w:pPr>
          </w:p>
        </w:tc>
        <w:tc>
          <w:tcPr>
            <w:tcW w:w="3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afterLines="0" w:line="360" w:lineRule="atLeast"/>
              <w:jc w:val="left"/>
              <w:rPr>
                <w:rFonts w:hint="default" w:ascii="Times New Roman" w:hAnsi="Times New Roman" w:eastAsia="仿宋_GB2312" w:cs="Times New Roman"/>
                <w:i w:val="0"/>
                <w:iCs w:val="0"/>
                <w:color w:val="000000"/>
                <w:sz w:val="24"/>
                <w:szCs w:val="24"/>
                <w:u w:val="none"/>
              </w:rPr>
            </w:pP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60" w:lineRule="atLeast"/>
              <w:jc w:val="center"/>
              <w:textAlignment w:val="center"/>
              <w:rPr>
                <w:rFonts w:hint="default" w:ascii="Times New Roman" w:hAnsi="Times New Roman" w:eastAsia="仿宋_GB2312" w:cs="Times New Roman"/>
                <w:i w:val="0"/>
                <w:iCs w:val="0"/>
                <w:color w:val="000000"/>
                <w:sz w:val="24"/>
                <w:szCs w:val="24"/>
                <w:u w:val="none"/>
                <w:lang w:val="en-US"/>
              </w:rPr>
            </w:pPr>
            <w:r>
              <w:rPr>
                <w:rFonts w:hint="eastAsia" w:ascii="Times New Roman" w:hAnsi="Times New Roman" w:cs="Times New Roman"/>
                <w:i w:val="0"/>
                <w:iCs w:val="0"/>
                <w:color w:val="000000"/>
                <w:kern w:val="0"/>
                <w:sz w:val="24"/>
                <w:szCs w:val="24"/>
                <w:u w:val="none"/>
                <w:lang w:val="en-US" w:eastAsia="zh-CN" w:bidi="ar"/>
              </w:rPr>
              <w:t>96</w:t>
            </w:r>
          </w:p>
        </w:tc>
      </w:tr>
    </w:tbl>
    <w:p>
      <w:pPr>
        <w:pStyle w:val="6"/>
        <w:keepNext w:val="0"/>
        <w:keepLines w:val="0"/>
        <w:pageBreakBefore w:val="0"/>
        <w:widowControl w:val="0"/>
        <w:kinsoku/>
        <w:wordWrap/>
        <w:overflowPunct/>
        <w:topLinePunct w:val="0"/>
        <w:bidi w:val="0"/>
        <w:adjustRightInd w:val="0"/>
        <w:snapToGrid w:val="0"/>
        <w:spacing w:before="0" w:line="560" w:lineRule="atLeast"/>
        <w:ind w:left="0"/>
        <w:rPr>
          <w:rFonts w:hint="default" w:ascii="Times New Roman" w:hAnsi="Times New Roman" w:eastAsia="仿宋_GB2312" w:cs="Times New Roman"/>
          <w:b/>
          <w:color w:val="auto"/>
          <w:sz w:val="32"/>
          <w:szCs w:val="32"/>
          <w:lang w:val="en-US" w:eastAsia="zh-CN"/>
        </w:rPr>
      </w:pPr>
    </w:p>
    <w:p>
      <w:pPr>
        <w:pStyle w:val="6"/>
        <w:keepNext w:val="0"/>
        <w:keepLines w:val="0"/>
        <w:pageBreakBefore w:val="0"/>
        <w:widowControl w:val="0"/>
        <w:kinsoku/>
        <w:wordWrap/>
        <w:overflowPunct/>
        <w:topLinePunct w:val="0"/>
        <w:bidi w:val="0"/>
        <w:adjustRightInd w:val="0"/>
        <w:snapToGrid w:val="0"/>
        <w:spacing w:before="0" w:line="560" w:lineRule="atLeast"/>
        <w:ind w:left="0"/>
        <w:rPr>
          <w:rFonts w:hint="default" w:ascii="Times New Roman" w:hAnsi="Times New Roman" w:eastAsia="仿宋_GB2312" w:cs="Times New Roman"/>
          <w:b/>
          <w:color w:val="auto"/>
          <w:sz w:val="32"/>
          <w:szCs w:val="32"/>
          <w:lang w:val="en-US" w:eastAsia="zh-CN"/>
        </w:rPr>
      </w:pPr>
    </w:p>
    <w:p>
      <w:pPr>
        <w:pStyle w:val="6"/>
        <w:keepNext w:val="0"/>
        <w:keepLines w:val="0"/>
        <w:pageBreakBefore w:val="0"/>
        <w:widowControl w:val="0"/>
        <w:kinsoku/>
        <w:wordWrap/>
        <w:overflowPunct/>
        <w:topLinePunct w:val="0"/>
        <w:bidi w:val="0"/>
        <w:adjustRightInd w:val="0"/>
        <w:snapToGrid w:val="0"/>
        <w:spacing w:before="0" w:line="560" w:lineRule="atLeast"/>
        <w:ind w:left="0"/>
        <w:rPr>
          <w:rFonts w:hint="default" w:ascii="Times New Roman" w:hAnsi="Times New Roman" w:eastAsia="仿宋_GB2312" w:cs="Times New Roman"/>
          <w:b/>
          <w:color w:val="auto"/>
          <w:sz w:val="32"/>
          <w:szCs w:val="32"/>
          <w:lang w:val="en-US" w:eastAsia="zh-CN"/>
        </w:rPr>
      </w:pPr>
    </w:p>
    <w:p>
      <w:pPr>
        <w:pStyle w:val="6"/>
        <w:keepNext w:val="0"/>
        <w:keepLines w:val="0"/>
        <w:pageBreakBefore w:val="0"/>
        <w:widowControl w:val="0"/>
        <w:kinsoku/>
        <w:wordWrap/>
        <w:overflowPunct/>
        <w:topLinePunct w:val="0"/>
        <w:bidi w:val="0"/>
        <w:adjustRightInd w:val="0"/>
        <w:snapToGrid w:val="0"/>
        <w:spacing w:before="0" w:line="560" w:lineRule="atLeast"/>
        <w:ind w:left="0"/>
        <w:rPr>
          <w:rFonts w:hint="default" w:ascii="Times New Roman" w:hAnsi="Times New Roman" w:eastAsia="仿宋_GB2312" w:cs="Times New Roman"/>
          <w:b/>
          <w:color w:val="auto"/>
          <w:sz w:val="32"/>
          <w:szCs w:val="32"/>
          <w:lang w:val="en-US" w:eastAsia="zh-CN"/>
        </w:rPr>
      </w:pPr>
    </w:p>
    <w:p>
      <w:pPr>
        <w:pStyle w:val="6"/>
        <w:keepNext w:val="0"/>
        <w:keepLines w:val="0"/>
        <w:pageBreakBefore w:val="0"/>
        <w:widowControl w:val="0"/>
        <w:kinsoku/>
        <w:wordWrap/>
        <w:overflowPunct/>
        <w:topLinePunct w:val="0"/>
        <w:bidi w:val="0"/>
        <w:adjustRightInd w:val="0"/>
        <w:snapToGrid w:val="0"/>
        <w:spacing w:before="0" w:line="560" w:lineRule="atLeast"/>
        <w:ind w:left="0"/>
        <w:rPr>
          <w:rFonts w:hint="default" w:ascii="Times New Roman" w:hAnsi="Times New Roman" w:eastAsia="仿宋_GB2312" w:cs="Times New Roman"/>
          <w:b/>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atLeast"/>
        <w:jc w:val="center"/>
        <w:textAlignment w:val="auto"/>
        <w:rPr>
          <w:rFonts w:hint="default" w:ascii="Times New Roman" w:hAnsi="Times New Roman" w:eastAsia="方正小标宋简体" w:cs="Times New Roman"/>
          <w:color w:val="auto"/>
          <w:kern w:val="0"/>
          <w:sz w:val="44"/>
          <w:szCs w:val="44"/>
          <w:highlight w:val="none"/>
          <w:lang w:val="en-US" w:eastAsia="zh-CN" w:bidi="ar-SA"/>
        </w:rPr>
        <w:sectPr>
          <w:headerReference r:id="rId6" w:type="default"/>
          <w:footerReference r:id="rId7" w:type="default"/>
          <w:pgSz w:w="16838" w:h="11906" w:orient="landscape"/>
          <w:pgMar w:top="1800" w:right="1440" w:bottom="1800" w:left="1440" w:header="851" w:footer="992" w:gutter="0"/>
          <w:pgNumType w:fmt="decimal"/>
          <w:cols w:space="425" w:num="1"/>
          <w:titlePg/>
          <w:docGrid w:type="lines" w:linePitch="312" w:charSpace="0"/>
        </w:sectPr>
      </w:pPr>
    </w:p>
    <w:tbl>
      <w:tblPr>
        <w:tblStyle w:val="16"/>
        <w:tblW w:w="1268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4"/>
        <w:gridCol w:w="1824"/>
        <w:gridCol w:w="1580"/>
        <w:gridCol w:w="2013"/>
        <w:gridCol w:w="468"/>
        <w:gridCol w:w="1497"/>
        <w:gridCol w:w="468"/>
        <w:gridCol w:w="987"/>
        <w:gridCol w:w="480"/>
        <w:gridCol w:w="480"/>
        <w:gridCol w:w="22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9" w:hRule="atLeast"/>
        </w:trPr>
        <w:tc>
          <w:tcPr>
            <w:tcW w:w="1268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47" w:type="dxa"/>
            <w:gridSpan w:val="9"/>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51090322T000000347659-残疾人居家托养服务（含51090322T000007403239-市级残疾人事业发展补助资金1.5万）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0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四川省遂宁市船山区残疾人联合会部门</w:t>
            </w:r>
          </w:p>
        </w:tc>
        <w:tc>
          <w:tcPr>
            <w:tcW w:w="987"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四川省遂宁市船山区残疾人联合会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2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四川省残疾人居家托养服务实施办法（试行）》的通知》（川残办〔2017〕47号），委托社会组织为符合条件的智力、精神和长期需要专人照料或护理的重度肢体残疾人，提供基本生活照料和护理、生活自理能力训练、社会适应能力辅导、运动功能训练等方面的社会服务。300人×150元/人=45000元</w:t>
            </w:r>
          </w:p>
        </w:tc>
        <w:tc>
          <w:tcPr>
            <w:tcW w:w="42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通过生活照料和护理、家政服务、精神慰藉、文化娱乐、社会适应能力辅导、生活认知训练等，让残疾人享受个性化服务，减轻家庭负担，残疾人及其家人满意，已完成350人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4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该项目是由区残疾人就业服务所具体组织开展，2023年3月通过四川琪轩招标代理有限公司 公开招标，由四川优百瑞健康养老服务有限公司中标并实施，实施过程由残联全程监督，并对项目完成情况进行满意度调查及验收，实施流程规范。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24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24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4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残疾人托养人数</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350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残疾人托养服务合格率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残疾人托养服务及时率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残疾人托养服务保障率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残疾人托养服务机制健全</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高</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享受残疾人托养服务残疾人及家庭满意度</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居家托养服务总金额</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45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该项目绩效评价总体为优，通过开展生活照料和护理、家政服务等服务，改善残疾人身体状况，提高了残疾人生活质量，残疾人及其家属满意。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一是公办养老机构只接收60岁以上的老年供养对象,造成60岁以下的有需求的残疾人受政策限制无法进入公办养老机构进行托养；二是民办养老或托养机构收费较高,造成16-59岁年龄段有托养意愿的残疾人,因经济限制难以进入民办养老或托养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鼓励社会爱心人士等投资主体，采用灵活有效的措施引入社会资金开展托养服务。同时可整合社区、乡镇、村社的现有日间照料中心、养老院、福利院等现有资源，建立残疾人托养服务机构，为愿意寄宿的残疾人或者没有亲属和家庭的残疾人提供便利基本生活照料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4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项目负责人：郑永忠</w:t>
            </w:r>
          </w:p>
        </w:tc>
        <w:tc>
          <w:tcPr>
            <w:tcW w:w="61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财务负责人：刘继业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2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1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9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8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7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68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47" w:type="dxa"/>
            <w:gridSpan w:val="9"/>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51090322T000000347775-残疾人康复经费（含51090324T000010367025-残疾人康复经费乡村振兴8.214万元）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0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四川省遂宁市船山区残疾人联合会部门</w:t>
            </w:r>
          </w:p>
        </w:tc>
        <w:tc>
          <w:tcPr>
            <w:tcW w:w="987"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四川省遂宁市船山区残疾人联合会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2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6"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遂宁市残疾人联合会关于贯彻落实残疾儿童康复救助工作的通知》（遂市残发〔2022〕14号）；《遂宁市船山区人民政府办公室关于印发〈遂宁市船山区人民政府关于建立残疾儿童康复救助制度的实施意见〉的通知》（遂船府发〔2019〕6号）等文件；预算区级儿童康复救助费12.5人×16000元/人=20万元（备注：康复救助标准20000元/人，其中市上补贴20%，即12.5人×4000元/人/年=5万元）。）</w:t>
            </w:r>
          </w:p>
        </w:tc>
        <w:tc>
          <w:tcPr>
            <w:tcW w:w="42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通过对85名残疾儿童提供康复救助，体现了党委、政府对残疾人的关心、关爱，贯彻落实党中央“发展残疾人事业，加强残疾康复服务”决策部署的重大举措，有助于残疾儿童尽早康复，融入社会，同时有效地减轻了家庭负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4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是由区残疾人康复中心具体组织开展，根据残疾儿童康复救助相关标准，残疾儿童监护人或其委托他人、社会组织、社会救助经办机构等持户籍证明、残疾人证或医院诊断证明到区残联提出康复救助申请，经审核后确定康复救助金额，并与定点康复机构直接结算，实施流程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44.67</w:t>
            </w:r>
          </w:p>
        </w:tc>
        <w:tc>
          <w:tcPr>
            <w:tcW w:w="24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44.67</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根据应救尽救原则，合理增加金额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44.67</w:t>
            </w:r>
          </w:p>
        </w:tc>
        <w:tc>
          <w:tcPr>
            <w:tcW w:w="24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44.67</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4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受助残疾儿童数量</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85</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受助残疾儿童补贴发放准确率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受助残疾儿童补贴发放及时率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残疾儿童康复救助补贴应补尽补率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残疾儿童康复救助机制健全性</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高</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帮扶对象满意度指标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受助残疾儿童监护人满意度</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儿童康复总金额</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44.66</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根据应救尽救原则，合理增加金额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45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该项目绩效评价总体为优，通过提供残疾儿童康复救助，提高生活能力。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康复资源不足，包括康复机构数量少、专业康复人员短缺、康复设备不够先进等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推进残疾人政策法规落实，不断拓宽残疾人帮扶措施。鼓励社会资本参与，建设更多康复机构，培养和引进专业康复人才，更新康复设备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4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项目负责人：席洪兵</w:t>
            </w:r>
          </w:p>
        </w:tc>
        <w:tc>
          <w:tcPr>
            <w:tcW w:w="61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财务负责人：刘继业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2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1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9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8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7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68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47" w:type="dxa"/>
            <w:gridSpan w:val="9"/>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51090322T000000347791-残疾人适配辅助器具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0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四川省遂宁市船山区残疾人联合会部门</w:t>
            </w:r>
          </w:p>
        </w:tc>
        <w:tc>
          <w:tcPr>
            <w:tcW w:w="987"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四川省遂宁市船山区残疾人联合会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2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国务院关于印发《“十四五”残疾人保障和发展规划》的通知（国发〔2021〕10号）文件、关于印发《残疾人基本型辅助器具适配补贴制度》的通知（遂市残发〔2018〕52号）等文件，预算辅具适配采购300元/人×300人=9万元；辅具补贴250元/人×40人=1万元。</w:t>
            </w:r>
          </w:p>
        </w:tc>
        <w:tc>
          <w:tcPr>
            <w:tcW w:w="42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按600元/人的标准为147名残疾人发放辅具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4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该项目是由区残疾人辅助器具站具体组织开展，该项目通过残疾人提出申请，由村（社）、乡镇（街道）区残联等逐级审核、审批及公示，区残联对残疾人相关资料进行审核及电话等方式抽查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4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4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4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残疾人辅具适配发放人数</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147</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预算为300元/人，实际600元/人的标准购置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残疾人辅具补贴发放人数</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40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残疾人辅具适配验收合格率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残疾人辅具补贴发放准确率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受助残疾人适配辅助器具及时率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残疾人辅具正常投入使用率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残疾人补贴应发尽发率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残疾人适配辅助器具机制健全</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高</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受助残疾人及家庭满意度</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辅具采购及补贴总金额</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45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结合自评情况，该项目绩效评价总体为良。通过提供残疾人辅助器具，提高生活能力。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残疾人生存状况虽有一定改善，但受制于自身或社会诸多条件限制，其生存和发展与健全人相比明显处于劣势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推进残疾人政策法规落实，不断拓宽残疾人帮扶措施。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4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项目负责人：席洪兵</w:t>
            </w:r>
          </w:p>
        </w:tc>
        <w:tc>
          <w:tcPr>
            <w:tcW w:w="61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财务负责人：刘继业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2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1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9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8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7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68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47" w:type="dxa"/>
            <w:gridSpan w:val="9"/>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51090322T000000347821-残疾人就业和扶持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0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四川省遂宁市船山区残疾人联合会部门</w:t>
            </w:r>
          </w:p>
        </w:tc>
        <w:tc>
          <w:tcPr>
            <w:tcW w:w="987"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四川省遂宁市船山区残疾人联合会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2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四川省残疾人居家灵活就业（创业）直补项目实施办法》的通知（川残办发〔2014〕114号）、《关于明确省级财政残疾人事业发展补助资金支持残疾人居家灵活就业使用范围》川残办〔2021〕28号等文件，残疾人居家灵活就业经费14万元（280人×500元/人=140000元）,残疾人创业补贴1万元(2人x5000元/人=10000元)。</w:t>
            </w:r>
          </w:p>
        </w:tc>
        <w:tc>
          <w:tcPr>
            <w:tcW w:w="42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该项目按照500元/人的标准对300名灵活就业残疾人进行补贴，于2023年6月资金通过一卡通系统发放。按照10000元/人的标准对2名灵活就业残疾人进行补贴，于2023年10月资金通过一卡通系统发放，完成及时，数量达标、质量优良、成本可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4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该项目是由区残疾人就业服务所具体组织开展，通过残疾人提出申请，村（社）、乡镇（街道）区残联等逐级审核、审批及公示，区残联对补贴资料进行审核及电话等方式抽查，实施流程规范。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12.07</w:t>
            </w:r>
          </w:p>
        </w:tc>
        <w:tc>
          <w:tcPr>
            <w:tcW w:w="24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12.07</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12.07</w:t>
            </w:r>
          </w:p>
        </w:tc>
        <w:tc>
          <w:tcPr>
            <w:tcW w:w="24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12.07</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4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残疾人自主创业人数</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残疾人居家灵活就业人数</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残疾人自主创业补贴发放准确率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残疾人居家灵活就业补贴发放准确率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残疾人创业就业补贴发放及时率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残疾人创业就业补贴应补尽补率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残疾人创业就业机制健全性</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高</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帮扶对象满意度指标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受助残疾人及家庭满意度</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残疾人灵活就业总金额</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12.07</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45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该项目绩效评价总体为优，该项目按照500元/人的标准对300名灵活就业残疾人进行补贴，于2023年6月资金通过一卡通系统发放。按照10000元/人的标准对2名灵活就业残疾人进行补贴，于2023年10月资金通过一卡通系统发放，完成及时，数量达标、质量优良、成本可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部分残疾人择业观念不正确。有些残疾人不愿意通过自己的劳动自食其力，等、靠、要的依赖思想严重，摆脱不了对社会和家庭的依赖思想，缺乏竞争意识和创新意识，不具备参与社会竞争的积极态度。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推进残疾人政策法规落实，加强感恩教育，不断拓宽残疾人帮扶措施。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4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项目负责人：郑永忠</w:t>
            </w:r>
          </w:p>
        </w:tc>
        <w:tc>
          <w:tcPr>
            <w:tcW w:w="61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财务负责人：刘继业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2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1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9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8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7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68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47" w:type="dxa"/>
            <w:gridSpan w:val="9"/>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51090322T000000347867-残疾人救助（含51090322T000007403239-市级残疾人事业发展补助资金中的0.76万）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0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四川省遂宁市船山区残疾人联合会部门</w:t>
            </w:r>
          </w:p>
        </w:tc>
        <w:tc>
          <w:tcPr>
            <w:tcW w:w="987"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四川省遂宁市船山区残疾人联合会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2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8"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根据遂宁市残疾人联合会关于印发《遂宁市残联紧急救助</w:t>
            </w:r>
            <w:r>
              <w:rPr>
                <w:rFonts w:hint="eastAsia" w:ascii="宋体" w:hAnsi="宋体" w:cs="宋体"/>
                <w:i w:val="0"/>
                <w:iCs w:val="0"/>
                <w:color w:val="000000"/>
                <w:kern w:val="0"/>
                <w:sz w:val="18"/>
                <w:szCs w:val="18"/>
                <w:u w:val="none"/>
                <w:lang w:val="en-US" w:eastAsia="zh-CN" w:bidi="ar"/>
              </w:rPr>
              <w:t>实</w:t>
            </w:r>
            <w:r>
              <w:rPr>
                <w:rFonts w:ascii="宋体" w:hAnsi="宋体" w:eastAsia="宋体" w:cs="宋体"/>
                <w:i w:val="0"/>
                <w:iCs w:val="0"/>
                <w:color w:val="000000"/>
                <w:kern w:val="0"/>
                <w:sz w:val="18"/>
                <w:szCs w:val="18"/>
                <w:u w:val="none"/>
                <w:lang w:val="en-US" w:eastAsia="zh-CN" w:bidi="ar"/>
              </w:rPr>
              <w:t>施办法（暂行）》的通知；市政府研究船山区新农保试点工作有关问题会议纪要（遂府阅〔2010〕118号）；《遂宁市残疾学生助学金制度实施方案》的通知》（遂市残发〔2022〕53号等文件，残疾人紧急及法律救助经费11.8万（含紧急医疗救助11.8万：自付费用1万元的救助0.1万元×30人= 3万元、自付费用3万元的救助0.3万元×6=1.8万元、自付费用5万元的救助0.5万元×5=2.5万元、自付费用7万元的救助0.7万元×5=3.5万元、自付费用10万元的救助1万元×1=1万元）；全区残疾人缴纳养老保险费用0.2万元，其中：城乡16-59岁重度残疾人代缴养老保险金20人×50元/人=1000元；城乡16-59岁轻度残疾人代缴养老保险金40人×25元/人=1000元，合计2000元；残疾学生助学金23万元，其中市财政局对船山区残疾人学生助学金补助</w:t>
            </w:r>
            <w:r>
              <w:rPr>
                <w:rFonts w:hint="eastAsia" w:ascii="宋体" w:hAnsi="宋体" w:cs="宋体"/>
                <w:i w:val="0"/>
                <w:iCs w:val="0"/>
                <w:color w:val="000000"/>
                <w:kern w:val="0"/>
                <w:sz w:val="18"/>
                <w:szCs w:val="18"/>
                <w:u w:val="none"/>
                <w:lang w:val="en-US" w:eastAsia="zh-CN" w:bidi="ar"/>
              </w:rPr>
              <w:t>比例为</w:t>
            </w:r>
            <w:r>
              <w:rPr>
                <w:rFonts w:ascii="宋体" w:hAnsi="宋体" w:eastAsia="宋体" w:cs="宋体"/>
                <w:i w:val="0"/>
                <w:iCs w:val="0"/>
                <w:color w:val="000000"/>
                <w:kern w:val="0"/>
                <w:sz w:val="18"/>
                <w:szCs w:val="18"/>
                <w:u w:val="none"/>
                <w:lang w:val="en-US" w:eastAsia="zh-CN" w:bidi="ar"/>
              </w:rPr>
              <w:t>20%，区级预算80%，受助对象家庭是脱贫户、低保户的，按对应补助标准上浮50%。区级预算如下：学前、小学 120人×400元= 48000元，低保、脱贫户60人×200元= 12000元。初中、高中90人×800元=72000 元，低保、脱贫户45人×400元= 18000元。大专14人×2400元=33600元，低保、脱贫户4人×1200元=4800元。本科10人×3200元=32000元，低保、脱贫户 1人×1600元= 1600元，研究生2人×4000元=8000元。</w:t>
            </w:r>
          </w:p>
        </w:tc>
        <w:tc>
          <w:tcPr>
            <w:tcW w:w="42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该项目通过200名残疾人代缴养保、280名残疾学生发放助学金和40名贫困残疾人发放紧急救助，切实减轻了残疾人家庭负担，体现了党委、政府对残疾人的关心、关爱，取得了较好的社会效益。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4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是由区残疾人就业服务所、区残联宣文股、区残联维权股、区残疾人康复中心具体组织开展，残疾人紧急救助：符合救助条件的困难残疾人向村（社）残联提出申请，乡镇（街道）区残联审核后、由区残联按现行管理制度确定救助对象、救助类型和救助金额，审批后通过一卡通系统进行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25.36</w:t>
            </w:r>
          </w:p>
        </w:tc>
        <w:tc>
          <w:tcPr>
            <w:tcW w:w="24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25.36</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25.36</w:t>
            </w:r>
          </w:p>
        </w:tc>
        <w:tc>
          <w:tcPr>
            <w:tcW w:w="24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25.36</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4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残疾人养老保险费补贴人数</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享受助学金的残疾学生数量</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280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申请助学金人数不足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残疾人养老保险费补贴发放准确率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残疾人紧急及法律救助准确率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助学金的残疾学生补贴发放准确率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残疾人救助及时率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残疾人救助补贴应补尽补率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残疾人救助机制健全性</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高</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帮扶对象满意度指标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受助残疾人及家庭满意度</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残疾学生助学金总金额</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10.38</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45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说明项该项目绩效评价总体为良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残疾人生存状况虽有一定改善，但受制于自身或社会诸多条件限制，其生存和发展与健全人相比明显处于劣势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推进残疾人政策法规落实，不断拓宽残疾人帮扶措施。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4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项目负责人：郑永忠</w:t>
            </w:r>
          </w:p>
        </w:tc>
        <w:tc>
          <w:tcPr>
            <w:tcW w:w="61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财务负责人：刘继业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2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1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9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8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7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68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47" w:type="dxa"/>
            <w:gridSpan w:val="9"/>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51090322T000000347896-基层残协专委补贴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0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四川省遂宁市船山区残疾人联合会部门</w:t>
            </w:r>
          </w:p>
        </w:tc>
        <w:tc>
          <w:tcPr>
            <w:tcW w:w="987"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四川省遂宁市船山区残疾人联合会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2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根据残联法（2019）13号文件精神，对基层残协专委进行补贴：100元/人/月*114个村、社区*12个月=13.68万元，完善基层残疾人组织。</w:t>
            </w:r>
          </w:p>
        </w:tc>
        <w:tc>
          <w:tcPr>
            <w:tcW w:w="42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主要用于船山117个村（社区）残协专委补贴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4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各乡镇街道残联报送名单，由一卡通发放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13.68</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14.04</w:t>
            </w:r>
          </w:p>
        </w:tc>
        <w:tc>
          <w:tcPr>
            <w:tcW w:w="24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14.04</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原为114个专委，实际更正为117个专委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13.68</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14.04</w:t>
            </w:r>
          </w:p>
        </w:tc>
        <w:tc>
          <w:tcPr>
            <w:tcW w:w="24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14.04</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4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基层残协专委补贴发放村和社区数量</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114</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117</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基层残协专委补贴发放准确率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基层残协专委补贴发放及时率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基层残协专委补贴应补尽补率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基层残协专委补贴机制健全</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高</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帮扶对象满意度指标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基层残协专委满意度</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基层残协专委补贴标准</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元/人*月</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45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项该项目绩效评价总体为优，为全区117名村（社区）残协专委发放了补贴，对残疾人工作队伍建设提供了有力保障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残疾人因先天或后天原因导致其文化水平普遍偏低，综合素质差，职业技能掌握有限，无劳动能力残疾人生活保障不稳定，能够就业的残疾人，也存在收入偏低、工作稳定性差的情况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推进政策法规落实，不断拓宽残疾人就业渠道，大力开展职业技能培训，提高残疾人素质能力。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4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项目负责人：易科宏</w:t>
            </w:r>
          </w:p>
        </w:tc>
        <w:tc>
          <w:tcPr>
            <w:tcW w:w="61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财务负责人：刘继业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2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1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9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8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7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68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47" w:type="dxa"/>
            <w:gridSpan w:val="9"/>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51090322T000000347932-量服终端服务费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0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四川省遂宁市船山区残疾人联合会部门</w:t>
            </w:r>
          </w:p>
        </w:tc>
        <w:tc>
          <w:tcPr>
            <w:tcW w:w="987"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四川省遂宁市船山区残疾人联合会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2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川残办【2014】94号文件，川残办【2014】122号文件，四川省残联关于印发《以“智慧量服”进一步深化“量体裁衣”式残疾人服务的实施意见》的通知，预算残疾人量服终端服务费用9.72万元，含手机终端服务费40部×145元/月×12月=6.96万元、涉残信息网络服务费24000元、党政外网专线1条，金额3600元。</w:t>
            </w:r>
          </w:p>
        </w:tc>
        <w:tc>
          <w:tcPr>
            <w:tcW w:w="42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4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根据业务需要，与互联网供应商签订合约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9.72</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9.72</w:t>
            </w:r>
          </w:p>
        </w:tc>
        <w:tc>
          <w:tcPr>
            <w:tcW w:w="24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9.72</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9.72</w:t>
            </w:r>
          </w:p>
        </w:tc>
        <w:tc>
          <w:tcPr>
            <w:tcW w:w="24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4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党政外网数量</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条</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涉残信息网络专线数量</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条</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手机量服终端台数</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40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手机量服终端运行率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党政外网网络运行率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涉残信息网络运行率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项目完成及时率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残疾人量体裁衣式个性化服务保障率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量服终端服务机制健全</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高</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享受量服终端服务群众满意度</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手机终端服务费总金额</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6.96</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6.96</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45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项该项目绩效评价总体为优，残疾人量服终端服务以互联网技术为依托，加强和创新社会管理、提升服务残疾人能力，充分利用网络信息化手段进行高效管理的手段，提高了新形势下残疾人工作者的能力。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残疾人生存状况虽有一定改善，但受制于自身或社会诸多条件限制，其生存和发展与健全人相比明显处于劣势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推进残疾人政策法规落实，不断拓宽残疾人帮扶措施。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4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项目负责人：易科宏</w:t>
            </w:r>
          </w:p>
        </w:tc>
        <w:tc>
          <w:tcPr>
            <w:tcW w:w="61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财务负责人：刘继业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2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1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9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8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7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68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47" w:type="dxa"/>
            <w:gridSpan w:val="9"/>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51090322T000000347982-其他残疾人事业项目（含51090322T000005363588-残疾人事业发展资金0.11万）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0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四川省遂宁市船山区残疾人联合会部门</w:t>
            </w:r>
          </w:p>
        </w:tc>
        <w:tc>
          <w:tcPr>
            <w:tcW w:w="987"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四川省遂宁市船山区残疾人联合会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2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1"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区政府《关于加快推进小康进程的实施意见》（遂船府发〔2016〕14号文件），用于宣传、报道、协会活动等其他残疾人事业支出25万元，含委托一个媒体全年宣传报道5次，宣传费1万元；根据中国残联关于加强和改进专门协会工作的意见（残联发〔2019〕27号文件，残疾人五个专门协会活动经费5个×2万元/年/个=10万元；会计委托年数为一年，业务服务费3.6万；办公费购买办公用品订阅书杂志等10批次，金额2万；劳务费含请清洁工、搬运工20次，金额1万；差旅费含出差人次200人次，金额1万；维护费含全年上门维护办公设施设备6次，金额2万；租车费含租车12辆，金额1万；会务费含6次日常工作会，金额1.5万,其他支出含固定资产（文件柜1000元、一体机3000）采购，金额1.9万。</w:t>
            </w:r>
          </w:p>
        </w:tc>
        <w:tc>
          <w:tcPr>
            <w:tcW w:w="42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该项目丰富残疾人朋友的文化、体育生活，帮助残疾人树立信心，更好积极融入社会，并充分利用电视台、广播电台以及网络媒体加大对残疾人就业、康复服务、特殊教育、无障碍改造等各项惠残政策宣传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4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该项目是由区残联宣文股组织实施，按照当年实际发生活动支出资金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19.59</w:t>
            </w:r>
          </w:p>
        </w:tc>
        <w:tc>
          <w:tcPr>
            <w:tcW w:w="24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19.59</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19.59</w:t>
            </w:r>
          </w:p>
        </w:tc>
        <w:tc>
          <w:tcPr>
            <w:tcW w:w="24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19.59</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4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提供劳务次数</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17</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媒体宣传次数</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委托会计年份数</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全年上门维护办公设施设备次数</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6</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召开会议次数</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4</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开展残疾人节日宣传文化活动次数</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租车辆数</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辆</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办公用品购买次数</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全年上门维护办公设施设备服务达标率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媒体报道内容社会知晓率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车辆质量达标率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会计服务达标率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会议正常开展率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开展残疾人节日宣传活动主体内容契合度</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办公用品验收合格率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劳务质量合格率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出差人员出勤率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其他残疾人事业支出项目及时率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日常工作正常开展率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残疾人节日活动宣传内容社会知晓率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采购物品投入使用率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宣传管理机制健全性</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高</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参加活动残疾人满意度</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工作人员满意度</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社会成本指标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残协活动经费总金额</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7</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45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该项目丰富残疾人朋友的文化、体育生活，帮助残疾人树立信心，更好积极融入社会，并充分利用电视台、广播电台以及网络媒体加大对残疾人就业、康复服务、特殊教育、无障碍改造等各项惠残政策宣传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残疾人生存状况虽有一定改善，但受制于自身或社会诸多条件限制，其生存和发展与健全人相比明显处于劣势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推进残疾人政策法规落实，不断拓宽残疾人帮扶措施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4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项目负责人：朱迎春</w:t>
            </w:r>
          </w:p>
        </w:tc>
        <w:tc>
          <w:tcPr>
            <w:tcW w:w="61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财务负责人：刘继业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2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1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9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8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7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68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47" w:type="dxa"/>
            <w:gridSpan w:val="9"/>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51090322T000005571165-残疾人无障碍改造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0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四川省遂宁市船山区残疾人联合会部门</w:t>
            </w:r>
          </w:p>
        </w:tc>
        <w:tc>
          <w:tcPr>
            <w:tcW w:w="987"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四川省遂宁市船山区残疾人联合会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2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残疾人家庭无障碍改造经费区级14万元(40人X3500元/人=14万元），中央彩金１８０４５０元，省级预算８０２００元，合计４００６５０元．</w:t>
            </w:r>
          </w:p>
        </w:tc>
        <w:tc>
          <w:tcPr>
            <w:tcW w:w="42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完成了困难重度残疾人居家无障碍改造90户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4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由区残联维权股具体组织开展，由当年需进行无障碍改造的乡镇报送符合条件的困难重度残疾人家庭名单，再</w:t>
            </w:r>
            <w:r>
              <w:rPr>
                <w:rFonts w:hint="eastAsia" w:ascii="宋体" w:hAnsi="宋体" w:cs="宋体"/>
                <w:i w:val="0"/>
                <w:iCs w:val="0"/>
                <w:color w:val="000000"/>
                <w:kern w:val="0"/>
                <w:sz w:val="18"/>
                <w:szCs w:val="18"/>
                <w:u w:val="none"/>
                <w:lang w:val="en-US" w:eastAsia="zh-CN" w:bidi="ar"/>
              </w:rPr>
              <w:t>由</w:t>
            </w:r>
            <w:r>
              <w:rPr>
                <w:rFonts w:ascii="宋体" w:hAnsi="宋体" w:eastAsia="宋体" w:cs="宋体"/>
                <w:i w:val="0"/>
                <w:iCs w:val="0"/>
                <w:color w:val="000000"/>
                <w:kern w:val="0"/>
                <w:sz w:val="18"/>
                <w:szCs w:val="18"/>
                <w:u w:val="none"/>
                <w:lang w:val="en-US" w:eastAsia="zh-CN" w:bidi="ar"/>
              </w:rPr>
              <w:t>筛查公司进行按需进行实地筛查并报送区残联，由业务股室组织招标后，由中标公司进行改造，安装完成后验收，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38.60</w:t>
            </w:r>
          </w:p>
        </w:tc>
        <w:tc>
          <w:tcPr>
            <w:tcW w:w="24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38.60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38.60</w:t>
            </w:r>
          </w:p>
        </w:tc>
        <w:tc>
          <w:tcPr>
            <w:tcW w:w="24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38.60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4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无障碍改造户数</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户</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无障碍改造质量合格率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无障碍改造及时率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无障碍改造服务保障率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无障碍改造机制健全</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高</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受助残疾人及家庭满意度</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无障碍改造总金额</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400650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386010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45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该项目绩效评价总体为优，完成了困难重度残疾人居家障碍改造90户，通过改造达到了残疾人“能进出、能上下、能自理”的改造目标，残疾人家庭的获得感、幸福感和安全感得到全面提升，取得了良好的社会效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实际改造过程中存在前期筛查完成后又拒绝改造的情况，浪费筛查精力，影响工作推动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试点无障碍改造补贴，推进残疾人政策法规落实，不断拓宽残疾人帮扶措施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4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项目负责人：郑永忠</w:t>
            </w:r>
          </w:p>
        </w:tc>
        <w:tc>
          <w:tcPr>
            <w:tcW w:w="61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财务负责人：刘继业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2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1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9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8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7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68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47" w:type="dxa"/>
            <w:gridSpan w:val="9"/>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51090322T000005571741-残疾人就业和扶持经费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0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四川省遂宁市船山区残疾人联合会部门</w:t>
            </w:r>
          </w:p>
        </w:tc>
        <w:tc>
          <w:tcPr>
            <w:tcW w:w="987"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四川省遂宁市船山区残疾人联合会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2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扶持1个脱贫村1万元，农村困难残疾人实用技术培训15万元（100人x1500元/人=150000元）</w:t>
            </w:r>
          </w:p>
        </w:tc>
        <w:tc>
          <w:tcPr>
            <w:tcW w:w="42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根据农村实用技术培训项目任务数100人，实际完成125人。扶持一个脱贫村的任务数。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4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由区残疾人就业服务所具体组织开展，2023年5月通过四川广厦运成建设工程管理有限公司对该项目进行网上公开招标，由遂宁川中精英职业技能培训学校中标并实施该项目。实施过程由残联全程监督，并对项目完成情况进行满意度调查及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9.25</w:t>
            </w:r>
          </w:p>
        </w:tc>
        <w:tc>
          <w:tcPr>
            <w:tcW w:w="24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9.25</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9.25</w:t>
            </w:r>
          </w:p>
        </w:tc>
        <w:tc>
          <w:tcPr>
            <w:tcW w:w="24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9.25</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4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培训残疾人数</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培训残疾人合格率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培训残疾人及时率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培训残疾人生产提高率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培训机制健全</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高</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培训残疾人满意度</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培训标准</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1500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45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该项目绩效评价总体为优，该项目按照1500元/人的标准为125名农村残疾人开展了农村实用技术培训，于2023年6月完成。使残疾人掌握1-2门生产技能，培训效果好。黄龙村在村二社、四社开辟撂荒地300余亩，种植大豆、玉米等农作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培训项目较单一，主要针对种植、养殖等传统行业，对于直播、电商等新业态新模式则覆盖较少，导致残疾人就业方向始终囿于一隅，择业面狭窄，缺乏竞争力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进一步厘清有工作能力和工作意愿的残疾人数，工作方向意向，拓展培训项目多元化，加大培训力度，提升培训效果。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4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项目负责人：郑永忠</w:t>
            </w:r>
          </w:p>
        </w:tc>
        <w:tc>
          <w:tcPr>
            <w:tcW w:w="61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财务负责人：刘继业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2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1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9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8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7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68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47" w:type="dxa"/>
            <w:gridSpan w:val="9"/>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51090322T000005780960-残疾人事业发展补助资金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0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四川省遂宁市船山区残疾人联合会部门</w:t>
            </w:r>
          </w:p>
        </w:tc>
        <w:tc>
          <w:tcPr>
            <w:tcW w:w="987"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四川省遂宁市船山区残疾人联合会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2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遂财社[2023]84号和遂船财社[2023]51号文以及根据遂财社[2023]100号和遂船财社[2023]74号文分别下达上级资金共77.87万，其中中央直达4.31万用于辅具适配、实用技术培训、7岁以上康复救助；中央彩金4.23万用于无障碍改造和0-6岁儿童康复救助；市级资金69.33万用于就业、康复等</w:t>
            </w:r>
          </w:p>
        </w:tc>
        <w:tc>
          <w:tcPr>
            <w:tcW w:w="42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结合区级项目资金，完成项目任务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4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结合实际项目，按文件规定实施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77.87</w:t>
            </w:r>
          </w:p>
        </w:tc>
        <w:tc>
          <w:tcPr>
            <w:tcW w:w="24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41.80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53.68%</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1.33万元支付时账号有误，结转至下年支付；结余市级资金养老保险补贴0.2万元、助学金2.53万元、医保补助32.011万元，其中31.836万元应在年末收回指标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73.09</w:t>
            </w:r>
          </w:p>
        </w:tc>
        <w:tc>
          <w:tcPr>
            <w:tcW w:w="24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37.02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50.65%</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4.78</w:t>
            </w:r>
          </w:p>
        </w:tc>
        <w:tc>
          <w:tcPr>
            <w:tcW w:w="24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4.78</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4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受助残疾人数量</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受助残疾人受惠率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资金拨付及时率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资金应拨尽拨率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助残制度健全性</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受惠残疾人满意度</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该项目总金额</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77.87</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41.8</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1.33万元支付时账号有误，结转至下年支付；结余市级资金养老保险补贴0.2万元、助学金2.53万元、医保补助32.011万元，其中31.836万元应在年末收回指标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45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该项目绩效评价总体为良，通过上级资金补助，减轻地方财政压力，对残疾人进行帮助。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残疾人生存状况虽有一定改善，但受制于自身或社会诸多条件限制，其生存和发展与健全人相比明显处于劣势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推进残疾人政策法规落实，不断拓宽残疾人帮扶措施。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4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项目负责人：席洪兵</w:t>
            </w:r>
          </w:p>
        </w:tc>
        <w:tc>
          <w:tcPr>
            <w:tcW w:w="61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财务负责人：刘继业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2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1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9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8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7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68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47" w:type="dxa"/>
            <w:gridSpan w:val="9"/>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51090322T000007190374-2022年中央省级残疾人事业发展资金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0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四川省遂宁市船山区残疾人联合会部门</w:t>
            </w:r>
          </w:p>
        </w:tc>
        <w:tc>
          <w:tcPr>
            <w:tcW w:w="987"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四川省遂宁市船山区残疾人联合会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2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2022年中省资金184200元，其中中央彩金104100元，省级一般预算35000元，省级彩金45100元</w:t>
            </w:r>
          </w:p>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2023年根据遂财社（2023）4号文件，提前下达136.02万元，其中中央一般34.84万元，中央彩金59.85万元，省级一般41.33万元</w:t>
            </w:r>
          </w:p>
        </w:tc>
        <w:tc>
          <w:tcPr>
            <w:tcW w:w="42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结合区级项目资金，完成项目任务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4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结合实际项目，按文件规定实施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194.81</w:t>
            </w:r>
          </w:p>
        </w:tc>
        <w:tc>
          <w:tcPr>
            <w:tcW w:w="24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194.81</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194.81</w:t>
            </w:r>
          </w:p>
        </w:tc>
        <w:tc>
          <w:tcPr>
            <w:tcW w:w="24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194.81</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4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受助残疾人数量</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受助残疾人受惠率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资金拨付及时率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资金应拨尽拨率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助残制度健全性</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受惠残疾人满意度</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该项目总金额</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194.81</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194.81</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45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该项目绩效评价总体为良，通过上级资金补助，减轻地方财政压力，对残疾人进行帮助。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残疾人生存状况虽有一定改善，但受制于自身或社会诸多条件限制，其生存和发展与健全人相比明显处于劣势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推进残疾人政策法规落实，不断拓宽残疾人帮扶措施。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4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项目负责人：郑永忠</w:t>
            </w:r>
          </w:p>
        </w:tc>
        <w:tc>
          <w:tcPr>
            <w:tcW w:w="61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财务负责人：刘继业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2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1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9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8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7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2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1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9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8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7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68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47" w:type="dxa"/>
            <w:gridSpan w:val="9"/>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51090323T000008256045-办理第三代残疾人证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0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四川省遂宁市船山区残疾人联合会部门</w:t>
            </w:r>
          </w:p>
        </w:tc>
        <w:tc>
          <w:tcPr>
            <w:tcW w:w="987"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四川省遂宁市船山区残疾人联合会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2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办理第三代残疾证费用6.8万：其中，半成品卡10元/张*5000张= 5万元，  10套YMCK色带*1800元/套 =1.8万元；重度残疾人上门办理第三代残疾人证费用：150元/人*200人=3万元</w:t>
            </w:r>
          </w:p>
        </w:tc>
        <w:tc>
          <w:tcPr>
            <w:tcW w:w="42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4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残疾评定参考补贴标准为平均每人150元，打卡个人补贴由残疾人自行申报，所在村（社区）、乡镇（街道）残联审核后报县级残联统一发放。入户办证由乡镇（街道）残联和村（社区）残协入户摸排，区残联审核后，与评残机构共同入户评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11.74</w:t>
            </w:r>
          </w:p>
        </w:tc>
        <w:tc>
          <w:tcPr>
            <w:tcW w:w="24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11.74</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11.74</w:t>
            </w:r>
          </w:p>
        </w:tc>
        <w:tc>
          <w:tcPr>
            <w:tcW w:w="24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11.74</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4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办理第三代残疾证所需材料数量</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张</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上门办理残疾人证数</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申请人数不足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残疾人证发放准确率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2023年度内完成</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提升残疾人办证社会影响</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高</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残疾人证发放机制健全性</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高</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受益残疾人满意度</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该项目总金额</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98000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117430.45</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45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该项目绩效评价总体为良，通过上门办证，一定程度上解决的残疾群众上门办证的困难，确认基层残疾人工作顺利开展，进一步推进了我区残疾人事业发展，具有显著的社会意义。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残疾人生存状况虽有一定改善，但受制于自身或社会诸多条件限制，其生存和发展与健全人相比明显处于劣势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推进残疾人政策法规落实，不断拓宽残疾人帮扶措施。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4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项目负责人：易科宏</w:t>
            </w:r>
          </w:p>
        </w:tc>
        <w:tc>
          <w:tcPr>
            <w:tcW w:w="61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财务负责人：刘继业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2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1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9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8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7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68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47" w:type="dxa"/>
            <w:gridSpan w:val="9"/>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51090323T000008752194-2023年残疾人医保代缴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0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四川省遂宁市船山区残疾人联合会部门</w:t>
            </w:r>
          </w:p>
        </w:tc>
        <w:tc>
          <w:tcPr>
            <w:tcW w:w="987"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四川省遂宁市船山区残疾人联合会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2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经核实，全区2023年重度残疾人4548人，标准350元／人／年（其中市上补贴２０％，区上补贴８０％），因市级资金未到位，需区财政垫支处理，共需资金１５９１８００元．</w:t>
            </w:r>
          </w:p>
        </w:tc>
        <w:tc>
          <w:tcPr>
            <w:tcW w:w="42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已于年初直接转账至区医保局，完成4548人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4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根据当年居民医保缴费标准，对残疾人购买养老保险人员进行持证情况、残疾等级等信息进行核查后确定补贴名单。通过对公账户进行医保补贴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159.18</w:t>
            </w:r>
          </w:p>
        </w:tc>
        <w:tc>
          <w:tcPr>
            <w:tcW w:w="24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159.18</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159.18</w:t>
            </w:r>
          </w:p>
        </w:tc>
        <w:tc>
          <w:tcPr>
            <w:tcW w:w="24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159.18</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4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受助残疾人</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4548</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4548</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补贴应补尽补率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完成时限</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提高残疾人生活质量率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补贴机制健全</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高</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受助残疾人满意度</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项目总金额</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1591800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1591800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45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该项目绩效评价总体为优，通过医保补贴，对残疾人进行救助。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残疾人生存状况虽有一定改善，但受制于自身或社会诸多条件限制，其生存和发展与健全人相比明显处于劣势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推进残疾人政策法规落实，不断拓宽残疾人帮扶措施。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4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项目负责人：郑永忠</w:t>
            </w:r>
          </w:p>
        </w:tc>
        <w:tc>
          <w:tcPr>
            <w:tcW w:w="61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财务负责人：刘继业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2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1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9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8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7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68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47" w:type="dxa"/>
            <w:gridSpan w:val="9"/>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51090323T000009014199-2023春节慰问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0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四川省遂宁市船山区残疾人联合会部门</w:t>
            </w:r>
          </w:p>
        </w:tc>
        <w:tc>
          <w:tcPr>
            <w:tcW w:w="987"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四川省遂宁市船山区残疾人联合会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2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由民政统筹，以300元/人的标准为234名残疾人发放春节慰问</w:t>
            </w:r>
          </w:p>
        </w:tc>
        <w:tc>
          <w:tcPr>
            <w:tcW w:w="42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已完成以300元/人的标准为234名残疾人发放春节慰问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4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由象征街道残联上报需慰问残疾群众，区残联审核后发放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7.02</w:t>
            </w:r>
          </w:p>
        </w:tc>
        <w:tc>
          <w:tcPr>
            <w:tcW w:w="24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7.02</w:t>
            </w:r>
          </w:p>
        </w:tc>
        <w:tc>
          <w:tcPr>
            <w:tcW w:w="24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4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受助残疾人</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234</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234</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补贴应补尽补率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完成时限</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提高残疾人生活质量率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补贴机制健全</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受助残疾人满意度</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项目总金额</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7.02</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7.02</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45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该项目绩效评价总体为优，通过慰问补贴，对残疾人进行帮扶。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残疾人生存状况虽有一定改善，但受制于自身或社会诸多条件限制，其生存和发展与健全人相比明显处于劣势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推进残疾人政策法规落实，不断拓宽残疾人帮扶措施。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4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项目负责人：郑永忠</w:t>
            </w:r>
          </w:p>
        </w:tc>
        <w:tc>
          <w:tcPr>
            <w:tcW w:w="61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财务负责人：刘继业</w:t>
            </w:r>
          </w:p>
        </w:tc>
      </w:tr>
    </w:tbl>
    <w:p>
      <w:pPr>
        <w:keepNext w:val="0"/>
        <w:keepLines w:val="0"/>
        <w:pageBreakBefore w:val="0"/>
        <w:widowControl w:val="0"/>
        <w:kinsoku/>
        <w:wordWrap/>
        <w:overflowPunct/>
        <w:topLinePunct w:val="0"/>
        <w:autoSpaceDE/>
        <w:autoSpaceDN/>
        <w:bidi w:val="0"/>
        <w:adjustRightInd w:val="0"/>
        <w:snapToGrid w:val="0"/>
        <w:spacing w:line="560" w:lineRule="atLeast"/>
        <w:jc w:val="center"/>
        <w:textAlignment w:val="auto"/>
        <w:rPr>
          <w:rFonts w:hint="default" w:ascii="Times New Roman" w:hAnsi="Times New Roman" w:eastAsia="方正小标宋简体" w:cs="Times New Roman"/>
          <w:color w:val="auto"/>
          <w:kern w:val="0"/>
          <w:sz w:val="44"/>
          <w:szCs w:val="44"/>
          <w:highlight w:val="none"/>
          <w:lang w:val="en-US" w:eastAsia="zh-CN" w:bidi="ar-SA"/>
        </w:rPr>
        <w:sectPr>
          <w:type w:val="continuous"/>
          <w:pgSz w:w="16838" w:h="11906" w:orient="landscape"/>
          <w:pgMar w:top="1800" w:right="1440" w:bottom="1800" w:left="1440" w:header="851" w:footer="992" w:gutter="0"/>
          <w:pgNumType w:fmt="decimal"/>
          <w:cols w:space="425" w:num="1"/>
          <w:titlePg/>
          <w:docGrid w:type="lines" w:linePitch="312" w:charSpace="0"/>
        </w:sectPr>
      </w:pPr>
    </w:p>
    <w:p>
      <w:pPr>
        <w:pStyle w:val="2"/>
        <w:rPr>
          <w:rFonts w:hint="default"/>
          <w:lang w:val="en-US" w:eastAsia="zh-CN"/>
        </w:rPr>
        <w:sectPr>
          <w:type w:val="continuous"/>
          <w:pgSz w:w="16838" w:h="11906" w:orient="landscape"/>
          <w:pgMar w:top="1800" w:right="1440" w:bottom="1800" w:left="1440" w:header="851" w:footer="992" w:gutter="0"/>
          <w:pgNumType w:fmt="decimal"/>
          <w:cols w:space="425" w:num="1"/>
          <w:titlePg/>
          <w:docGrid w:type="lines" w:linePitch="312" w:charSpace="0"/>
        </w:sectPr>
      </w:pPr>
    </w:p>
    <w:p>
      <w:pPr>
        <w:pStyle w:val="2"/>
        <w:rPr>
          <w:rFonts w:hint="default"/>
          <w:lang w:val="en-US" w:eastAsia="zh-CN"/>
        </w:rPr>
        <w:sectPr>
          <w:type w:val="continuous"/>
          <w:pgSz w:w="16838" w:h="11906" w:orient="landscape"/>
          <w:pgMar w:top="1800" w:right="1440" w:bottom="1800" w:left="1440" w:header="851" w:footer="992" w:gutter="0"/>
          <w:pgNumType w:fmt="decimal"/>
          <w:cols w:space="425" w:num="1"/>
          <w:titlePg/>
          <w:docGrid w:type="lines" w:linePitch="312" w:charSpace="0"/>
        </w:sectPr>
      </w:pPr>
    </w:p>
    <w:p>
      <w:pPr>
        <w:keepNext w:val="0"/>
        <w:keepLines w:val="0"/>
        <w:pageBreakBefore w:val="0"/>
        <w:widowControl w:val="0"/>
        <w:kinsoku/>
        <w:wordWrap/>
        <w:overflowPunct/>
        <w:topLinePunct w:val="0"/>
        <w:autoSpaceDE/>
        <w:autoSpaceDN/>
        <w:bidi w:val="0"/>
        <w:adjustRightInd w:val="0"/>
        <w:snapToGrid w:val="0"/>
        <w:spacing w:line="560" w:lineRule="atLeast"/>
        <w:jc w:val="center"/>
        <w:textAlignment w:val="auto"/>
        <w:rPr>
          <w:rFonts w:hint="default" w:ascii="Times New Roman" w:hAnsi="Times New Roman" w:eastAsia="方正小标宋简体" w:cs="Times New Roman"/>
          <w:color w:val="auto"/>
          <w:kern w:val="0"/>
          <w:sz w:val="44"/>
          <w:szCs w:val="44"/>
          <w:highlight w:val="none"/>
          <w:lang w:val="en-US" w:eastAsia="zh-CN" w:bidi="ar-SA"/>
        </w:rPr>
      </w:pPr>
      <w:r>
        <w:rPr>
          <w:rFonts w:hint="default" w:ascii="Times New Roman" w:hAnsi="Times New Roman" w:eastAsia="方正小标宋简体" w:cs="Times New Roman"/>
          <w:color w:val="auto"/>
          <w:kern w:val="0"/>
          <w:sz w:val="44"/>
          <w:szCs w:val="44"/>
          <w:highlight w:val="none"/>
          <w:lang w:val="en-US" w:eastAsia="zh-CN" w:bidi="ar-SA"/>
        </w:rPr>
        <w:t>遂宁市船山区残疾人联合会</w:t>
      </w:r>
    </w:p>
    <w:p>
      <w:pPr>
        <w:keepNext w:val="0"/>
        <w:keepLines w:val="0"/>
        <w:pageBreakBefore w:val="0"/>
        <w:widowControl w:val="0"/>
        <w:kinsoku/>
        <w:wordWrap/>
        <w:overflowPunct/>
        <w:topLinePunct w:val="0"/>
        <w:autoSpaceDE/>
        <w:autoSpaceDN/>
        <w:bidi w:val="0"/>
        <w:adjustRightInd w:val="0"/>
        <w:snapToGrid w:val="0"/>
        <w:spacing w:line="560" w:lineRule="atLeast"/>
        <w:jc w:val="center"/>
        <w:textAlignment w:val="auto"/>
        <w:rPr>
          <w:rFonts w:hint="default" w:ascii="Times New Roman" w:hAnsi="Times New Roman" w:eastAsia="方正小标宋简体" w:cs="Times New Roman"/>
          <w:color w:val="auto"/>
          <w:kern w:val="2"/>
          <w:sz w:val="44"/>
          <w:szCs w:val="44"/>
          <w:highlight w:val="none"/>
          <w:lang w:val="en-US" w:eastAsia="zh-CN" w:bidi="ar-SA"/>
        </w:rPr>
      </w:pPr>
      <w:r>
        <w:rPr>
          <w:rFonts w:hint="default" w:ascii="Times New Roman" w:hAnsi="Times New Roman" w:eastAsia="方正小标宋简体" w:cs="Times New Roman"/>
          <w:color w:val="auto"/>
          <w:kern w:val="0"/>
          <w:sz w:val="44"/>
          <w:szCs w:val="44"/>
          <w:highlight w:val="none"/>
          <w:lang w:val="en-US" w:eastAsia="zh-CN" w:bidi="ar-SA"/>
        </w:rPr>
        <w:t>202</w:t>
      </w:r>
      <w:r>
        <w:rPr>
          <w:rFonts w:hint="eastAsia" w:ascii="Times New Roman" w:hAnsi="Times New Roman" w:eastAsia="方正小标宋简体" w:cs="Times New Roman"/>
          <w:color w:val="auto"/>
          <w:kern w:val="0"/>
          <w:sz w:val="44"/>
          <w:szCs w:val="44"/>
          <w:highlight w:val="none"/>
          <w:lang w:val="en-US" w:eastAsia="zh-CN" w:bidi="ar-SA"/>
        </w:rPr>
        <w:t>3</w:t>
      </w:r>
      <w:r>
        <w:rPr>
          <w:rFonts w:hint="default" w:ascii="Times New Roman" w:hAnsi="Times New Roman" w:eastAsia="方正小标宋简体" w:cs="Times New Roman"/>
          <w:color w:val="auto"/>
          <w:kern w:val="0"/>
          <w:sz w:val="44"/>
          <w:szCs w:val="44"/>
          <w:highlight w:val="none"/>
          <w:lang w:val="en-US" w:eastAsia="zh-CN" w:bidi="ar-SA"/>
        </w:rPr>
        <w:t>年度专项预算项目支出绩效自评报告</w:t>
      </w:r>
    </w:p>
    <w:p>
      <w:pPr>
        <w:keepNext w:val="0"/>
        <w:keepLines w:val="0"/>
        <w:pageBreakBefore w:val="0"/>
        <w:widowControl w:val="0"/>
        <w:kinsoku/>
        <w:wordWrap/>
        <w:overflowPunct/>
        <w:topLinePunct w:val="0"/>
        <w:autoSpaceDE/>
        <w:autoSpaceDN/>
        <w:bidi w:val="0"/>
        <w:adjustRightInd w:val="0"/>
        <w:snapToGrid w:val="0"/>
        <w:spacing w:line="560" w:lineRule="atLeas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w:t>
      </w:r>
      <w:r>
        <w:rPr>
          <w:rFonts w:hint="default" w:ascii="Times New Roman" w:hAnsi="Times New Roman" w:eastAsia="楷体_GB2312" w:cs="Times New Roman"/>
          <w:b/>
          <w:bCs/>
          <w:color w:val="auto"/>
          <w:sz w:val="32"/>
          <w:szCs w:val="32"/>
          <w:highlight w:val="none"/>
          <w:lang w:val="en-US" w:eastAsia="zh-CN"/>
        </w:rPr>
        <w:t>残疾</w:t>
      </w:r>
      <w:r>
        <w:rPr>
          <w:rFonts w:hint="eastAsia" w:ascii="Times New Roman" w:hAnsi="Times New Roman" w:eastAsia="楷体_GB2312" w:cs="Times New Roman"/>
          <w:b/>
          <w:bCs/>
          <w:color w:val="auto"/>
          <w:sz w:val="32"/>
          <w:szCs w:val="32"/>
          <w:highlight w:val="none"/>
          <w:lang w:val="en-US" w:eastAsia="zh-CN"/>
        </w:rPr>
        <w:t>人</w:t>
      </w:r>
      <w:r>
        <w:rPr>
          <w:rFonts w:hint="default" w:ascii="Times New Roman" w:hAnsi="Times New Roman" w:eastAsia="楷体_GB2312" w:cs="Times New Roman"/>
          <w:b/>
          <w:bCs/>
          <w:color w:val="auto"/>
          <w:sz w:val="32"/>
          <w:szCs w:val="32"/>
          <w:highlight w:val="none"/>
          <w:lang w:val="en-US" w:eastAsia="zh-CN"/>
        </w:rPr>
        <w:t>康复经费</w:t>
      </w:r>
      <w:r>
        <w:rPr>
          <w:rFonts w:hint="default" w:ascii="Times New Roman" w:hAnsi="Times New Roman" w:eastAsia="楷体_GB2312" w:cs="Times New Roman"/>
          <w:b/>
          <w:bCs/>
          <w:color w:val="auto"/>
          <w:sz w:val="32"/>
          <w:szCs w:val="32"/>
          <w:highlight w:val="none"/>
        </w:rPr>
        <w:t>项目）</w:t>
      </w:r>
    </w:p>
    <w:p>
      <w:pPr>
        <w:keepNext w:val="0"/>
        <w:keepLines w:val="0"/>
        <w:pageBreakBefore w:val="0"/>
        <w:widowControl w:val="0"/>
        <w:kinsoku/>
        <w:wordWrap/>
        <w:overflowPunct/>
        <w:topLinePunct w:val="0"/>
        <w:autoSpaceDE/>
        <w:autoSpaceDN/>
        <w:bidi w:val="0"/>
        <w:adjustRightInd w:val="0"/>
        <w:snapToGrid w:val="0"/>
        <w:spacing w:line="560" w:lineRule="atLeast"/>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atLeas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区财政局：</w:t>
      </w:r>
    </w:p>
    <w:p>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现将我会部门202</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年度专项预算项目支出绩效评价情况报告如下：</w:t>
      </w:r>
    </w:p>
    <w:p>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textAlignment w:val="auto"/>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rPr>
        <w:t>一、项目概况</w:t>
      </w:r>
    </w:p>
    <w:p>
      <w:pPr>
        <w:keepNext w:val="0"/>
        <w:keepLines w:val="0"/>
        <w:pageBreakBefore w:val="0"/>
        <w:widowControl w:val="0"/>
        <w:kinsoku/>
        <w:wordWrap/>
        <w:overflowPunct/>
        <w:topLinePunct w:val="0"/>
        <w:autoSpaceDE/>
        <w:autoSpaceDN/>
        <w:bidi w:val="0"/>
        <w:adjustRightInd w:val="0"/>
        <w:snapToGrid w:val="0"/>
        <w:spacing w:line="560" w:lineRule="atLeast"/>
        <w:ind w:firstLine="481" w:firstLineChars="150"/>
        <w:rPr>
          <w:rFonts w:hint="default" w:ascii="Times New Roman" w:hAnsi="Times New Roman" w:eastAsia="仿宋_GB2312" w:cs="Times New Roman"/>
          <w:color w:val="auto"/>
          <w:sz w:val="32"/>
          <w:szCs w:val="32"/>
          <w:lang w:val="zh-CN"/>
        </w:rPr>
      </w:pPr>
      <w:r>
        <w:rPr>
          <w:rFonts w:hint="default" w:ascii="Times New Roman" w:hAnsi="Times New Roman" w:eastAsia="楷体_GB2312" w:cs="Times New Roman"/>
          <w:b/>
          <w:bCs w:val="0"/>
          <w:color w:val="auto"/>
          <w:sz w:val="32"/>
          <w:szCs w:val="32"/>
        </w:rPr>
        <w:t>（一）项目基本情况。</w:t>
      </w:r>
      <w:r>
        <w:rPr>
          <w:rFonts w:hint="eastAsia" w:ascii="Times New Roman" w:hAnsi="Times New Roman" w:eastAsia="楷体_GB2312" w:cs="Times New Roman"/>
          <w:b/>
          <w:bCs w:val="0"/>
          <w:color w:val="auto"/>
          <w:sz w:val="32"/>
          <w:szCs w:val="32"/>
          <w:lang w:eastAsia="zh-CN"/>
        </w:rPr>
        <w:t>根据</w:t>
      </w:r>
      <w:r>
        <w:rPr>
          <w:rFonts w:hint="default" w:ascii="Times New Roman" w:hAnsi="Times New Roman" w:eastAsia="仿宋_GB2312" w:cs="Times New Roman"/>
          <w:bCs/>
          <w:color w:val="auto"/>
          <w:sz w:val="32"/>
          <w:szCs w:val="32"/>
          <w:highlight w:val="none"/>
        </w:rPr>
        <w:t>《遂宁市船山区人民政府办公室关于印发〈遂宁市船山区人民政府关于建立残疾儿童康复救助制度的实施意见〉的通知》（遂船府发〔2019〕6号文件）</w:t>
      </w:r>
      <w:r>
        <w:rPr>
          <w:rFonts w:hint="default" w:ascii="Times New Roman" w:hAnsi="Times New Roman" w:eastAsia="仿宋_GB2312" w:cs="Times New Roman"/>
          <w:color w:val="auto"/>
          <w:sz w:val="32"/>
          <w:szCs w:val="32"/>
          <w:highlight w:val="none"/>
        </w:rPr>
        <w:t>，</w:t>
      </w:r>
      <w:r>
        <w:rPr>
          <w:rFonts w:hint="eastAsia" w:ascii="仿宋_GB2312" w:hAnsi="宋体" w:eastAsia="仿宋_GB2312" w:cs="Times New Roman"/>
          <w:sz w:val="32"/>
          <w:szCs w:val="32"/>
          <w:lang w:val="zh-CN" w:eastAsia="zh-CN"/>
        </w:rPr>
        <w:t>《遂宁市残疾人联合会关于贯彻落实残疾儿童康复救助工作的通知》（遂市残发〔2022〕14号）</w:t>
      </w:r>
      <w:r>
        <w:rPr>
          <w:rFonts w:hint="default" w:ascii="Times New Roman" w:hAnsi="Times New Roman" w:eastAsia="仿宋_GB2312" w:cs="Times New Roman"/>
          <w:color w:val="auto"/>
          <w:sz w:val="32"/>
          <w:szCs w:val="32"/>
          <w:highlight w:val="none"/>
          <w:lang w:val="zh-CN"/>
        </w:rPr>
        <w:t>对</w:t>
      </w:r>
      <w:r>
        <w:rPr>
          <w:rFonts w:hint="default" w:ascii="Times New Roman" w:hAnsi="Times New Roman" w:eastAsia="仿宋_GB2312" w:cs="Times New Roman"/>
          <w:color w:val="auto"/>
          <w:sz w:val="32"/>
          <w:szCs w:val="32"/>
          <w:highlight w:val="none"/>
          <w:lang w:val="zh-CN" w:eastAsia="zh-CN"/>
        </w:rPr>
        <w:t>残疾</w:t>
      </w:r>
      <w:r>
        <w:rPr>
          <w:rFonts w:hint="eastAsia" w:ascii="Times New Roman" w:hAnsi="Times New Roman" w:eastAsia="仿宋_GB2312" w:cs="Times New Roman"/>
          <w:color w:val="auto"/>
          <w:sz w:val="32"/>
          <w:szCs w:val="32"/>
          <w:highlight w:val="none"/>
          <w:lang w:val="zh-CN" w:eastAsia="zh-CN"/>
        </w:rPr>
        <w:t>人</w:t>
      </w:r>
      <w:r>
        <w:rPr>
          <w:rFonts w:hint="default" w:ascii="Times New Roman" w:hAnsi="Times New Roman" w:eastAsia="仿宋_GB2312" w:cs="Times New Roman"/>
          <w:color w:val="auto"/>
          <w:sz w:val="32"/>
          <w:szCs w:val="32"/>
          <w:highlight w:val="none"/>
          <w:lang w:val="zh-CN" w:eastAsia="zh-CN"/>
        </w:rPr>
        <w:t>康复经费</w:t>
      </w:r>
      <w:r>
        <w:rPr>
          <w:rFonts w:hint="default" w:ascii="Times New Roman" w:hAnsi="Times New Roman" w:eastAsia="仿宋_GB2312" w:cs="Times New Roman"/>
          <w:color w:val="auto"/>
          <w:sz w:val="32"/>
          <w:szCs w:val="32"/>
          <w:highlight w:val="none"/>
          <w:lang w:val="zh-CN"/>
        </w:rPr>
        <w:t>项目进行了申报，</w:t>
      </w:r>
      <w:r>
        <w:rPr>
          <w:rFonts w:hint="eastAsia" w:ascii="Times New Roman" w:hAnsi="Times New Roman" w:eastAsia="仿宋_GB2312" w:cs="Times New Roman"/>
          <w:color w:val="auto"/>
          <w:sz w:val="32"/>
          <w:szCs w:val="32"/>
          <w:highlight w:val="none"/>
          <w:lang w:val="zh-CN"/>
        </w:rPr>
        <w:t>其中</w:t>
      </w:r>
      <w:r>
        <w:rPr>
          <w:rFonts w:hint="eastAsia" w:ascii="Times New Roman" w:hAnsi="Times New Roman" w:eastAsia="仿宋_GB2312" w:cs="Times New Roman"/>
          <w:color w:val="auto"/>
          <w:sz w:val="32"/>
          <w:szCs w:val="32"/>
          <w:highlight w:val="none"/>
          <w:lang w:val="en-US" w:eastAsia="zh-CN"/>
        </w:rPr>
        <w:t>82140元为衔接资金，</w:t>
      </w:r>
      <w:r>
        <w:rPr>
          <w:rFonts w:hint="default" w:ascii="Times New Roman" w:hAnsi="Times New Roman" w:eastAsia="仿宋_GB2312" w:cs="Times New Roman"/>
          <w:color w:val="auto"/>
          <w:sz w:val="32"/>
          <w:szCs w:val="32"/>
          <w:highlight w:val="none"/>
        </w:rPr>
        <w:t>区财政也纳入了预算，此笔项目资金</w:t>
      </w:r>
      <w:r>
        <w:rPr>
          <w:rFonts w:hint="default" w:ascii="Times New Roman" w:hAnsi="Times New Roman" w:eastAsia="仿宋_GB2312" w:cs="Times New Roman"/>
          <w:color w:val="auto"/>
          <w:sz w:val="32"/>
          <w:szCs w:val="32"/>
          <w:highlight w:val="none"/>
          <w:lang w:val="zh-CN"/>
        </w:rPr>
        <w:t>符合资金管理办法相关的规定。</w:t>
      </w:r>
    </w:p>
    <w:p>
      <w:pPr>
        <w:keepNext w:val="0"/>
        <w:keepLines w:val="0"/>
        <w:pageBreakBefore w:val="0"/>
        <w:widowControl w:val="0"/>
        <w:kinsoku/>
        <w:wordWrap/>
        <w:overflowPunct/>
        <w:topLinePunct w:val="0"/>
        <w:autoSpaceDE/>
        <w:autoSpaceDN/>
        <w:bidi w:val="0"/>
        <w:adjustRightInd w:val="0"/>
        <w:snapToGrid w:val="0"/>
        <w:spacing w:line="560" w:lineRule="atLeast"/>
        <w:ind w:firstLine="642"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楷体_GB2312" w:cs="Times New Roman"/>
          <w:b/>
          <w:bCs w:val="0"/>
          <w:color w:val="auto"/>
          <w:sz w:val="32"/>
          <w:szCs w:val="32"/>
        </w:rPr>
        <w:t>（二）项目绩效目标。</w:t>
      </w:r>
      <w:r>
        <w:rPr>
          <w:rFonts w:hint="default" w:ascii="Times New Roman" w:hAnsi="Times New Roman" w:eastAsia="仿宋_GB2312" w:cs="Times New Roman"/>
          <w:bCs/>
          <w:color w:val="auto"/>
          <w:sz w:val="32"/>
          <w:szCs w:val="32"/>
        </w:rPr>
        <w:t>该项目是对</w:t>
      </w:r>
      <w:r>
        <w:rPr>
          <w:rFonts w:hint="default" w:ascii="Times New Roman" w:hAnsi="Times New Roman" w:eastAsia="仿宋_GB2312" w:cs="Times New Roman"/>
          <w:bCs/>
          <w:color w:val="auto"/>
          <w:sz w:val="32"/>
          <w:szCs w:val="32"/>
          <w:lang w:eastAsia="zh-CN"/>
        </w:rPr>
        <w:t>残疾人</w:t>
      </w:r>
      <w:r>
        <w:rPr>
          <w:rFonts w:hint="eastAsia" w:ascii="Times New Roman" w:hAnsi="Times New Roman" w:eastAsia="仿宋_GB2312" w:cs="Times New Roman"/>
          <w:bCs/>
          <w:color w:val="auto"/>
          <w:sz w:val="32"/>
          <w:szCs w:val="32"/>
          <w:lang w:eastAsia="zh-CN"/>
        </w:rPr>
        <w:t>儿童</w:t>
      </w:r>
      <w:r>
        <w:rPr>
          <w:rFonts w:hint="default" w:ascii="Times New Roman" w:hAnsi="Times New Roman" w:eastAsia="仿宋_GB2312" w:cs="Times New Roman"/>
          <w:bCs/>
          <w:color w:val="auto"/>
          <w:sz w:val="32"/>
          <w:szCs w:val="32"/>
          <w:lang w:eastAsia="zh-CN"/>
        </w:rPr>
        <w:t>提供</w:t>
      </w:r>
      <w:r>
        <w:rPr>
          <w:rFonts w:hint="eastAsia" w:ascii="Times New Roman" w:hAnsi="Times New Roman" w:eastAsia="仿宋_GB2312" w:cs="Times New Roman"/>
          <w:bCs/>
          <w:color w:val="auto"/>
          <w:sz w:val="32"/>
          <w:szCs w:val="32"/>
          <w:lang w:eastAsia="zh-CN"/>
        </w:rPr>
        <w:t>康复救助经费，</w:t>
      </w:r>
      <w:r>
        <w:rPr>
          <w:rFonts w:hint="default" w:ascii="Times New Roman" w:hAnsi="Times New Roman" w:eastAsia="仿宋_GB2312" w:cs="Times New Roman"/>
          <w:bCs/>
          <w:color w:val="auto"/>
          <w:sz w:val="32"/>
          <w:szCs w:val="32"/>
          <w:lang w:eastAsia="zh-CN"/>
        </w:rPr>
        <w:t>提高生活能力</w:t>
      </w:r>
      <w:r>
        <w:rPr>
          <w:rFonts w:hint="default" w:ascii="Times New Roman" w:hAnsi="Times New Roman" w:eastAsia="仿宋_GB2312" w:cs="Times New Roman"/>
          <w:color w:val="auto"/>
          <w:sz w:val="32"/>
          <w:szCs w:val="32"/>
          <w:shd w:val="clear" w:color="auto" w:fill="FFFFFF"/>
        </w:rPr>
        <w:t>。</w:t>
      </w:r>
      <w:r>
        <w:rPr>
          <w:rFonts w:hint="default" w:ascii="Times New Roman" w:hAnsi="Times New Roman" w:eastAsia="仿宋_GB2312" w:cs="Times New Roman"/>
          <w:bCs/>
          <w:color w:val="auto"/>
          <w:sz w:val="32"/>
          <w:szCs w:val="32"/>
        </w:rPr>
        <w:t>该项目量化细化，实施进度得当，申报的内容与实际相符，申报目标合理可行。</w:t>
      </w:r>
    </w:p>
    <w:p>
      <w:pPr>
        <w:keepNext w:val="0"/>
        <w:keepLines w:val="0"/>
        <w:pageBreakBefore w:val="0"/>
        <w:widowControl w:val="0"/>
        <w:kinsoku/>
        <w:wordWrap/>
        <w:overflowPunct/>
        <w:topLinePunct w:val="0"/>
        <w:autoSpaceDE/>
        <w:autoSpaceDN/>
        <w:bidi w:val="0"/>
        <w:adjustRightInd w:val="0"/>
        <w:snapToGrid w:val="0"/>
        <w:spacing w:line="560" w:lineRule="atLeast"/>
        <w:ind w:firstLine="481" w:firstLineChars="150"/>
        <w:textAlignment w:val="auto"/>
        <w:rPr>
          <w:rFonts w:hint="default" w:ascii="Times New Roman" w:hAnsi="Times New Roman" w:eastAsia="仿宋_GB2312" w:cs="Times New Roman"/>
          <w:color w:val="auto"/>
          <w:sz w:val="32"/>
          <w:szCs w:val="32"/>
          <w:lang w:val="zh-CN"/>
        </w:rPr>
      </w:pPr>
      <w:r>
        <w:rPr>
          <w:rFonts w:hint="default" w:ascii="Times New Roman" w:hAnsi="Times New Roman" w:eastAsia="楷体_GB2312" w:cs="Times New Roman"/>
          <w:b/>
          <w:bCs w:val="0"/>
          <w:color w:val="auto"/>
          <w:sz w:val="32"/>
          <w:szCs w:val="32"/>
        </w:rPr>
        <w:t>（三）项目自评步骤及方法。</w:t>
      </w:r>
      <w:r>
        <w:rPr>
          <w:rFonts w:hint="default" w:ascii="Times New Roman" w:hAnsi="Times New Roman" w:eastAsia="仿宋_GB2312" w:cs="Times New Roman"/>
          <w:color w:val="auto"/>
          <w:sz w:val="32"/>
          <w:szCs w:val="32"/>
          <w:lang w:val="zh-CN"/>
        </w:rPr>
        <w:t>该项目是由区残疾人</w:t>
      </w:r>
      <w:r>
        <w:rPr>
          <w:rFonts w:hint="eastAsia" w:ascii="Times New Roman" w:hAnsi="Times New Roman" w:eastAsia="仿宋_GB2312" w:cs="Times New Roman"/>
          <w:color w:val="auto"/>
          <w:sz w:val="32"/>
          <w:szCs w:val="32"/>
          <w:lang w:val="zh-CN"/>
        </w:rPr>
        <w:t>康复中心</w:t>
      </w:r>
      <w:r>
        <w:rPr>
          <w:rFonts w:hint="default" w:ascii="Times New Roman" w:hAnsi="Times New Roman" w:eastAsia="仿宋_GB2312" w:cs="Times New Roman"/>
          <w:color w:val="auto"/>
          <w:sz w:val="32"/>
          <w:szCs w:val="32"/>
          <w:lang w:val="zh-CN"/>
        </w:rPr>
        <w:t>组织实施，项目立项依据充分，项目管理及时到位，评价方法和标准科学合理。</w:t>
      </w:r>
    </w:p>
    <w:p>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textAlignment w:val="auto"/>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rPr>
        <w:t>二、项目资金申报及使用情况。</w:t>
      </w:r>
    </w:p>
    <w:p>
      <w:pPr>
        <w:keepNext w:val="0"/>
        <w:keepLines w:val="0"/>
        <w:pageBreakBefore w:val="0"/>
        <w:widowControl w:val="0"/>
        <w:kinsoku/>
        <w:wordWrap/>
        <w:overflowPunct/>
        <w:topLinePunct w:val="0"/>
        <w:autoSpaceDE/>
        <w:autoSpaceDN/>
        <w:bidi w:val="0"/>
        <w:adjustRightInd w:val="0"/>
        <w:snapToGrid w:val="0"/>
        <w:spacing w:line="560" w:lineRule="atLeast"/>
        <w:ind w:firstLine="642" w:firstLineChars="200"/>
        <w:textAlignment w:val="auto"/>
        <w:rPr>
          <w:rFonts w:hint="default" w:ascii="Times New Roman" w:hAnsi="Times New Roman" w:eastAsia="楷体_GB2312" w:cs="Times New Roman"/>
          <w:b/>
          <w:bCs w:val="0"/>
          <w:color w:val="auto"/>
          <w:sz w:val="32"/>
          <w:szCs w:val="32"/>
        </w:rPr>
      </w:pPr>
      <w:r>
        <w:rPr>
          <w:rFonts w:hint="default" w:ascii="Times New Roman" w:hAnsi="Times New Roman" w:eastAsia="楷体_GB2312" w:cs="Times New Roman"/>
          <w:b/>
          <w:bCs w:val="0"/>
          <w:color w:val="auto"/>
          <w:sz w:val="32"/>
          <w:szCs w:val="32"/>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该项目资金申报及时，区财政也批复并下达了202</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eastAsia="zh-CN"/>
        </w:rPr>
        <w:t>区级</w:t>
      </w:r>
      <w:r>
        <w:rPr>
          <w:rFonts w:hint="default" w:ascii="Times New Roman" w:hAnsi="Times New Roman" w:eastAsia="仿宋_GB2312" w:cs="Times New Roman"/>
          <w:color w:val="auto"/>
          <w:sz w:val="32"/>
          <w:szCs w:val="32"/>
        </w:rPr>
        <w:t>预算</w:t>
      </w:r>
      <w:r>
        <w:rPr>
          <w:rFonts w:hint="default" w:ascii="Times New Roman" w:hAnsi="Times New Roman" w:eastAsia="仿宋_GB2312" w:cs="Times New Roman"/>
          <w:color w:val="auto"/>
          <w:sz w:val="32"/>
          <w:szCs w:val="32"/>
          <w:lang w:val="en-US" w:eastAsia="zh-CN"/>
        </w:rPr>
        <w:t>资金</w:t>
      </w:r>
      <w:r>
        <w:rPr>
          <w:rFonts w:hint="eastAsia" w:ascii="Times New Roman" w:hAnsi="Times New Roman" w:eastAsia="仿宋_GB2312" w:cs="Times New Roman"/>
          <w:color w:val="auto"/>
          <w:sz w:val="32"/>
          <w:szCs w:val="32"/>
          <w:lang w:val="en-US" w:eastAsia="zh-CN"/>
        </w:rPr>
        <w:t>20万</w:t>
      </w:r>
      <w:r>
        <w:rPr>
          <w:rFonts w:hint="default" w:ascii="Times New Roman" w:hAnsi="Times New Roman" w:eastAsia="仿宋_GB2312" w:cs="Times New Roman"/>
          <w:color w:val="auto"/>
          <w:sz w:val="32"/>
          <w:szCs w:val="32"/>
          <w:lang w:val="en-US" w:eastAsia="zh-CN"/>
        </w:rPr>
        <w:t>元</w:t>
      </w:r>
      <w:r>
        <w:rPr>
          <w:rFonts w:hint="eastAsia" w:ascii="Times New Roman" w:hAnsi="Times New Roman" w:eastAsia="仿宋_GB2312" w:cs="Times New Roman"/>
          <w:color w:val="auto"/>
          <w:sz w:val="32"/>
          <w:szCs w:val="32"/>
          <w:lang w:val="en-US" w:eastAsia="zh-CN"/>
        </w:rPr>
        <w:t>、调剂后金额为44.6663万元，中央彩金44.42万元、省级一般公共预算18万元、省级彩金4.94万元、市级预算10.52万元、</w:t>
      </w:r>
      <w:r>
        <w:rPr>
          <w:rFonts w:hint="default" w:ascii="Times New Roman" w:hAnsi="Times New Roman" w:eastAsia="仿宋_GB2312" w:cs="Times New Roman"/>
          <w:color w:val="auto"/>
          <w:sz w:val="32"/>
          <w:szCs w:val="32"/>
          <w:lang w:val="en-US" w:eastAsia="zh-CN"/>
        </w:rPr>
        <w:t>合计</w:t>
      </w:r>
      <w:r>
        <w:rPr>
          <w:rFonts w:hint="eastAsia" w:ascii="Times New Roman" w:hAnsi="Times New Roman" w:eastAsia="仿宋_GB2312" w:cs="Times New Roman"/>
          <w:color w:val="auto"/>
          <w:sz w:val="32"/>
          <w:szCs w:val="32"/>
          <w:lang w:val="en-US" w:eastAsia="zh-CN"/>
        </w:rPr>
        <w:t>122.5463万</w:t>
      </w:r>
      <w:r>
        <w:rPr>
          <w:rFonts w:hint="default" w:ascii="Times New Roman" w:hAnsi="Times New Roman" w:eastAsia="仿宋_GB2312" w:cs="Times New Roman"/>
          <w:color w:val="auto"/>
          <w:sz w:val="32"/>
          <w:szCs w:val="32"/>
          <w:lang w:val="en-US" w:eastAsia="zh-CN"/>
        </w:rPr>
        <w:t>元</w:t>
      </w:r>
      <w:r>
        <w:rPr>
          <w:rFonts w:hint="eastAsia" w:ascii="Times New Roman" w:hAnsi="Times New Roman" w:eastAsia="仿宋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atLeast"/>
        <w:ind w:firstLine="642" w:firstLineChars="200"/>
        <w:textAlignment w:val="auto"/>
        <w:rPr>
          <w:rFonts w:hint="default" w:ascii="Times New Roman" w:hAnsi="Times New Roman" w:eastAsia="楷体_GB2312" w:cs="Times New Roman"/>
          <w:b/>
          <w:bCs w:val="0"/>
          <w:color w:val="auto"/>
          <w:sz w:val="32"/>
          <w:szCs w:val="32"/>
        </w:rPr>
      </w:pPr>
      <w:r>
        <w:rPr>
          <w:rFonts w:hint="default" w:ascii="Times New Roman" w:hAnsi="Times New Roman" w:eastAsia="楷体_GB2312" w:cs="Times New Roman"/>
          <w:b/>
          <w:bCs w:val="0"/>
          <w:color w:val="auto"/>
          <w:sz w:val="32"/>
          <w:szCs w:val="32"/>
        </w:rPr>
        <w:t>（二）资金计划、到位及使用情况</w:t>
      </w:r>
    </w:p>
    <w:p>
      <w:pPr>
        <w:keepNext w:val="0"/>
        <w:keepLines w:val="0"/>
        <w:pageBreakBefore w:val="0"/>
        <w:widowControl w:val="0"/>
        <w:kinsoku/>
        <w:wordWrap/>
        <w:overflowPunct/>
        <w:topLinePunct w:val="0"/>
        <w:autoSpaceDE/>
        <w:autoSpaceDN/>
        <w:bidi w:val="0"/>
        <w:adjustRightInd w:val="0"/>
        <w:snapToGrid w:val="0"/>
        <w:spacing w:line="560" w:lineRule="atLeast"/>
        <w:ind w:firstLine="642"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val="0"/>
          <w:color w:val="auto"/>
          <w:sz w:val="32"/>
          <w:szCs w:val="32"/>
        </w:rPr>
        <w:t>1</w:t>
      </w:r>
      <w:r>
        <w:rPr>
          <w:rFonts w:hint="default"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rPr>
        <w:t>资金计划。</w:t>
      </w:r>
      <w:r>
        <w:rPr>
          <w:rFonts w:hint="default" w:ascii="Times New Roman" w:hAnsi="Times New Roman" w:eastAsia="仿宋_GB2312" w:cs="Times New Roman"/>
          <w:color w:val="auto"/>
          <w:sz w:val="32"/>
          <w:szCs w:val="32"/>
        </w:rPr>
        <w:t>该项目资金区财政预算</w:t>
      </w:r>
      <w:r>
        <w:rPr>
          <w:rFonts w:hint="default" w:ascii="Times New Roman" w:hAnsi="Times New Roman" w:eastAsia="仿宋_GB2312" w:cs="Times New Roman"/>
          <w:color w:val="auto"/>
          <w:sz w:val="32"/>
          <w:szCs w:val="32"/>
          <w:lang w:val="en-US" w:eastAsia="zh-CN"/>
        </w:rPr>
        <w:t>资金</w:t>
      </w:r>
      <w:r>
        <w:rPr>
          <w:rFonts w:hint="eastAsia" w:ascii="Times New Roman" w:hAnsi="Times New Roman" w:eastAsia="仿宋_GB2312" w:cs="Times New Roman"/>
          <w:color w:val="auto"/>
          <w:sz w:val="32"/>
          <w:szCs w:val="32"/>
          <w:lang w:val="en-US" w:eastAsia="zh-CN"/>
        </w:rPr>
        <w:t>20万</w:t>
      </w:r>
      <w:r>
        <w:rPr>
          <w:rFonts w:hint="default" w:ascii="Times New Roman" w:hAnsi="Times New Roman" w:eastAsia="仿宋_GB2312" w:cs="Times New Roman"/>
          <w:color w:val="auto"/>
          <w:sz w:val="32"/>
          <w:szCs w:val="32"/>
          <w:lang w:val="en-US" w:eastAsia="zh-CN"/>
        </w:rPr>
        <w:t>元</w:t>
      </w:r>
      <w:r>
        <w:rPr>
          <w:rFonts w:hint="eastAsia" w:ascii="Times New Roman" w:hAnsi="Times New Roman" w:eastAsia="仿宋_GB2312" w:cs="Times New Roman"/>
          <w:color w:val="auto"/>
          <w:sz w:val="32"/>
          <w:szCs w:val="32"/>
          <w:lang w:val="en-US" w:eastAsia="zh-CN"/>
        </w:rPr>
        <w:t>、调剂后金额为44.6663万元，中央彩金44.42万元、省级一般公共预算18万元、省级彩金4.94万元、市级预算10.52万元、</w:t>
      </w:r>
      <w:r>
        <w:rPr>
          <w:rFonts w:hint="default" w:ascii="Times New Roman" w:hAnsi="Times New Roman" w:eastAsia="仿宋_GB2312" w:cs="Times New Roman"/>
          <w:color w:val="auto"/>
          <w:sz w:val="32"/>
          <w:szCs w:val="32"/>
          <w:lang w:val="en-US" w:eastAsia="zh-CN"/>
        </w:rPr>
        <w:t>合计</w:t>
      </w:r>
      <w:r>
        <w:rPr>
          <w:rFonts w:hint="eastAsia" w:ascii="Times New Roman" w:hAnsi="Times New Roman" w:eastAsia="仿宋_GB2312" w:cs="Times New Roman"/>
          <w:color w:val="auto"/>
          <w:sz w:val="32"/>
          <w:szCs w:val="32"/>
          <w:lang w:val="en-US" w:eastAsia="zh-CN"/>
        </w:rPr>
        <w:t>122.5463万</w:t>
      </w:r>
      <w:r>
        <w:rPr>
          <w:rFonts w:hint="default" w:ascii="Times New Roman" w:hAnsi="Times New Roman" w:eastAsia="仿宋_GB2312" w:cs="Times New Roman"/>
          <w:color w:val="auto"/>
          <w:sz w:val="32"/>
          <w:szCs w:val="32"/>
          <w:lang w:val="en-US" w:eastAsia="zh-CN"/>
        </w:rPr>
        <w:t>元</w:t>
      </w:r>
    </w:p>
    <w:p>
      <w:pPr>
        <w:keepNext w:val="0"/>
        <w:keepLines w:val="0"/>
        <w:pageBreakBefore w:val="0"/>
        <w:widowControl w:val="0"/>
        <w:kinsoku/>
        <w:wordWrap/>
        <w:overflowPunct/>
        <w:topLinePunct w:val="0"/>
        <w:autoSpaceDE/>
        <w:autoSpaceDN/>
        <w:bidi w:val="0"/>
        <w:adjustRightInd w:val="0"/>
        <w:snapToGrid w:val="0"/>
        <w:spacing w:line="560" w:lineRule="atLeast"/>
        <w:ind w:firstLine="642"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
          <w:bCs w:val="0"/>
          <w:color w:val="auto"/>
          <w:sz w:val="32"/>
          <w:szCs w:val="32"/>
        </w:rPr>
        <w:t>2</w:t>
      </w:r>
      <w:r>
        <w:rPr>
          <w:rFonts w:hint="default"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rPr>
        <w:t>资金到位。</w:t>
      </w:r>
      <w:r>
        <w:rPr>
          <w:rFonts w:hint="default" w:ascii="Times New Roman" w:hAnsi="Times New Roman" w:eastAsia="仿宋_GB2312" w:cs="Times New Roman"/>
          <w:color w:val="auto"/>
          <w:sz w:val="32"/>
          <w:szCs w:val="32"/>
        </w:rPr>
        <w:t>该项目资金区财政到位</w:t>
      </w:r>
      <w:r>
        <w:rPr>
          <w:rFonts w:hint="default" w:ascii="Times New Roman" w:hAnsi="Times New Roman" w:eastAsia="仿宋_GB2312" w:cs="Times New Roman"/>
          <w:color w:val="auto"/>
          <w:sz w:val="32"/>
          <w:szCs w:val="32"/>
          <w:lang w:val="en-US" w:eastAsia="zh-CN"/>
        </w:rPr>
        <w:t>资金</w:t>
      </w:r>
      <w:r>
        <w:rPr>
          <w:rFonts w:hint="eastAsia" w:ascii="Times New Roman" w:hAnsi="Times New Roman" w:eastAsia="仿宋_GB2312" w:cs="Times New Roman"/>
          <w:color w:val="auto"/>
          <w:sz w:val="32"/>
          <w:szCs w:val="32"/>
          <w:lang w:val="en-US" w:eastAsia="zh-CN"/>
        </w:rPr>
        <w:t>20万</w:t>
      </w:r>
      <w:r>
        <w:rPr>
          <w:rFonts w:hint="default" w:ascii="Times New Roman" w:hAnsi="Times New Roman" w:eastAsia="仿宋_GB2312" w:cs="Times New Roman"/>
          <w:color w:val="auto"/>
          <w:sz w:val="32"/>
          <w:szCs w:val="32"/>
          <w:lang w:val="en-US" w:eastAsia="zh-CN"/>
        </w:rPr>
        <w:t>元</w:t>
      </w:r>
      <w:r>
        <w:rPr>
          <w:rFonts w:hint="eastAsia" w:ascii="Times New Roman" w:hAnsi="Times New Roman" w:eastAsia="仿宋_GB2312" w:cs="Times New Roman"/>
          <w:color w:val="auto"/>
          <w:sz w:val="32"/>
          <w:szCs w:val="32"/>
          <w:lang w:val="en-US" w:eastAsia="zh-CN"/>
        </w:rPr>
        <w:t>、调剂后金额为44.6663万元，中央彩金44.42万元、省级一般公共预算18万元、省级彩金4.94万元、市级预算10.52万元、</w:t>
      </w:r>
      <w:r>
        <w:rPr>
          <w:rFonts w:hint="default" w:ascii="Times New Roman" w:hAnsi="Times New Roman" w:eastAsia="仿宋_GB2312" w:cs="Times New Roman"/>
          <w:color w:val="auto"/>
          <w:sz w:val="32"/>
          <w:szCs w:val="32"/>
          <w:lang w:val="en-US" w:eastAsia="zh-CN"/>
        </w:rPr>
        <w:t>合计</w:t>
      </w:r>
      <w:r>
        <w:rPr>
          <w:rFonts w:hint="eastAsia" w:ascii="Times New Roman" w:hAnsi="Times New Roman" w:eastAsia="仿宋_GB2312" w:cs="Times New Roman"/>
          <w:color w:val="auto"/>
          <w:sz w:val="32"/>
          <w:szCs w:val="32"/>
          <w:lang w:val="en-US" w:eastAsia="zh-CN"/>
        </w:rPr>
        <w:t>122.5463万</w:t>
      </w:r>
      <w:r>
        <w:rPr>
          <w:rFonts w:hint="default" w:ascii="Times New Roman" w:hAnsi="Times New Roman" w:eastAsia="仿宋_GB2312" w:cs="Times New Roman"/>
          <w:color w:val="auto"/>
          <w:sz w:val="32"/>
          <w:szCs w:val="32"/>
          <w:lang w:val="en-US" w:eastAsia="zh-CN"/>
        </w:rPr>
        <w:t>元</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bCs/>
          <w:color w:val="auto"/>
          <w:sz w:val="32"/>
          <w:szCs w:val="32"/>
        </w:rPr>
        <w:t>资金到位率100%，到位及时</w:t>
      </w:r>
      <w:r>
        <w:rPr>
          <w:rFonts w:hint="default" w:ascii="Times New Roman" w:hAnsi="Times New Roman" w:eastAsia="仿宋_GB2312" w:cs="Times New Roman"/>
          <w:color w:val="auto"/>
          <w:sz w:val="32"/>
          <w:szCs w:val="32"/>
          <w:lang w:val="zh-CN"/>
        </w:rPr>
        <w:t>，配套资金筹措能力好</w:t>
      </w:r>
      <w:r>
        <w:rPr>
          <w:rFonts w:hint="default" w:ascii="Times New Roman" w:hAnsi="Times New Roman" w:eastAsia="仿宋_GB2312" w:cs="Times New Roman"/>
          <w:bCs/>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atLeast"/>
        <w:ind w:firstLine="642" w:firstLineChars="200"/>
        <w:textAlignment w:val="auto"/>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b/>
          <w:bCs w:val="0"/>
          <w:color w:val="auto"/>
          <w:sz w:val="32"/>
          <w:szCs w:val="32"/>
        </w:rPr>
        <w:t>3</w:t>
      </w:r>
      <w:r>
        <w:rPr>
          <w:rFonts w:hint="default"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rPr>
        <w:t>资金使用。</w:t>
      </w:r>
      <w:r>
        <w:rPr>
          <w:rFonts w:hint="default" w:ascii="Times New Roman" w:hAnsi="Times New Roman" w:eastAsia="仿宋_GB2312" w:cs="Times New Roman"/>
          <w:color w:val="auto"/>
          <w:sz w:val="32"/>
          <w:szCs w:val="32"/>
          <w:lang w:val="zh-CN"/>
        </w:rPr>
        <w:t>该项目经费拨付给机构合计</w:t>
      </w:r>
      <w:r>
        <w:rPr>
          <w:rFonts w:hint="eastAsia" w:ascii="Times New Roman" w:hAnsi="Times New Roman" w:eastAsia="仿宋_GB2312" w:cs="Times New Roman"/>
          <w:color w:val="auto"/>
          <w:sz w:val="32"/>
          <w:szCs w:val="32"/>
          <w:lang w:val="en-US" w:eastAsia="zh-CN"/>
        </w:rPr>
        <w:t>122.5463万元</w:t>
      </w:r>
      <w:r>
        <w:rPr>
          <w:rFonts w:hint="default" w:ascii="Times New Roman" w:hAnsi="Times New Roman" w:eastAsia="仿宋_GB2312" w:cs="Times New Roman"/>
          <w:color w:val="auto"/>
          <w:sz w:val="32"/>
          <w:szCs w:val="32"/>
          <w:lang w:val="zh-CN"/>
        </w:rPr>
        <w:t>，其中</w:t>
      </w:r>
      <w:r>
        <w:rPr>
          <w:rFonts w:hint="eastAsia" w:ascii="Times New Roman" w:hAnsi="Times New Roman" w:eastAsia="仿宋_GB2312" w:cs="Times New Roman"/>
          <w:color w:val="auto"/>
          <w:sz w:val="32"/>
          <w:szCs w:val="32"/>
          <w:lang w:val="zh-CN"/>
        </w:rPr>
        <w:t>区级</w:t>
      </w:r>
      <w:r>
        <w:rPr>
          <w:rFonts w:hint="default" w:ascii="Times New Roman" w:hAnsi="Times New Roman" w:eastAsia="仿宋_GB2312" w:cs="Times New Roman"/>
          <w:color w:val="auto"/>
          <w:sz w:val="32"/>
          <w:szCs w:val="32"/>
          <w:lang w:val="en-US" w:eastAsia="zh-CN"/>
        </w:rPr>
        <w:t>资金</w:t>
      </w:r>
      <w:r>
        <w:rPr>
          <w:rFonts w:hint="eastAsia" w:ascii="Times New Roman" w:hAnsi="Times New Roman" w:eastAsia="仿宋_GB2312" w:cs="Times New Roman"/>
          <w:color w:val="auto"/>
          <w:sz w:val="32"/>
          <w:szCs w:val="32"/>
          <w:lang w:val="en-US" w:eastAsia="zh-CN"/>
        </w:rPr>
        <w:t>为44.6663万元，中央彩金44.42万元、省级一般公共预算18万元、省级彩金4.94万元、市级预算10.52万元</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zh-CN"/>
        </w:rPr>
        <w:t>支付范围合法、支付标准准确、支付进度适当、支付依据充分，区级预算执行率</w:t>
      </w:r>
      <w:r>
        <w:rPr>
          <w:rFonts w:hint="eastAsia" w:ascii="Times New Roman" w:hAnsi="Times New Roman" w:eastAsia="仿宋_GB2312" w:cs="Times New Roman"/>
          <w:color w:val="auto"/>
          <w:sz w:val="32"/>
          <w:szCs w:val="32"/>
          <w:lang w:val="en-US" w:eastAsia="zh-CN"/>
        </w:rPr>
        <w:t>100</w:t>
      </w:r>
      <w:r>
        <w:rPr>
          <w:rFonts w:hint="default" w:ascii="Times New Roman" w:hAnsi="Times New Roman" w:eastAsia="仿宋_GB2312" w:cs="Times New Roman"/>
          <w:color w:val="auto"/>
          <w:sz w:val="32"/>
          <w:szCs w:val="32"/>
          <w:lang w:val="zh-CN"/>
        </w:rPr>
        <w:t>%。</w:t>
      </w:r>
    </w:p>
    <w:p>
      <w:pPr>
        <w:keepNext w:val="0"/>
        <w:keepLines w:val="0"/>
        <w:pageBreakBefore w:val="0"/>
        <w:widowControl w:val="0"/>
        <w:kinsoku/>
        <w:wordWrap/>
        <w:overflowPunct/>
        <w:topLinePunct w:val="0"/>
        <w:autoSpaceDE/>
        <w:autoSpaceDN/>
        <w:bidi w:val="0"/>
        <w:adjustRightInd w:val="0"/>
        <w:snapToGrid w:val="0"/>
        <w:spacing w:line="560" w:lineRule="atLeast"/>
        <w:ind w:firstLine="642"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楷体_GB2312" w:cs="Times New Roman"/>
          <w:b/>
          <w:bCs w:val="0"/>
          <w:color w:val="auto"/>
          <w:sz w:val="32"/>
          <w:szCs w:val="32"/>
        </w:rPr>
        <w:t>（三）项目财务管理情况。</w:t>
      </w:r>
      <w:r>
        <w:rPr>
          <w:rFonts w:hint="default" w:ascii="Times New Roman" w:hAnsi="Times New Roman" w:eastAsia="仿宋_GB2312" w:cs="Times New Roman"/>
          <w:color w:val="auto"/>
          <w:sz w:val="32"/>
          <w:szCs w:val="32"/>
        </w:rPr>
        <w:t>该</w:t>
      </w:r>
      <w:r>
        <w:rPr>
          <w:rFonts w:hint="default" w:ascii="Times New Roman" w:hAnsi="Times New Roman" w:eastAsia="仿宋_GB2312" w:cs="Times New Roman"/>
          <w:color w:val="auto"/>
          <w:sz w:val="32"/>
          <w:szCs w:val="32"/>
          <w:lang w:val="zh-CN"/>
        </w:rPr>
        <w:t>项</w:t>
      </w:r>
      <w:r>
        <w:rPr>
          <w:rFonts w:hint="eastAsia" w:ascii="Times New Roman" w:hAnsi="Times New Roman" w:eastAsia="仿宋_GB2312" w:cs="Times New Roman"/>
          <w:color w:val="auto"/>
          <w:sz w:val="32"/>
          <w:szCs w:val="32"/>
          <w:lang w:val="zh-CN"/>
        </w:rPr>
        <w:t>目</w:t>
      </w:r>
      <w:r>
        <w:rPr>
          <w:rFonts w:hint="default" w:ascii="Times New Roman" w:hAnsi="Times New Roman" w:eastAsia="仿宋_GB2312" w:cs="Times New Roman"/>
          <w:color w:val="auto"/>
          <w:sz w:val="32"/>
          <w:szCs w:val="32"/>
        </w:rPr>
        <w:t>资金</w:t>
      </w:r>
      <w:r>
        <w:rPr>
          <w:rFonts w:hint="eastAsia" w:ascii="Times New Roman" w:hAnsi="Times New Roman" w:eastAsia="仿宋_GB2312" w:cs="Times New Roman"/>
          <w:color w:val="auto"/>
          <w:sz w:val="32"/>
          <w:szCs w:val="32"/>
          <w:lang w:eastAsia="zh-CN"/>
        </w:rPr>
        <w:t>按季度收集并支付给对应机构，</w:t>
      </w:r>
      <w:r>
        <w:rPr>
          <w:rFonts w:hint="default" w:ascii="Times New Roman" w:hAnsi="Times New Roman" w:eastAsia="仿宋_GB2312" w:cs="Times New Roman"/>
          <w:color w:val="auto"/>
          <w:sz w:val="32"/>
          <w:szCs w:val="32"/>
        </w:rPr>
        <w:t>按照现行财务管理制度规定使用，账务处理及时，会计核算规范。</w:t>
      </w:r>
    </w:p>
    <w:p>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textAlignment w:val="auto"/>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rPr>
        <w:t>三、项目实施及管理情况。</w:t>
      </w:r>
    </w:p>
    <w:p>
      <w:pPr>
        <w:keepNext w:val="0"/>
        <w:keepLines w:val="0"/>
        <w:pageBreakBefore w:val="0"/>
        <w:widowControl w:val="0"/>
        <w:kinsoku/>
        <w:wordWrap/>
        <w:overflowPunct/>
        <w:topLinePunct w:val="0"/>
        <w:autoSpaceDE/>
        <w:autoSpaceDN/>
        <w:bidi w:val="0"/>
        <w:adjustRightInd w:val="0"/>
        <w:snapToGrid w:val="0"/>
        <w:spacing w:line="560" w:lineRule="atLeast"/>
        <w:ind w:firstLine="642"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楷体_GB2312" w:cs="Times New Roman"/>
          <w:b/>
          <w:bCs w:val="0"/>
          <w:color w:val="auto"/>
          <w:sz w:val="32"/>
          <w:szCs w:val="32"/>
        </w:rPr>
        <w:t>（一）项目组织架构及实施流程。</w:t>
      </w:r>
      <w:r>
        <w:rPr>
          <w:rFonts w:hint="default" w:ascii="Times New Roman" w:hAnsi="Times New Roman" w:eastAsia="仿宋_GB2312" w:cs="Times New Roman"/>
          <w:color w:val="auto"/>
          <w:sz w:val="32"/>
          <w:szCs w:val="32"/>
          <w:lang w:val="zh-CN"/>
        </w:rPr>
        <w:t>该项目是由区残疾人</w:t>
      </w:r>
      <w:r>
        <w:rPr>
          <w:rFonts w:hint="eastAsia" w:ascii="Times New Roman" w:hAnsi="Times New Roman" w:eastAsia="仿宋_GB2312" w:cs="Times New Roman"/>
          <w:color w:val="auto"/>
          <w:sz w:val="32"/>
          <w:szCs w:val="32"/>
          <w:lang w:val="zh-CN"/>
        </w:rPr>
        <w:t>康复中心</w:t>
      </w:r>
      <w:r>
        <w:rPr>
          <w:rFonts w:hint="default" w:ascii="Times New Roman" w:hAnsi="Times New Roman" w:eastAsia="仿宋_GB2312" w:cs="Times New Roman"/>
          <w:color w:val="auto"/>
          <w:sz w:val="32"/>
          <w:szCs w:val="32"/>
          <w:lang w:val="zh-CN"/>
        </w:rPr>
        <w:t>具体组织开展，</w:t>
      </w:r>
      <w:r>
        <w:rPr>
          <w:rFonts w:ascii="Calibri" w:hAnsi="Calibri" w:eastAsia="仿宋_GB2312" w:cs="Times New Roman"/>
          <w:sz w:val="32"/>
          <w:szCs w:val="32"/>
        </w:rPr>
        <w:t>根据残疾儿童康复救助相关标准，</w:t>
      </w:r>
      <w:r>
        <w:rPr>
          <w:rFonts w:ascii="Calibri" w:hAnsi="Calibri" w:eastAsia="仿宋_GB2312" w:cs="Times New Roman"/>
          <w:spacing w:val="-7"/>
          <w:sz w:val="32"/>
          <w:szCs w:val="32"/>
        </w:rPr>
        <w:t>残疾儿童监护人或其委托他人、社会组织、</w:t>
      </w:r>
      <w:r>
        <w:rPr>
          <w:rFonts w:ascii="Calibri" w:hAnsi="Calibri" w:eastAsia="仿宋_GB2312" w:cs="Times New Roman"/>
          <w:spacing w:val="-15"/>
          <w:sz w:val="32"/>
          <w:szCs w:val="32"/>
        </w:rPr>
        <w:t>社会救助经办机构等持户籍证明、残疾人证或医院诊断证明到区残联提出康复救助申请</w:t>
      </w:r>
      <w:r>
        <w:rPr>
          <w:rFonts w:hint="eastAsia" w:ascii="Calibri" w:hAnsi="Calibri" w:eastAsia="仿宋_GB2312" w:cs="Times New Roman"/>
          <w:spacing w:val="-15"/>
          <w:sz w:val="32"/>
          <w:szCs w:val="32"/>
          <w:lang w:eastAsia="zh-CN"/>
        </w:rPr>
        <w:t>，经审核后</w:t>
      </w:r>
      <w:r>
        <w:rPr>
          <w:rFonts w:ascii="Calibri" w:hAnsi="Calibri" w:eastAsia="仿宋_GB2312" w:cs="Times New Roman"/>
          <w:spacing w:val="-13"/>
          <w:w w:val="95"/>
          <w:sz w:val="32"/>
          <w:szCs w:val="32"/>
        </w:rPr>
        <w:t>确定康复救助金额，并与定点康复机构直</w:t>
      </w:r>
      <w:r>
        <w:rPr>
          <w:rFonts w:ascii="Calibri" w:hAnsi="Calibri" w:eastAsia="仿宋_GB2312" w:cs="Times New Roman"/>
          <w:spacing w:val="-14"/>
          <w:sz w:val="32"/>
          <w:szCs w:val="32"/>
        </w:rPr>
        <w:t>接结算</w:t>
      </w:r>
      <w:r>
        <w:rPr>
          <w:rFonts w:hint="eastAsia" w:ascii="Calibri" w:hAnsi="Calibri" w:eastAsia="仿宋_GB2312" w:cs="Times New Roman"/>
          <w:spacing w:val="-14"/>
          <w:sz w:val="32"/>
          <w:szCs w:val="32"/>
          <w:lang w:eastAsia="zh-CN"/>
        </w:rPr>
        <w:t>，</w:t>
      </w:r>
      <w:r>
        <w:rPr>
          <w:rFonts w:hint="default" w:ascii="Times New Roman" w:hAnsi="Times New Roman" w:eastAsia="仿宋_GB2312" w:cs="Times New Roman"/>
          <w:color w:val="auto"/>
          <w:sz w:val="32"/>
          <w:szCs w:val="32"/>
          <w:lang w:val="zh-CN"/>
        </w:rPr>
        <w:t>实施流程规范。</w:t>
      </w:r>
    </w:p>
    <w:p>
      <w:pPr>
        <w:keepNext w:val="0"/>
        <w:keepLines w:val="0"/>
        <w:pageBreakBefore w:val="0"/>
        <w:widowControl w:val="0"/>
        <w:kinsoku/>
        <w:wordWrap/>
        <w:overflowPunct/>
        <w:topLinePunct w:val="0"/>
        <w:autoSpaceDE/>
        <w:autoSpaceDN/>
        <w:bidi w:val="0"/>
        <w:adjustRightInd w:val="0"/>
        <w:snapToGrid w:val="0"/>
        <w:spacing w:line="560" w:lineRule="atLeast"/>
        <w:ind w:firstLine="642"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楷体_GB2312" w:cs="Times New Roman"/>
          <w:b/>
          <w:bCs w:val="0"/>
          <w:color w:val="auto"/>
          <w:sz w:val="32"/>
          <w:szCs w:val="32"/>
        </w:rPr>
        <w:t>（二）项目管理情况。</w:t>
      </w:r>
      <w:r>
        <w:rPr>
          <w:rFonts w:hint="default" w:ascii="Times New Roman" w:hAnsi="Times New Roman" w:eastAsia="仿宋_GB2312" w:cs="Times New Roman"/>
          <w:bCs/>
          <w:color w:val="auto"/>
          <w:sz w:val="32"/>
          <w:szCs w:val="32"/>
        </w:rPr>
        <w:t>区残联按照残疾</w:t>
      </w:r>
      <w:r>
        <w:rPr>
          <w:rFonts w:hint="eastAsia" w:ascii="Times New Roman" w:hAnsi="Times New Roman" w:eastAsia="仿宋_GB2312" w:cs="Times New Roman"/>
          <w:bCs/>
          <w:color w:val="auto"/>
          <w:sz w:val="32"/>
          <w:szCs w:val="32"/>
          <w:lang w:eastAsia="zh-CN"/>
        </w:rPr>
        <w:t>儿童康复救助</w:t>
      </w:r>
      <w:r>
        <w:rPr>
          <w:rFonts w:hint="default" w:ascii="Times New Roman" w:hAnsi="Times New Roman" w:eastAsia="仿宋_GB2312" w:cs="Times New Roman"/>
          <w:bCs/>
          <w:color w:val="auto"/>
          <w:sz w:val="32"/>
          <w:szCs w:val="32"/>
          <w:lang w:eastAsia="zh-CN"/>
        </w:rPr>
        <w:t>管理等</w:t>
      </w:r>
      <w:r>
        <w:rPr>
          <w:rFonts w:hint="default" w:ascii="Times New Roman" w:hAnsi="Times New Roman" w:eastAsia="仿宋_GB2312" w:cs="Times New Roman"/>
          <w:bCs/>
          <w:color w:val="auto"/>
          <w:sz w:val="32"/>
          <w:szCs w:val="32"/>
        </w:rPr>
        <w:t>有关规定，对项目进行管理。</w:t>
      </w:r>
    </w:p>
    <w:p>
      <w:pPr>
        <w:keepNext w:val="0"/>
        <w:keepLines w:val="0"/>
        <w:pageBreakBefore w:val="0"/>
        <w:widowControl w:val="0"/>
        <w:kinsoku/>
        <w:wordWrap/>
        <w:overflowPunct/>
        <w:topLinePunct w:val="0"/>
        <w:autoSpaceDE/>
        <w:autoSpaceDN/>
        <w:bidi w:val="0"/>
        <w:adjustRightInd w:val="0"/>
        <w:snapToGrid w:val="0"/>
        <w:spacing w:line="560" w:lineRule="atLeast"/>
        <w:ind w:firstLine="64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val="0"/>
          <w:color w:val="auto"/>
          <w:sz w:val="32"/>
          <w:szCs w:val="32"/>
        </w:rPr>
        <w:t>（三）项目监管情况。</w:t>
      </w:r>
      <w:r>
        <w:rPr>
          <w:rFonts w:hint="default" w:ascii="Times New Roman" w:hAnsi="Times New Roman" w:eastAsia="仿宋_GB2312" w:cs="Times New Roman"/>
          <w:bCs/>
          <w:color w:val="auto"/>
          <w:sz w:val="32"/>
          <w:szCs w:val="32"/>
        </w:rPr>
        <w:t>区残联对</w:t>
      </w:r>
      <w:r>
        <w:rPr>
          <w:rFonts w:hint="default" w:ascii="Times New Roman" w:hAnsi="Times New Roman" w:eastAsia="仿宋_GB2312" w:cs="Times New Roman"/>
          <w:color w:val="auto"/>
          <w:sz w:val="32"/>
          <w:szCs w:val="32"/>
        </w:rPr>
        <w:t>项目的事前、事中、事后进行全过程监督管理。</w:t>
      </w:r>
    </w:p>
    <w:p>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textAlignment w:val="auto"/>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rPr>
        <w:t>四、项目绩效情况。</w:t>
      </w:r>
    </w:p>
    <w:p>
      <w:pPr>
        <w:keepNext w:val="0"/>
        <w:keepLines w:val="0"/>
        <w:pageBreakBefore w:val="0"/>
        <w:widowControl w:val="0"/>
        <w:kinsoku/>
        <w:wordWrap/>
        <w:overflowPunct/>
        <w:topLinePunct w:val="0"/>
        <w:autoSpaceDE/>
        <w:autoSpaceDN/>
        <w:bidi w:val="0"/>
        <w:adjustRightInd w:val="0"/>
        <w:snapToGrid w:val="0"/>
        <w:spacing w:line="560" w:lineRule="atLeast"/>
        <w:ind w:firstLine="642"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val="0"/>
          <w:color w:val="auto"/>
          <w:sz w:val="32"/>
          <w:szCs w:val="32"/>
        </w:rPr>
        <w:t>（一）项目完成情况。</w:t>
      </w:r>
      <w:r>
        <w:rPr>
          <w:rFonts w:hint="default" w:ascii="Times New Roman" w:hAnsi="Times New Roman" w:eastAsia="仿宋_GB2312" w:cs="Times New Roman"/>
          <w:bCs/>
          <w:color w:val="auto"/>
          <w:sz w:val="32"/>
          <w:szCs w:val="32"/>
        </w:rPr>
        <w:t>该项目完成及时，数量达标、质量优良、成本可控。</w:t>
      </w:r>
    </w:p>
    <w:tbl>
      <w:tblPr>
        <w:tblStyle w:val="17"/>
        <w:tblW w:w="86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7"/>
        <w:gridCol w:w="3485"/>
        <w:gridCol w:w="1742"/>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887" w:type="dxa"/>
            <w:noWrap w:val="0"/>
            <w:vAlign w:val="center"/>
          </w:tcPr>
          <w:p>
            <w:pPr>
              <w:keepNext w:val="0"/>
              <w:keepLines w:val="0"/>
              <w:pageBreakBefore w:val="0"/>
              <w:widowControl w:val="0"/>
              <w:suppressLineNumbers w:val="0"/>
              <w:kinsoku/>
              <w:wordWrap/>
              <w:overflowPunct/>
              <w:topLinePunct w:val="0"/>
              <w:bidi w:val="0"/>
              <w:adjustRightInd w:val="0"/>
              <w:snapToGrid w:val="0"/>
              <w:spacing w:line="560" w:lineRule="atLeast"/>
              <w:jc w:val="center"/>
              <w:textAlignment w:val="bottom"/>
              <w:rPr>
                <w:rFonts w:hint="default" w:ascii="黑体" w:hAnsi="黑体" w:eastAsia="黑体" w:cs="黑体"/>
                <w:i w:val="0"/>
                <w:iCs w:val="0"/>
                <w:color w:val="000000"/>
                <w:kern w:val="0"/>
                <w:sz w:val="28"/>
                <w:szCs w:val="28"/>
                <w:u w:val="none"/>
                <w:lang w:val="en-US" w:eastAsia="zh-CN" w:bidi="ar"/>
              </w:rPr>
            </w:pPr>
            <w:r>
              <w:rPr>
                <w:rFonts w:hint="default" w:ascii="黑体" w:hAnsi="黑体" w:eastAsia="黑体" w:cs="黑体"/>
                <w:i w:val="0"/>
                <w:iCs w:val="0"/>
                <w:color w:val="000000"/>
                <w:kern w:val="0"/>
                <w:sz w:val="28"/>
                <w:szCs w:val="28"/>
                <w:u w:val="none"/>
                <w:lang w:val="en-US" w:eastAsia="zh-CN" w:bidi="ar"/>
              </w:rPr>
              <w:t>一级指标</w:t>
            </w:r>
          </w:p>
        </w:tc>
        <w:tc>
          <w:tcPr>
            <w:tcW w:w="3485" w:type="dxa"/>
            <w:noWrap w:val="0"/>
            <w:vAlign w:val="center"/>
          </w:tcPr>
          <w:p>
            <w:pPr>
              <w:keepNext w:val="0"/>
              <w:keepLines w:val="0"/>
              <w:pageBreakBefore w:val="0"/>
              <w:widowControl w:val="0"/>
              <w:suppressLineNumbers w:val="0"/>
              <w:kinsoku/>
              <w:wordWrap/>
              <w:overflowPunct/>
              <w:topLinePunct w:val="0"/>
              <w:bidi w:val="0"/>
              <w:adjustRightInd w:val="0"/>
              <w:snapToGrid w:val="0"/>
              <w:spacing w:line="560" w:lineRule="atLeast"/>
              <w:jc w:val="center"/>
              <w:textAlignment w:val="bottom"/>
              <w:rPr>
                <w:rFonts w:hint="default" w:ascii="黑体" w:hAnsi="黑体" w:eastAsia="黑体" w:cs="黑体"/>
                <w:i w:val="0"/>
                <w:iCs w:val="0"/>
                <w:color w:val="000000"/>
                <w:kern w:val="0"/>
                <w:sz w:val="28"/>
                <w:szCs w:val="28"/>
                <w:u w:val="none"/>
                <w:lang w:val="en-US" w:eastAsia="zh-CN" w:bidi="ar"/>
              </w:rPr>
            </w:pPr>
            <w:r>
              <w:rPr>
                <w:rFonts w:hint="default" w:ascii="黑体" w:hAnsi="黑体" w:eastAsia="黑体" w:cs="黑体"/>
                <w:i w:val="0"/>
                <w:iCs w:val="0"/>
                <w:color w:val="000000"/>
                <w:kern w:val="0"/>
                <w:sz w:val="28"/>
                <w:szCs w:val="28"/>
                <w:u w:val="none"/>
                <w:lang w:val="en-US" w:eastAsia="zh-CN" w:bidi="ar"/>
              </w:rPr>
              <w:t>二级指标</w:t>
            </w:r>
          </w:p>
        </w:tc>
        <w:tc>
          <w:tcPr>
            <w:tcW w:w="1742" w:type="dxa"/>
            <w:noWrap w:val="0"/>
            <w:vAlign w:val="center"/>
          </w:tcPr>
          <w:p>
            <w:pPr>
              <w:keepNext w:val="0"/>
              <w:keepLines w:val="0"/>
              <w:pageBreakBefore w:val="0"/>
              <w:widowControl w:val="0"/>
              <w:suppressLineNumbers w:val="0"/>
              <w:kinsoku/>
              <w:wordWrap/>
              <w:overflowPunct/>
              <w:topLinePunct w:val="0"/>
              <w:bidi w:val="0"/>
              <w:adjustRightInd w:val="0"/>
              <w:snapToGrid w:val="0"/>
              <w:spacing w:line="560" w:lineRule="atLeast"/>
              <w:jc w:val="center"/>
              <w:textAlignment w:val="bottom"/>
              <w:rPr>
                <w:rFonts w:hint="default" w:ascii="黑体" w:hAnsi="黑体" w:eastAsia="黑体" w:cs="黑体"/>
                <w:i w:val="0"/>
                <w:iCs w:val="0"/>
                <w:color w:val="000000"/>
                <w:kern w:val="0"/>
                <w:sz w:val="28"/>
                <w:szCs w:val="28"/>
                <w:u w:val="none"/>
                <w:lang w:val="en-US" w:eastAsia="zh-CN" w:bidi="ar"/>
              </w:rPr>
            </w:pPr>
            <w:r>
              <w:rPr>
                <w:rFonts w:hint="default" w:ascii="黑体" w:hAnsi="黑体" w:eastAsia="黑体" w:cs="黑体"/>
                <w:i w:val="0"/>
                <w:iCs w:val="0"/>
                <w:color w:val="000000"/>
                <w:kern w:val="0"/>
                <w:sz w:val="28"/>
                <w:szCs w:val="28"/>
                <w:u w:val="none"/>
                <w:lang w:val="en-US" w:eastAsia="zh-CN" w:bidi="ar"/>
              </w:rPr>
              <w:t>指标分值</w:t>
            </w:r>
          </w:p>
        </w:tc>
        <w:tc>
          <w:tcPr>
            <w:tcW w:w="1585" w:type="dxa"/>
            <w:noWrap w:val="0"/>
            <w:vAlign w:val="center"/>
          </w:tcPr>
          <w:p>
            <w:pPr>
              <w:keepNext w:val="0"/>
              <w:keepLines w:val="0"/>
              <w:pageBreakBefore w:val="0"/>
              <w:widowControl w:val="0"/>
              <w:suppressLineNumbers w:val="0"/>
              <w:kinsoku/>
              <w:wordWrap/>
              <w:overflowPunct/>
              <w:topLinePunct w:val="0"/>
              <w:bidi w:val="0"/>
              <w:adjustRightInd w:val="0"/>
              <w:snapToGrid w:val="0"/>
              <w:spacing w:line="560" w:lineRule="atLeast"/>
              <w:jc w:val="center"/>
              <w:textAlignment w:val="bottom"/>
              <w:rPr>
                <w:rFonts w:hint="default" w:ascii="黑体" w:hAnsi="黑体" w:eastAsia="黑体" w:cs="黑体"/>
                <w:i w:val="0"/>
                <w:iCs w:val="0"/>
                <w:color w:val="000000"/>
                <w:kern w:val="0"/>
                <w:sz w:val="28"/>
                <w:szCs w:val="28"/>
                <w:u w:val="none"/>
                <w:lang w:val="en-US" w:eastAsia="zh-CN" w:bidi="ar"/>
              </w:rPr>
            </w:pPr>
            <w:r>
              <w:rPr>
                <w:rFonts w:hint="default" w:ascii="黑体" w:hAnsi="黑体" w:eastAsia="黑体" w:cs="黑体"/>
                <w:i w:val="0"/>
                <w:iCs w:val="0"/>
                <w:color w:val="000000"/>
                <w:kern w:val="0"/>
                <w:sz w:val="28"/>
                <w:szCs w:val="28"/>
                <w:u w:val="none"/>
                <w:lang w:val="en-US" w:eastAsia="zh-CN" w:bidi="ar"/>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887" w:type="dxa"/>
            <w:vMerge w:val="restart"/>
            <w:noWrap w:val="0"/>
            <w:vAlign w:val="center"/>
          </w:tcPr>
          <w:p>
            <w:pPr>
              <w:keepNext w:val="0"/>
              <w:keepLines w:val="0"/>
              <w:pageBreakBefore w:val="0"/>
              <w:widowControl w:val="0"/>
              <w:suppressLineNumbers w:val="0"/>
              <w:kinsoku/>
              <w:wordWrap/>
              <w:overflowPunct/>
              <w:topLinePunct w:val="0"/>
              <w:bidi w:val="0"/>
              <w:adjustRightInd w:val="0"/>
              <w:snapToGrid w:val="0"/>
              <w:spacing w:line="560" w:lineRule="atLeast"/>
              <w:jc w:val="center"/>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i w:val="0"/>
                <w:iCs w:val="0"/>
                <w:color w:val="000000"/>
                <w:kern w:val="0"/>
                <w:sz w:val="28"/>
                <w:szCs w:val="28"/>
                <w:u w:val="none"/>
                <w:lang w:val="en-US" w:eastAsia="zh-CN" w:bidi="ar"/>
              </w:rPr>
              <w:t>项目决策</w:t>
            </w:r>
          </w:p>
        </w:tc>
        <w:tc>
          <w:tcPr>
            <w:tcW w:w="3485" w:type="dxa"/>
            <w:noWrap w:val="0"/>
            <w:vAlign w:val="center"/>
          </w:tcPr>
          <w:p>
            <w:pPr>
              <w:keepNext w:val="0"/>
              <w:keepLines w:val="0"/>
              <w:pageBreakBefore w:val="0"/>
              <w:widowControl w:val="0"/>
              <w:suppressLineNumbers w:val="0"/>
              <w:kinsoku/>
              <w:wordWrap/>
              <w:overflowPunct/>
              <w:topLinePunct w:val="0"/>
              <w:bidi w:val="0"/>
              <w:adjustRightInd w:val="0"/>
              <w:snapToGrid w:val="0"/>
              <w:spacing w:line="560" w:lineRule="atLeast"/>
              <w:jc w:val="center"/>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i w:val="0"/>
                <w:iCs w:val="0"/>
                <w:color w:val="000000"/>
                <w:kern w:val="0"/>
                <w:sz w:val="28"/>
                <w:szCs w:val="28"/>
                <w:u w:val="none"/>
                <w:lang w:val="en-US" w:eastAsia="zh-CN" w:bidi="ar"/>
              </w:rPr>
              <w:t>程序严密</w:t>
            </w:r>
          </w:p>
        </w:tc>
        <w:tc>
          <w:tcPr>
            <w:tcW w:w="1742" w:type="dxa"/>
            <w:noWrap w:val="0"/>
            <w:vAlign w:val="center"/>
          </w:tcPr>
          <w:p>
            <w:pPr>
              <w:keepNext w:val="0"/>
              <w:keepLines w:val="0"/>
              <w:pageBreakBefore w:val="0"/>
              <w:widowControl w:val="0"/>
              <w:suppressLineNumbers w:val="0"/>
              <w:kinsoku/>
              <w:wordWrap/>
              <w:overflowPunct/>
              <w:topLinePunct w:val="0"/>
              <w:bidi w:val="0"/>
              <w:adjustRightInd w:val="0"/>
              <w:snapToGrid w:val="0"/>
              <w:spacing w:line="560" w:lineRule="atLeast"/>
              <w:jc w:val="center"/>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i w:val="0"/>
                <w:iCs w:val="0"/>
                <w:color w:val="000000"/>
                <w:kern w:val="0"/>
                <w:sz w:val="28"/>
                <w:szCs w:val="28"/>
                <w:u w:val="none"/>
                <w:lang w:val="en-US" w:eastAsia="zh-CN" w:bidi="ar"/>
              </w:rPr>
              <w:t>2</w:t>
            </w:r>
          </w:p>
        </w:tc>
        <w:tc>
          <w:tcPr>
            <w:tcW w:w="1585" w:type="dxa"/>
            <w:noWrap w:val="0"/>
            <w:vAlign w:val="center"/>
          </w:tcPr>
          <w:p>
            <w:pPr>
              <w:keepNext w:val="0"/>
              <w:keepLines w:val="0"/>
              <w:pageBreakBefore w:val="0"/>
              <w:widowControl w:val="0"/>
              <w:suppressLineNumbers w:val="0"/>
              <w:kinsoku/>
              <w:wordWrap/>
              <w:overflowPunct/>
              <w:topLinePunct w:val="0"/>
              <w:bidi w:val="0"/>
              <w:adjustRightInd w:val="0"/>
              <w:snapToGrid w:val="0"/>
              <w:spacing w:line="560" w:lineRule="atLeast"/>
              <w:jc w:val="center"/>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i w:val="0"/>
                <w:iCs w:val="0"/>
                <w:color w:val="000000"/>
                <w:kern w:val="0"/>
                <w:sz w:val="28"/>
                <w:szCs w:val="28"/>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887" w:type="dxa"/>
            <w:vMerge w:val="continue"/>
            <w:noWrap w:val="0"/>
            <w:vAlign w:val="center"/>
          </w:tcPr>
          <w:p>
            <w:pPr>
              <w:keepNext w:val="0"/>
              <w:keepLines w:val="0"/>
              <w:pageBreakBefore w:val="0"/>
              <w:widowControl w:val="0"/>
              <w:kinsoku/>
              <w:wordWrap/>
              <w:overflowPunct/>
              <w:topLinePunct w:val="0"/>
              <w:bidi w:val="0"/>
              <w:adjustRightInd w:val="0"/>
              <w:snapToGrid w:val="0"/>
              <w:spacing w:line="560" w:lineRule="atLeast"/>
              <w:jc w:val="center"/>
              <w:rPr>
                <w:rFonts w:hint="default" w:ascii="Times New Roman" w:hAnsi="Times New Roman" w:eastAsia="仿宋_GB2312" w:cs="Times New Roman"/>
                <w:i w:val="0"/>
                <w:iCs w:val="0"/>
                <w:color w:val="000000"/>
                <w:kern w:val="2"/>
                <w:sz w:val="28"/>
                <w:szCs w:val="28"/>
                <w:u w:val="none"/>
                <w:lang w:val="en-US" w:eastAsia="zh-CN" w:bidi="ar-SA"/>
              </w:rPr>
            </w:pPr>
          </w:p>
        </w:tc>
        <w:tc>
          <w:tcPr>
            <w:tcW w:w="3485" w:type="dxa"/>
            <w:noWrap w:val="0"/>
            <w:vAlign w:val="center"/>
          </w:tcPr>
          <w:p>
            <w:pPr>
              <w:keepNext w:val="0"/>
              <w:keepLines w:val="0"/>
              <w:pageBreakBefore w:val="0"/>
              <w:widowControl w:val="0"/>
              <w:suppressLineNumbers w:val="0"/>
              <w:kinsoku/>
              <w:wordWrap/>
              <w:overflowPunct/>
              <w:topLinePunct w:val="0"/>
              <w:bidi w:val="0"/>
              <w:adjustRightInd w:val="0"/>
              <w:snapToGrid w:val="0"/>
              <w:spacing w:line="560" w:lineRule="atLeast"/>
              <w:jc w:val="center"/>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i w:val="0"/>
                <w:iCs w:val="0"/>
                <w:color w:val="000000"/>
                <w:kern w:val="0"/>
                <w:sz w:val="28"/>
                <w:szCs w:val="28"/>
                <w:u w:val="none"/>
                <w:lang w:val="en-US" w:eastAsia="zh-CN" w:bidi="ar"/>
              </w:rPr>
              <w:t>规划合理</w:t>
            </w:r>
          </w:p>
        </w:tc>
        <w:tc>
          <w:tcPr>
            <w:tcW w:w="1742" w:type="dxa"/>
            <w:noWrap w:val="0"/>
            <w:vAlign w:val="center"/>
          </w:tcPr>
          <w:p>
            <w:pPr>
              <w:keepNext w:val="0"/>
              <w:keepLines w:val="0"/>
              <w:pageBreakBefore w:val="0"/>
              <w:widowControl w:val="0"/>
              <w:suppressLineNumbers w:val="0"/>
              <w:kinsoku/>
              <w:wordWrap/>
              <w:overflowPunct/>
              <w:topLinePunct w:val="0"/>
              <w:bidi w:val="0"/>
              <w:adjustRightInd w:val="0"/>
              <w:snapToGrid w:val="0"/>
              <w:spacing w:line="560" w:lineRule="atLeast"/>
              <w:jc w:val="center"/>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i w:val="0"/>
                <w:iCs w:val="0"/>
                <w:color w:val="000000"/>
                <w:kern w:val="0"/>
                <w:sz w:val="28"/>
                <w:szCs w:val="28"/>
                <w:u w:val="none"/>
                <w:lang w:val="en-US" w:eastAsia="zh-CN" w:bidi="ar"/>
              </w:rPr>
              <w:t>2</w:t>
            </w:r>
          </w:p>
        </w:tc>
        <w:tc>
          <w:tcPr>
            <w:tcW w:w="1585" w:type="dxa"/>
            <w:noWrap w:val="0"/>
            <w:vAlign w:val="center"/>
          </w:tcPr>
          <w:p>
            <w:pPr>
              <w:keepNext w:val="0"/>
              <w:keepLines w:val="0"/>
              <w:pageBreakBefore w:val="0"/>
              <w:widowControl w:val="0"/>
              <w:suppressLineNumbers w:val="0"/>
              <w:kinsoku/>
              <w:wordWrap/>
              <w:overflowPunct/>
              <w:topLinePunct w:val="0"/>
              <w:bidi w:val="0"/>
              <w:adjustRightInd w:val="0"/>
              <w:snapToGrid w:val="0"/>
              <w:spacing w:line="560" w:lineRule="atLeast"/>
              <w:jc w:val="center"/>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i w:val="0"/>
                <w:iCs w:val="0"/>
                <w:color w:val="000000"/>
                <w:kern w:val="0"/>
                <w:sz w:val="28"/>
                <w:szCs w:val="28"/>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887" w:type="dxa"/>
            <w:vMerge w:val="continue"/>
            <w:noWrap w:val="0"/>
            <w:vAlign w:val="center"/>
          </w:tcPr>
          <w:p>
            <w:pPr>
              <w:keepNext w:val="0"/>
              <w:keepLines w:val="0"/>
              <w:pageBreakBefore w:val="0"/>
              <w:widowControl w:val="0"/>
              <w:kinsoku/>
              <w:wordWrap/>
              <w:overflowPunct/>
              <w:topLinePunct w:val="0"/>
              <w:bidi w:val="0"/>
              <w:adjustRightInd w:val="0"/>
              <w:snapToGrid w:val="0"/>
              <w:spacing w:line="560" w:lineRule="atLeast"/>
              <w:jc w:val="center"/>
              <w:rPr>
                <w:rFonts w:hint="default" w:ascii="Times New Roman" w:hAnsi="Times New Roman" w:eastAsia="仿宋_GB2312" w:cs="Times New Roman"/>
                <w:i w:val="0"/>
                <w:iCs w:val="0"/>
                <w:color w:val="000000"/>
                <w:kern w:val="2"/>
                <w:sz w:val="28"/>
                <w:szCs w:val="28"/>
                <w:u w:val="none"/>
                <w:lang w:val="en-US" w:eastAsia="zh-CN" w:bidi="ar-SA"/>
              </w:rPr>
            </w:pPr>
          </w:p>
        </w:tc>
        <w:tc>
          <w:tcPr>
            <w:tcW w:w="3485" w:type="dxa"/>
            <w:noWrap w:val="0"/>
            <w:vAlign w:val="center"/>
          </w:tcPr>
          <w:p>
            <w:pPr>
              <w:keepNext w:val="0"/>
              <w:keepLines w:val="0"/>
              <w:pageBreakBefore w:val="0"/>
              <w:widowControl w:val="0"/>
              <w:suppressLineNumbers w:val="0"/>
              <w:kinsoku/>
              <w:wordWrap/>
              <w:overflowPunct/>
              <w:topLinePunct w:val="0"/>
              <w:bidi w:val="0"/>
              <w:adjustRightInd w:val="0"/>
              <w:snapToGrid w:val="0"/>
              <w:spacing w:line="560" w:lineRule="atLeas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结果符合</w:t>
            </w:r>
          </w:p>
        </w:tc>
        <w:tc>
          <w:tcPr>
            <w:tcW w:w="1742" w:type="dxa"/>
            <w:noWrap w:val="0"/>
            <w:vAlign w:val="center"/>
          </w:tcPr>
          <w:p>
            <w:pPr>
              <w:keepNext w:val="0"/>
              <w:keepLines w:val="0"/>
              <w:pageBreakBefore w:val="0"/>
              <w:widowControl w:val="0"/>
              <w:suppressLineNumbers w:val="0"/>
              <w:kinsoku/>
              <w:wordWrap/>
              <w:overflowPunct/>
              <w:topLinePunct w:val="0"/>
              <w:bidi w:val="0"/>
              <w:adjustRightInd w:val="0"/>
              <w:snapToGrid w:val="0"/>
              <w:spacing w:line="560" w:lineRule="atLeas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2</w:t>
            </w:r>
          </w:p>
        </w:tc>
        <w:tc>
          <w:tcPr>
            <w:tcW w:w="1585" w:type="dxa"/>
            <w:noWrap w:val="0"/>
            <w:vAlign w:val="center"/>
          </w:tcPr>
          <w:p>
            <w:pPr>
              <w:keepNext w:val="0"/>
              <w:keepLines w:val="0"/>
              <w:pageBreakBefore w:val="0"/>
              <w:widowControl w:val="0"/>
              <w:suppressLineNumbers w:val="0"/>
              <w:kinsoku/>
              <w:wordWrap/>
              <w:overflowPunct/>
              <w:topLinePunct w:val="0"/>
              <w:bidi w:val="0"/>
              <w:adjustRightInd w:val="0"/>
              <w:snapToGrid w:val="0"/>
              <w:spacing w:line="560" w:lineRule="atLeas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887" w:type="dxa"/>
            <w:vMerge w:val="restart"/>
            <w:noWrap w:val="0"/>
            <w:vAlign w:val="center"/>
          </w:tcPr>
          <w:p>
            <w:pPr>
              <w:keepNext w:val="0"/>
              <w:keepLines w:val="0"/>
              <w:pageBreakBefore w:val="0"/>
              <w:widowControl w:val="0"/>
              <w:suppressLineNumbers w:val="0"/>
              <w:kinsoku/>
              <w:wordWrap/>
              <w:overflowPunct/>
              <w:topLinePunct w:val="0"/>
              <w:bidi w:val="0"/>
              <w:adjustRightInd w:val="0"/>
              <w:snapToGrid w:val="0"/>
              <w:spacing w:line="560" w:lineRule="atLeast"/>
              <w:jc w:val="center"/>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i w:val="0"/>
                <w:iCs w:val="0"/>
                <w:color w:val="000000"/>
                <w:kern w:val="0"/>
                <w:sz w:val="28"/>
                <w:szCs w:val="28"/>
                <w:u w:val="none"/>
                <w:lang w:val="en-US" w:eastAsia="zh-CN" w:bidi="ar"/>
              </w:rPr>
              <w:t>项目实施</w:t>
            </w:r>
          </w:p>
        </w:tc>
        <w:tc>
          <w:tcPr>
            <w:tcW w:w="3485" w:type="dxa"/>
            <w:noWrap w:val="0"/>
            <w:vAlign w:val="center"/>
          </w:tcPr>
          <w:p>
            <w:pPr>
              <w:keepNext w:val="0"/>
              <w:keepLines w:val="0"/>
              <w:pageBreakBefore w:val="0"/>
              <w:widowControl w:val="0"/>
              <w:suppressLineNumbers w:val="0"/>
              <w:kinsoku/>
              <w:wordWrap/>
              <w:overflowPunct/>
              <w:topLinePunct w:val="0"/>
              <w:bidi w:val="0"/>
              <w:adjustRightInd w:val="0"/>
              <w:snapToGrid w:val="0"/>
              <w:spacing w:line="560" w:lineRule="atLeast"/>
              <w:jc w:val="center"/>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i w:val="0"/>
                <w:iCs w:val="0"/>
                <w:color w:val="000000"/>
                <w:kern w:val="0"/>
                <w:sz w:val="28"/>
                <w:szCs w:val="28"/>
                <w:u w:val="none"/>
                <w:lang w:val="en-US" w:eastAsia="zh-CN" w:bidi="ar"/>
              </w:rPr>
              <w:t>使用合规</w:t>
            </w:r>
          </w:p>
        </w:tc>
        <w:tc>
          <w:tcPr>
            <w:tcW w:w="1742" w:type="dxa"/>
            <w:noWrap w:val="0"/>
            <w:vAlign w:val="center"/>
          </w:tcPr>
          <w:p>
            <w:pPr>
              <w:keepNext w:val="0"/>
              <w:keepLines w:val="0"/>
              <w:pageBreakBefore w:val="0"/>
              <w:widowControl w:val="0"/>
              <w:suppressLineNumbers w:val="0"/>
              <w:kinsoku/>
              <w:wordWrap/>
              <w:overflowPunct/>
              <w:topLinePunct w:val="0"/>
              <w:bidi w:val="0"/>
              <w:adjustRightInd w:val="0"/>
              <w:snapToGrid w:val="0"/>
              <w:spacing w:line="560" w:lineRule="atLeast"/>
              <w:jc w:val="center"/>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i w:val="0"/>
                <w:iCs w:val="0"/>
                <w:color w:val="000000"/>
                <w:kern w:val="0"/>
                <w:sz w:val="28"/>
                <w:szCs w:val="28"/>
                <w:u w:val="none"/>
                <w:lang w:val="en-US" w:eastAsia="zh-CN" w:bidi="ar"/>
              </w:rPr>
              <w:t>4</w:t>
            </w:r>
          </w:p>
        </w:tc>
        <w:tc>
          <w:tcPr>
            <w:tcW w:w="1585" w:type="dxa"/>
            <w:noWrap w:val="0"/>
            <w:vAlign w:val="center"/>
          </w:tcPr>
          <w:p>
            <w:pPr>
              <w:keepNext w:val="0"/>
              <w:keepLines w:val="0"/>
              <w:pageBreakBefore w:val="0"/>
              <w:widowControl w:val="0"/>
              <w:suppressLineNumbers w:val="0"/>
              <w:kinsoku/>
              <w:wordWrap/>
              <w:overflowPunct/>
              <w:topLinePunct w:val="0"/>
              <w:bidi w:val="0"/>
              <w:adjustRightInd w:val="0"/>
              <w:snapToGrid w:val="0"/>
              <w:spacing w:line="560" w:lineRule="atLeast"/>
              <w:jc w:val="center"/>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i w:val="0"/>
                <w:iCs w:val="0"/>
                <w:color w:val="000000"/>
                <w:kern w:val="0"/>
                <w:sz w:val="28"/>
                <w:szCs w:val="28"/>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887" w:type="dxa"/>
            <w:vMerge w:val="continue"/>
            <w:noWrap w:val="0"/>
            <w:vAlign w:val="center"/>
          </w:tcPr>
          <w:p>
            <w:pPr>
              <w:keepNext w:val="0"/>
              <w:keepLines w:val="0"/>
              <w:pageBreakBefore w:val="0"/>
              <w:widowControl w:val="0"/>
              <w:kinsoku/>
              <w:wordWrap/>
              <w:overflowPunct/>
              <w:topLinePunct w:val="0"/>
              <w:bidi w:val="0"/>
              <w:adjustRightInd w:val="0"/>
              <w:snapToGrid w:val="0"/>
              <w:spacing w:line="560" w:lineRule="atLeast"/>
              <w:jc w:val="center"/>
              <w:rPr>
                <w:rFonts w:hint="default" w:ascii="Times New Roman" w:hAnsi="Times New Roman" w:eastAsia="仿宋_GB2312" w:cs="Times New Roman"/>
                <w:i w:val="0"/>
                <w:iCs w:val="0"/>
                <w:color w:val="000000"/>
                <w:kern w:val="2"/>
                <w:sz w:val="28"/>
                <w:szCs w:val="28"/>
                <w:u w:val="none"/>
                <w:lang w:val="en-US" w:eastAsia="zh-CN" w:bidi="ar-SA"/>
              </w:rPr>
            </w:pPr>
          </w:p>
        </w:tc>
        <w:tc>
          <w:tcPr>
            <w:tcW w:w="3485" w:type="dxa"/>
            <w:noWrap w:val="0"/>
            <w:vAlign w:val="center"/>
          </w:tcPr>
          <w:p>
            <w:pPr>
              <w:keepNext w:val="0"/>
              <w:keepLines w:val="0"/>
              <w:pageBreakBefore w:val="0"/>
              <w:widowControl w:val="0"/>
              <w:suppressLineNumbers w:val="0"/>
              <w:kinsoku/>
              <w:wordWrap/>
              <w:overflowPunct/>
              <w:topLinePunct w:val="0"/>
              <w:bidi w:val="0"/>
              <w:adjustRightInd w:val="0"/>
              <w:snapToGrid w:val="0"/>
              <w:spacing w:line="560" w:lineRule="atLeast"/>
              <w:jc w:val="center"/>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i w:val="0"/>
                <w:iCs w:val="0"/>
                <w:color w:val="000000"/>
                <w:kern w:val="0"/>
                <w:sz w:val="28"/>
                <w:szCs w:val="28"/>
                <w:u w:val="none"/>
                <w:lang w:val="en-US" w:eastAsia="zh-CN" w:bidi="ar"/>
              </w:rPr>
              <w:t>执行有效</w:t>
            </w:r>
          </w:p>
        </w:tc>
        <w:tc>
          <w:tcPr>
            <w:tcW w:w="1742" w:type="dxa"/>
            <w:noWrap w:val="0"/>
            <w:vAlign w:val="center"/>
          </w:tcPr>
          <w:p>
            <w:pPr>
              <w:keepNext w:val="0"/>
              <w:keepLines w:val="0"/>
              <w:pageBreakBefore w:val="0"/>
              <w:widowControl w:val="0"/>
              <w:suppressLineNumbers w:val="0"/>
              <w:kinsoku/>
              <w:wordWrap/>
              <w:overflowPunct/>
              <w:topLinePunct w:val="0"/>
              <w:bidi w:val="0"/>
              <w:adjustRightInd w:val="0"/>
              <w:snapToGrid w:val="0"/>
              <w:spacing w:line="560" w:lineRule="atLeast"/>
              <w:jc w:val="center"/>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i w:val="0"/>
                <w:iCs w:val="0"/>
                <w:color w:val="000000"/>
                <w:kern w:val="0"/>
                <w:sz w:val="28"/>
                <w:szCs w:val="28"/>
                <w:u w:val="none"/>
                <w:lang w:val="en-US" w:eastAsia="zh-CN" w:bidi="ar"/>
              </w:rPr>
              <w:t>4</w:t>
            </w:r>
          </w:p>
        </w:tc>
        <w:tc>
          <w:tcPr>
            <w:tcW w:w="1585" w:type="dxa"/>
            <w:noWrap w:val="0"/>
            <w:vAlign w:val="center"/>
          </w:tcPr>
          <w:p>
            <w:pPr>
              <w:keepNext w:val="0"/>
              <w:keepLines w:val="0"/>
              <w:pageBreakBefore w:val="0"/>
              <w:widowControl w:val="0"/>
              <w:suppressLineNumbers w:val="0"/>
              <w:kinsoku/>
              <w:wordWrap/>
              <w:overflowPunct/>
              <w:topLinePunct w:val="0"/>
              <w:bidi w:val="0"/>
              <w:adjustRightInd w:val="0"/>
              <w:snapToGrid w:val="0"/>
              <w:spacing w:line="560" w:lineRule="atLeast"/>
              <w:jc w:val="center"/>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i w:val="0"/>
                <w:iCs w:val="0"/>
                <w:color w:val="000000"/>
                <w:kern w:val="0"/>
                <w:sz w:val="28"/>
                <w:szCs w:val="28"/>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887" w:type="dxa"/>
            <w:noWrap w:val="0"/>
            <w:vAlign w:val="center"/>
          </w:tcPr>
          <w:p>
            <w:pPr>
              <w:keepNext w:val="0"/>
              <w:keepLines w:val="0"/>
              <w:pageBreakBefore w:val="0"/>
              <w:widowControl w:val="0"/>
              <w:suppressLineNumbers w:val="0"/>
              <w:kinsoku/>
              <w:wordWrap/>
              <w:overflowPunct/>
              <w:topLinePunct w:val="0"/>
              <w:bidi w:val="0"/>
              <w:adjustRightInd w:val="0"/>
              <w:snapToGrid w:val="0"/>
              <w:spacing w:line="560" w:lineRule="atLeast"/>
              <w:jc w:val="center"/>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i w:val="0"/>
                <w:iCs w:val="0"/>
                <w:color w:val="000000"/>
                <w:kern w:val="0"/>
                <w:sz w:val="28"/>
                <w:szCs w:val="28"/>
                <w:u w:val="none"/>
                <w:lang w:val="en-US" w:eastAsia="zh-CN" w:bidi="ar"/>
              </w:rPr>
              <w:t>预算执行</w:t>
            </w:r>
          </w:p>
        </w:tc>
        <w:tc>
          <w:tcPr>
            <w:tcW w:w="3485" w:type="dxa"/>
            <w:noWrap w:val="0"/>
            <w:vAlign w:val="center"/>
          </w:tcPr>
          <w:p>
            <w:pPr>
              <w:keepNext w:val="0"/>
              <w:keepLines w:val="0"/>
              <w:pageBreakBefore w:val="0"/>
              <w:widowControl w:val="0"/>
              <w:suppressLineNumbers w:val="0"/>
              <w:kinsoku/>
              <w:wordWrap/>
              <w:overflowPunct/>
              <w:topLinePunct w:val="0"/>
              <w:bidi w:val="0"/>
              <w:adjustRightInd w:val="0"/>
              <w:snapToGrid w:val="0"/>
              <w:spacing w:line="560" w:lineRule="atLeast"/>
              <w:jc w:val="center"/>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i w:val="0"/>
                <w:iCs w:val="0"/>
                <w:color w:val="000000"/>
                <w:kern w:val="0"/>
                <w:sz w:val="28"/>
                <w:szCs w:val="28"/>
                <w:u w:val="none"/>
                <w:lang w:val="en-US" w:eastAsia="zh-CN" w:bidi="ar"/>
              </w:rPr>
              <w:t>预算执行率</w:t>
            </w:r>
          </w:p>
        </w:tc>
        <w:tc>
          <w:tcPr>
            <w:tcW w:w="1742" w:type="dxa"/>
            <w:noWrap w:val="0"/>
            <w:vAlign w:val="center"/>
          </w:tcPr>
          <w:p>
            <w:pPr>
              <w:keepNext w:val="0"/>
              <w:keepLines w:val="0"/>
              <w:pageBreakBefore w:val="0"/>
              <w:widowControl w:val="0"/>
              <w:suppressLineNumbers w:val="0"/>
              <w:kinsoku/>
              <w:wordWrap/>
              <w:overflowPunct/>
              <w:topLinePunct w:val="0"/>
              <w:bidi w:val="0"/>
              <w:adjustRightInd w:val="0"/>
              <w:snapToGrid w:val="0"/>
              <w:spacing w:line="560" w:lineRule="atLeast"/>
              <w:jc w:val="center"/>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i w:val="0"/>
                <w:iCs w:val="0"/>
                <w:color w:val="000000"/>
                <w:kern w:val="0"/>
                <w:sz w:val="28"/>
                <w:szCs w:val="28"/>
                <w:u w:val="none"/>
                <w:lang w:val="en-US" w:eastAsia="zh-CN" w:bidi="ar"/>
              </w:rPr>
              <w:t>6</w:t>
            </w:r>
          </w:p>
        </w:tc>
        <w:tc>
          <w:tcPr>
            <w:tcW w:w="1585" w:type="dxa"/>
            <w:noWrap w:val="0"/>
            <w:vAlign w:val="center"/>
          </w:tcPr>
          <w:p>
            <w:pPr>
              <w:keepNext w:val="0"/>
              <w:keepLines w:val="0"/>
              <w:pageBreakBefore w:val="0"/>
              <w:widowControl w:val="0"/>
              <w:suppressLineNumbers w:val="0"/>
              <w:kinsoku/>
              <w:wordWrap/>
              <w:overflowPunct/>
              <w:topLinePunct w:val="0"/>
              <w:bidi w:val="0"/>
              <w:adjustRightInd w:val="0"/>
              <w:snapToGrid w:val="0"/>
              <w:spacing w:line="560" w:lineRule="atLeast"/>
              <w:jc w:val="center"/>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i w:val="0"/>
                <w:iCs w:val="0"/>
                <w:color w:val="000000"/>
                <w:kern w:val="0"/>
                <w:sz w:val="28"/>
                <w:szCs w:val="28"/>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887" w:type="dxa"/>
            <w:noWrap w:val="0"/>
            <w:vAlign w:val="center"/>
          </w:tcPr>
          <w:p>
            <w:pPr>
              <w:keepNext w:val="0"/>
              <w:keepLines w:val="0"/>
              <w:pageBreakBefore w:val="0"/>
              <w:widowControl w:val="0"/>
              <w:suppressLineNumbers w:val="0"/>
              <w:kinsoku/>
              <w:wordWrap/>
              <w:overflowPunct/>
              <w:topLinePunct w:val="0"/>
              <w:bidi w:val="0"/>
              <w:adjustRightInd w:val="0"/>
              <w:snapToGrid w:val="0"/>
              <w:spacing w:line="560" w:lineRule="atLeas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数量指标</w:t>
            </w:r>
          </w:p>
        </w:tc>
        <w:tc>
          <w:tcPr>
            <w:tcW w:w="3485" w:type="dxa"/>
            <w:noWrap w:val="0"/>
            <w:vAlign w:val="center"/>
          </w:tcPr>
          <w:p>
            <w:pPr>
              <w:keepNext w:val="0"/>
              <w:keepLines w:val="0"/>
              <w:pageBreakBefore w:val="0"/>
              <w:widowControl w:val="0"/>
              <w:suppressLineNumbers w:val="0"/>
              <w:kinsoku/>
              <w:wordWrap/>
              <w:overflowPunct/>
              <w:topLinePunct w:val="0"/>
              <w:bidi w:val="0"/>
              <w:adjustRightInd w:val="0"/>
              <w:snapToGrid w:val="0"/>
              <w:spacing w:line="560" w:lineRule="atLeast"/>
              <w:jc w:val="center"/>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i w:val="0"/>
                <w:iCs w:val="0"/>
                <w:color w:val="000000"/>
                <w:sz w:val="28"/>
                <w:szCs w:val="28"/>
                <w:u w:val="none"/>
                <w:lang w:val="en-US" w:eastAsia="zh-CN"/>
              </w:rPr>
              <w:t>受助残疾人人数</w:t>
            </w:r>
          </w:p>
        </w:tc>
        <w:tc>
          <w:tcPr>
            <w:tcW w:w="1742" w:type="dxa"/>
            <w:noWrap w:val="0"/>
            <w:vAlign w:val="center"/>
          </w:tcPr>
          <w:p>
            <w:pPr>
              <w:keepNext w:val="0"/>
              <w:keepLines w:val="0"/>
              <w:pageBreakBefore w:val="0"/>
              <w:widowControl w:val="0"/>
              <w:suppressLineNumbers w:val="0"/>
              <w:kinsoku/>
              <w:wordWrap/>
              <w:overflowPunct/>
              <w:topLinePunct w:val="0"/>
              <w:bidi w:val="0"/>
              <w:adjustRightInd w:val="0"/>
              <w:snapToGrid w:val="0"/>
              <w:spacing w:line="560" w:lineRule="atLeast"/>
              <w:jc w:val="center"/>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i w:val="0"/>
                <w:iCs w:val="0"/>
                <w:color w:val="000000"/>
                <w:kern w:val="0"/>
                <w:sz w:val="28"/>
                <w:szCs w:val="28"/>
                <w:u w:val="none"/>
                <w:lang w:val="en-US" w:eastAsia="zh-CN" w:bidi="ar"/>
              </w:rPr>
              <w:t>5</w:t>
            </w:r>
          </w:p>
        </w:tc>
        <w:tc>
          <w:tcPr>
            <w:tcW w:w="1585" w:type="dxa"/>
            <w:noWrap w:val="0"/>
            <w:vAlign w:val="center"/>
          </w:tcPr>
          <w:p>
            <w:pPr>
              <w:keepNext w:val="0"/>
              <w:keepLines w:val="0"/>
              <w:pageBreakBefore w:val="0"/>
              <w:widowControl w:val="0"/>
              <w:suppressLineNumbers w:val="0"/>
              <w:kinsoku/>
              <w:wordWrap/>
              <w:overflowPunct/>
              <w:topLinePunct w:val="0"/>
              <w:bidi w:val="0"/>
              <w:adjustRightInd w:val="0"/>
              <w:snapToGrid w:val="0"/>
              <w:spacing w:line="560" w:lineRule="atLeast"/>
              <w:jc w:val="center"/>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i w:val="0"/>
                <w:iCs w:val="0"/>
                <w:color w:val="000000"/>
                <w:kern w:val="0"/>
                <w:sz w:val="28"/>
                <w:szCs w:val="28"/>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887" w:type="dxa"/>
            <w:noWrap w:val="0"/>
            <w:vAlign w:val="center"/>
          </w:tcPr>
          <w:p>
            <w:pPr>
              <w:keepNext w:val="0"/>
              <w:keepLines w:val="0"/>
              <w:pageBreakBefore w:val="0"/>
              <w:widowControl w:val="0"/>
              <w:suppressLineNumbers w:val="0"/>
              <w:kinsoku/>
              <w:wordWrap/>
              <w:overflowPunct/>
              <w:topLinePunct w:val="0"/>
              <w:bidi w:val="0"/>
              <w:adjustRightInd w:val="0"/>
              <w:snapToGrid w:val="0"/>
              <w:spacing w:line="560" w:lineRule="atLeas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质量指标</w:t>
            </w:r>
          </w:p>
        </w:tc>
        <w:tc>
          <w:tcPr>
            <w:tcW w:w="3485" w:type="dxa"/>
            <w:noWrap w:val="0"/>
            <w:vAlign w:val="center"/>
          </w:tcPr>
          <w:p>
            <w:pPr>
              <w:keepNext w:val="0"/>
              <w:keepLines w:val="0"/>
              <w:pageBreakBefore w:val="0"/>
              <w:widowControl w:val="0"/>
              <w:suppressLineNumbers w:val="0"/>
              <w:kinsoku/>
              <w:wordWrap/>
              <w:overflowPunct/>
              <w:topLinePunct w:val="0"/>
              <w:bidi w:val="0"/>
              <w:adjustRightInd w:val="0"/>
              <w:snapToGrid w:val="0"/>
              <w:spacing w:line="560" w:lineRule="atLeas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救助补贴到位情况</w:t>
            </w:r>
          </w:p>
        </w:tc>
        <w:tc>
          <w:tcPr>
            <w:tcW w:w="1742" w:type="dxa"/>
            <w:noWrap w:val="0"/>
            <w:vAlign w:val="center"/>
          </w:tcPr>
          <w:p>
            <w:pPr>
              <w:keepNext w:val="0"/>
              <w:keepLines w:val="0"/>
              <w:pageBreakBefore w:val="0"/>
              <w:widowControl w:val="0"/>
              <w:suppressLineNumbers w:val="0"/>
              <w:kinsoku/>
              <w:wordWrap/>
              <w:overflowPunct/>
              <w:topLinePunct w:val="0"/>
              <w:bidi w:val="0"/>
              <w:adjustRightInd w:val="0"/>
              <w:snapToGrid w:val="0"/>
              <w:spacing w:line="560" w:lineRule="atLeas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5</w:t>
            </w:r>
          </w:p>
        </w:tc>
        <w:tc>
          <w:tcPr>
            <w:tcW w:w="1585" w:type="dxa"/>
            <w:noWrap w:val="0"/>
            <w:vAlign w:val="center"/>
          </w:tcPr>
          <w:p>
            <w:pPr>
              <w:keepNext w:val="0"/>
              <w:keepLines w:val="0"/>
              <w:pageBreakBefore w:val="0"/>
              <w:widowControl w:val="0"/>
              <w:suppressLineNumbers w:val="0"/>
              <w:kinsoku/>
              <w:wordWrap/>
              <w:overflowPunct/>
              <w:topLinePunct w:val="0"/>
              <w:bidi w:val="0"/>
              <w:adjustRightInd w:val="0"/>
              <w:snapToGrid w:val="0"/>
              <w:spacing w:line="560" w:lineRule="atLeas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887" w:type="dxa"/>
            <w:noWrap w:val="0"/>
            <w:vAlign w:val="center"/>
          </w:tcPr>
          <w:p>
            <w:pPr>
              <w:keepNext w:val="0"/>
              <w:keepLines w:val="0"/>
              <w:pageBreakBefore w:val="0"/>
              <w:widowControl w:val="0"/>
              <w:suppressLineNumbers w:val="0"/>
              <w:kinsoku/>
              <w:wordWrap/>
              <w:overflowPunct/>
              <w:topLinePunct w:val="0"/>
              <w:bidi w:val="0"/>
              <w:adjustRightInd w:val="0"/>
              <w:snapToGrid w:val="0"/>
              <w:spacing w:line="560" w:lineRule="atLeas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成本指标</w:t>
            </w:r>
          </w:p>
        </w:tc>
        <w:tc>
          <w:tcPr>
            <w:tcW w:w="3485" w:type="dxa"/>
            <w:noWrap w:val="0"/>
            <w:vAlign w:val="center"/>
          </w:tcPr>
          <w:p>
            <w:pPr>
              <w:keepNext w:val="0"/>
              <w:keepLines w:val="0"/>
              <w:pageBreakBefore w:val="0"/>
              <w:widowControl w:val="0"/>
              <w:suppressLineNumbers w:val="0"/>
              <w:kinsoku/>
              <w:wordWrap/>
              <w:overflowPunct/>
              <w:topLinePunct w:val="0"/>
              <w:bidi w:val="0"/>
              <w:adjustRightInd w:val="0"/>
              <w:snapToGrid w:val="0"/>
              <w:spacing w:line="560" w:lineRule="atLeas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支出情况</w:t>
            </w:r>
          </w:p>
        </w:tc>
        <w:tc>
          <w:tcPr>
            <w:tcW w:w="1742" w:type="dxa"/>
            <w:noWrap w:val="0"/>
            <w:vAlign w:val="center"/>
          </w:tcPr>
          <w:p>
            <w:pPr>
              <w:keepNext w:val="0"/>
              <w:keepLines w:val="0"/>
              <w:pageBreakBefore w:val="0"/>
              <w:widowControl w:val="0"/>
              <w:suppressLineNumbers w:val="0"/>
              <w:kinsoku/>
              <w:wordWrap/>
              <w:overflowPunct/>
              <w:topLinePunct w:val="0"/>
              <w:bidi w:val="0"/>
              <w:adjustRightInd w:val="0"/>
              <w:snapToGrid w:val="0"/>
              <w:spacing w:line="560" w:lineRule="atLeas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5</w:t>
            </w:r>
          </w:p>
        </w:tc>
        <w:tc>
          <w:tcPr>
            <w:tcW w:w="1585" w:type="dxa"/>
            <w:noWrap w:val="0"/>
            <w:vAlign w:val="center"/>
          </w:tcPr>
          <w:p>
            <w:pPr>
              <w:keepNext w:val="0"/>
              <w:keepLines w:val="0"/>
              <w:pageBreakBefore w:val="0"/>
              <w:widowControl w:val="0"/>
              <w:suppressLineNumbers w:val="0"/>
              <w:kinsoku/>
              <w:wordWrap/>
              <w:overflowPunct/>
              <w:topLinePunct w:val="0"/>
              <w:bidi w:val="0"/>
              <w:adjustRightInd w:val="0"/>
              <w:snapToGrid w:val="0"/>
              <w:spacing w:line="560" w:lineRule="atLeas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887" w:type="dxa"/>
            <w:noWrap w:val="0"/>
            <w:vAlign w:val="center"/>
          </w:tcPr>
          <w:p>
            <w:pPr>
              <w:keepNext w:val="0"/>
              <w:keepLines w:val="0"/>
              <w:pageBreakBefore w:val="0"/>
              <w:widowControl w:val="0"/>
              <w:suppressLineNumbers w:val="0"/>
              <w:kinsoku/>
              <w:wordWrap/>
              <w:overflowPunct/>
              <w:topLinePunct w:val="0"/>
              <w:bidi w:val="0"/>
              <w:adjustRightInd w:val="0"/>
              <w:snapToGrid w:val="0"/>
              <w:spacing w:line="560" w:lineRule="atLeas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时效指标</w:t>
            </w:r>
          </w:p>
        </w:tc>
        <w:tc>
          <w:tcPr>
            <w:tcW w:w="3485" w:type="dxa"/>
            <w:noWrap w:val="0"/>
            <w:vAlign w:val="center"/>
          </w:tcPr>
          <w:p>
            <w:pPr>
              <w:keepNext w:val="0"/>
              <w:keepLines w:val="0"/>
              <w:pageBreakBefore w:val="0"/>
              <w:widowControl w:val="0"/>
              <w:suppressLineNumbers w:val="0"/>
              <w:kinsoku/>
              <w:wordWrap/>
              <w:overflowPunct/>
              <w:topLinePunct w:val="0"/>
              <w:bidi w:val="0"/>
              <w:adjustRightInd w:val="0"/>
              <w:snapToGrid w:val="0"/>
              <w:spacing w:line="560" w:lineRule="atLeas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一年内完成</w:t>
            </w:r>
          </w:p>
        </w:tc>
        <w:tc>
          <w:tcPr>
            <w:tcW w:w="1742" w:type="dxa"/>
            <w:noWrap w:val="0"/>
            <w:vAlign w:val="center"/>
          </w:tcPr>
          <w:p>
            <w:pPr>
              <w:keepNext w:val="0"/>
              <w:keepLines w:val="0"/>
              <w:pageBreakBefore w:val="0"/>
              <w:widowControl w:val="0"/>
              <w:suppressLineNumbers w:val="0"/>
              <w:kinsoku/>
              <w:wordWrap/>
              <w:overflowPunct/>
              <w:topLinePunct w:val="0"/>
              <w:bidi w:val="0"/>
              <w:adjustRightInd w:val="0"/>
              <w:snapToGrid w:val="0"/>
              <w:spacing w:line="560" w:lineRule="atLeas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5</w:t>
            </w:r>
          </w:p>
        </w:tc>
        <w:tc>
          <w:tcPr>
            <w:tcW w:w="1585" w:type="dxa"/>
            <w:noWrap w:val="0"/>
            <w:vAlign w:val="center"/>
          </w:tcPr>
          <w:p>
            <w:pPr>
              <w:keepNext w:val="0"/>
              <w:keepLines w:val="0"/>
              <w:pageBreakBefore w:val="0"/>
              <w:widowControl w:val="0"/>
              <w:suppressLineNumbers w:val="0"/>
              <w:kinsoku/>
              <w:wordWrap/>
              <w:overflowPunct/>
              <w:topLinePunct w:val="0"/>
              <w:bidi w:val="0"/>
              <w:adjustRightInd w:val="0"/>
              <w:snapToGrid w:val="0"/>
              <w:spacing w:line="560" w:lineRule="atLeas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887" w:type="dxa"/>
            <w:noWrap w:val="0"/>
            <w:vAlign w:val="center"/>
          </w:tcPr>
          <w:p>
            <w:pPr>
              <w:keepNext w:val="0"/>
              <w:keepLines w:val="0"/>
              <w:pageBreakBefore w:val="0"/>
              <w:widowControl w:val="0"/>
              <w:suppressLineNumbers w:val="0"/>
              <w:kinsoku/>
              <w:wordWrap/>
              <w:overflowPunct/>
              <w:topLinePunct w:val="0"/>
              <w:bidi w:val="0"/>
              <w:adjustRightInd w:val="0"/>
              <w:snapToGrid w:val="0"/>
              <w:spacing w:line="560" w:lineRule="atLeast"/>
              <w:jc w:val="center"/>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i w:val="0"/>
                <w:iCs w:val="0"/>
                <w:color w:val="000000"/>
                <w:kern w:val="0"/>
                <w:sz w:val="28"/>
                <w:szCs w:val="28"/>
                <w:u w:val="none"/>
                <w:lang w:val="en-US" w:eastAsia="zh-CN" w:bidi="ar"/>
              </w:rPr>
              <w:t>社会效益</w:t>
            </w:r>
          </w:p>
        </w:tc>
        <w:tc>
          <w:tcPr>
            <w:tcW w:w="3485" w:type="dxa"/>
            <w:noWrap w:val="0"/>
            <w:vAlign w:val="center"/>
          </w:tcPr>
          <w:p>
            <w:pPr>
              <w:keepNext w:val="0"/>
              <w:keepLines w:val="0"/>
              <w:pageBreakBefore w:val="0"/>
              <w:widowControl w:val="0"/>
              <w:suppressLineNumbers w:val="0"/>
              <w:kinsoku/>
              <w:wordWrap/>
              <w:overflowPunct/>
              <w:topLinePunct w:val="0"/>
              <w:bidi w:val="0"/>
              <w:adjustRightInd w:val="0"/>
              <w:snapToGrid w:val="0"/>
              <w:spacing w:line="560" w:lineRule="atLeast"/>
              <w:jc w:val="center"/>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i w:val="0"/>
                <w:iCs w:val="0"/>
                <w:color w:val="000000"/>
                <w:sz w:val="28"/>
                <w:szCs w:val="28"/>
                <w:u w:val="none"/>
                <w:lang w:eastAsia="zh-CN"/>
              </w:rPr>
              <w:t>受助残疾人条件改善情况</w:t>
            </w:r>
          </w:p>
        </w:tc>
        <w:tc>
          <w:tcPr>
            <w:tcW w:w="1742" w:type="dxa"/>
            <w:noWrap w:val="0"/>
            <w:vAlign w:val="center"/>
          </w:tcPr>
          <w:p>
            <w:pPr>
              <w:keepNext w:val="0"/>
              <w:keepLines w:val="0"/>
              <w:pageBreakBefore w:val="0"/>
              <w:widowControl w:val="0"/>
              <w:suppressLineNumbers w:val="0"/>
              <w:kinsoku/>
              <w:wordWrap/>
              <w:overflowPunct/>
              <w:topLinePunct w:val="0"/>
              <w:bidi w:val="0"/>
              <w:adjustRightInd w:val="0"/>
              <w:snapToGrid w:val="0"/>
              <w:spacing w:line="560" w:lineRule="atLeast"/>
              <w:jc w:val="center"/>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i w:val="0"/>
                <w:iCs w:val="0"/>
                <w:color w:val="000000"/>
                <w:kern w:val="0"/>
                <w:sz w:val="28"/>
                <w:szCs w:val="28"/>
                <w:u w:val="none"/>
                <w:lang w:val="en-US" w:eastAsia="zh-CN" w:bidi="ar"/>
              </w:rPr>
              <w:t>50</w:t>
            </w:r>
          </w:p>
        </w:tc>
        <w:tc>
          <w:tcPr>
            <w:tcW w:w="1585" w:type="dxa"/>
            <w:noWrap w:val="0"/>
            <w:vAlign w:val="center"/>
          </w:tcPr>
          <w:p>
            <w:pPr>
              <w:keepNext w:val="0"/>
              <w:keepLines w:val="0"/>
              <w:pageBreakBefore w:val="0"/>
              <w:widowControl w:val="0"/>
              <w:suppressLineNumbers w:val="0"/>
              <w:kinsoku/>
              <w:wordWrap/>
              <w:overflowPunct/>
              <w:topLinePunct w:val="0"/>
              <w:bidi w:val="0"/>
              <w:adjustRightInd w:val="0"/>
              <w:snapToGrid w:val="0"/>
              <w:spacing w:line="560" w:lineRule="atLeast"/>
              <w:jc w:val="center"/>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i w:val="0"/>
                <w:iCs w:val="0"/>
                <w:color w:val="000000"/>
                <w:sz w:val="28"/>
                <w:szCs w:val="28"/>
                <w:u w:val="none"/>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887" w:type="dxa"/>
            <w:noWrap w:val="0"/>
            <w:vAlign w:val="center"/>
          </w:tcPr>
          <w:p>
            <w:pPr>
              <w:keepNext w:val="0"/>
              <w:keepLines w:val="0"/>
              <w:pageBreakBefore w:val="0"/>
              <w:widowControl w:val="0"/>
              <w:suppressLineNumbers w:val="0"/>
              <w:kinsoku/>
              <w:wordWrap/>
              <w:overflowPunct/>
              <w:topLinePunct w:val="0"/>
              <w:bidi w:val="0"/>
              <w:adjustRightInd w:val="0"/>
              <w:snapToGrid w:val="0"/>
              <w:spacing w:line="560" w:lineRule="atLeast"/>
              <w:jc w:val="center"/>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i w:val="0"/>
                <w:iCs w:val="0"/>
                <w:color w:val="000000"/>
                <w:kern w:val="0"/>
                <w:sz w:val="28"/>
                <w:szCs w:val="28"/>
                <w:u w:val="none"/>
                <w:lang w:val="en-US" w:eastAsia="zh-CN" w:bidi="ar"/>
              </w:rPr>
              <w:t>满意度</w:t>
            </w:r>
          </w:p>
        </w:tc>
        <w:tc>
          <w:tcPr>
            <w:tcW w:w="3485" w:type="dxa"/>
            <w:noWrap w:val="0"/>
            <w:vAlign w:val="center"/>
          </w:tcPr>
          <w:p>
            <w:pPr>
              <w:keepNext w:val="0"/>
              <w:keepLines w:val="0"/>
              <w:pageBreakBefore w:val="0"/>
              <w:widowControl w:val="0"/>
              <w:suppressLineNumbers w:val="0"/>
              <w:kinsoku/>
              <w:wordWrap/>
              <w:overflowPunct/>
              <w:topLinePunct w:val="0"/>
              <w:bidi w:val="0"/>
              <w:adjustRightInd w:val="0"/>
              <w:snapToGrid w:val="0"/>
              <w:spacing w:line="560" w:lineRule="atLeast"/>
              <w:jc w:val="center"/>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i w:val="0"/>
                <w:iCs w:val="0"/>
                <w:color w:val="000000"/>
                <w:sz w:val="28"/>
                <w:szCs w:val="28"/>
                <w:u w:val="none"/>
                <w:lang w:eastAsia="zh-CN"/>
              </w:rPr>
              <w:t>满意度</w:t>
            </w:r>
          </w:p>
        </w:tc>
        <w:tc>
          <w:tcPr>
            <w:tcW w:w="1742" w:type="dxa"/>
            <w:noWrap w:val="0"/>
            <w:vAlign w:val="center"/>
          </w:tcPr>
          <w:p>
            <w:pPr>
              <w:keepNext w:val="0"/>
              <w:keepLines w:val="0"/>
              <w:pageBreakBefore w:val="0"/>
              <w:widowControl w:val="0"/>
              <w:suppressLineNumbers w:val="0"/>
              <w:kinsoku/>
              <w:wordWrap/>
              <w:overflowPunct/>
              <w:topLinePunct w:val="0"/>
              <w:bidi w:val="0"/>
              <w:adjustRightInd w:val="0"/>
              <w:snapToGrid w:val="0"/>
              <w:spacing w:line="560" w:lineRule="atLeast"/>
              <w:jc w:val="center"/>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i w:val="0"/>
                <w:iCs w:val="0"/>
                <w:color w:val="000000"/>
                <w:kern w:val="0"/>
                <w:sz w:val="28"/>
                <w:szCs w:val="28"/>
                <w:u w:val="none"/>
                <w:lang w:val="en-US" w:eastAsia="zh-CN" w:bidi="ar"/>
              </w:rPr>
              <w:t>10</w:t>
            </w:r>
          </w:p>
        </w:tc>
        <w:tc>
          <w:tcPr>
            <w:tcW w:w="1585" w:type="dxa"/>
            <w:noWrap w:val="0"/>
            <w:vAlign w:val="center"/>
          </w:tcPr>
          <w:p>
            <w:pPr>
              <w:keepNext w:val="0"/>
              <w:keepLines w:val="0"/>
              <w:pageBreakBefore w:val="0"/>
              <w:widowControl w:val="0"/>
              <w:suppressLineNumbers w:val="0"/>
              <w:kinsoku/>
              <w:wordWrap/>
              <w:overflowPunct/>
              <w:topLinePunct w:val="0"/>
              <w:bidi w:val="0"/>
              <w:adjustRightInd w:val="0"/>
              <w:snapToGrid w:val="0"/>
              <w:spacing w:line="560" w:lineRule="atLeast"/>
              <w:jc w:val="center"/>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i w:val="0"/>
                <w:iCs w:val="0"/>
                <w:color w:val="000000"/>
                <w:sz w:val="28"/>
                <w:szCs w:val="28"/>
                <w:u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5372" w:type="dxa"/>
            <w:gridSpan w:val="2"/>
            <w:noWrap w:val="0"/>
            <w:vAlign w:val="center"/>
          </w:tcPr>
          <w:p>
            <w:pPr>
              <w:keepNext w:val="0"/>
              <w:keepLines w:val="0"/>
              <w:pageBreakBefore w:val="0"/>
              <w:widowControl w:val="0"/>
              <w:suppressLineNumbers w:val="0"/>
              <w:kinsoku/>
              <w:wordWrap/>
              <w:overflowPunct/>
              <w:topLinePunct w:val="0"/>
              <w:bidi w:val="0"/>
              <w:adjustRightInd w:val="0"/>
              <w:snapToGrid w:val="0"/>
              <w:spacing w:line="560" w:lineRule="atLeast"/>
              <w:jc w:val="center"/>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i w:val="0"/>
                <w:iCs w:val="0"/>
                <w:color w:val="000000"/>
                <w:kern w:val="0"/>
                <w:sz w:val="28"/>
                <w:szCs w:val="28"/>
                <w:u w:val="none"/>
                <w:lang w:val="en-US" w:eastAsia="zh-CN" w:bidi="ar"/>
              </w:rPr>
              <w:t>合计</w:t>
            </w:r>
          </w:p>
        </w:tc>
        <w:tc>
          <w:tcPr>
            <w:tcW w:w="1742" w:type="dxa"/>
            <w:noWrap w:val="0"/>
            <w:vAlign w:val="center"/>
          </w:tcPr>
          <w:p>
            <w:pPr>
              <w:keepNext w:val="0"/>
              <w:keepLines w:val="0"/>
              <w:pageBreakBefore w:val="0"/>
              <w:widowControl w:val="0"/>
              <w:suppressLineNumbers w:val="0"/>
              <w:kinsoku/>
              <w:wordWrap/>
              <w:overflowPunct/>
              <w:topLinePunct w:val="0"/>
              <w:bidi w:val="0"/>
              <w:adjustRightInd w:val="0"/>
              <w:snapToGrid w:val="0"/>
              <w:spacing w:line="560" w:lineRule="atLeast"/>
              <w:jc w:val="center"/>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i w:val="0"/>
                <w:iCs w:val="0"/>
                <w:color w:val="000000"/>
                <w:kern w:val="0"/>
                <w:sz w:val="28"/>
                <w:szCs w:val="28"/>
                <w:u w:val="none"/>
                <w:lang w:val="en-US" w:eastAsia="zh-CN" w:bidi="ar"/>
              </w:rPr>
              <w:t>100</w:t>
            </w:r>
          </w:p>
        </w:tc>
        <w:tc>
          <w:tcPr>
            <w:tcW w:w="1585" w:type="dxa"/>
            <w:noWrap w:val="0"/>
            <w:vAlign w:val="center"/>
          </w:tcPr>
          <w:p>
            <w:pPr>
              <w:keepNext w:val="0"/>
              <w:keepLines w:val="0"/>
              <w:pageBreakBefore w:val="0"/>
              <w:widowControl w:val="0"/>
              <w:suppressLineNumbers w:val="0"/>
              <w:kinsoku/>
              <w:wordWrap/>
              <w:overflowPunct/>
              <w:topLinePunct w:val="0"/>
              <w:bidi w:val="0"/>
              <w:adjustRightInd w:val="0"/>
              <w:snapToGrid w:val="0"/>
              <w:spacing w:line="560" w:lineRule="atLeast"/>
              <w:jc w:val="center"/>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i w:val="0"/>
                <w:iCs w:val="0"/>
                <w:color w:val="000000"/>
                <w:sz w:val="28"/>
                <w:szCs w:val="28"/>
                <w:u w:val="none"/>
                <w:lang w:val="en-US" w:eastAsia="zh-CN"/>
              </w:rPr>
              <w:t>99</w:t>
            </w:r>
          </w:p>
        </w:tc>
      </w:tr>
    </w:tbl>
    <w:p>
      <w:pPr>
        <w:adjustRightInd w:val="0"/>
        <w:snapToGrid w:val="0"/>
        <w:spacing w:line="560" w:lineRule="atLeast"/>
        <w:ind w:firstLine="642" w:firstLineChars="200"/>
        <w:rPr>
          <w:rFonts w:hint="eastAsia" w:ascii="仿宋" w:hAnsi="仿宋" w:eastAsia="仿宋" w:cs="仿宋"/>
          <w:bCs/>
          <w:color w:val="000000"/>
          <w:sz w:val="32"/>
          <w:szCs w:val="32"/>
        </w:rPr>
      </w:pPr>
      <w:r>
        <w:rPr>
          <w:rFonts w:hint="default" w:ascii="Times New Roman" w:hAnsi="Times New Roman" w:eastAsia="楷体_GB2312" w:cs="Times New Roman"/>
          <w:b/>
          <w:bCs w:val="0"/>
          <w:color w:val="auto"/>
          <w:sz w:val="32"/>
          <w:szCs w:val="32"/>
        </w:rPr>
        <w:t>（二）</w:t>
      </w:r>
      <w:r>
        <w:rPr>
          <w:rFonts w:hint="default" w:ascii="Times New Roman" w:hAnsi="Times New Roman" w:eastAsia="楷体_GB2312" w:cs="Times New Roman"/>
          <w:b/>
          <w:bCs w:val="0"/>
          <w:color w:val="000000"/>
          <w:sz w:val="32"/>
          <w:szCs w:val="32"/>
        </w:rPr>
        <w:t>项目效益情况。</w:t>
      </w:r>
      <w:r>
        <w:rPr>
          <w:rFonts w:hint="eastAsia" w:ascii="仿宋" w:hAnsi="仿宋" w:eastAsia="仿宋" w:cs="仿宋"/>
          <w:bCs/>
          <w:color w:val="000000"/>
          <w:sz w:val="32"/>
          <w:szCs w:val="32"/>
          <w:lang w:val="zh-CN"/>
        </w:rPr>
        <w:t>本项</w:t>
      </w:r>
      <w:r>
        <w:rPr>
          <w:rFonts w:hint="eastAsia" w:ascii="仿宋" w:hAnsi="仿宋" w:eastAsia="仿宋" w:cs="仿宋"/>
          <w:bCs/>
          <w:color w:val="000000"/>
          <w:sz w:val="32"/>
          <w:szCs w:val="32"/>
        </w:rPr>
        <w:t>目坚持制度衔接、应救尽救，坚持尽力而为、量力而行，坚持规范有序、公开公正，坚持政府主导、社会力量参与的基本原则，努力实现“人人享有康复服务”目标。</w:t>
      </w:r>
      <w:r>
        <w:rPr>
          <w:rFonts w:hint="eastAsia" w:ascii="仿宋" w:hAnsi="仿宋" w:eastAsia="仿宋" w:cs="仿宋"/>
          <w:color w:val="000000"/>
          <w:sz w:val="32"/>
          <w:szCs w:val="32"/>
        </w:rPr>
        <w:t>进一步深化了“量体裁衣”式残疾人服务，切实保障了残疾儿童基本康复服务的需求。目前我会与1</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家康复医疗机构签订了合作协议，为残疾儿童家庭提供了较大的选择面。</w:t>
      </w:r>
      <w:r>
        <w:rPr>
          <w:rFonts w:hint="eastAsia" w:ascii="仿宋" w:hAnsi="仿宋" w:eastAsia="仿宋" w:cs="仿宋"/>
          <w:bCs/>
          <w:color w:val="000000"/>
          <w:sz w:val="32"/>
          <w:szCs w:val="32"/>
          <w:lang w:val="zh-CN"/>
        </w:rPr>
        <w:t>通过对</w:t>
      </w:r>
      <w:r>
        <w:rPr>
          <w:rFonts w:hint="eastAsia" w:ascii="仿宋" w:hAnsi="仿宋" w:eastAsia="仿宋" w:cs="仿宋"/>
          <w:bCs/>
          <w:color w:val="000000"/>
          <w:sz w:val="32"/>
          <w:szCs w:val="32"/>
          <w:lang w:val="en-US" w:eastAsia="zh-CN"/>
        </w:rPr>
        <w:t>85</w:t>
      </w:r>
      <w:r>
        <w:rPr>
          <w:rFonts w:hint="eastAsia" w:ascii="仿宋" w:hAnsi="仿宋" w:eastAsia="仿宋" w:cs="仿宋"/>
          <w:bCs/>
          <w:color w:val="000000"/>
          <w:sz w:val="32"/>
          <w:szCs w:val="32"/>
        </w:rPr>
        <w:t>名残疾儿童提供康复救助，</w:t>
      </w:r>
      <w:r>
        <w:rPr>
          <w:rFonts w:hint="eastAsia" w:ascii="仿宋" w:hAnsi="仿宋" w:eastAsia="仿宋" w:cs="仿宋"/>
          <w:color w:val="000000"/>
          <w:sz w:val="32"/>
          <w:szCs w:val="32"/>
          <w:shd w:val="clear" w:color="auto" w:fill="FFFFFF"/>
        </w:rPr>
        <w:t>体现了党委、政府对残疾人的关心、关爱，贯彻落实党中央“发展残疾人事业，加强残疾康复服务”决策部署的重大举措，有助于残疾儿童尽早康复，融入社会，同时有效</w:t>
      </w:r>
      <w:r>
        <w:rPr>
          <w:rFonts w:hint="eastAsia" w:ascii="仿宋" w:hAnsi="仿宋" w:eastAsia="仿宋" w:cs="仿宋"/>
          <w:color w:val="000000"/>
          <w:sz w:val="32"/>
          <w:szCs w:val="32"/>
          <w:shd w:val="clear" w:color="auto" w:fill="FFFFFF"/>
          <w:lang w:eastAsia="zh-CN"/>
        </w:rPr>
        <w:t>地</w:t>
      </w:r>
      <w:r>
        <w:rPr>
          <w:rFonts w:hint="eastAsia" w:ascii="仿宋" w:hAnsi="仿宋" w:eastAsia="仿宋" w:cs="仿宋"/>
          <w:color w:val="000000"/>
          <w:sz w:val="32"/>
          <w:szCs w:val="32"/>
          <w:shd w:val="clear" w:color="auto" w:fill="FFFFFF"/>
        </w:rPr>
        <w:t>减轻了家庭负担。</w:t>
      </w:r>
    </w:p>
    <w:p>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textAlignment w:val="auto"/>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rPr>
        <w:t>五、评价结论及建议</w:t>
      </w:r>
    </w:p>
    <w:p>
      <w:pPr>
        <w:keepNext w:val="0"/>
        <w:keepLines w:val="0"/>
        <w:pageBreakBefore w:val="0"/>
        <w:widowControl w:val="0"/>
        <w:kinsoku/>
        <w:wordWrap/>
        <w:overflowPunct/>
        <w:topLinePunct w:val="0"/>
        <w:autoSpaceDE/>
        <w:autoSpaceDN/>
        <w:bidi w:val="0"/>
        <w:adjustRightInd w:val="0"/>
        <w:snapToGrid w:val="0"/>
        <w:spacing w:line="560" w:lineRule="atLeast"/>
        <w:ind w:firstLine="64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val="0"/>
          <w:color w:val="auto"/>
          <w:sz w:val="32"/>
          <w:szCs w:val="32"/>
        </w:rPr>
        <w:t>（一）评价结论。</w:t>
      </w:r>
      <w:r>
        <w:rPr>
          <w:rFonts w:hint="eastAsia" w:ascii="仿宋" w:hAnsi="仿宋" w:eastAsia="仿宋" w:cs="仿宋"/>
          <w:bCs/>
          <w:color w:val="auto"/>
          <w:sz w:val="32"/>
          <w:szCs w:val="32"/>
        </w:rPr>
        <w:t>该</w:t>
      </w:r>
      <w:r>
        <w:rPr>
          <w:rFonts w:hint="eastAsia" w:ascii="仿宋" w:hAnsi="仿宋" w:eastAsia="仿宋" w:cs="仿宋"/>
          <w:bCs/>
          <w:color w:val="auto"/>
          <w:sz w:val="32"/>
          <w:szCs w:val="32"/>
          <w:lang w:val="zh-CN"/>
        </w:rPr>
        <w:t>项目绩效评价总体为优。通过</w:t>
      </w:r>
      <w:r>
        <w:rPr>
          <w:rFonts w:hint="eastAsia" w:ascii="Times New Roman" w:hAnsi="Times New Roman" w:eastAsia="仿宋_GB2312" w:cs="Times New Roman"/>
          <w:color w:val="auto"/>
          <w:sz w:val="32"/>
          <w:szCs w:val="32"/>
          <w:shd w:val="clear" w:color="auto" w:fill="FFFFFF"/>
          <w:lang w:eastAsia="zh-CN"/>
        </w:rPr>
        <w:t>提供</w:t>
      </w:r>
      <w:r>
        <w:rPr>
          <w:rFonts w:hint="default" w:ascii="Times New Roman" w:hAnsi="Times New Roman" w:eastAsia="仿宋_GB2312" w:cs="Times New Roman"/>
          <w:bCs/>
          <w:color w:val="auto"/>
          <w:sz w:val="32"/>
          <w:szCs w:val="32"/>
          <w:lang w:eastAsia="zh-CN"/>
        </w:rPr>
        <w:t>残疾</w:t>
      </w:r>
      <w:r>
        <w:rPr>
          <w:rFonts w:hint="eastAsia" w:ascii="Times New Roman" w:hAnsi="Times New Roman" w:eastAsia="仿宋_GB2312" w:cs="Times New Roman"/>
          <w:bCs/>
          <w:color w:val="auto"/>
          <w:sz w:val="32"/>
          <w:szCs w:val="32"/>
          <w:lang w:eastAsia="zh-CN"/>
        </w:rPr>
        <w:t>儿童康复救助</w:t>
      </w:r>
      <w:r>
        <w:rPr>
          <w:rFonts w:hint="default" w:ascii="Times New Roman" w:hAnsi="Times New Roman" w:eastAsia="仿宋_GB2312" w:cs="Times New Roman"/>
          <w:bCs/>
          <w:color w:val="auto"/>
          <w:sz w:val="32"/>
          <w:szCs w:val="32"/>
          <w:lang w:eastAsia="zh-CN"/>
        </w:rPr>
        <w:t>，提高生活能力</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atLeast"/>
        <w:ind w:firstLine="642" w:firstLineChars="200"/>
        <w:textAlignment w:val="auto"/>
        <w:rPr>
          <w:rFonts w:hint="eastAsia" w:ascii="Times New Roman" w:hAnsi="Times New Roman" w:eastAsia="仿宋" w:cs="Times New Roman"/>
          <w:color w:val="auto"/>
          <w:sz w:val="32"/>
          <w:szCs w:val="32"/>
          <w:lang w:val="en-US" w:eastAsia="zh-CN"/>
        </w:rPr>
      </w:pPr>
      <w:r>
        <w:rPr>
          <w:rFonts w:hint="default" w:ascii="Times New Roman" w:hAnsi="Times New Roman" w:eastAsia="楷体_GB2312" w:cs="Times New Roman"/>
          <w:b/>
          <w:bCs w:val="0"/>
          <w:color w:val="auto"/>
          <w:sz w:val="32"/>
          <w:szCs w:val="32"/>
        </w:rPr>
        <w:t>（二）存在的问题。</w:t>
      </w:r>
      <w:r>
        <w:rPr>
          <w:rFonts w:hint="eastAsia" w:ascii="仿宋" w:hAnsi="仿宋" w:eastAsia="仿宋" w:cs="仿宋"/>
          <w:color w:val="000000"/>
          <w:sz w:val="32"/>
          <w:szCs w:val="32"/>
        </w:rPr>
        <w:t>康复资源不足</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包括康复机构数量少、专业康复人员短缺、康复设备不够先进等</w:t>
      </w:r>
      <w:r>
        <w:rPr>
          <w:rFonts w:hint="eastAsia" w:ascii="仿宋" w:hAnsi="仿宋" w:eastAsia="仿宋" w:cs="仿宋"/>
          <w:color w:val="00000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atLeast"/>
        <w:ind w:firstLine="642"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val="0"/>
          <w:color w:val="auto"/>
          <w:sz w:val="32"/>
          <w:szCs w:val="32"/>
        </w:rPr>
        <w:t>（三）项目建议。</w:t>
      </w:r>
      <w:r>
        <w:rPr>
          <w:rFonts w:hint="default" w:ascii="Times New Roman" w:hAnsi="Times New Roman" w:eastAsia="仿宋_GB2312" w:cs="Times New Roman"/>
          <w:bCs/>
          <w:color w:val="auto"/>
          <w:sz w:val="32"/>
          <w:szCs w:val="32"/>
        </w:rPr>
        <w:t>推</w:t>
      </w:r>
      <w:r>
        <w:rPr>
          <w:rFonts w:hint="default" w:ascii="Times New Roman" w:hAnsi="Times New Roman" w:eastAsia="仿宋_GB2312" w:cs="Times New Roman"/>
          <w:color w:val="auto"/>
          <w:sz w:val="32"/>
          <w:szCs w:val="32"/>
        </w:rPr>
        <w:t>进残疾人政策法规落实，不断拓宽残疾人帮扶措施。</w:t>
      </w:r>
      <w:r>
        <w:rPr>
          <w:rFonts w:hint="eastAsia" w:ascii="仿宋" w:hAnsi="仿宋" w:eastAsia="仿宋" w:cs="仿宋"/>
          <w:color w:val="000000"/>
          <w:kern w:val="2"/>
          <w:sz w:val="32"/>
          <w:szCs w:val="32"/>
          <w:lang w:val="zh-CN" w:eastAsia="zh-CN" w:bidi="ar-SA"/>
        </w:rPr>
        <w:t>鼓励社会资本参与，建设更多康复机构，培养和引进专业康复人才，更新康复设备</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atLeast"/>
        <w:jc w:val="center"/>
        <w:textAlignment w:val="auto"/>
        <w:rPr>
          <w:rFonts w:hint="default" w:ascii="Times New Roman" w:hAnsi="Times New Roman" w:eastAsia="方正小标宋简体" w:cs="Times New Roman"/>
          <w:color w:val="auto"/>
          <w:kern w:val="0"/>
          <w:sz w:val="44"/>
          <w:szCs w:val="44"/>
          <w:highlight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60" w:lineRule="atLeast"/>
        <w:jc w:val="center"/>
        <w:textAlignment w:val="auto"/>
        <w:rPr>
          <w:rFonts w:hint="default" w:ascii="Times New Roman" w:hAnsi="Times New Roman" w:eastAsia="方正小标宋简体" w:cs="Times New Roman"/>
          <w:color w:val="auto"/>
          <w:kern w:val="0"/>
          <w:sz w:val="44"/>
          <w:szCs w:val="44"/>
          <w:highlight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60" w:lineRule="atLeast"/>
        <w:jc w:val="center"/>
        <w:textAlignment w:val="auto"/>
        <w:rPr>
          <w:rFonts w:hint="default" w:ascii="Times New Roman" w:hAnsi="Times New Roman" w:eastAsia="方正小标宋简体" w:cs="Times New Roman"/>
          <w:color w:val="auto"/>
          <w:kern w:val="0"/>
          <w:sz w:val="44"/>
          <w:szCs w:val="44"/>
          <w:highlight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60" w:lineRule="atLeast"/>
        <w:jc w:val="center"/>
        <w:textAlignment w:val="auto"/>
        <w:rPr>
          <w:rFonts w:hint="default" w:ascii="Times New Roman" w:hAnsi="Times New Roman" w:eastAsia="方正小标宋简体" w:cs="Times New Roman"/>
          <w:color w:val="auto"/>
          <w:kern w:val="2"/>
          <w:sz w:val="44"/>
          <w:szCs w:val="44"/>
          <w:highlight w:val="none"/>
          <w:lang w:val="en-US" w:eastAsia="zh-CN" w:bidi="ar-SA"/>
        </w:rPr>
      </w:pPr>
      <w:r>
        <w:rPr>
          <w:rFonts w:hint="default" w:ascii="Times New Roman" w:hAnsi="Times New Roman" w:eastAsia="方正小标宋简体" w:cs="Times New Roman"/>
          <w:color w:val="auto"/>
          <w:kern w:val="0"/>
          <w:sz w:val="44"/>
          <w:szCs w:val="44"/>
          <w:highlight w:val="none"/>
          <w:lang w:val="en-US" w:eastAsia="zh-CN" w:bidi="ar-SA"/>
        </w:rPr>
        <w:t>202</w:t>
      </w:r>
      <w:r>
        <w:rPr>
          <w:rFonts w:hint="eastAsia" w:ascii="Times New Roman" w:hAnsi="Times New Roman" w:eastAsia="方正小标宋简体" w:cs="Times New Roman"/>
          <w:color w:val="auto"/>
          <w:kern w:val="0"/>
          <w:sz w:val="44"/>
          <w:szCs w:val="44"/>
          <w:highlight w:val="none"/>
          <w:lang w:val="en-US" w:eastAsia="zh-CN" w:bidi="ar-SA"/>
        </w:rPr>
        <w:t>3</w:t>
      </w:r>
      <w:r>
        <w:rPr>
          <w:rFonts w:hint="default" w:ascii="Times New Roman" w:hAnsi="Times New Roman" w:eastAsia="方正小标宋简体" w:cs="Times New Roman"/>
          <w:color w:val="auto"/>
          <w:kern w:val="0"/>
          <w:sz w:val="44"/>
          <w:szCs w:val="44"/>
          <w:highlight w:val="none"/>
          <w:lang w:val="en-US" w:eastAsia="zh-CN" w:bidi="ar-SA"/>
        </w:rPr>
        <w:t>年度专项预算项目支出绩效自评报告</w:t>
      </w:r>
    </w:p>
    <w:p>
      <w:pPr>
        <w:keepNext w:val="0"/>
        <w:keepLines w:val="0"/>
        <w:pageBreakBefore w:val="0"/>
        <w:widowControl w:val="0"/>
        <w:kinsoku/>
        <w:wordWrap/>
        <w:overflowPunct/>
        <w:topLinePunct w:val="0"/>
        <w:autoSpaceDE/>
        <w:autoSpaceDN/>
        <w:bidi w:val="0"/>
        <w:adjustRightInd w:val="0"/>
        <w:snapToGrid w:val="0"/>
        <w:spacing w:line="560" w:lineRule="atLeas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w:t>
      </w:r>
      <w:r>
        <w:rPr>
          <w:rFonts w:hint="default" w:ascii="Times New Roman" w:hAnsi="Times New Roman" w:eastAsia="楷体_GB2312" w:cs="Times New Roman"/>
          <w:b/>
          <w:bCs/>
          <w:color w:val="auto"/>
          <w:sz w:val="32"/>
          <w:szCs w:val="32"/>
          <w:highlight w:val="none"/>
          <w:lang w:eastAsia="zh-CN"/>
        </w:rPr>
        <w:t>残疾人</w:t>
      </w:r>
      <w:r>
        <w:rPr>
          <w:rFonts w:hint="eastAsia" w:ascii="Times New Roman" w:hAnsi="Times New Roman" w:eastAsia="楷体_GB2312" w:cs="Times New Roman"/>
          <w:b/>
          <w:bCs/>
          <w:color w:val="auto"/>
          <w:sz w:val="32"/>
          <w:szCs w:val="32"/>
          <w:highlight w:val="none"/>
          <w:lang w:eastAsia="zh-CN"/>
        </w:rPr>
        <w:t>就业和扶持</w:t>
      </w:r>
      <w:r>
        <w:rPr>
          <w:rFonts w:hint="default" w:ascii="Times New Roman" w:hAnsi="Times New Roman" w:eastAsia="楷体_GB2312" w:cs="Times New Roman"/>
          <w:b/>
          <w:bCs/>
          <w:color w:val="auto"/>
          <w:sz w:val="32"/>
          <w:szCs w:val="32"/>
          <w:highlight w:val="none"/>
        </w:rPr>
        <w:t>项目）</w:t>
      </w:r>
    </w:p>
    <w:p>
      <w:pPr>
        <w:keepNext w:val="0"/>
        <w:keepLines w:val="0"/>
        <w:pageBreakBefore w:val="0"/>
        <w:widowControl w:val="0"/>
        <w:kinsoku/>
        <w:wordWrap/>
        <w:overflowPunct/>
        <w:topLinePunct w:val="0"/>
        <w:autoSpaceDE/>
        <w:autoSpaceDN/>
        <w:bidi w:val="0"/>
        <w:adjustRightInd w:val="0"/>
        <w:snapToGrid w:val="0"/>
        <w:spacing w:line="560" w:lineRule="atLeast"/>
        <w:textAlignment w:val="auto"/>
        <w:rPr>
          <w:rFonts w:hint="default" w:ascii="Times New Roman" w:hAnsi="Times New Roman" w:eastAsia="仿宋_GB2312"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60" w:lineRule="atLeas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区财政局：</w:t>
      </w:r>
    </w:p>
    <w:p>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textAlignment w:val="auto"/>
        <w:rPr>
          <w:rFonts w:hint="default" w:ascii="Calibri" w:hAnsi="Calibri" w:eastAsia="仿宋_GB2312"/>
          <w:sz w:val="32"/>
          <w:szCs w:val="32"/>
        </w:rPr>
      </w:pPr>
      <w:r>
        <w:rPr>
          <w:rFonts w:hint="default" w:ascii="Times New Roman" w:hAnsi="Times New Roman" w:eastAsia="仿宋_GB2312" w:cs="Times New Roman"/>
          <w:color w:val="auto"/>
          <w:sz w:val="32"/>
          <w:szCs w:val="32"/>
        </w:rPr>
        <w:t>现将我会部门202</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年度专项预算项目支出绩效评价情况报告如下：</w:t>
      </w:r>
    </w:p>
    <w:p>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textAlignment w:val="auto"/>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rPr>
        <w:t>一、项目概况</w:t>
      </w:r>
    </w:p>
    <w:p>
      <w:pPr>
        <w:keepNext w:val="0"/>
        <w:keepLines w:val="0"/>
        <w:pageBreakBefore w:val="0"/>
        <w:widowControl w:val="0"/>
        <w:kinsoku/>
        <w:wordWrap/>
        <w:overflowPunct/>
        <w:topLinePunct w:val="0"/>
        <w:autoSpaceDE/>
        <w:autoSpaceDN/>
        <w:bidi w:val="0"/>
        <w:adjustRightInd w:val="0"/>
        <w:snapToGrid w:val="0"/>
        <w:spacing w:line="560" w:lineRule="atLeast"/>
        <w:ind w:firstLine="642" w:firstLineChars="200"/>
        <w:textAlignment w:val="auto"/>
        <w:rPr>
          <w:rFonts w:hint="default" w:ascii="Times New Roman" w:hAnsi="Times New Roman" w:eastAsia="仿宋_GB2312" w:cs="Times New Roman"/>
          <w:color w:val="auto"/>
          <w:sz w:val="32"/>
          <w:szCs w:val="32"/>
          <w:lang w:val="zh-CN"/>
        </w:rPr>
      </w:pPr>
      <w:r>
        <w:rPr>
          <w:rFonts w:hint="default" w:ascii="Times New Roman" w:hAnsi="Times New Roman" w:eastAsia="楷体_GB2312" w:cs="Times New Roman"/>
          <w:b/>
          <w:bCs w:val="0"/>
          <w:color w:val="auto"/>
          <w:sz w:val="32"/>
          <w:szCs w:val="32"/>
        </w:rPr>
        <w:t>（一）项目基本情况。</w:t>
      </w:r>
      <w:r>
        <w:rPr>
          <w:rFonts w:hint="default" w:ascii="Times New Roman" w:hAnsi="Times New Roman" w:eastAsia="仿宋_GB2312" w:cs="Times New Roman"/>
          <w:color w:val="auto"/>
          <w:sz w:val="32"/>
          <w:szCs w:val="32"/>
        </w:rPr>
        <w:t>区残联是该项目的实施方和管理方，</w:t>
      </w:r>
      <w:r>
        <w:rPr>
          <w:rFonts w:hint="eastAsia" w:ascii="Times New Roman" w:hAnsi="Times New Roman" w:eastAsia="仿宋_GB2312" w:cs="Times New Roman"/>
          <w:color w:val="auto"/>
          <w:sz w:val="32"/>
          <w:szCs w:val="32"/>
          <w:lang w:eastAsia="zh-CN"/>
        </w:rPr>
        <w:t>根据</w:t>
      </w:r>
      <w:r>
        <w:rPr>
          <w:rFonts w:hint="default" w:ascii="Times New Roman" w:hAnsi="Times New Roman" w:eastAsia="仿宋_GB2312" w:cs="Times New Roman"/>
          <w:color w:val="auto"/>
          <w:sz w:val="32"/>
          <w:szCs w:val="32"/>
        </w:rPr>
        <w:t>四川省残疾人联合会关于印发《</w:t>
      </w:r>
      <w:r>
        <w:rPr>
          <w:rFonts w:hint="eastAsia" w:ascii="仿宋_GB2312" w:hAnsi="宋体" w:eastAsia="仿宋_GB2312" w:cs="Times New Roman"/>
          <w:sz w:val="32"/>
          <w:szCs w:val="32"/>
          <w:lang w:val="zh-CN"/>
        </w:rPr>
        <w:t>四川省残疾人联合会关于明确省级财政残疾</w:t>
      </w:r>
      <w:r>
        <w:rPr>
          <w:rFonts w:hint="eastAsia" w:ascii="仿宋_GB2312" w:hAnsi="宋体" w:eastAsia="仿宋_GB2312" w:cs="Times New Roman"/>
          <w:sz w:val="32"/>
          <w:szCs w:val="32"/>
          <w:lang w:val="en-US" w:eastAsia="zh-CN"/>
        </w:rPr>
        <w:t>人</w:t>
      </w:r>
      <w:r>
        <w:rPr>
          <w:rFonts w:hint="eastAsia" w:ascii="仿宋_GB2312" w:hAnsi="宋体" w:eastAsia="仿宋_GB2312" w:cs="Times New Roman"/>
          <w:sz w:val="32"/>
          <w:szCs w:val="32"/>
          <w:lang w:val="zh-CN"/>
        </w:rPr>
        <w:t>事业发展补助资金支持残疾人居家灵活就业使用范围</w:t>
      </w:r>
      <w:r>
        <w:rPr>
          <w:rFonts w:hint="default" w:ascii="Times New Roman" w:hAnsi="Times New Roman" w:eastAsia="仿宋_GB2312" w:cs="Times New Roman"/>
          <w:color w:val="auto"/>
          <w:sz w:val="32"/>
          <w:szCs w:val="32"/>
        </w:rPr>
        <w:t>》的通知（川残办发〔</w:t>
      </w:r>
      <w:r>
        <w:rPr>
          <w:rFonts w:hint="eastAsia" w:ascii="Times New Roman" w:hAnsi="Times New Roman" w:eastAsia="仿宋_GB2312" w:cs="Times New Roman"/>
          <w:color w:val="auto"/>
          <w:sz w:val="32"/>
          <w:szCs w:val="32"/>
          <w:lang w:val="en-US" w:eastAsia="zh-CN"/>
        </w:rPr>
        <w:t>2021</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28</w:t>
      </w:r>
      <w:r>
        <w:rPr>
          <w:rFonts w:hint="default" w:ascii="Times New Roman" w:hAnsi="Times New Roman" w:eastAsia="仿宋_GB2312" w:cs="Times New Roman"/>
          <w:color w:val="auto"/>
          <w:sz w:val="32"/>
          <w:szCs w:val="32"/>
        </w:rPr>
        <w:t>号），遂宁市人民政府办公室《关于印发《遂宁市促进残疾人就业创业办法》的通知》（遂府办发〔2018〕31号），</w:t>
      </w:r>
      <w:r>
        <w:rPr>
          <w:rFonts w:hint="eastAsia" w:ascii="Times New Roman" w:hAnsi="Times New Roman" w:eastAsia="仿宋_GB2312" w:cs="Times New Roman"/>
          <w:color w:val="auto"/>
          <w:sz w:val="32"/>
          <w:szCs w:val="32"/>
          <w:lang w:eastAsia="zh-CN"/>
        </w:rPr>
        <w:t>市残联</w:t>
      </w:r>
      <w:r>
        <w:rPr>
          <w:rFonts w:hint="default" w:ascii="Times New Roman" w:hAnsi="Times New Roman" w:eastAsia="仿宋_GB2312" w:cs="Times New Roman"/>
          <w:color w:val="auto"/>
          <w:sz w:val="32"/>
          <w:szCs w:val="32"/>
          <w:highlight w:val="none"/>
        </w:rPr>
        <w:t>《关于印发《</w:t>
      </w:r>
      <w:r>
        <w:rPr>
          <w:rFonts w:hint="eastAsia" w:ascii="Times New Roman" w:hAnsi="Times New Roman" w:eastAsia="仿宋_GB2312" w:cs="Times New Roman"/>
          <w:color w:val="auto"/>
          <w:sz w:val="32"/>
          <w:szCs w:val="32"/>
          <w:highlight w:val="none"/>
          <w:lang w:eastAsia="zh-CN"/>
        </w:rPr>
        <w:t>遂宁市</w:t>
      </w:r>
      <w:r>
        <w:rPr>
          <w:rFonts w:hint="eastAsia" w:ascii="Times New Roman" w:hAnsi="Times New Roman" w:eastAsia="仿宋_GB2312" w:cs="Times New Roman"/>
          <w:color w:val="auto"/>
          <w:sz w:val="32"/>
          <w:szCs w:val="32"/>
          <w:highlight w:val="none"/>
          <w:lang w:val="en-US" w:eastAsia="zh-CN"/>
        </w:rPr>
        <w:t>2023年度支持残疾人居家灵活就业项目实施方案</w:t>
      </w:r>
      <w:r>
        <w:rPr>
          <w:rFonts w:hint="default" w:ascii="Times New Roman" w:hAnsi="Times New Roman" w:eastAsia="仿宋_GB2312" w:cs="Times New Roman"/>
          <w:color w:val="auto"/>
          <w:sz w:val="32"/>
          <w:szCs w:val="32"/>
          <w:highlight w:val="none"/>
        </w:rPr>
        <w:t>》的通知》（</w:t>
      </w:r>
      <w:r>
        <w:rPr>
          <w:rFonts w:hint="eastAsia" w:ascii="Times New Roman" w:hAnsi="Times New Roman" w:eastAsia="仿宋_GB2312" w:cs="Times New Roman"/>
          <w:color w:val="auto"/>
          <w:sz w:val="32"/>
          <w:szCs w:val="32"/>
          <w:highlight w:val="none"/>
          <w:lang w:eastAsia="zh-CN"/>
        </w:rPr>
        <w:t>遂市残发</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2023</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24</w:t>
      </w:r>
      <w:r>
        <w:rPr>
          <w:rFonts w:hint="default" w:ascii="Times New Roman" w:hAnsi="Times New Roman" w:eastAsia="仿宋_GB2312" w:cs="Times New Roman"/>
          <w:color w:val="auto"/>
          <w:sz w:val="32"/>
          <w:szCs w:val="32"/>
          <w:highlight w:val="none"/>
        </w:rPr>
        <w:t>号）、遂宁市人民政府办公</w:t>
      </w:r>
      <w:r>
        <w:rPr>
          <w:rFonts w:hint="default" w:ascii="Times New Roman" w:hAnsi="Times New Roman" w:eastAsia="仿宋_GB2312" w:cs="Times New Roman"/>
          <w:color w:val="auto"/>
          <w:sz w:val="32"/>
          <w:szCs w:val="32"/>
        </w:rPr>
        <w:t>室《关于印发《遂宁市促进残疾人就业创业办法》的通知》（遂府办发〔2018〕31号），</w:t>
      </w:r>
      <w:r>
        <w:rPr>
          <w:rFonts w:hint="default" w:ascii="Times New Roman" w:hAnsi="Times New Roman" w:eastAsia="仿宋_GB2312" w:cs="Times New Roman"/>
          <w:color w:val="auto"/>
          <w:sz w:val="32"/>
          <w:szCs w:val="32"/>
          <w:lang w:val="zh-CN"/>
        </w:rPr>
        <w:t>对</w:t>
      </w:r>
      <w:r>
        <w:rPr>
          <w:rFonts w:hint="default" w:ascii="Times New Roman" w:hAnsi="Times New Roman" w:eastAsia="仿宋_GB2312" w:cs="Times New Roman"/>
          <w:color w:val="auto"/>
          <w:sz w:val="32"/>
          <w:szCs w:val="32"/>
          <w:lang w:val="zh-CN" w:eastAsia="zh-CN"/>
        </w:rPr>
        <w:t>残疾人</w:t>
      </w:r>
      <w:r>
        <w:rPr>
          <w:rFonts w:hint="eastAsia" w:ascii="Times New Roman" w:hAnsi="Times New Roman" w:eastAsia="仿宋_GB2312" w:cs="Times New Roman"/>
          <w:color w:val="auto"/>
          <w:sz w:val="32"/>
          <w:szCs w:val="32"/>
          <w:lang w:val="zh-CN" w:eastAsia="zh-CN"/>
        </w:rPr>
        <w:t>残疾人就业和扶持</w:t>
      </w:r>
      <w:r>
        <w:rPr>
          <w:rFonts w:hint="default" w:ascii="Times New Roman" w:hAnsi="Times New Roman" w:eastAsia="仿宋_GB2312" w:cs="Times New Roman"/>
          <w:color w:val="auto"/>
          <w:sz w:val="32"/>
          <w:szCs w:val="32"/>
          <w:lang w:val="zh-CN"/>
        </w:rPr>
        <w:t>项目进行了申报，</w:t>
      </w:r>
      <w:r>
        <w:rPr>
          <w:rFonts w:hint="default" w:ascii="Times New Roman" w:hAnsi="Times New Roman" w:eastAsia="仿宋_GB2312" w:cs="Times New Roman"/>
          <w:color w:val="auto"/>
          <w:sz w:val="32"/>
          <w:szCs w:val="32"/>
        </w:rPr>
        <w:t>区财政也纳入了预算，此笔项目资金</w:t>
      </w:r>
      <w:r>
        <w:rPr>
          <w:rFonts w:hint="default" w:ascii="Times New Roman" w:hAnsi="Times New Roman" w:eastAsia="仿宋_GB2312" w:cs="Times New Roman"/>
          <w:color w:val="auto"/>
          <w:sz w:val="32"/>
          <w:szCs w:val="32"/>
          <w:lang w:val="zh-CN"/>
        </w:rPr>
        <w:t>符合资金管理办法相关的规定，可统筹安排使用</w:t>
      </w:r>
      <w:r>
        <w:rPr>
          <w:rFonts w:hint="eastAsia" w:ascii="Times New Roman" w:hAnsi="Times New Roman" w:eastAsia="仿宋_GB2312" w:cs="Times New Roman"/>
          <w:color w:val="auto"/>
          <w:sz w:val="32"/>
          <w:szCs w:val="32"/>
          <w:lang w:val="zh-CN"/>
        </w:rPr>
        <w:t>省级</w:t>
      </w:r>
      <w:r>
        <w:rPr>
          <w:rFonts w:hint="default" w:ascii="Times New Roman" w:hAnsi="Times New Roman" w:eastAsia="仿宋_GB2312" w:cs="Times New Roman"/>
          <w:color w:val="auto"/>
          <w:sz w:val="32"/>
          <w:szCs w:val="32"/>
          <w:lang w:val="zh-CN"/>
        </w:rPr>
        <w:t>资金用于该项目。</w:t>
      </w:r>
    </w:p>
    <w:p>
      <w:pPr>
        <w:keepNext w:val="0"/>
        <w:keepLines w:val="0"/>
        <w:pageBreakBefore w:val="0"/>
        <w:widowControl w:val="0"/>
        <w:kinsoku/>
        <w:wordWrap/>
        <w:overflowPunct/>
        <w:topLinePunct w:val="0"/>
        <w:autoSpaceDE/>
        <w:autoSpaceDN/>
        <w:bidi w:val="0"/>
        <w:adjustRightInd w:val="0"/>
        <w:snapToGrid w:val="0"/>
        <w:spacing w:line="560" w:lineRule="atLeast"/>
        <w:ind w:firstLine="642"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楷体_GB2312" w:cs="Times New Roman"/>
          <w:b/>
          <w:bCs w:val="0"/>
          <w:color w:val="auto"/>
          <w:sz w:val="32"/>
          <w:szCs w:val="32"/>
        </w:rPr>
        <w:t>（二）项目绩效目标。</w:t>
      </w:r>
      <w:r>
        <w:rPr>
          <w:rFonts w:hint="default" w:ascii="Times New Roman" w:hAnsi="Times New Roman" w:eastAsia="仿宋_GB2312" w:cs="Times New Roman"/>
          <w:bCs/>
          <w:color w:val="auto"/>
          <w:sz w:val="32"/>
          <w:szCs w:val="32"/>
        </w:rPr>
        <w:t>该项目是对</w:t>
      </w:r>
      <w:r>
        <w:rPr>
          <w:rFonts w:hint="eastAsia" w:ascii="仿宋_GB2312" w:hAnsi="Calibri" w:eastAsia="仿宋_GB2312"/>
          <w:sz w:val="32"/>
          <w:szCs w:val="32"/>
          <w:lang w:val="en-US" w:eastAsia="zh-CN"/>
        </w:rPr>
        <w:t>300名</w:t>
      </w:r>
      <w:r>
        <w:rPr>
          <w:rFonts w:ascii="Times New Roman" w:hAnsi="仿宋_GB2312" w:eastAsia="仿宋_GB2312"/>
          <w:color w:val="000000"/>
          <w:spacing w:val="14"/>
          <w:sz w:val="32"/>
          <w:szCs w:val="32"/>
        </w:rPr>
        <w:t>残疾人从事非全日制、临时性和弹性工作的，包括从事家庭副业、家政服务、修理装配、便民理发、绿化保洁、一定规模的农村种植养殖业等</w:t>
      </w:r>
      <w:r>
        <w:rPr>
          <w:rFonts w:hint="eastAsia" w:ascii="Calibri" w:hAnsi="仿宋_GB2312" w:eastAsia="仿宋_GB2312"/>
          <w:color w:val="000000"/>
          <w:spacing w:val="14"/>
          <w:sz w:val="32"/>
          <w:szCs w:val="32"/>
          <w:lang w:val="en-US" w:eastAsia="zh-CN"/>
        </w:rPr>
        <w:t>发放补贴</w:t>
      </w:r>
      <w:r>
        <w:rPr>
          <w:rFonts w:hint="eastAsia" w:ascii="Calibri" w:hAnsi="仿宋_GB2312" w:eastAsia="仿宋_GB2312"/>
          <w:color w:val="000000"/>
          <w:spacing w:val="14"/>
          <w:sz w:val="32"/>
          <w:szCs w:val="32"/>
          <w:lang w:eastAsia="zh-CN"/>
        </w:rPr>
        <w:t>，</w:t>
      </w:r>
      <w:r>
        <w:rPr>
          <w:rFonts w:hint="eastAsia" w:ascii="仿宋_GB2312" w:hAnsi="Calibri" w:eastAsia="仿宋_GB2312"/>
          <w:sz w:val="32"/>
          <w:szCs w:val="32"/>
        </w:rPr>
        <w:t>帮助残疾人实现居家灵活就业</w:t>
      </w:r>
      <w:r>
        <w:rPr>
          <w:rFonts w:hint="eastAsia" w:ascii="仿宋_GB2312" w:hAnsi="Calibri" w:eastAsia="仿宋_GB2312"/>
          <w:sz w:val="32"/>
          <w:szCs w:val="32"/>
          <w:lang w:eastAsia="zh-CN"/>
        </w:rPr>
        <w:t>。</w:t>
      </w:r>
      <w:r>
        <w:rPr>
          <w:rFonts w:hint="eastAsia" w:ascii="仿宋_GB2312" w:hAnsi="Calibri" w:eastAsia="仿宋_GB2312"/>
          <w:sz w:val="32"/>
          <w:szCs w:val="32"/>
          <w:lang w:val="en-US" w:eastAsia="zh-CN"/>
        </w:rPr>
        <w:t>为2名</w:t>
      </w:r>
      <w:r>
        <w:rPr>
          <w:rFonts w:ascii="Calibri" w:hAnsi="Calibri" w:eastAsia="仿宋_GB2312"/>
          <w:spacing w:val="10"/>
          <w:sz w:val="32"/>
          <w:szCs w:val="32"/>
        </w:rPr>
        <w:t>首次创办小微企业或从事个体经营，且所创企业或个体工商户自工商注册登记之日起正常运营1年以上的</w:t>
      </w:r>
      <w:r>
        <w:rPr>
          <w:rFonts w:hint="eastAsia" w:ascii="Calibri" w:hAnsi="Calibri" w:eastAsia="仿宋_GB2312"/>
          <w:spacing w:val="10"/>
          <w:sz w:val="32"/>
          <w:szCs w:val="32"/>
          <w:lang w:val="en-US" w:eastAsia="zh-CN"/>
        </w:rPr>
        <w:t>残疾人发放一次性创业补贴</w:t>
      </w:r>
      <w:r>
        <w:rPr>
          <w:rFonts w:hint="default" w:ascii="Times New Roman" w:hAnsi="Times New Roman" w:eastAsia="仿宋_GB2312" w:cs="Times New Roman"/>
          <w:bCs/>
          <w:color w:val="auto"/>
          <w:sz w:val="32"/>
          <w:szCs w:val="32"/>
          <w:lang w:eastAsia="zh-CN"/>
        </w:rPr>
        <w:t>残疾人</w:t>
      </w:r>
      <w:r>
        <w:rPr>
          <w:rFonts w:hint="eastAsia" w:ascii="Times New Roman" w:hAnsi="Times New Roman" w:eastAsia="仿宋_GB2312" w:cs="Times New Roman"/>
          <w:bCs/>
          <w:color w:val="auto"/>
          <w:sz w:val="32"/>
          <w:szCs w:val="32"/>
          <w:lang w:eastAsia="zh-CN"/>
        </w:rPr>
        <w:t>，帮助残疾人就业。</w:t>
      </w:r>
      <w:r>
        <w:rPr>
          <w:rFonts w:hint="default" w:ascii="Times New Roman" w:hAnsi="Times New Roman" w:eastAsia="仿宋_GB2312" w:cs="Times New Roman"/>
          <w:bCs/>
          <w:color w:val="auto"/>
          <w:sz w:val="32"/>
          <w:szCs w:val="32"/>
        </w:rPr>
        <w:t>该项目量化细化，实施进度得当，申报的内容与实际相符，申报目标合理可行。</w:t>
      </w:r>
    </w:p>
    <w:p>
      <w:pPr>
        <w:keepNext w:val="0"/>
        <w:keepLines w:val="0"/>
        <w:pageBreakBefore w:val="0"/>
        <w:widowControl w:val="0"/>
        <w:kinsoku/>
        <w:wordWrap/>
        <w:overflowPunct/>
        <w:topLinePunct w:val="0"/>
        <w:autoSpaceDE/>
        <w:autoSpaceDN/>
        <w:bidi w:val="0"/>
        <w:adjustRightInd w:val="0"/>
        <w:snapToGrid w:val="0"/>
        <w:spacing w:line="560" w:lineRule="atLeast"/>
        <w:ind w:firstLine="481" w:firstLineChars="150"/>
        <w:textAlignment w:val="auto"/>
        <w:rPr>
          <w:rFonts w:hint="default" w:ascii="Times New Roman" w:hAnsi="Times New Roman" w:eastAsia="仿宋_GB2312" w:cs="Times New Roman"/>
          <w:color w:val="auto"/>
          <w:sz w:val="32"/>
          <w:szCs w:val="32"/>
          <w:lang w:val="zh-CN"/>
        </w:rPr>
      </w:pPr>
      <w:r>
        <w:rPr>
          <w:rFonts w:hint="default" w:ascii="Times New Roman" w:hAnsi="Times New Roman" w:eastAsia="楷体_GB2312" w:cs="Times New Roman"/>
          <w:b/>
          <w:bCs w:val="0"/>
          <w:color w:val="auto"/>
          <w:sz w:val="32"/>
          <w:szCs w:val="32"/>
        </w:rPr>
        <w:t>（三）项目自评步骤及方法。</w:t>
      </w:r>
      <w:r>
        <w:rPr>
          <w:rFonts w:hint="default" w:ascii="Times New Roman" w:hAnsi="Times New Roman" w:eastAsia="仿宋_GB2312" w:cs="Times New Roman"/>
          <w:color w:val="auto"/>
          <w:sz w:val="32"/>
          <w:szCs w:val="32"/>
          <w:lang w:val="zh-CN"/>
        </w:rPr>
        <w:t>该项目是由区残疾人</w:t>
      </w:r>
      <w:r>
        <w:rPr>
          <w:rFonts w:hint="eastAsia" w:ascii="Times New Roman" w:hAnsi="Times New Roman" w:eastAsia="仿宋_GB2312" w:cs="Times New Roman"/>
          <w:color w:val="auto"/>
          <w:sz w:val="32"/>
          <w:szCs w:val="32"/>
          <w:lang w:val="zh-CN"/>
        </w:rPr>
        <w:t>就业服务所</w:t>
      </w:r>
      <w:r>
        <w:rPr>
          <w:rFonts w:hint="default" w:ascii="Times New Roman" w:hAnsi="Times New Roman" w:eastAsia="仿宋_GB2312" w:cs="Times New Roman"/>
          <w:color w:val="auto"/>
          <w:sz w:val="32"/>
          <w:szCs w:val="32"/>
          <w:lang w:val="zh-CN"/>
        </w:rPr>
        <w:t>组织实施，项目立项依据充分，项目管理及时到位，评价方法和标准科学合理。</w:t>
      </w:r>
    </w:p>
    <w:p>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textAlignment w:val="auto"/>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rPr>
        <w:t>二、项目资金申报及使用情况。</w:t>
      </w:r>
    </w:p>
    <w:p>
      <w:pPr>
        <w:keepNext w:val="0"/>
        <w:keepLines w:val="0"/>
        <w:pageBreakBefore w:val="0"/>
        <w:widowControl w:val="0"/>
        <w:kinsoku/>
        <w:wordWrap/>
        <w:overflowPunct/>
        <w:topLinePunct w:val="0"/>
        <w:autoSpaceDE/>
        <w:autoSpaceDN/>
        <w:bidi w:val="0"/>
        <w:adjustRightInd w:val="0"/>
        <w:snapToGrid w:val="0"/>
        <w:spacing w:line="560" w:lineRule="atLeast"/>
        <w:ind w:firstLine="642" w:firstLineChars="200"/>
        <w:textAlignment w:val="auto"/>
        <w:rPr>
          <w:rFonts w:hint="default" w:ascii="Times New Roman" w:hAnsi="Times New Roman" w:eastAsia="楷体_GB2312" w:cs="Times New Roman"/>
          <w:b/>
          <w:bCs w:val="0"/>
          <w:color w:val="auto"/>
          <w:sz w:val="32"/>
          <w:szCs w:val="32"/>
        </w:rPr>
      </w:pPr>
      <w:r>
        <w:rPr>
          <w:rFonts w:hint="default" w:ascii="Times New Roman" w:hAnsi="Times New Roman" w:eastAsia="楷体_GB2312" w:cs="Times New Roman"/>
          <w:b/>
          <w:bCs w:val="0"/>
          <w:color w:val="auto"/>
          <w:sz w:val="32"/>
          <w:szCs w:val="32"/>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该项目资金申报及时，区财政也批复并下达了202</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eastAsia="zh-CN"/>
        </w:rPr>
        <w:t>区级</w:t>
      </w:r>
      <w:r>
        <w:rPr>
          <w:rFonts w:hint="default" w:ascii="Times New Roman" w:hAnsi="Times New Roman" w:eastAsia="仿宋_GB2312" w:cs="Times New Roman"/>
          <w:color w:val="auto"/>
          <w:sz w:val="32"/>
          <w:szCs w:val="32"/>
        </w:rPr>
        <w:t>预算</w:t>
      </w:r>
      <w:r>
        <w:rPr>
          <w:rFonts w:hint="default" w:ascii="Times New Roman" w:hAnsi="Times New Roman" w:eastAsia="仿宋_GB2312" w:cs="Times New Roman"/>
          <w:color w:val="auto"/>
          <w:sz w:val="32"/>
          <w:szCs w:val="32"/>
          <w:lang w:val="en-US" w:eastAsia="zh-CN"/>
        </w:rPr>
        <w:t>资金</w:t>
      </w:r>
      <w:r>
        <w:rPr>
          <w:rFonts w:hint="eastAsia" w:ascii="Times New Roman" w:hAnsi="Times New Roman" w:eastAsia="仿宋_GB2312" w:cs="Times New Roman"/>
          <w:color w:val="auto"/>
          <w:sz w:val="32"/>
          <w:szCs w:val="32"/>
          <w:lang w:val="en-US" w:eastAsia="zh-CN"/>
        </w:rPr>
        <w:t>15万</w:t>
      </w:r>
      <w:r>
        <w:rPr>
          <w:rFonts w:hint="default" w:ascii="Times New Roman" w:hAnsi="Times New Roman" w:eastAsia="仿宋_GB2312" w:cs="Times New Roman"/>
          <w:color w:val="auto"/>
          <w:sz w:val="32"/>
          <w:szCs w:val="32"/>
          <w:lang w:val="en-US" w:eastAsia="zh-CN"/>
        </w:rPr>
        <w:t>元</w:t>
      </w:r>
      <w:r>
        <w:rPr>
          <w:rFonts w:hint="eastAsia" w:ascii="Times New Roman" w:hAnsi="Times New Roman" w:eastAsia="仿宋_GB2312" w:cs="Times New Roman"/>
          <w:color w:val="auto"/>
          <w:sz w:val="32"/>
          <w:szCs w:val="32"/>
          <w:lang w:val="en-US" w:eastAsia="zh-CN"/>
        </w:rPr>
        <w:t>、调剂后金额为12.07万</w:t>
      </w:r>
      <w:r>
        <w:rPr>
          <w:rFonts w:hint="default" w:ascii="Times New Roman" w:hAnsi="Times New Roman" w:eastAsia="仿宋_GB2312" w:cs="Times New Roman"/>
          <w:color w:val="auto"/>
          <w:sz w:val="32"/>
          <w:szCs w:val="32"/>
        </w:rPr>
        <w:t>元</w:t>
      </w: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省级</w:t>
      </w:r>
      <w:r>
        <w:rPr>
          <w:rFonts w:hint="eastAsia" w:ascii="Times New Roman" w:hAnsi="Times New Roman" w:eastAsia="仿宋_GB2312" w:cs="Times New Roman"/>
          <w:color w:val="auto"/>
          <w:sz w:val="32"/>
          <w:szCs w:val="32"/>
          <w:lang w:eastAsia="zh-CN"/>
        </w:rPr>
        <w:t>一般预算资金</w:t>
      </w:r>
      <w:r>
        <w:rPr>
          <w:rFonts w:hint="eastAsia" w:ascii="Times New Roman" w:hAnsi="Times New Roman" w:eastAsia="仿宋_GB2312" w:cs="Times New Roman"/>
          <w:color w:val="auto"/>
          <w:sz w:val="32"/>
          <w:szCs w:val="32"/>
          <w:lang w:val="en-US" w:eastAsia="zh-CN"/>
        </w:rPr>
        <w:t>4.3万元，市级资金0.63万元，合计17万元</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atLeast"/>
        <w:ind w:firstLine="642" w:firstLineChars="200"/>
        <w:textAlignment w:val="auto"/>
        <w:rPr>
          <w:rFonts w:hint="default" w:ascii="Times New Roman" w:hAnsi="Times New Roman" w:eastAsia="楷体_GB2312" w:cs="Times New Roman"/>
          <w:b/>
          <w:bCs w:val="0"/>
          <w:color w:val="auto"/>
          <w:sz w:val="32"/>
          <w:szCs w:val="32"/>
        </w:rPr>
      </w:pPr>
      <w:r>
        <w:rPr>
          <w:rFonts w:hint="default" w:ascii="Times New Roman" w:hAnsi="Times New Roman" w:eastAsia="楷体_GB2312" w:cs="Times New Roman"/>
          <w:b/>
          <w:bCs w:val="0"/>
          <w:color w:val="auto"/>
          <w:sz w:val="32"/>
          <w:szCs w:val="32"/>
        </w:rPr>
        <w:t>（二）资金计划、到位及使用情况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val="0"/>
          <w:color w:val="auto"/>
          <w:sz w:val="32"/>
          <w:szCs w:val="32"/>
        </w:rPr>
        <w:t>1</w:t>
      </w:r>
      <w:r>
        <w:rPr>
          <w:rFonts w:hint="default"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rPr>
        <w:t>资金计划。</w:t>
      </w:r>
      <w:r>
        <w:rPr>
          <w:rFonts w:hint="eastAsia" w:ascii="仿宋_GB2312" w:hAnsi="宋体" w:eastAsia="仿宋_GB2312" w:cs="Times New Roman"/>
          <w:sz w:val="32"/>
          <w:szCs w:val="32"/>
          <w:lang w:val="en-US" w:eastAsia="zh-CN"/>
        </w:rPr>
        <w:t>根据居家灵活就业补贴任务数300人，使用资金15万元。2023年残疾人一次性创业补贴任务数2人，使用资金2万元的任务数。</w:t>
      </w:r>
      <w:r>
        <w:rPr>
          <w:rFonts w:hint="default" w:ascii="Times New Roman" w:hAnsi="Times New Roman" w:eastAsia="仿宋_GB2312" w:cs="Times New Roman"/>
          <w:color w:val="auto"/>
          <w:sz w:val="32"/>
          <w:szCs w:val="32"/>
        </w:rPr>
        <w:t>该项目资金区财政预算</w:t>
      </w:r>
      <w:r>
        <w:rPr>
          <w:rFonts w:hint="eastAsia" w:ascii="Times New Roman" w:hAnsi="Times New Roman" w:eastAsia="仿宋_GB2312" w:cs="Times New Roman"/>
          <w:color w:val="auto"/>
          <w:sz w:val="32"/>
          <w:szCs w:val="32"/>
          <w:lang w:val="en-US" w:eastAsia="zh-CN"/>
        </w:rPr>
        <w:t>12.07万</w:t>
      </w:r>
      <w:r>
        <w:rPr>
          <w:rFonts w:hint="default" w:ascii="Times New Roman" w:hAnsi="Times New Roman" w:eastAsia="仿宋_GB2312" w:cs="Times New Roman"/>
          <w:color w:val="auto"/>
          <w:sz w:val="32"/>
          <w:szCs w:val="32"/>
        </w:rPr>
        <w:t>元</w:t>
      </w: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省级</w:t>
      </w:r>
      <w:r>
        <w:rPr>
          <w:rFonts w:hint="eastAsia" w:ascii="Times New Roman" w:hAnsi="Times New Roman" w:eastAsia="仿宋_GB2312" w:cs="Times New Roman"/>
          <w:color w:val="auto"/>
          <w:sz w:val="32"/>
          <w:szCs w:val="32"/>
          <w:lang w:eastAsia="zh-CN"/>
        </w:rPr>
        <w:t>一般预算资金</w:t>
      </w:r>
      <w:r>
        <w:rPr>
          <w:rFonts w:hint="eastAsia" w:ascii="Times New Roman" w:hAnsi="Times New Roman" w:eastAsia="仿宋_GB2312" w:cs="Times New Roman"/>
          <w:color w:val="auto"/>
          <w:sz w:val="32"/>
          <w:szCs w:val="32"/>
          <w:lang w:val="en-US" w:eastAsia="zh-CN"/>
        </w:rPr>
        <w:t>4.3万元，市级资金0.63万元，合计17万元</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atLeast"/>
        <w:ind w:firstLine="642"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
          <w:bCs w:val="0"/>
          <w:color w:val="auto"/>
          <w:sz w:val="32"/>
          <w:szCs w:val="32"/>
        </w:rPr>
        <w:t>2</w:t>
      </w:r>
      <w:r>
        <w:rPr>
          <w:rFonts w:hint="default"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rPr>
        <w:t>资金到位。</w:t>
      </w:r>
      <w:r>
        <w:rPr>
          <w:rFonts w:hint="default" w:ascii="Times New Roman" w:hAnsi="Times New Roman" w:eastAsia="仿宋_GB2312" w:cs="Times New Roman"/>
          <w:color w:val="auto"/>
          <w:sz w:val="32"/>
          <w:szCs w:val="32"/>
        </w:rPr>
        <w:t>该项目资金区财政到位</w:t>
      </w:r>
      <w:r>
        <w:rPr>
          <w:rFonts w:hint="eastAsia" w:ascii="Times New Roman" w:hAnsi="Times New Roman" w:eastAsia="仿宋_GB2312" w:cs="Times New Roman"/>
          <w:color w:val="auto"/>
          <w:sz w:val="32"/>
          <w:szCs w:val="32"/>
          <w:lang w:val="en-US" w:eastAsia="zh-CN"/>
        </w:rPr>
        <w:t>12.07万</w:t>
      </w:r>
      <w:r>
        <w:rPr>
          <w:rFonts w:hint="default" w:ascii="Times New Roman" w:hAnsi="Times New Roman" w:eastAsia="仿宋_GB2312" w:cs="Times New Roman"/>
          <w:color w:val="auto"/>
          <w:sz w:val="32"/>
          <w:szCs w:val="32"/>
        </w:rPr>
        <w:t>元</w:t>
      </w: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省级</w:t>
      </w:r>
      <w:r>
        <w:rPr>
          <w:rFonts w:hint="eastAsia" w:ascii="Times New Roman" w:hAnsi="Times New Roman" w:eastAsia="仿宋_GB2312" w:cs="Times New Roman"/>
          <w:color w:val="auto"/>
          <w:sz w:val="32"/>
          <w:szCs w:val="32"/>
          <w:lang w:eastAsia="zh-CN"/>
        </w:rPr>
        <w:t>一般预算资金</w:t>
      </w:r>
      <w:r>
        <w:rPr>
          <w:rFonts w:hint="eastAsia" w:ascii="Times New Roman" w:hAnsi="Times New Roman" w:eastAsia="仿宋_GB2312" w:cs="Times New Roman"/>
          <w:color w:val="auto"/>
          <w:sz w:val="32"/>
          <w:szCs w:val="32"/>
          <w:lang w:val="en-US" w:eastAsia="zh-CN"/>
        </w:rPr>
        <w:t>4.3万元，市级资金0.63万元，合计17万元</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bCs/>
          <w:color w:val="auto"/>
          <w:sz w:val="32"/>
          <w:szCs w:val="32"/>
        </w:rPr>
        <w:t>资金到位率100%，到位及时</w:t>
      </w:r>
      <w:r>
        <w:rPr>
          <w:rFonts w:hint="default" w:ascii="Times New Roman" w:hAnsi="Times New Roman" w:eastAsia="仿宋_GB2312" w:cs="Times New Roman"/>
          <w:color w:val="auto"/>
          <w:sz w:val="32"/>
          <w:szCs w:val="32"/>
          <w:lang w:val="zh-CN"/>
        </w:rPr>
        <w:t>，配套资金筹措能力较好</w:t>
      </w:r>
      <w:r>
        <w:rPr>
          <w:rFonts w:hint="default" w:ascii="Times New Roman" w:hAnsi="Times New Roman" w:eastAsia="仿宋_GB2312" w:cs="Times New Roman"/>
          <w:bCs/>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atLeast"/>
        <w:ind w:firstLine="642" w:firstLineChars="200"/>
        <w:textAlignment w:val="auto"/>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b/>
          <w:bCs w:val="0"/>
          <w:color w:val="auto"/>
          <w:sz w:val="32"/>
          <w:szCs w:val="32"/>
        </w:rPr>
        <w:t>3</w:t>
      </w:r>
      <w:r>
        <w:rPr>
          <w:rFonts w:hint="default"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rPr>
        <w:t>资金使用。</w:t>
      </w:r>
      <w:r>
        <w:rPr>
          <w:rFonts w:hint="default" w:ascii="Times New Roman" w:hAnsi="Times New Roman" w:eastAsia="仿宋_GB2312" w:cs="Times New Roman"/>
          <w:color w:val="auto"/>
          <w:sz w:val="32"/>
          <w:szCs w:val="32"/>
          <w:lang w:val="zh-CN"/>
        </w:rPr>
        <w:t>该项目经费</w:t>
      </w:r>
      <w:r>
        <w:rPr>
          <w:rFonts w:hint="eastAsia" w:ascii="Times New Roman" w:hAnsi="Times New Roman" w:eastAsia="仿宋_GB2312" w:cs="Times New Roman"/>
          <w:color w:val="auto"/>
          <w:sz w:val="32"/>
          <w:szCs w:val="32"/>
          <w:lang w:val="zh-CN"/>
        </w:rPr>
        <w:t>支出</w:t>
      </w:r>
      <w:r>
        <w:rPr>
          <w:rFonts w:hint="default" w:ascii="Times New Roman" w:hAnsi="Times New Roman" w:eastAsia="仿宋_GB2312" w:cs="Times New Roman"/>
          <w:color w:val="auto"/>
          <w:sz w:val="32"/>
          <w:szCs w:val="32"/>
          <w:lang w:val="zh-CN"/>
        </w:rPr>
        <w:t>合计</w:t>
      </w:r>
      <w:r>
        <w:rPr>
          <w:rFonts w:hint="eastAsia" w:ascii="Times New Roman" w:hAnsi="Times New Roman" w:eastAsia="仿宋_GB2312" w:cs="Times New Roman"/>
          <w:color w:val="auto"/>
          <w:sz w:val="32"/>
          <w:szCs w:val="32"/>
          <w:lang w:val="en-US" w:eastAsia="zh-CN"/>
        </w:rPr>
        <w:t>17万</w:t>
      </w:r>
      <w:r>
        <w:rPr>
          <w:rFonts w:hint="default" w:ascii="Times New Roman" w:hAnsi="Times New Roman" w:eastAsia="仿宋_GB2312" w:cs="Times New Roman"/>
          <w:color w:val="auto"/>
          <w:sz w:val="32"/>
          <w:szCs w:val="32"/>
          <w:lang w:val="zh-CN"/>
        </w:rPr>
        <w:t>元，其中区级资金支出</w:t>
      </w:r>
      <w:r>
        <w:rPr>
          <w:rFonts w:hint="eastAsia" w:ascii="Times New Roman" w:hAnsi="Times New Roman" w:eastAsia="仿宋_GB2312" w:cs="Times New Roman"/>
          <w:color w:val="auto"/>
          <w:sz w:val="32"/>
          <w:szCs w:val="32"/>
          <w:lang w:val="en-US" w:eastAsia="zh-CN"/>
        </w:rPr>
        <w:t>12.07万</w:t>
      </w:r>
      <w:r>
        <w:rPr>
          <w:rFonts w:hint="default" w:ascii="Times New Roman" w:hAnsi="Times New Roman" w:eastAsia="仿宋_GB2312" w:cs="Times New Roman"/>
          <w:color w:val="auto"/>
          <w:sz w:val="32"/>
          <w:szCs w:val="32"/>
        </w:rPr>
        <w:t>元</w:t>
      </w: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省级</w:t>
      </w:r>
      <w:r>
        <w:rPr>
          <w:rFonts w:hint="eastAsia" w:ascii="Times New Roman" w:hAnsi="Times New Roman" w:eastAsia="仿宋_GB2312" w:cs="Times New Roman"/>
          <w:color w:val="auto"/>
          <w:sz w:val="32"/>
          <w:szCs w:val="32"/>
          <w:lang w:eastAsia="zh-CN"/>
        </w:rPr>
        <w:t>一般预算资金</w:t>
      </w:r>
      <w:r>
        <w:rPr>
          <w:rFonts w:hint="eastAsia" w:ascii="Times New Roman" w:hAnsi="Times New Roman" w:eastAsia="仿宋_GB2312" w:cs="Times New Roman"/>
          <w:color w:val="auto"/>
          <w:sz w:val="32"/>
          <w:szCs w:val="32"/>
          <w:lang w:val="en-US" w:eastAsia="zh-CN"/>
        </w:rPr>
        <w:t>4.3万元，市级资金0.63万元</w:t>
      </w:r>
      <w:r>
        <w:rPr>
          <w:rFonts w:hint="default" w:ascii="Times New Roman" w:hAnsi="Times New Roman" w:eastAsia="仿宋_GB2312" w:cs="Times New Roman"/>
          <w:color w:val="auto"/>
          <w:sz w:val="32"/>
          <w:szCs w:val="32"/>
          <w:lang w:val="en-US" w:eastAsia="zh-CN"/>
        </w:rPr>
        <w:t>，</w:t>
      </w:r>
      <w:r>
        <w:rPr>
          <w:rFonts w:hint="eastAsia" w:ascii="仿宋_GB2312" w:hAnsi="宋体" w:eastAsia="仿宋_GB2312" w:cs="Times New Roman"/>
          <w:sz w:val="32"/>
          <w:szCs w:val="32"/>
          <w:lang w:val="en-US" w:eastAsia="zh-CN"/>
        </w:rPr>
        <w:t>灵活就业补贴资金和残疾人一次性创业补贴资金已通过一卡通发放系统发放至残疾人社保账户中。</w:t>
      </w:r>
      <w:r>
        <w:rPr>
          <w:rFonts w:hint="default" w:ascii="Times New Roman" w:hAnsi="Times New Roman" w:eastAsia="仿宋_GB2312" w:cs="Times New Roman"/>
          <w:color w:val="auto"/>
          <w:sz w:val="32"/>
          <w:szCs w:val="32"/>
          <w:lang w:val="zh-CN"/>
        </w:rPr>
        <w:t>支付范围合法、支付标准准确、支付进度适当、支付依据充分，区级预算执行率</w:t>
      </w:r>
      <w:r>
        <w:rPr>
          <w:rFonts w:hint="eastAsia" w:ascii="Times New Roman" w:hAnsi="Times New Roman" w:eastAsia="仿宋_GB2312" w:cs="Times New Roman"/>
          <w:color w:val="auto"/>
          <w:sz w:val="32"/>
          <w:szCs w:val="32"/>
          <w:lang w:val="en-US" w:eastAsia="zh-CN"/>
        </w:rPr>
        <w:t>100</w:t>
      </w:r>
      <w:r>
        <w:rPr>
          <w:rFonts w:hint="default" w:ascii="Times New Roman" w:hAnsi="Times New Roman" w:eastAsia="仿宋_GB2312" w:cs="Times New Roman"/>
          <w:color w:val="auto"/>
          <w:sz w:val="32"/>
          <w:szCs w:val="32"/>
          <w:lang w:val="zh-CN"/>
        </w:rPr>
        <w:t>%。</w:t>
      </w:r>
    </w:p>
    <w:p>
      <w:pPr>
        <w:keepNext w:val="0"/>
        <w:keepLines w:val="0"/>
        <w:pageBreakBefore w:val="0"/>
        <w:widowControl w:val="0"/>
        <w:kinsoku/>
        <w:wordWrap/>
        <w:overflowPunct/>
        <w:topLinePunct w:val="0"/>
        <w:autoSpaceDE/>
        <w:autoSpaceDN/>
        <w:bidi w:val="0"/>
        <w:adjustRightInd w:val="0"/>
        <w:snapToGrid w:val="0"/>
        <w:spacing w:line="560" w:lineRule="atLeast"/>
        <w:ind w:firstLine="642"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楷体_GB2312" w:cs="Times New Roman"/>
          <w:b/>
          <w:bCs w:val="0"/>
          <w:color w:val="auto"/>
          <w:sz w:val="32"/>
          <w:szCs w:val="32"/>
        </w:rPr>
        <w:t>（三）项目财务管理情况。</w:t>
      </w:r>
      <w:r>
        <w:rPr>
          <w:rFonts w:hint="default" w:ascii="Times New Roman" w:hAnsi="Times New Roman" w:eastAsia="仿宋_GB2312" w:cs="Times New Roman"/>
          <w:color w:val="auto"/>
          <w:sz w:val="32"/>
          <w:szCs w:val="32"/>
        </w:rPr>
        <w:t>该</w:t>
      </w:r>
      <w:r>
        <w:rPr>
          <w:rFonts w:hint="default" w:ascii="Times New Roman" w:hAnsi="Times New Roman" w:eastAsia="仿宋_GB2312" w:cs="Times New Roman"/>
          <w:color w:val="auto"/>
          <w:sz w:val="32"/>
          <w:szCs w:val="32"/>
          <w:lang w:val="zh-CN"/>
        </w:rPr>
        <w:t>项目</w:t>
      </w:r>
      <w:r>
        <w:rPr>
          <w:rFonts w:hint="default" w:ascii="Times New Roman" w:hAnsi="Times New Roman" w:eastAsia="仿宋_GB2312" w:cs="Times New Roman"/>
          <w:color w:val="auto"/>
          <w:sz w:val="32"/>
          <w:szCs w:val="32"/>
        </w:rPr>
        <w:t>资金按照现行财务管理制度规定使用，账务处理及时，会计核算规范。</w:t>
      </w:r>
    </w:p>
    <w:p>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textAlignment w:val="auto"/>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rPr>
        <w:t>三、项目实施及管理情况。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default" w:ascii="Times New Roman" w:hAnsi="Times New Roman" w:eastAsia="仿宋_GB2312" w:cs="Times New Roman"/>
          <w:b/>
          <w:color w:val="auto"/>
          <w:sz w:val="32"/>
          <w:szCs w:val="32"/>
        </w:rPr>
      </w:pPr>
      <w:r>
        <w:rPr>
          <w:rFonts w:hint="default" w:ascii="Times New Roman" w:hAnsi="Times New Roman" w:eastAsia="楷体_GB2312" w:cs="Times New Roman"/>
          <w:b/>
          <w:bCs w:val="0"/>
          <w:color w:val="auto"/>
          <w:sz w:val="32"/>
          <w:szCs w:val="32"/>
        </w:rPr>
        <w:t>（一）项目组织架构及实施流程。</w:t>
      </w:r>
      <w:r>
        <w:rPr>
          <w:rFonts w:hint="default" w:ascii="Times New Roman" w:hAnsi="Times New Roman" w:eastAsia="仿宋_GB2312" w:cs="Times New Roman"/>
          <w:color w:val="auto"/>
          <w:sz w:val="32"/>
          <w:szCs w:val="32"/>
          <w:lang w:val="zh-CN"/>
        </w:rPr>
        <w:t>该项目是由区残疾人</w:t>
      </w:r>
      <w:r>
        <w:rPr>
          <w:rFonts w:hint="eastAsia" w:ascii="Times New Roman" w:hAnsi="Times New Roman" w:eastAsia="仿宋_GB2312" w:cs="Times New Roman"/>
          <w:color w:val="auto"/>
          <w:sz w:val="32"/>
          <w:szCs w:val="32"/>
          <w:lang w:val="zh-CN"/>
        </w:rPr>
        <w:t>就业服务所</w:t>
      </w:r>
      <w:r>
        <w:rPr>
          <w:rFonts w:hint="default" w:ascii="Times New Roman" w:hAnsi="Times New Roman" w:eastAsia="仿宋_GB2312" w:cs="Times New Roman"/>
          <w:color w:val="auto"/>
          <w:sz w:val="32"/>
          <w:szCs w:val="32"/>
          <w:lang w:val="zh-CN"/>
        </w:rPr>
        <w:t>具体组织开展，</w:t>
      </w:r>
      <w:r>
        <w:rPr>
          <w:rFonts w:hint="eastAsia" w:ascii="仿宋_GB2312" w:hAnsi="宋体" w:eastAsia="仿宋_GB2312" w:cs="Times New Roman"/>
          <w:sz w:val="32"/>
          <w:szCs w:val="32"/>
          <w:lang w:val="en-US" w:eastAsia="zh-CN"/>
        </w:rPr>
        <w:t>通过残疾人提出申请，村（社）、乡镇（街道）区残联等逐级审核、审批及公示，</w:t>
      </w:r>
      <w:r>
        <w:rPr>
          <w:rFonts w:hint="eastAsia" w:ascii="仿宋_GB2312" w:hAnsi="宋体" w:eastAsia="仿宋_GB2312"/>
          <w:sz w:val="32"/>
          <w:szCs w:val="32"/>
          <w:lang w:val="en-US" w:eastAsia="zh-CN"/>
        </w:rPr>
        <w:t>区残联对补贴资料进行审核及电话等方式抽查，</w:t>
      </w:r>
      <w:r>
        <w:rPr>
          <w:rFonts w:hint="default" w:ascii="Times New Roman" w:hAnsi="Times New Roman" w:eastAsia="仿宋_GB2312" w:cs="Times New Roman"/>
          <w:color w:val="auto"/>
          <w:sz w:val="32"/>
          <w:szCs w:val="32"/>
          <w:lang w:val="zh-CN"/>
        </w:rPr>
        <w:t>实施流程规范。</w:t>
      </w:r>
    </w:p>
    <w:p>
      <w:pPr>
        <w:keepNext w:val="0"/>
        <w:keepLines w:val="0"/>
        <w:pageBreakBefore w:val="0"/>
        <w:widowControl w:val="0"/>
        <w:kinsoku/>
        <w:wordWrap/>
        <w:overflowPunct/>
        <w:topLinePunct w:val="0"/>
        <w:autoSpaceDE/>
        <w:autoSpaceDN/>
        <w:bidi w:val="0"/>
        <w:adjustRightInd w:val="0"/>
        <w:snapToGrid w:val="0"/>
        <w:spacing w:line="560" w:lineRule="atLeast"/>
        <w:ind w:firstLine="642"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楷体_GB2312" w:cs="Times New Roman"/>
          <w:b/>
          <w:bCs w:val="0"/>
          <w:color w:val="auto"/>
          <w:sz w:val="32"/>
          <w:szCs w:val="32"/>
        </w:rPr>
        <w:t>（二）项目管理情况。</w:t>
      </w:r>
      <w:r>
        <w:rPr>
          <w:rFonts w:hint="default" w:ascii="Times New Roman" w:hAnsi="Times New Roman" w:eastAsia="仿宋_GB2312" w:cs="Times New Roman"/>
          <w:bCs/>
          <w:color w:val="auto"/>
          <w:sz w:val="32"/>
          <w:szCs w:val="32"/>
        </w:rPr>
        <w:t>区残联按照残疾人</w:t>
      </w:r>
      <w:r>
        <w:rPr>
          <w:rFonts w:hint="default" w:ascii="Times New Roman" w:hAnsi="Times New Roman" w:eastAsia="仿宋_GB2312" w:cs="Times New Roman"/>
          <w:bCs/>
          <w:color w:val="auto"/>
          <w:sz w:val="32"/>
          <w:szCs w:val="32"/>
          <w:lang w:eastAsia="zh-CN"/>
        </w:rPr>
        <w:t>居家灵活就业补贴</w:t>
      </w:r>
      <w:r>
        <w:rPr>
          <w:rFonts w:hint="eastAsia" w:ascii="Times New Roman" w:hAnsi="Times New Roman" w:eastAsia="仿宋_GB2312" w:cs="Times New Roman"/>
          <w:bCs/>
          <w:color w:val="auto"/>
          <w:sz w:val="32"/>
          <w:szCs w:val="32"/>
          <w:lang w:eastAsia="zh-CN"/>
        </w:rPr>
        <w:t>及</w:t>
      </w:r>
      <w:r>
        <w:rPr>
          <w:rFonts w:hint="default" w:ascii="Times New Roman" w:hAnsi="Times New Roman" w:eastAsia="仿宋_GB2312" w:cs="Times New Roman"/>
          <w:bCs/>
          <w:color w:val="auto"/>
          <w:sz w:val="32"/>
          <w:szCs w:val="32"/>
          <w:lang w:eastAsia="zh-CN"/>
        </w:rPr>
        <w:t>扶持残疾人自主创业补贴</w:t>
      </w:r>
      <w:r>
        <w:rPr>
          <w:rFonts w:hint="eastAsia" w:ascii="Times New Roman" w:hAnsi="Times New Roman" w:eastAsia="仿宋_GB2312" w:cs="Times New Roman"/>
          <w:bCs/>
          <w:color w:val="auto"/>
          <w:sz w:val="32"/>
          <w:szCs w:val="32"/>
          <w:lang w:eastAsia="zh-CN"/>
        </w:rPr>
        <w:t>发放</w:t>
      </w:r>
      <w:r>
        <w:rPr>
          <w:rFonts w:hint="default" w:ascii="Times New Roman" w:hAnsi="Times New Roman" w:eastAsia="仿宋_GB2312" w:cs="Times New Roman"/>
          <w:bCs/>
          <w:color w:val="auto"/>
          <w:sz w:val="32"/>
          <w:szCs w:val="32"/>
        </w:rPr>
        <w:t>，对项目进行管理。</w:t>
      </w:r>
    </w:p>
    <w:p>
      <w:pPr>
        <w:keepNext w:val="0"/>
        <w:keepLines w:val="0"/>
        <w:pageBreakBefore w:val="0"/>
        <w:widowControl w:val="0"/>
        <w:kinsoku/>
        <w:wordWrap/>
        <w:overflowPunct/>
        <w:topLinePunct w:val="0"/>
        <w:autoSpaceDE/>
        <w:autoSpaceDN/>
        <w:bidi w:val="0"/>
        <w:adjustRightInd w:val="0"/>
        <w:snapToGrid w:val="0"/>
        <w:spacing w:line="560" w:lineRule="atLeast"/>
        <w:ind w:firstLine="64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val="0"/>
          <w:color w:val="auto"/>
          <w:sz w:val="32"/>
          <w:szCs w:val="32"/>
        </w:rPr>
        <w:t>（三）项目监管情况。</w:t>
      </w:r>
      <w:r>
        <w:rPr>
          <w:rFonts w:hint="default" w:ascii="Times New Roman" w:hAnsi="Times New Roman" w:eastAsia="仿宋_GB2312" w:cs="Times New Roman"/>
          <w:bCs/>
          <w:color w:val="auto"/>
          <w:sz w:val="32"/>
          <w:szCs w:val="32"/>
        </w:rPr>
        <w:t>区残联对</w:t>
      </w:r>
      <w:r>
        <w:rPr>
          <w:rFonts w:hint="default" w:ascii="Times New Roman" w:hAnsi="Times New Roman" w:eastAsia="仿宋_GB2312" w:cs="Times New Roman"/>
          <w:color w:val="auto"/>
          <w:sz w:val="32"/>
          <w:szCs w:val="32"/>
        </w:rPr>
        <w:t>项目的事前、事中、事后进行全过程监督管理。</w:t>
      </w:r>
    </w:p>
    <w:p>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textAlignment w:val="auto"/>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rPr>
        <w:t>四、项目绩效情况。</w:t>
      </w:r>
    </w:p>
    <w:p>
      <w:pPr>
        <w:keepNext w:val="0"/>
        <w:keepLines w:val="0"/>
        <w:pageBreakBefore w:val="0"/>
        <w:widowControl w:val="0"/>
        <w:kinsoku/>
        <w:wordWrap/>
        <w:overflowPunct/>
        <w:topLinePunct w:val="0"/>
        <w:autoSpaceDE/>
        <w:autoSpaceDN/>
        <w:bidi w:val="0"/>
        <w:adjustRightInd w:val="0"/>
        <w:snapToGrid w:val="0"/>
        <w:spacing w:line="560" w:lineRule="atLeast"/>
        <w:ind w:firstLine="642"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楷体_GB2312" w:cs="Times New Roman"/>
          <w:b/>
          <w:bCs w:val="0"/>
          <w:color w:val="auto"/>
          <w:sz w:val="32"/>
          <w:szCs w:val="32"/>
        </w:rPr>
        <w:t>（一）项目完成情况。</w:t>
      </w:r>
      <w:r>
        <w:rPr>
          <w:rFonts w:hint="default" w:ascii="Times New Roman" w:hAnsi="Times New Roman" w:eastAsia="仿宋_GB2312" w:cs="Times New Roman"/>
          <w:bCs/>
          <w:color w:val="auto"/>
          <w:sz w:val="32"/>
          <w:szCs w:val="32"/>
        </w:rPr>
        <w:t>该项目</w:t>
      </w:r>
      <w:r>
        <w:rPr>
          <w:rFonts w:hint="eastAsia" w:ascii="仿宋_GB2312" w:hAnsi="宋体" w:eastAsia="仿宋_GB2312"/>
          <w:sz w:val="32"/>
          <w:szCs w:val="32"/>
          <w:lang w:val="en-US" w:eastAsia="zh-CN"/>
        </w:rPr>
        <w:t>按照500元/人的标准对300名灵活就业残疾人进行补贴，于2023年6月资金通过一卡通系统发放。按照10000元/人的标准对2名灵活就业残疾人进行补贴，于2023年10月资金通过一卡通系统发放，</w:t>
      </w:r>
      <w:r>
        <w:rPr>
          <w:rFonts w:hint="default" w:ascii="Times New Roman" w:hAnsi="Times New Roman" w:eastAsia="仿宋_GB2312" w:cs="Times New Roman"/>
          <w:bCs/>
          <w:color w:val="auto"/>
          <w:sz w:val="32"/>
          <w:szCs w:val="32"/>
        </w:rPr>
        <w:t>完成及时，数量达标、质量优良、成本可控。</w:t>
      </w:r>
    </w:p>
    <w:tbl>
      <w:tblPr>
        <w:tblStyle w:val="17"/>
        <w:tblW w:w="86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6"/>
        <w:gridCol w:w="3585"/>
        <w:gridCol w:w="1566"/>
        <w:gridCol w:w="1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2046" w:type="dxa"/>
            <w:noWrap w:val="0"/>
            <w:vAlign w:val="bottom"/>
          </w:tcPr>
          <w:p>
            <w:pPr>
              <w:keepNext w:val="0"/>
              <w:keepLines w:val="0"/>
              <w:pageBreakBefore w:val="0"/>
              <w:widowControl w:val="0"/>
              <w:suppressLineNumbers w:val="0"/>
              <w:kinsoku/>
              <w:wordWrap/>
              <w:overflowPunct/>
              <w:topLinePunct w:val="0"/>
              <w:bidi w:val="0"/>
              <w:adjustRightInd w:val="0"/>
              <w:snapToGrid w:val="0"/>
              <w:spacing w:line="560" w:lineRule="atLeast"/>
              <w:jc w:val="center"/>
              <w:textAlignment w:val="bottom"/>
              <w:rPr>
                <w:rFonts w:hint="default" w:ascii="黑体" w:hAnsi="黑体" w:eastAsia="黑体" w:cs="黑体"/>
                <w:i w:val="0"/>
                <w:iCs w:val="0"/>
                <w:color w:val="000000"/>
                <w:kern w:val="0"/>
                <w:sz w:val="28"/>
                <w:szCs w:val="28"/>
                <w:u w:val="none"/>
                <w:lang w:val="en-US" w:eastAsia="zh-CN" w:bidi="ar"/>
              </w:rPr>
            </w:pPr>
            <w:r>
              <w:rPr>
                <w:rFonts w:hint="default" w:ascii="黑体" w:hAnsi="黑体" w:eastAsia="黑体" w:cs="黑体"/>
                <w:i w:val="0"/>
                <w:iCs w:val="0"/>
                <w:color w:val="000000"/>
                <w:kern w:val="0"/>
                <w:sz w:val="28"/>
                <w:szCs w:val="28"/>
                <w:u w:val="none"/>
                <w:lang w:val="en-US" w:eastAsia="zh-CN" w:bidi="ar"/>
              </w:rPr>
              <w:t>一级指标</w:t>
            </w:r>
          </w:p>
        </w:tc>
        <w:tc>
          <w:tcPr>
            <w:tcW w:w="3585" w:type="dxa"/>
            <w:noWrap w:val="0"/>
            <w:vAlign w:val="bottom"/>
          </w:tcPr>
          <w:p>
            <w:pPr>
              <w:keepNext w:val="0"/>
              <w:keepLines w:val="0"/>
              <w:pageBreakBefore w:val="0"/>
              <w:widowControl w:val="0"/>
              <w:suppressLineNumbers w:val="0"/>
              <w:kinsoku/>
              <w:wordWrap/>
              <w:overflowPunct/>
              <w:topLinePunct w:val="0"/>
              <w:bidi w:val="0"/>
              <w:adjustRightInd w:val="0"/>
              <w:snapToGrid w:val="0"/>
              <w:spacing w:line="560" w:lineRule="atLeast"/>
              <w:jc w:val="center"/>
              <w:textAlignment w:val="bottom"/>
              <w:rPr>
                <w:rFonts w:hint="default" w:ascii="黑体" w:hAnsi="黑体" w:eastAsia="黑体" w:cs="黑体"/>
                <w:i w:val="0"/>
                <w:iCs w:val="0"/>
                <w:color w:val="000000"/>
                <w:kern w:val="0"/>
                <w:sz w:val="28"/>
                <w:szCs w:val="28"/>
                <w:u w:val="none"/>
                <w:lang w:val="en-US" w:eastAsia="zh-CN" w:bidi="ar"/>
              </w:rPr>
            </w:pPr>
            <w:r>
              <w:rPr>
                <w:rFonts w:hint="default" w:ascii="黑体" w:hAnsi="黑体" w:eastAsia="黑体" w:cs="黑体"/>
                <w:i w:val="0"/>
                <w:iCs w:val="0"/>
                <w:color w:val="000000"/>
                <w:kern w:val="0"/>
                <w:sz w:val="28"/>
                <w:szCs w:val="28"/>
                <w:u w:val="none"/>
                <w:lang w:val="en-US" w:eastAsia="zh-CN" w:bidi="ar"/>
              </w:rPr>
              <w:t>二级指标</w:t>
            </w:r>
          </w:p>
        </w:tc>
        <w:tc>
          <w:tcPr>
            <w:tcW w:w="1566" w:type="dxa"/>
            <w:noWrap w:val="0"/>
            <w:vAlign w:val="bottom"/>
          </w:tcPr>
          <w:p>
            <w:pPr>
              <w:keepNext w:val="0"/>
              <w:keepLines w:val="0"/>
              <w:pageBreakBefore w:val="0"/>
              <w:widowControl w:val="0"/>
              <w:suppressLineNumbers w:val="0"/>
              <w:kinsoku/>
              <w:wordWrap/>
              <w:overflowPunct/>
              <w:topLinePunct w:val="0"/>
              <w:bidi w:val="0"/>
              <w:adjustRightInd w:val="0"/>
              <w:snapToGrid w:val="0"/>
              <w:spacing w:line="560" w:lineRule="atLeast"/>
              <w:jc w:val="center"/>
              <w:textAlignment w:val="bottom"/>
              <w:rPr>
                <w:rFonts w:hint="default" w:ascii="黑体" w:hAnsi="黑体" w:eastAsia="黑体" w:cs="黑体"/>
                <w:i w:val="0"/>
                <w:iCs w:val="0"/>
                <w:color w:val="000000"/>
                <w:kern w:val="0"/>
                <w:sz w:val="28"/>
                <w:szCs w:val="28"/>
                <w:u w:val="none"/>
                <w:lang w:val="en-US" w:eastAsia="zh-CN" w:bidi="ar"/>
              </w:rPr>
            </w:pPr>
            <w:r>
              <w:rPr>
                <w:rFonts w:hint="default" w:ascii="黑体" w:hAnsi="黑体" w:eastAsia="黑体" w:cs="黑体"/>
                <w:i w:val="0"/>
                <w:iCs w:val="0"/>
                <w:color w:val="000000"/>
                <w:kern w:val="0"/>
                <w:sz w:val="28"/>
                <w:szCs w:val="28"/>
                <w:u w:val="none"/>
                <w:lang w:val="en-US" w:eastAsia="zh-CN" w:bidi="ar"/>
              </w:rPr>
              <w:t>指标分值</w:t>
            </w:r>
          </w:p>
        </w:tc>
        <w:tc>
          <w:tcPr>
            <w:tcW w:w="1481" w:type="dxa"/>
            <w:noWrap w:val="0"/>
            <w:vAlign w:val="bottom"/>
          </w:tcPr>
          <w:p>
            <w:pPr>
              <w:keepNext w:val="0"/>
              <w:keepLines w:val="0"/>
              <w:pageBreakBefore w:val="0"/>
              <w:widowControl w:val="0"/>
              <w:suppressLineNumbers w:val="0"/>
              <w:kinsoku/>
              <w:wordWrap/>
              <w:overflowPunct/>
              <w:topLinePunct w:val="0"/>
              <w:bidi w:val="0"/>
              <w:adjustRightInd w:val="0"/>
              <w:snapToGrid w:val="0"/>
              <w:spacing w:line="560" w:lineRule="atLeast"/>
              <w:jc w:val="center"/>
              <w:textAlignment w:val="bottom"/>
              <w:rPr>
                <w:rFonts w:hint="default" w:ascii="黑体" w:hAnsi="黑体" w:eastAsia="黑体" w:cs="黑体"/>
                <w:i w:val="0"/>
                <w:iCs w:val="0"/>
                <w:color w:val="000000"/>
                <w:kern w:val="0"/>
                <w:sz w:val="28"/>
                <w:szCs w:val="28"/>
                <w:u w:val="none"/>
                <w:lang w:val="en-US" w:eastAsia="zh-CN" w:bidi="ar"/>
              </w:rPr>
            </w:pPr>
            <w:r>
              <w:rPr>
                <w:rFonts w:hint="default" w:ascii="黑体" w:hAnsi="黑体" w:eastAsia="黑体" w:cs="黑体"/>
                <w:i w:val="0"/>
                <w:iCs w:val="0"/>
                <w:color w:val="000000"/>
                <w:kern w:val="0"/>
                <w:sz w:val="28"/>
                <w:szCs w:val="28"/>
                <w:u w:val="none"/>
                <w:lang w:val="en-US" w:eastAsia="zh-CN" w:bidi="ar"/>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2046" w:type="dxa"/>
            <w:vMerge w:val="restart"/>
            <w:noWrap w:val="0"/>
            <w:vAlign w:val="center"/>
          </w:tcPr>
          <w:p>
            <w:pPr>
              <w:keepNext w:val="0"/>
              <w:keepLines w:val="0"/>
              <w:pageBreakBefore w:val="0"/>
              <w:widowControl w:val="0"/>
              <w:suppressLineNumbers w:val="0"/>
              <w:kinsoku/>
              <w:wordWrap/>
              <w:overflowPunct/>
              <w:topLinePunct w:val="0"/>
              <w:bidi w:val="0"/>
              <w:adjustRightInd w:val="0"/>
              <w:snapToGrid w:val="0"/>
              <w:spacing w:line="560" w:lineRule="atLeast"/>
              <w:jc w:val="center"/>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i w:val="0"/>
                <w:iCs w:val="0"/>
                <w:color w:val="000000"/>
                <w:kern w:val="0"/>
                <w:sz w:val="28"/>
                <w:szCs w:val="28"/>
                <w:u w:val="none"/>
                <w:lang w:val="en-US" w:eastAsia="zh-CN" w:bidi="ar"/>
              </w:rPr>
              <w:t>项目决策</w:t>
            </w:r>
          </w:p>
        </w:tc>
        <w:tc>
          <w:tcPr>
            <w:tcW w:w="3585" w:type="dxa"/>
            <w:noWrap w:val="0"/>
            <w:vAlign w:val="center"/>
          </w:tcPr>
          <w:p>
            <w:pPr>
              <w:keepNext w:val="0"/>
              <w:keepLines w:val="0"/>
              <w:pageBreakBefore w:val="0"/>
              <w:widowControl w:val="0"/>
              <w:suppressLineNumbers w:val="0"/>
              <w:kinsoku/>
              <w:wordWrap/>
              <w:overflowPunct/>
              <w:topLinePunct w:val="0"/>
              <w:bidi w:val="0"/>
              <w:adjustRightInd w:val="0"/>
              <w:snapToGrid w:val="0"/>
              <w:spacing w:line="560" w:lineRule="atLeast"/>
              <w:jc w:val="center"/>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i w:val="0"/>
                <w:iCs w:val="0"/>
                <w:color w:val="000000"/>
                <w:kern w:val="0"/>
                <w:sz w:val="28"/>
                <w:szCs w:val="28"/>
                <w:u w:val="none"/>
                <w:lang w:val="en-US" w:eastAsia="zh-CN" w:bidi="ar"/>
              </w:rPr>
              <w:t>程序严密</w:t>
            </w:r>
          </w:p>
        </w:tc>
        <w:tc>
          <w:tcPr>
            <w:tcW w:w="1566" w:type="dxa"/>
            <w:noWrap w:val="0"/>
            <w:vAlign w:val="center"/>
          </w:tcPr>
          <w:p>
            <w:pPr>
              <w:keepNext w:val="0"/>
              <w:keepLines w:val="0"/>
              <w:pageBreakBefore w:val="0"/>
              <w:widowControl w:val="0"/>
              <w:suppressLineNumbers w:val="0"/>
              <w:kinsoku/>
              <w:wordWrap/>
              <w:overflowPunct/>
              <w:topLinePunct w:val="0"/>
              <w:bidi w:val="0"/>
              <w:adjustRightInd w:val="0"/>
              <w:snapToGrid w:val="0"/>
              <w:spacing w:line="560" w:lineRule="atLeast"/>
              <w:jc w:val="center"/>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i w:val="0"/>
                <w:iCs w:val="0"/>
                <w:color w:val="000000"/>
                <w:kern w:val="0"/>
                <w:sz w:val="28"/>
                <w:szCs w:val="28"/>
                <w:u w:val="none"/>
                <w:lang w:val="en-US" w:eastAsia="zh-CN" w:bidi="ar"/>
              </w:rPr>
              <w:t>2</w:t>
            </w:r>
          </w:p>
        </w:tc>
        <w:tc>
          <w:tcPr>
            <w:tcW w:w="1481" w:type="dxa"/>
            <w:noWrap w:val="0"/>
            <w:vAlign w:val="center"/>
          </w:tcPr>
          <w:p>
            <w:pPr>
              <w:keepNext w:val="0"/>
              <w:keepLines w:val="0"/>
              <w:pageBreakBefore w:val="0"/>
              <w:widowControl w:val="0"/>
              <w:suppressLineNumbers w:val="0"/>
              <w:kinsoku/>
              <w:wordWrap/>
              <w:overflowPunct/>
              <w:topLinePunct w:val="0"/>
              <w:bidi w:val="0"/>
              <w:adjustRightInd w:val="0"/>
              <w:snapToGrid w:val="0"/>
              <w:spacing w:line="560" w:lineRule="atLeast"/>
              <w:jc w:val="center"/>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i w:val="0"/>
                <w:iCs w:val="0"/>
                <w:color w:val="000000"/>
                <w:kern w:val="0"/>
                <w:sz w:val="28"/>
                <w:szCs w:val="28"/>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2046" w:type="dxa"/>
            <w:vMerge w:val="continue"/>
            <w:noWrap w:val="0"/>
            <w:vAlign w:val="center"/>
          </w:tcPr>
          <w:p>
            <w:pPr>
              <w:keepNext w:val="0"/>
              <w:keepLines w:val="0"/>
              <w:pageBreakBefore w:val="0"/>
              <w:widowControl w:val="0"/>
              <w:kinsoku/>
              <w:wordWrap/>
              <w:overflowPunct/>
              <w:topLinePunct w:val="0"/>
              <w:bidi w:val="0"/>
              <w:adjustRightInd w:val="0"/>
              <w:snapToGrid w:val="0"/>
              <w:spacing w:line="560" w:lineRule="atLeast"/>
              <w:jc w:val="center"/>
              <w:rPr>
                <w:rFonts w:hint="default" w:ascii="Times New Roman" w:hAnsi="Times New Roman" w:eastAsia="仿宋_GB2312" w:cs="Times New Roman"/>
                <w:i w:val="0"/>
                <w:iCs w:val="0"/>
                <w:color w:val="000000"/>
                <w:kern w:val="2"/>
                <w:sz w:val="28"/>
                <w:szCs w:val="28"/>
                <w:u w:val="none"/>
                <w:lang w:val="en-US" w:eastAsia="zh-CN" w:bidi="ar-SA"/>
              </w:rPr>
            </w:pPr>
          </w:p>
        </w:tc>
        <w:tc>
          <w:tcPr>
            <w:tcW w:w="3585" w:type="dxa"/>
            <w:noWrap w:val="0"/>
            <w:vAlign w:val="center"/>
          </w:tcPr>
          <w:p>
            <w:pPr>
              <w:keepNext w:val="0"/>
              <w:keepLines w:val="0"/>
              <w:pageBreakBefore w:val="0"/>
              <w:widowControl w:val="0"/>
              <w:suppressLineNumbers w:val="0"/>
              <w:kinsoku/>
              <w:wordWrap/>
              <w:overflowPunct/>
              <w:topLinePunct w:val="0"/>
              <w:bidi w:val="0"/>
              <w:adjustRightInd w:val="0"/>
              <w:snapToGrid w:val="0"/>
              <w:spacing w:line="560" w:lineRule="atLeast"/>
              <w:jc w:val="center"/>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i w:val="0"/>
                <w:iCs w:val="0"/>
                <w:color w:val="000000"/>
                <w:kern w:val="0"/>
                <w:sz w:val="28"/>
                <w:szCs w:val="28"/>
                <w:u w:val="none"/>
                <w:lang w:val="en-US" w:eastAsia="zh-CN" w:bidi="ar"/>
              </w:rPr>
              <w:t>规划合理</w:t>
            </w:r>
          </w:p>
        </w:tc>
        <w:tc>
          <w:tcPr>
            <w:tcW w:w="1566" w:type="dxa"/>
            <w:noWrap w:val="0"/>
            <w:vAlign w:val="center"/>
          </w:tcPr>
          <w:p>
            <w:pPr>
              <w:keepNext w:val="0"/>
              <w:keepLines w:val="0"/>
              <w:pageBreakBefore w:val="0"/>
              <w:widowControl w:val="0"/>
              <w:suppressLineNumbers w:val="0"/>
              <w:kinsoku/>
              <w:wordWrap/>
              <w:overflowPunct/>
              <w:topLinePunct w:val="0"/>
              <w:bidi w:val="0"/>
              <w:adjustRightInd w:val="0"/>
              <w:snapToGrid w:val="0"/>
              <w:spacing w:line="560" w:lineRule="atLeast"/>
              <w:jc w:val="center"/>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i w:val="0"/>
                <w:iCs w:val="0"/>
                <w:color w:val="000000"/>
                <w:kern w:val="0"/>
                <w:sz w:val="28"/>
                <w:szCs w:val="28"/>
                <w:u w:val="none"/>
                <w:lang w:val="en-US" w:eastAsia="zh-CN" w:bidi="ar"/>
              </w:rPr>
              <w:t>2</w:t>
            </w:r>
          </w:p>
        </w:tc>
        <w:tc>
          <w:tcPr>
            <w:tcW w:w="1481" w:type="dxa"/>
            <w:noWrap w:val="0"/>
            <w:vAlign w:val="center"/>
          </w:tcPr>
          <w:p>
            <w:pPr>
              <w:keepNext w:val="0"/>
              <w:keepLines w:val="0"/>
              <w:pageBreakBefore w:val="0"/>
              <w:widowControl w:val="0"/>
              <w:suppressLineNumbers w:val="0"/>
              <w:kinsoku/>
              <w:wordWrap/>
              <w:overflowPunct/>
              <w:topLinePunct w:val="0"/>
              <w:bidi w:val="0"/>
              <w:adjustRightInd w:val="0"/>
              <w:snapToGrid w:val="0"/>
              <w:spacing w:line="560" w:lineRule="atLeast"/>
              <w:jc w:val="center"/>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i w:val="0"/>
                <w:iCs w:val="0"/>
                <w:color w:val="000000"/>
                <w:kern w:val="0"/>
                <w:sz w:val="28"/>
                <w:szCs w:val="28"/>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2046" w:type="dxa"/>
            <w:vMerge w:val="continue"/>
            <w:noWrap w:val="0"/>
            <w:vAlign w:val="center"/>
          </w:tcPr>
          <w:p>
            <w:pPr>
              <w:keepNext w:val="0"/>
              <w:keepLines w:val="0"/>
              <w:pageBreakBefore w:val="0"/>
              <w:widowControl w:val="0"/>
              <w:kinsoku/>
              <w:wordWrap/>
              <w:overflowPunct/>
              <w:topLinePunct w:val="0"/>
              <w:bidi w:val="0"/>
              <w:adjustRightInd w:val="0"/>
              <w:snapToGrid w:val="0"/>
              <w:spacing w:line="560" w:lineRule="atLeast"/>
              <w:jc w:val="center"/>
              <w:rPr>
                <w:rFonts w:hint="default" w:ascii="Times New Roman" w:hAnsi="Times New Roman" w:eastAsia="仿宋_GB2312" w:cs="Times New Roman"/>
                <w:i w:val="0"/>
                <w:iCs w:val="0"/>
                <w:color w:val="000000"/>
                <w:kern w:val="2"/>
                <w:sz w:val="28"/>
                <w:szCs w:val="28"/>
                <w:u w:val="none"/>
                <w:lang w:val="en-US" w:eastAsia="zh-CN" w:bidi="ar-SA"/>
              </w:rPr>
            </w:pPr>
          </w:p>
        </w:tc>
        <w:tc>
          <w:tcPr>
            <w:tcW w:w="3585" w:type="dxa"/>
            <w:noWrap w:val="0"/>
            <w:vAlign w:val="center"/>
          </w:tcPr>
          <w:p>
            <w:pPr>
              <w:keepNext w:val="0"/>
              <w:keepLines w:val="0"/>
              <w:pageBreakBefore w:val="0"/>
              <w:widowControl w:val="0"/>
              <w:suppressLineNumbers w:val="0"/>
              <w:kinsoku/>
              <w:wordWrap/>
              <w:overflowPunct/>
              <w:topLinePunct w:val="0"/>
              <w:bidi w:val="0"/>
              <w:adjustRightInd w:val="0"/>
              <w:snapToGrid w:val="0"/>
              <w:spacing w:line="560" w:lineRule="atLeas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结果符合</w:t>
            </w:r>
          </w:p>
        </w:tc>
        <w:tc>
          <w:tcPr>
            <w:tcW w:w="1566" w:type="dxa"/>
            <w:noWrap w:val="0"/>
            <w:vAlign w:val="center"/>
          </w:tcPr>
          <w:p>
            <w:pPr>
              <w:keepNext w:val="0"/>
              <w:keepLines w:val="0"/>
              <w:pageBreakBefore w:val="0"/>
              <w:widowControl w:val="0"/>
              <w:suppressLineNumbers w:val="0"/>
              <w:kinsoku/>
              <w:wordWrap/>
              <w:overflowPunct/>
              <w:topLinePunct w:val="0"/>
              <w:bidi w:val="0"/>
              <w:adjustRightInd w:val="0"/>
              <w:snapToGrid w:val="0"/>
              <w:spacing w:line="560" w:lineRule="atLeas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2</w:t>
            </w:r>
          </w:p>
        </w:tc>
        <w:tc>
          <w:tcPr>
            <w:tcW w:w="1481" w:type="dxa"/>
            <w:noWrap w:val="0"/>
            <w:vAlign w:val="center"/>
          </w:tcPr>
          <w:p>
            <w:pPr>
              <w:keepNext w:val="0"/>
              <w:keepLines w:val="0"/>
              <w:pageBreakBefore w:val="0"/>
              <w:widowControl w:val="0"/>
              <w:suppressLineNumbers w:val="0"/>
              <w:kinsoku/>
              <w:wordWrap/>
              <w:overflowPunct/>
              <w:topLinePunct w:val="0"/>
              <w:bidi w:val="0"/>
              <w:adjustRightInd w:val="0"/>
              <w:snapToGrid w:val="0"/>
              <w:spacing w:line="560" w:lineRule="atLeas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2046" w:type="dxa"/>
            <w:vMerge w:val="restart"/>
            <w:noWrap w:val="0"/>
            <w:vAlign w:val="center"/>
          </w:tcPr>
          <w:p>
            <w:pPr>
              <w:keepNext w:val="0"/>
              <w:keepLines w:val="0"/>
              <w:pageBreakBefore w:val="0"/>
              <w:widowControl w:val="0"/>
              <w:suppressLineNumbers w:val="0"/>
              <w:kinsoku/>
              <w:wordWrap/>
              <w:overflowPunct/>
              <w:topLinePunct w:val="0"/>
              <w:bidi w:val="0"/>
              <w:adjustRightInd w:val="0"/>
              <w:snapToGrid w:val="0"/>
              <w:spacing w:line="560" w:lineRule="atLeast"/>
              <w:jc w:val="center"/>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i w:val="0"/>
                <w:iCs w:val="0"/>
                <w:color w:val="000000"/>
                <w:kern w:val="0"/>
                <w:sz w:val="28"/>
                <w:szCs w:val="28"/>
                <w:u w:val="none"/>
                <w:lang w:val="en-US" w:eastAsia="zh-CN" w:bidi="ar"/>
              </w:rPr>
              <w:t>项目实施</w:t>
            </w:r>
          </w:p>
        </w:tc>
        <w:tc>
          <w:tcPr>
            <w:tcW w:w="3585" w:type="dxa"/>
            <w:noWrap w:val="0"/>
            <w:vAlign w:val="center"/>
          </w:tcPr>
          <w:p>
            <w:pPr>
              <w:keepNext w:val="0"/>
              <w:keepLines w:val="0"/>
              <w:pageBreakBefore w:val="0"/>
              <w:widowControl w:val="0"/>
              <w:suppressLineNumbers w:val="0"/>
              <w:kinsoku/>
              <w:wordWrap/>
              <w:overflowPunct/>
              <w:topLinePunct w:val="0"/>
              <w:bidi w:val="0"/>
              <w:adjustRightInd w:val="0"/>
              <w:snapToGrid w:val="0"/>
              <w:spacing w:line="560" w:lineRule="atLeast"/>
              <w:jc w:val="center"/>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i w:val="0"/>
                <w:iCs w:val="0"/>
                <w:color w:val="000000"/>
                <w:kern w:val="0"/>
                <w:sz w:val="28"/>
                <w:szCs w:val="28"/>
                <w:u w:val="none"/>
                <w:lang w:val="en-US" w:eastAsia="zh-CN" w:bidi="ar"/>
              </w:rPr>
              <w:t>使用合规</w:t>
            </w:r>
          </w:p>
        </w:tc>
        <w:tc>
          <w:tcPr>
            <w:tcW w:w="1566" w:type="dxa"/>
            <w:noWrap w:val="0"/>
            <w:vAlign w:val="center"/>
          </w:tcPr>
          <w:p>
            <w:pPr>
              <w:keepNext w:val="0"/>
              <w:keepLines w:val="0"/>
              <w:pageBreakBefore w:val="0"/>
              <w:widowControl w:val="0"/>
              <w:suppressLineNumbers w:val="0"/>
              <w:kinsoku/>
              <w:wordWrap/>
              <w:overflowPunct/>
              <w:topLinePunct w:val="0"/>
              <w:bidi w:val="0"/>
              <w:adjustRightInd w:val="0"/>
              <w:snapToGrid w:val="0"/>
              <w:spacing w:line="560" w:lineRule="atLeast"/>
              <w:jc w:val="center"/>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i w:val="0"/>
                <w:iCs w:val="0"/>
                <w:color w:val="000000"/>
                <w:kern w:val="0"/>
                <w:sz w:val="28"/>
                <w:szCs w:val="28"/>
                <w:u w:val="none"/>
                <w:lang w:val="en-US" w:eastAsia="zh-CN" w:bidi="ar"/>
              </w:rPr>
              <w:t>4</w:t>
            </w:r>
          </w:p>
        </w:tc>
        <w:tc>
          <w:tcPr>
            <w:tcW w:w="1481" w:type="dxa"/>
            <w:noWrap w:val="0"/>
            <w:vAlign w:val="center"/>
          </w:tcPr>
          <w:p>
            <w:pPr>
              <w:keepNext w:val="0"/>
              <w:keepLines w:val="0"/>
              <w:pageBreakBefore w:val="0"/>
              <w:widowControl w:val="0"/>
              <w:suppressLineNumbers w:val="0"/>
              <w:kinsoku/>
              <w:wordWrap/>
              <w:overflowPunct/>
              <w:topLinePunct w:val="0"/>
              <w:bidi w:val="0"/>
              <w:adjustRightInd w:val="0"/>
              <w:snapToGrid w:val="0"/>
              <w:spacing w:line="560" w:lineRule="atLeast"/>
              <w:jc w:val="center"/>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i w:val="0"/>
                <w:iCs w:val="0"/>
                <w:color w:val="000000"/>
                <w:kern w:val="0"/>
                <w:sz w:val="28"/>
                <w:szCs w:val="28"/>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2046" w:type="dxa"/>
            <w:vMerge w:val="continue"/>
            <w:noWrap w:val="0"/>
            <w:vAlign w:val="center"/>
          </w:tcPr>
          <w:p>
            <w:pPr>
              <w:keepNext w:val="0"/>
              <w:keepLines w:val="0"/>
              <w:pageBreakBefore w:val="0"/>
              <w:widowControl w:val="0"/>
              <w:kinsoku/>
              <w:wordWrap/>
              <w:overflowPunct/>
              <w:topLinePunct w:val="0"/>
              <w:bidi w:val="0"/>
              <w:adjustRightInd w:val="0"/>
              <w:snapToGrid w:val="0"/>
              <w:spacing w:line="560" w:lineRule="atLeast"/>
              <w:jc w:val="center"/>
              <w:rPr>
                <w:rFonts w:hint="default" w:ascii="Times New Roman" w:hAnsi="Times New Roman" w:eastAsia="仿宋_GB2312" w:cs="Times New Roman"/>
                <w:i w:val="0"/>
                <w:iCs w:val="0"/>
                <w:color w:val="000000"/>
                <w:kern w:val="2"/>
                <w:sz w:val="28"/>
                <w:szCs w:val="28"/>
                <w:u w:val="none"/>
                <w:lang w:val="en-US" w:eastAsia="zh-CN" w:bidi="ar-SA"/>
              </w:rPr>
            </w:pPr>
          </w:p>
        </w:tc>
        <w:tc>
          <w:tcPr>
            <w:tcW w:w="3585" w:type="dxa"/>
            <w:noWrap w:val="0"/>
            <w:vAlign w:val="center"/>
          </w:tcPr>
          <w:p>
            <w:pPr>
              <w:keepNext w:val="0"/>
              <w:keepLines w:val="0"/>
              <w:pageBreakBefore w:val="0"/>
              <w:widowControl w:val="0"/>
              <w:suppressLineNumbers w:val="0"/>
              <w:kinsoku/>
              <w:wordWrap/>
              <w:overflowPunct/>
              <w:topLinePunct w:val="0"/>
              <w:bidi w:val="0"/>
              <w:adjustRightInd w:val="0"/>
              <w:snapToGrid w:val="0"/>
              <w:spacing w:line="560" w:lineRule="atLeast"/>
              <w:jc w:val="center"/>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i w:val="0"/>
                <w:iCs w:val="0"/>
                <w:color w:val="000000"/>
                <w:kern w:val="0"/>
                <w:sz w:val="28"/>
                <w:szCs w:val="28"/>
                <w:u w:val="none"/>
                <w:lang w:val="en-US" w:eastAsia="zh-CN" w:bidi="ar"/>
              </w:rPr>
              <w:t>执行有效</w:t>
            </w:r>
          </w:p>
        </w:tc>
        <w:tc>
          <w:tcPr>
            <w:tcW w:w="1566" w:type="dxa"/>
            <w:noWrap w:val="0"/>
            <w:vAlign w:val="center"/>
          </w:tcPr>
          <w:p>
            <w:pPr>
              <w:keepNext w:val="0"/>
              <w:keepLines w:val="0"/>
              <w:pageBreakBefore w:val="0"/>
              <w:widowControl w:val="0"/>
              <w:suppressLineNumbers w:val="0"/>
              <w:kinsoku/>
              <w:wordWrap/>
              <w:overflowPunct/>
              <w:topLinePunct w:val="0"/>
              <w:bidi w:val="0"/>
              <w:adjustRightInd w:val="0"/>
              <w:snapToGrid w:val="0"/>
              <w:spacing w:line="560" w:lineRule="atLeast"/>
              <w:jc w:val="center"/>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i w:val="0"/>
                <w:iCs w:val="0"/>
                <w:color w:val="000000"/>
                <w:kern w:val="0"/>
                <w:sz w:val="28"/>
                <w:szCs w:val="28"/>
                <w:u w:val="none"/>
                <w:lang w:val="en-US" w:eastAsia="zh-CN" w:bidi="ar"/>
              </w:rPr>
              <w:t>4</w:t>
            </w:r>
          </w:p>
        </w:tc>
        <w:tc>
          <w:tcPr>
            <w:tcW w:w="1481" w:type="dxa"/>
            <w:noWrap w:val="0"/>
            <w:vAlign w:val="center"/>
          </w:tcPr>
          <w:p>
            <w:pPr>
              <w:keepNext w:val="0"/>
              <w:keepLines w:val="0"/>
              <w:pageBreakBefore w:val="0"/>
              <w:widowControl w:val="0"/>
              <w:suppressLineNumbers w:val="0"/>
              <w:kinsoku/>
              <w:wordWrap/>
              <w:overflowPunct/>
              <w:topLinePunct w:val="0"/>
              <w:bidi w:val="0"/>
              <w:adjustRightInd w:val="0"/>
              <w:snapToGrid w:val="0"/>
              <w:spacing w:line="560" w:lineRule="atLeast"/>
              <w:jc w:val="center"/>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i w:val="0"/>
                <w:iCs w:val="0"/>
                <w:color w:val="000000"/>
                <w:kern w:val="0"/>
                <w:sz w:val="28"/>
                <w:szCs w:val="28"/>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2046" w:type="dxa"/>
            <w:noWrap w:val="0"/>
            <w:vAlign w:val="center"/>
          </w:tcPr>
          <w:p>
            <w:pPr>
              <w:keepNext w:val="0"/>
              <w:keepLines w:val="0"/>
              <w:pageBreakBefore w:val="0"/>
              <w:widowControl w:val="0"/>
              <w:suppressLineNumbers w:val="0"/>
              <w:kinsoku/>
              <w:wordWrap/>
              <w:overflowPunct/>
              <w:topLinePunct w:val="0"/>
              <w:bidi w:val="0"/>
              <w:adjustRightInd w:val="0"/>
              <w:snapToGrid w:val="0"/>
              <w:spacing w:line="560" w:lineRule="atLeast"/>
              <w:jc w:val="center"/>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i w:val="0"/>
                <w:iCs w:val="0"/>
                <w:color w:val="000000"/>
                <w:kern w:val="0"/>
                <w:sz w:val="28"/>
                <w:szCs w:val="28"/>
                <w:u w:val="none"/>
                <w:lang w:val="en-US" w:eastAsia="zh-CN" w:bidi="ar"/>
              </w:rPr>
              <w:t>预算执行</w:t>
            </w:r>
          </w:p>
        </w:tc>
        <w:tc>
          <w:tcPr>
            <w:tcW w:w="3585" w:type="dxa"/>
            <w:noWrap w:val="0"/>
            <w:vAlign w:val="center"/>
          </w:tcPr>
          <w:p>
            <w:pPr>
              <w:keepNext w:val="0"/>
              <w:keepLines w:val="0"/>
              <w:pageBreakBefore w:val="0"/>
              <w:widowControl w:val="0"/>
              <w:suppressLineNumbers w:val="0"/>
              <w:kinsoku/>
              <w:wordWrap/>
              <w:overflowPunct/>
              <w:topLinePunct w:val="0"/>
              <w:bidi w:val="0"/>
              <w:adjustRightInd w:val="0"/>
              <w:snapToGrid w:val="0"/>
              <w:spacing w:line="560" w:lineRule="atLeast"/>
              <w:jc w:val="center"/>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i w:val="0"/>
                <w:iCs w:val="0"/>
                <w:color w:val="000000"/>
                <w:kern w:val="0"/>
                <w:sz w:val="28"/>
                <w:szCs w:val="28"/>
                <w:u w:val="none"/>
                <w:lang w:val="en-US" w:eastAsia="zh-CN" w:bidi="ar"/>
              </w:rPr>
              <w:t>预算执行率</w:t>
            </w:r>
          </w:p>
        </w:tc>
        <w:tc>
          <w:tcPr>
            <w:tcW w:w="1566" w:type="dxa"/>
            <w:noWrap w:val="0"/>
            <w:vAlign w:val="center"/>
          </w:tcPr>
          <w:p>
            <w:pPr>
              <w:keepNext w:val="0"/>
              <w:keepLines w:val="0"/>
              <w:pageBreakBefore w:val="0"/>
              <w:widowControl w:val="0"/>
              <w:suppressLineNumbers w:val="0"/>
              <w:kinsoku/>
              <w:wordWrap/>
              <w:overflowPunct/>
              <w:topLinePunct w:val="0"/>
              <w:bidi w:val="0"/>
              <w:adjustRightInd w:val="0"/>
              <w:snapToGrid w:val="0"/>
              <w:spacing w:line="560" w:lineRule="atLeast"/>
              <w:jc w:val="center"/>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i w:val="0"/>
                <w:iCs w:val="0"/>
                <w:color w:val="000000"/>
                <w:kern w:val="0"/>
                <w:sz w:val="28"/>
                <w:szCs w:val="28"/>
                <w:u w:val="none"/>
                <w:lang w:val="en-US" w:eastAsia="zh-CN" w:bidi="ar"/>
              </w:rPr>
              <w:t>6</w:t>
            </w:r>
          </w:p>
        </w:tc>
        <w:tc>
          <w:tcPr>
            <w:tcW w:w="1481" w:type="dxa"/>
            <w:noWrap w:val="0"/>
            <w:vAlign w:val="center"/>
          </w:tcPr>
          <w:p>
            <w:pPr>
              <w:keepNext w:val="0"/>
              <w:keepLines w:val="0"/>
              <w:pageBreakBefore w:val="0"/>
              <w:widowControl w:val="0"/>
              <w:suppressLineNumbers w:val="0"/>
              <w:kinsoku/>
              <w:wordWrap/>
              <w:overflowPunct/>
              <w:topLinePunct w:val="0"/>
              <w:bidi w:val="0"/>
              <w:adjustRightInd w:val="0"/>
              <w:snapToGrid w:val="0"/>
              <w:spacing w:line="560" w:lineRule="atLeast"/>
              <w:jc w:val="center"/>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eastAsia" w:ascii="Times New Roman" w:hAnsi="Times New Roman" w:eastAsia="仿宋_GB2312" w:cs="Times New Roman"/>
                <w:i w:val="0"/>
                <w:iCs w:val="0"/>
                <w:color w:val="000000"/>
                <w:kern w:val="0"/>
                <w:sz w:val="28"/>
                <w:szCs w:val="28"/>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2046" w:type="dxa"/>
            <w:noWrap w:val="0"/>
            <w:vAlign w:val="center"/>
          </w:tcPr>
          <w:p>
            <w:pPr>
              <w:keepNext w:val="0"/>
              <w:keepLines w:val="0"/>
              <w:pageBreakBefore w:val="0"/>
              <w:widowControl w:val="0"/>
              <w:suppressLineNumbers w:val="0"/>
              <w:kinsoku/>
              <w:wordWrap/>
              <w:overflowPunct/>
              <w:topLinePunct w:val="0"/>
              <w:bidi w:val="0"/>
              <w:adjustRightInd w:val="0"/>
              <w:snapToGrid w:val="0"/>
              <w:spacing w:line="560" w:lineRule="atLeas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数量指标</w:t>
            </w:r>
          </w:p>
        </w:tc>
        <w:tc>
          <w:tcPr>
            <w:tcW w:w="3585" w:type="dxa"/>
            <w:noWrap w:val="0"/>
            <w:vAlign w:val="center"/>
          </w:tcPr>
          <w:p>
            <w:pPr>
              <w:keepNext w:val="0"/>
              <w:keepLines w:val="0"/>
              <w:pageBreakBefore w:val="0"/>
              <w:widowControl w:val="0"/>
              <w:suppressLineNumbers w:val="0"/>
              <w:kinsoku/>
              <w:wordWrap/>
              <w:overflowPunct/>
              <w:topLinePunct w:val="0"/>
              <w:bidi w:val="0"/>
              <w:adjustRightInd w:val="0"/>
              <w:snapToGrid w:val="0"/>
              <w:spacing w:line="560" w:lineRule="atLeast"/>
              <w:jc w:val="center"/>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i w:val="0"/>
                <w:iCs w:val="0"/>
                <w:color w:val="000000"/>
                <w:sz w:val="28"/>
                <w:szCs w:val="28"/>
                <w:u w:val="none"/>
                <w:lang w:val="en-US" w:eastAsia="zh-CN"/>
              </w:rPr>
              <w:t>受助残疾人人数</w:t>
            </w:r>
          </w:p>
        </w:tc>
        <w:tc>
          <w:tcPr>
            <w:tcW w:w="1566" w:type="dxa"/>
            <w:noWrap w:val="0"/>
            <w:vAlign w:val="center"/>
          </w:tcPr>
          <w:p>
            <w:pPr>
              <w:keepNext w:val="0"/>
              <w:keepLines w:val="0"/>
              <w:pageBreakBefore w:val="0"/>
              <w:widowControl w:val="0"/>
              <w:suppressLineNumbers w:val="0"/>
              <w:kinsoku/>
              <w:wordWrap/>
              <w:overflowPunct/>
              <w:topLinePunct w:val="0"/>
              <w:bidi w:val="0"/>
              <w:adjustRightInd w:val="0"/>
              <w:snapToGrid w:val="0"/>
              <w:spacing w:line="560" w:lineRule="atLeast"/>
              <w:jc w:val="center"/>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i w:val="0"/>
                <w:iCs w:val="0"/>
                <w:color w:val="000000"/>
                <w:kern w:val="0"/>
                <w:sz w:val="28"/>
                <w:szCs w:val="28"/>
                <w:u w:val="none"/>
                <w:lang w:val="en-US" w:eastAsia="zh-CN" w:bidi="ar"/>
              </w:rPr>
              <w:t>5</w:t>
            </w:r>
          </w:p>
        </w:tc>
        <w:tc>
          <w:tcPr>
            <w:tcW w:w="1481" w:type="dxa"/>
            <w:noWrap w:val="0"/>
            <w:vAlign w:val="center"/>
          </w:tcPr>
          <w:p>
            <w:pPr>
              <w:keepNext w:val="0"/>
              <w:keepLines w:val="0"/>
              <w:pageBreakBefore w:val="0"/>
              <w:widowControl w:val="0"/>
              <w:suppressLineNumbers w:val="0"/>
              <w:kinsoku/>
              <w:wordWrap/>
              <w:overflowPunct/>
              <w:topLinePunct w:val="0"/>
              <w:bidi w:val="0"/>
              <w:adjustRightInd w:val="0"/>
              <w:snapToGrid w:val="0"/>
              <w:spacing w:line="560" w:lineRule="atLeast"/>
              <w:jc w:val="center"/>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i w:val="0"/>
                <w:iCs w:val="0"/>
                <w:color w:val="000000"/>
                <w:kern w:val="0"/>
                <w:sz w:val="28"/>
                <w:szCs w:val="28"/>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2046" w:type="dxa"/>
            <w:noWrap w:val="0"/>
            <w:vAlign w:val="center"/>
          </w:tcPr>
          <w:p>
            <w:pPr>
              <w:keepNext w:val="0"/>
              <w:keepLines w:val="0"/>
              <w:pageBreakBefore w:val="0"/>
              <w:widowControl w:val="0"/>
              <w:suppressLineNumbers w:val="0"/>
              <w:kinsoku/>
              <w:wordWrap/>
              <w:overflowPunct/>
              <w:topLinePunct w:val="0"/>
              <w:bidi w:val="0"/>
              <w:adjustRightInd w:val="0"/>
              <w:snapToGrid w:val="0"/>
              <w:spacing w:line="560" w:lineRule="atLeas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质量指标</w:t>
            </w:r>
          </w:p>
        </w:tc>
        <w:tc>
          <w:tcPr>
            <w:tcW w:w="3585" w:type="dxa"/>
            <w:noWrap w:val="0"/>
            <w:vAlign w:val="center"/>
          </w:tcPr>
          <w:p>
            <w:pPr>
              <w:keepNext w:val="0"/>
              <w:keepLines w:val="0"/>
              <w:pageBreakBefore w:val="0"/>
              <w:widowControl w:val="0"/>
              <w:suppressLineNumbers w:val="0"/>
              <w:kinsoku/>
              <w:wordWrap/>
              <w:overflowPunct/>
              <w:topLinePunct w:val="0"/>
              <w:bidi w:val="0"/>
              <w:adjustRightInd w:val="0"/>
              <w:snapToGrid w:val="0"/>
              <w:spacing w:line="560" w:lineRule="atLeas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补贴</w:t>
            </w:r>
            <w:r>
              <w:rPr>
                <w:rFonts w:hint="default" w:ascii="Times New Roman" w:hAnsi="Times New Roman" w:eastAsia="仿宋_GB2312" w:cs="Times New Roman"/>
                <w:i w:val="0"/>
                <w:iCs w:val="0"/>
                <w:color w:val="000000"/>
                <w:kern w:val="0"/>
                <w:sz w:val="28"/>
                <w:szCs w:val="28"/>
                <w:u w:val="none"/>
                <w:lang w:val="en-US" w:eastAsia="zh-CN" w:bidi="ar"/>
              </w:rPr>
              <w:t>到位情况</w:t>
            </w:r>
          </w:p>
        </w:tc>
        <w:tc>
          <w:tcPr>
            <w:tcW w:w="1566" w:type="dxa"/>
            <w:noWrap w:val="0"/>
            <w:vAlign w:val="center"/>
          </w:tcPr>
          <w:p>
            <w:pPr>
              <w:keepNext w:val="0"/>
              <w:keepLines w:val="0"/>
              <w:pageBreakBefore w:val="0"/>
              <w:widowControl w:val="0"/>
              <w:suppressLineNumbers w:val="0"/>
              <w:kinsoku/>
              <w:wordWrap/>
              <w:overflowPunct/>
              <w:topLinePunct w:val="0"/>
              <w:bidi w:val="0"/>
              <w:adjustRightInd w:val="0"/>
              <w:snapToGrid w:val="0"/>
              <w:spacing w:line="560" w:lineRule="atLeas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5</w:t>
            </w:r>
          </w:p>
        </w:tc>
        <w:tc>
          <w:tcPr>
            <w:tcW w:w="1481" w:type="dxa"/>
            <w:noWrap w:val="0"/>
            <w:vAlign w:val="center"/>
          </w:tcPr>
          <w:p>
            <w:pPr>
              <w:keepNext w:val="0"/>
              <w:keepLines w:val="0"/>
              <w:pageBreakBefore w:val="0"/>
              <w:widowControl w:val="0"/>
              <w:suppressLineNumbers w:val="0"/>
              <w:kinsoku/>
              <w:wordWrap/>
              <w:overflowPunct/>
              <w:topLinePunct w:val="0"/>
              <w:bidi w:val="0"/>
              <w:adjustRightInd w:val="0"/>
              <w:snapToGrid w:val="0"/>
              <w:spacing w:line="560" w:lineRule="atLeas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2046" w:type="dxa"/>
            <w:noWrap w:val="0"/>
            <w:vAlign w:val="center"/>
          </w:tcPr>
          <w:p>
            <w:pPr>
              <w:keepNext w:val="0"/>
              <w:keepLines w:val="0"/>
              <w:pageBreakBefore w:val="0"/>
              <w:widowControl w:val="0"/>
              <w:suppressLineNumbers w:val="0"/>
              <w:kinsoku/>
              <w:wordWrap/>
              <w:overflowPunct/>
              <w:topLinePunct w:val="0"/>
              <w:bidi w:val="0"/>
              <w:adjustRightInd w:val="0"/>
              <w:snapToGrid w:val="0"/>
              <w:spacing w:line="560" w:lineRule="atLeas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成本指标</w:t>
            </w:r>
          </w:p>
        </w:tc>
        <w:tc>
          <w:tcPr>
            <w:tcW w:w="3585" w:type="dxa"/>
            <w:noWrap w:val="0"/>
            <w:vAlign w:val="center"/>
          </w:tcPr>
          <w:p>
            <w:pPr>
              <w:keepNext w:val="0"/>
              <w:keepLines w:val="0"/>
              <w:pageBreakBefore w:val="0"/>
              <w:widowControl w:val="0"/>
              <w:suppressLineNumbers w:val="0"/>
              <w:kinsoku/>
              <w:wordWrap/>
              <w:overflowPunct/>
              <w:topLinePunct w:val="0"/>
              <w:bidi w:val="0"/>
              <w:adjustRightInd w:val="0"/>
              <w:snapToGrid w:val="0"/>
              <w:spacing w:line="560" w:lineRule="atLeas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支出情况</w:t>
            </w:r>
          </w:p>
        </w:tc>
        <w:tc>
          <w:tcPr>
            <w:tcW w:w="1566" w:type="dxa"/>
            <w:noWrap w:val="0"/>
            <w:vAlign w:val="center"/>
          </w:tcPr>
          <w:p>
            <w:pPr>
              <w:keepNext w:val="0"/>
              <w:keepLines w:val="0"/>
              <w:pageBreakBefore w:val="0"/>
              <w:widowControl w:val="0"/>
              <w:suppressLineNumbers w:val="0"/>
              <w:kinsoku/>
              <w:wordWrap/>
              <w:overflowPunct/>
              <w:topLinePunct w:val="0"/>
              <w:bidi w:val="0"/>
              <w:adjustRightInd w:val="0"/>
              <w:snapToGrid w:val="0"/>
              <w:spacing w:line="560" w:lineRule="atLeas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5</w:t>
            </w:r>
          </w:p>
        </w:tc>
        <w:tc>
          <w:tcPr>
            <w:tcW w:w="1481" w:type="dxa"/>
            <w:noWrap w:val="0"/>
            <w:vAlign w:val="center"/>
          </w:tcPr>
          <w:p>
            <w:pPr>
              <w:keepNext w:val="0"/>
              <w:keepLines w:val="0"/>
              <w:pageBreakBefore w:val="0"/>
              <w:widowControl w:val="0"/>
              <w:suppressLineNumbers w:val="0"/>
              <w:kinsoku/>
              <w:wordWrap/>
              <w:overflowPunct/>
              <w:topLinePunct w:val="0"/>
              <w:bidi w:val="0"/>
              <w:adjustRightInd w:val="0"/>
              <w:snapToGrid w:val="0"/>
              <w:spacing w:line="560" w:lineRule="atLeas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2046" w:type="dxa"/>
            <w:noWrap w:val="0"/>
            <w:vAlign w:val="center"/>
          </w:tcPr>
          <w:p>
            <w:pPr>
              <w:keepNext w:val="0"/>
              <w:keepLines w:val="0"/>
              <w:pageBreakBefore w:val="0"/>
              <w:widowControl w:val="0"/>
              <w:suppressLineNumbers w:val="0"/>
              <w:kinsoku/>
              <w:wordWrap/>
              <w:overflowPunct/>
              <w:topLinePunct w:val="0"/>
              <w:bidi w:val="0"/>
              <w:adjustRightInd w:val="0"/>
              <w:snapToGrid w:val="0"/>
              <w:spacing w:line="560" w:lineRule="atLeas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时效指标</w:t>
            </w:r>
          </w:p>
        </w:tc>
        <w:tc>
          <w:tcPr>
            <w:tcW w:w="3585" w:type="dxa"/>
            <w:noWrap w:val="0"/>
            <w:vAlign w:val="center"/>
          </w:tcPr>
          <w:p>
            <w:pPr>
              <w:keepNext w:val="0"/>
              <w:keepLines w:val="0"/>
              <w:pageBreakBefore w:val="0"/>
              <w:widowControl w:val="0"/>
              <w:suppressLineNumbers w:val="0"/>
              <w:kinsoku/>
              <w:wordWrap/>
              <w:overflowPunct/>
              <w:topLinePunct w:val="0"/>
              <w:bidi w:val="0"/>
              <w:adjustRightInd w:val="0"/>
              <w:snapToGrid w:val="0"/>
              <w:spacing w:line="560" w:lineRule="atLeas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一年内完成</w:t>
            </w:r>
          </w:p>
        </w:tc>
        <w:tc>
          <w:tcPr>
            <w:tcW w:w="1566" w:type="dxa"/>
            <w:noWrap w:val="0"/>
            <w:vAlign w:val="center"/>
          </w:tcPr>
          <w:p>
            <w:pPr>
              <w:keepNext w:val="0"/>
              <w:keepLines w:val="0"/>
              <w:pageBreakBefore w:val="0"/>
              <w:widowControl w:val="0"/>
              <w:suppressLineNumbers w:val="0"/>
              <w:kinsoku/>
              <w:wordWrap/>
              <w:overflowPunct/>
              <w:topLinePunct w:val="0"/>
              <w:bidi w:val="0"/>
              <w:adjustRightInd w:val="0"/>
              <w:snapToGrid w:val="0"/>
              <w:spacing w:line="560" w:lineRule="atLeas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5</w:t>
            </w:r>
          </w:p>
        </w:tc>
        <w:tc>
          <w:tcPr>
            <w:tcW w:w="1481" w:type="dxa"/>
            <w:noWrap w:val="0"/>
            <w:vAlign w:val="center"/>
          </w:tcPr>
          <w:p>
            <w:pPr>
              <w:keepNext w:val="0"/>
              <w:keepLines w:val="0"/>
              <w:pageBreakBefore w:val="0"/>
              <w:widowControl w:val="0"/>
              <w:suppressLineNumbers w:val="0"/>
              <w:kinsoku/>
              <w:wordWrap/>
              <w:overflowPunct/>
              <w:topLinePunct w:val="0"/>
              <w:bidi w:val="0"/>
              <w:adjustRightInd w:val="0"/>
              <w:snapToGrid w:val="0"/>
              <w:spacing w:line="560" w:lineRule="atLeas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2046" w:type="dxa"/>
            <w:noWrap w:val="0"/>
            <w:vAlign w:val="center"/>
          </w:tcPr>
          <w:p>
            <w:pPr>
              <w:keepNext w:val="0"/>
              <w:keepLines w:val="0"/>
              <w:pageBreakBefore w:val="0"/>
              <w:widowControl w:val="0"/>
              <w:suppressLineNumbers w:val="0"/>
              <w:kinsoku/>
              <w:wordWrap/>
              <w:overflowPunct/>
              <w:topLinePunct w:val="0"/>
              <w:bidi w:val="0"/>
              <w:adjustRightInd w:val="0"/>
              <w:snapToGrid w:val="0"/>
              <w:spacing w:line="560" w:lineRule="atLeast"/>
              <w:jc w:val="center"/>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i w:val="0"/>
                <w:iCs w:val="0"/>
                <w:color w:val="000000"/>
                <w:kern w:val="0"/>
                <w:sz w:val="28"/>
                <w:szCs w:val="28"/>
                <w:u w:val="none"/>
                <w:lang w:val="en-US" w:eastAsia="zh-CN" w:bidi="ar"/>
              </w:rPr>
              <w:t>社会效益</w:t>
            </w:r>
          </w:p>
        </w:tc>
        <w:tc>
          <w:tcPr>
            <w:tcW w:w="3585" w:type="dxa"/>
            <w:noWrap w:val="0"/>
            <w:vAlign w:val="center"/>
          </w:tcPr>
          <w:p>
            <w:pPr>
              <w:keepNext w:val="0"/>
              <w:keepLines w:val="0"/>
              <w:pageBreakBefore w:val="0"/>
              <w:widowControl w:val="0"/>
              <w:suppressLineNumbers w:val="0"/>
              <w:kinsoku/>
              <w:wordWrap/>
              <w:overflowPunct/>
              <w:topLinePunct w:val="0"/>
              <w:bidi w:val="0"/>
              <w:adjustRightInd w:val="0"/>
              <w:snapToGrid w:val="0"/>
              <w:spacing w:line="560" w:lineRule="atLeast"/>
              <w:jc w:val="center"/>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i w:val="0"/>
                <w:iCs w:val="0"/>
                <w:color w:val="000000"/>
                <w:sz w:val="28"/>
                <w:szCs w:val="28"/>
                <w:u w:val="none"/>
                <w:lang w:eastAsia="zh-CN"/>
              </w:rPr>
              <w:t>受助残疾人条件改善情况</w:t>
            </w:r>
          </w:p>
        </w:tc>
        <w:tc>
          <w:tcPr>
            <w:tcW w:w="1566" w:type="dxa"/>
            <w:noWrap w:val="0"/>
            <w:vAlign w:val="center"/>
          </w:tcPr>
          <w:p>
            <w:pPr>
              <w:keepNext w:val="0"/>
              <w:keepLines w:val="0"/>
              <w:pageBreakBefore w:val="0"/>
              <w:widowControl w:val="0"/>
              <w:suppressLineNumbers w:val="0"/>
              <w:kinsoku/>
              <w:wordWrap/>
              <w:overflowPunct/>
              <w:topLinePunct w:val="0"/>
              <w:bidi w:val="0"/>
              <w:adjustRightInd w:val="0"/>
              <w:snapToGrid w:val="0"/>
              <w:spacing w:line="560" w:lineRule="atLeast"/>
              <w:jc w:val="center"/>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i w:val="0"/>
                <w:iCs w:val="0"/>
                <w:color w:val="000000"/>
                <w:kern w:val="0"/>
                <w:sz w:val="28"/>
                <w:szCs w:val="28"/>
                <w:u w:val="none"/>
                <w:lang w:val="en-US" w:eastAsia="zh-CN" w:bidi="ar"/>
              </w:rPr>
              <w:t>50</w:t>
            </w:r>
          </w:p>
        </w:tc>
        <w:tc>
          <w:tcPr>
            <w:tcW w:w="1481" w:type="dxa"/>
            <w:noWrap w:val="0"/>
            <w:vAlign w:val="center"/>
          </w:tcPr>
          <w:p>
            <w:pPr>
              <w:keepNext w:val="0"/>
              <w:keepLines w:val="0"/>
              <w:pageBreakBefore w:val="0"/>
              <w:widowControl w:val="0"/>
              <w:suppressLineNumbers w:val="0"/>
              <w:kinsoku/>
              <w:wordWrap/>
              <w:overflowPunct/>
              <w:topLinePunct w:val="0"/>
              <w:bidi w:val="0"/>
              <w:adjustRightInd w:val="0"/>
              <w:snapToGrid w:val="0"/>
              <w:spacing w:line="560" w:lineRule="atLeast"/>
              <w:jc w:val="center"/>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eastAsia" w:ascii="Times New Roman" w:hAnsi="Times New Roman" w:eastAsia="仿宋_GB2312" w:cs="Times New Roman"/>
                <w:i w:val="0"/>
                <w:iCs w:val="0"/>
                <w:color w:val="000000"/>
                <w:sz w:val="28"/>
                <w:szCs w:val="28"/>
                <w:u w:val="none"/>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2046" w:type="dxa"/>
            <w:noWrap w:val="0"/>
            <w:vAlign w:val="center"/>
          </w:tcPr>
          <w:p>
            <w:pPr>
              <w:keepNext w:val="0"/>
              <w:keepLines w:val="0"/>
              <w:pageBreakBefore w:val="0"/>
              <w:widowControl w:val="0"/>
              <w:suppressLineNumbers w:val="0"/>
              <w:kinsoku/>
              <w:wordWrap/>
              <w:overflowPunct/>
              <w:topLinePunct w:val="0"/>
              <w:bidi w:val="0"/>
              <w:adjustRightInd w:val="0"/>
              <w:snapToGrid w:val="0"/>
              <w:spacing w:line="560" w:lineRule="atLeast"/>
              <w:jc w:val="center"/>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i w:val="0"/>
                <w:iCs w:val="0"/>
                <w:color w:val="000000"/>
                <w:kern w:val="0"/>
                <w:sz w:val="28"/>
                <w:szCs w:val="28"/>
                <w:u w:val="none"/>
                <w:lang w:val="en-US" w:eastAsia="zh-CN" w:bidi="ar"/>
              </w:rPr>
              <w:t>满意度</w:t>
            </w:r>
          </w:p>
        </w:tc>
        <w:tc>
          <w:tcPr>
            <w:tcW w:w="3585" w:type="dxa"/>
            <w:noWrap w:val="0"/>
            <w:vAlign w:val="center"/>
          </w:tcPr>
          <w:p>
            <w:pPr>
              <w:keepNext w:val="0"/>
              <w:keepLines w:val="0"/>
              <w:pageBreakBefore w:val="0"/>
              <w:widowControl w:val="0"/>
              <w:suppressLineNumbers w:val="0"/>
              <w:kinsoku/>
              <w:wordWrap/>
              <w:overflowPunct/>
              <w:topLinePunct w:val="0"/>
              <w:bidi w:val="0"/>
              <w:adjustRightInd w:val="0"/>
              <w:snapToGrid w:val="0"/>
              <w:spacing w:line="560" w:lineRule="atLeast"/>
              <w:jc w:val="center"/>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i w:val="0"/>
                <w:iCs w:val="0"/>
                <w:color w:val="000000"/>
                <w:sz w:val="28"/>
                <w:szCs w:val="28"/>
                <w:u w:val="none"/>
                <w:lang w:eastAsia="zh-CN"/>
              </w:rPr>
              <w:t>满意度</w:t>
            </w:r>
          </w:p>
        </w:tc>
        <w:tc>
          <w:tcPr>
            <w:tcW w:w="1566" w:type="dxa"/>
            <w:noWrap w:val="0"/>
            <w:vAlign w:val="center"/>
          </w:tcPr>
          <w:p>
            <w:pPr>
              <w:keepNext w:val="0"/>
              <w:keepLines w:val="0"/>
              <w:pageBreakBefore w:val="0"/>
              <w:widowControl w:val="0"/>
              <w:suppressLineNumbers w:val="0"/>
              <w:kinsoku/>
              <w:wordWrap/>
              <w:overflowPunct/>
              <w:topLinePunct w:val="0"/>
              <w:bidi w:val="0"/>
              <w:adjustRightInd w:val="0"/>
              <w:snapToGrid w:val="0"/>
              <w:spacing w:line="560" w:lineRule="atLeast"/>
              <w:jc w:val="center"/>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i w:val="0"/>
                <w:iCs w:val="0"/>
                <w:color w:val="000000"/>
                <w:kern w:val="0"/>
                <w:sz w:val="28"/>
                <w:szCs w:val="28"/>
                <w:u w:val="none"/>
                <w:lang w:val="en-US" w:eastAsia="zh-CN" w:bidi="ar"/>
              </w:rPr>
              <w:t>10</w:t>
            </w:r>
          </w:p>
        </w:tc>
        <w:tc>
          <w:tcPr>
            <w:tcW w:w="1481" w:type="dxa"/>
            <w:noWrap w:val="0"/>
            <w:vAlign w:val="center"/>
          </w:tcPr>
          <w:p>
            <w:pPr>
              <w:keepNext w:val="0"/>
              <w:keepLines w:val="0"/>
              <w:pageBreakBefore w:val="0"/>
              <w:widowControl w:val="0"/>
              <w:suppressLineNumbers w:val="0"/>
              <w:kinsoku/>
              <w:wordWrap/>
              <w:overflowPunct/>
              <w:topLinePunct w:val="0"/>
              <w:bidi w:val="0"/>
              <w:adjustRightInd w:val="0"/>
              <w:snapToGrid w:val="0"/>
              <w:spacing w:line="560" w:lineRule="atLeast"/>
              <w:jc w:val="center"/>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i w:val="0"/>
                <w:iCs w:val="0"/>
                <w:color w:val="000000"/>
                <w:sz w:val="28"/>
                <w:szCs w:val="28"/>
                <w:u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631" w:type="dxa"/>
            <w:gridSpan w:val="2"/>
            <w:noWrap w:val="0"/>
            <w:vAlign w:val="center"/>
          </w:tcPr>
          <w:p>
            <w:pPr>
              <w:keepNext w:val="0"/>
              <w:keepLines w:val="0"/>
              <w:pageBreakBefore w:val="0"/>
              <w:widowControl w:val="0"/>
              <w:suppressLineNumbers w:val="0"/>
              <w:kinsoku/>
              <w:wordWrap/>
              <w:overflowPunct/>
              <w:topLinePunct w:val="0"/>
              <w:bidi w:val="0"/>
              <w:adjustRightInd w:val="0"/>
              <w:snapToGrid w:val="0"/>
              <w:spacing w:line="560" w:lineRule="atLeast"/>
              <w:jc w:val="center"/>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i w:val="0"/>
                <w:iCs w:val="0"/>
                <w:color w:val="000000"/>
                <w:kern w:val="0"/>
                <w:sz w:val="28"/>
                <w:szCs w:val="28"/>
                <w:u w:val="none"/>
                <w:lang w:val="en-US" w:eastAsia="zh-CN" w:bidi="ar"/>
              </w:rPr>
              <w:t>合计</w:t>
            </w:r>
          </w:p>
        </w:tc>
        <w:tc>
          <w:tcPr>
            <w:tcW w:w="1566" w:type="dxa"/>
            <w:noWrap w:val="0"/>
            <w:vAlign w:val="center"/>
          </w:tcPr>
          <w:p>
            <w:pPr>
              <w:keepNext w:val="0"/>
              <w:keepLines w:val="0"/>
              <w:pageBreakBefore w:val="0"/>
              <w:widowControl w:val="0"/>
              <w:suppressLineNumbers w:val="0"/>
              <w:kinsoku/>
              <w:wordWrap/>
              <w:overflowPunct/>
              <w:topLinePunct w:val="0"/>
              <w:bidi w:val="0"/>
              <w:adjustRightInd w:val="0"/>
              <w:snapToGrid w:val="0"/>
              <w:spacing w:line="560" w:lineRule="atLeast"/>
              <w:jc w:val="center"/>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i w:val="0"/>
                <w:iCs w:val="0"/>
                <w:color w:val="000000"/>
                <w:kern w:val="0"/>
                <w:sz w:val="28"/>
                <w:szCs w:val="28"/>
                <w:u w:val="none"/>
                <w:lang w:val="en-US" w:eastAsia="zh-CN" w:bidi="ar"/>
              </w:rPr>
              <w:t>100</w:t>
            </w:r>
          </w:p>
        </w:tc>
        <w:tc>
          <w:tcPr>
            <w:tcW w:w="1481" w:type="dxa"/>
            <w:noWrap w:val="0"/>
            <w:vAlign w:val="center"/>
          </w:tcPr>
          <w:p>
            <w:pPr>
              <w:keepNext w:val="0"/>
              <w:keepLines w:val="0"/>
              <w:pageBreakBefore w:val="0"/>
              <w:widowControl w:val="0"/>
              <w:suppressLineNumbers w:val="0"/>
              <w:kinsoku/>
              <w:wordWrap/>
              <w:overflowPunct/>
              <w:topLinePunct w:val="0"/>
              <w:bidi w:val="0"/>
              <w:adjustRightInd w:val="0"/>
              <w:snapToGrid w:val="0"/>
              <w:spacing w:line="560" w:lineRule="atLeast"/>
              <w:jc w:val="center"/>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eastAsia" w:ascii="Times New Roman" w:hAnsi="Times New Roman" w:eastAsia="仿宋_GB2312" w:cs="Times New Roman"/>
                <w:i w:val="0"/>
                <w:iCs w:val="0"/>
                <w:color w:val="000000"/>
                <w:sz w:val="28"/>
                <w:szCs w:val="28"/>
                <w:u w:val="none"/>
                <w:lang w:val="en-US" w:eastAsia="zh-CN"/>
              </w:rPr>
              <w:t>95</w:t>
            </w:r>
          </w:p>
        </w:tc>
      </w:tr>
    </w:tbl>
    <w:p>
      <w:pPr>
        <w:keepNext w:val="0"/>
        <w:keepLines w:val="0"/>
        <w:pageBreakBefore w:val="0"/>
        <w:widowControl w:val="0"/>
        <w:wordWrap/>
        <w:overflowPunct/>
        <w:topLinePunct w:val="0"/>
        <w:bidi w:val="0"/>
        <w:adjustRightInd w:val="0"/>
        <w:snapToGrid w:val="0"/>
        <w:spacing w:line="560" w:lineRule="atLeast"/>
        <w:ind w:firstLine="642" w:firstLineChars="200"/>
        <w:textAlignment w:val="auto"/>
        <w:rPr>
          <w:rFonts w:hint="eastAsia" w:ascii="仿宋_GB2312" w:hAnsi="仿宋_GB2312" w:eastAsia="仿宋_GB2312" w:cs="仿宋_GB2312"/>
          <w:color w:val="FF0000"/>
          <w:sz w:val="32"/>
          <w:szCs w:val="32"/>
          <w:lang w:val="en-US" w:eastAsia="zh-CN"/>
        </w:rPr>
      </w:pPr>
      <w:r>
        <w:rPr>
          <w:rFonts w:hint="default" w:ascii="Times New Roman" w:hAnsi="Times New Roman" w:eastAsia="楷体_GB2312" w:cs="Times New Roman"/>
          <w:b/>
          <w:bCs w:val="0"/>
          <w:color w:val="auto"/>
          <w:sz w:val="32"/>
          <w:szCs w:val="32"/>
        </w:rPr>
        <w:t>（二）</w:t>
      </w:r>
      <w:r>
        <w:rPr>
          <w:rFonts w:hint="default" w:ascii="Times New Roman" w:hAnsi="Times New Roman" w:eastAsia="楷体_GB2312" w:cs="Times New Roman"/>
          <w:b/>
          <w:bCs w:val="0"/>
          <w:color w:val="000000"/>
          <w:sz w:val="32"/>
          <w:szCs w:val="32"/>
        </w:rPr>
        <w:t>项目效益情况。</w:t>
      </w:r>
      <w:r>
        <w:rPr>
          <w:rFonts w:hint="eastAsia" w:ascii="仿宋" w:hAnsi="仿宋" w:eastAsia="仿宋" w:cs="仿宋"/>
          <w:bCs/>
          <w:color w:val="000000"/>
          <w:sz w:val="32"/>
          <w:szCs w:val="32"/>
          <w:lang w:val="zh-CN"/>
        </w:rPr>
        <w:t>通过对</w:t>
      </w:r>
      <w:r>
        <w:rPr>
          <w:rFonts w:hint="eastAsia" w:ascii="仿宋" w:hAnsi="仿宋" w:eastAsia="仿宋" w:cs="仿宋"/>
          <w:bCs/>
          <w:color w:val="000000"/>
          <w:sz w:val="32"/>
          <w:szCs w:val="32"/>
          <w:lang w:val="en-US" w:eastAsia="zh-CN"/>
        </w:rPr>
        <w:t>300名残疾人</w:t>
      </w:r>
      <w:r>
        <w:rPr>
          <w:rFonts w:hint="default" w:ascii="Times New Roman" w:hAnsi="Times New Roman" w:eastAsia="仿宋_GB2312" w:cs="Times New Roman"/>
          <w:bCs/>
          <w:color w:val="000000"/>
          <w:sz w:val="32"/>
          <w:szCs w:val="32"/>
          <w:lang w:eastAsia="zh-CN"/>
        </w:rPr>
        <w:t>发放残疾人居家灵活就业补贴</w:t>
      </w:r>
      <w:r>
        <w:rPr>
          <w:rFonts w:hint="eastAsia" w:ascii="Times New Roman" w:hAnsi="Times New Roman" w:eastAsia="仿宋_GB2312" w:cs="Times New Roman"/>
          <w:bCs/>
          <w:color w:val="000000"/>
          <w:sz w:val="32"/>
          <w:szCs w:val="32"/>
          <w:lang w:eastAsia="zh-CN"/>
        </w:rPr>
        <w:t>，</w:t>
      </w:r>
      <w:r>
        <w:rPr>
          <w:rFonts w:hint="eastAsia" w:ascii="Times New Roman" w:hAnsi="Times New Roman" w:eastAsia="仿宋_GB2312" w:cs="Times New Roman"/>
          <w:bCs/>
          <w:color w:val="000000"/>
          <w:sz w:val="32"/>
          <w:szCs w:val="32"/>
          <w:lang w:val="en-US" w:eastAsia="zh-CN"/>
        </w:rPr>
        <w:t>帮助残疾人就业增收，减轻家庭负担。对2名自主创业</w:t>
      </w:r>
      <w:r>
        <w:rPr>
          <w:rFonts w:hint="default" w:ascii="Times New Roman" w:hAnsi="Times New Roman" w:eastAsia="仿宋_GB2312" w:cs="Times New Roman"/>
          <w:bCs/>
          <w:color w:val="000000"/>
          <w:sz w:val="32"/>
          <w:szCs w:val="32"/>
          <w:lang w:eastAsia="zh-CN"/>
        </w:rPr>
        <w:t>残疾人</w:t>
      </w:r>
      <w:r>
        <w:rPr>
          <w:rFonts w:hint="eastAsia" w:ascii="Times New Roman" w:hAnsi="Times New Roman" w:eastAsia="仿宋_GB2312" w:cs="Times New Roman"/>
          <w:bCs/>
          <w:color w:val="000000"/>
          <w:sz w:val="32"/>
          <w:szCs w:val="32"/>
          <w:lang w:val="en-US" w:eastAsia="zh-CN"/>
        </w:rPr>
        <w:t>发放一次性</w:t>
      </w:r>
      <w:r>
        <w:rPr>
          <w:rFonts w:hint="default" w:ascii="Times New Roman" w:hAnsi="Times New Roman" w:eastAsia="仿宋_GB2312" w:cs="Times New Roman"/>
          <w:bCs/>
          <w:color w:val="000000"/>
          <w:sz w:val="32"/>
          <w:szCs w:val="32"/>
          <w:lang w:eastAsia="zh-CN"/>
        </w:rPr>
        <w:t>创业补贴</w:t>
      </w:r>
      <w:r>
        <w:rPr>
          <w:rFonts w:hint="eastAsia" w:ascii="Times New Roman" w:hAnsi="Times New Roman" w:eastAsia="仿宋_GB2312" w:cs="Times New Roman"/>
          <w:bCs/>
          <w:color w:val="000000"/>
          <w:sz w:val="32"/>
          <w:szCs w:val="32"/>
          <w:lang w:eastAsia="zh-CN"/>
        </w:rPr>
        <w:t>，</w:t>
      </w:r>
      <w:r>
        <w:rPr>
          <w:rFonts w:hint="eastAsia" w:ascii="Times New Roman" w:hAnsi="Times New Roman" w:eastAsia="仿宋_GB2312" w:cs="Times New Roman"/>
          <w:bCs/>
          <w:color w:val="000000"/>
          <w:sz w:val="32"/>
          <w:szCs w:val="32"/>
          <w:lang w:val="en-US" w:eastAsia="zh-CN"/>
        </w:rPr>
        <w:t>激发残疾人劳动致富内动力，树立残疾人</w:t>
      </w:r>
      <w:r>
        <w:rPr>
          <w:rFonts w:hint="eastAsia" w:eastAsia="仿宋_GB2312" w:cs="Times New Roman"/>
          <w:bCs/>
          <w:color w:val="000000"/>
          <w:sz w:val="32"/>
          <w:szCs w:val="32"/>
          <w:lang w:val="en-US" w:eastAsia="zh-CN"/>
        </w:rPr>
        <w:t>自立自强</w:t>
      </w:r>
      <w:r>
        <w:rPr>
          <w:rFonts w:hint="eastAsia" w:ascii="Times New Roman" w:hAnsi="Times New Roman" w:eastAsia="仿宋_GB2312" w:cs="Times New Roman"/>
          <w:bCs/>
          <w:color w:val="000000"/>
          <w:sz w:val="32"/>
          <w:szCs w:val="32"/>
          <w:lang w:val="en-US" w:eastAsia="zh-CN"/>
        </w:rPr>
        <w:t>的模范，引导残疾人自强不息，奋斗创造。</w:t>
      </w:r>
    </w:p>
    <w:tbl>
      <w:tblPr>
        <w:tblStyle w:val="16"/>
        <w:tblW w:w="5000" w:type="pct"/>
        <w:tblInd w:w="0" w:type="dxa"/>
        <w:tblLayout w:type="autofit"/>
        <w:tblCellMar>
          <w:top w:w="0" w:type="dxa"/>
          <w:left w:w="108" w:type="dxa"/>
          <w:bottom w:w="0" w:type="dxa"/>
          <w:right w:w="108" w:type="dxa"/>
        </w:tblCellMar>
      </w:tblPr>
      <w:tblGrid>
        <w:gridCol w:w="602"/>
        <w:gridCol w:w="1275"/>
        <w:gridCol w:w="1589"/>
        <w:gridCol w:w="119"/>
        <w:gridCol w:w="1120"/>
        <w:gridCol w:w="549"/>
        <w:gridCol w:w="1691"/>
        <w:gridCol w:w="1577"/>
      </w:tblGrid>
      <w:tr>
        <w:tblPrEx>
          <w:tblCellMar>
            <w:top w:w="0" w:type="dxa"/>
            <w:left w:w="108" w:type="dxa"/>
            <w:bottom w:w="0" w:type="dxa"/>
            <w:right w:w="108" w:type="dxa"/>
          </w:tblCellMar>
        </w:tblPrEx>
        <w:trPr>
          <w:trHeight w:val="585" w:hRule="atLeast"/>
        </w:trPr>
        <w:tc>
          <w:tcPr>
            <w:tcW w:w="5000" w:type="pct"/>
            <w:gridSpan w:val="8"/>
            <w:tcBorders>
              <w:top w:val="nil"/>
              <w:left w:val="nil"/>
              <w:bottom w:val="single" w:color="auto" w:sz="4" w:space="0"/>
              <w:right w:val="nil"/>
            </w:tcBorders>
            <w:noWrap w:val="0"/>
            <w:vAlign w:val="center"/>
          </w:tcPr>
          <w:p>
            <w:pPr>
              <w:keepNext w:val="0"/>
              <w:keepLines w:val="0"/>
              <w:pageBreakBefore w:val="0"/>
              <w:kinsoku/>
              <w:wordWrap/>
              <w:overflowPunct/>
              <w:topLinePunct w:val="0"/>
              <w:autoSpaceDE/>
              <w:autoSpaceDN/>
              <w:bidi w:val="0"/>
              <w:adjustRightInd w:val="0"/>
              <w:snapToGrid w:val="0"/>
              <w:spacing w:line="600" w:lineRule="exact"/>
              <w:ind w:firstLine="2805" w:firstLineChars="825"/>
              <w:textAlignment w:val="auto"/>
              <w:rPr>
                <w:rFonts w:hint="eastAsia" w:ascii="黑体" w:hAnsi="黑体" w:eastAsia="黑体" w:cs="Times New Roman"/>
                <w:spacing w:val="10"/>
                <w:sz w:val="32"/>
                <w:szCs w:val="32"/>
                <w:lang w:val="en-US" w:eastAsia="zh-CN"/>
              </w:rPr>
            </w:pPr>
            <w:r>
              <w:rPr>
                <w:rFonts w:hint="eastAsia" w:ascii="黑体" w:hAnsi="黑体" w:eastAsia="黑体" w:cs="Times New Roman"/>
                <w:spacing w:val="10"/>
                <w:sz w:val="32"/>
                <w:szCs w:val="32"/>
                <w:lang w:val="en-US" w:eastAsia="zh-CN"/>
              </w:rPr>
              <w:t>残疾人就业和扶持项目</w:t>
            </w:r>
          </w:p>
        </w:tc>
      </w:tr>
      <w:tr>
        <w:tblPrEx>
          <w:tblCellMar>
            <w:top w:w="0" w:type="dxa"/>
            <w:left w:w="108" w:type="dxa"/>
            <w:bottom w:w="0" w:type="dxa"/>
            <w:right w:w="108" w:type="dxa"/>
          </w:tblCellMar>
        </w:tblPrEx>
        <w:trPr>
          <w:trHeight w:val="624" w:hRule="atLeast"/>
        </w:trPr>
        <w:tc>
          <w:tcPr>
            <w:tcW w:w="5000" w:type="pct"/>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textAlignment w:val="center"/>
              <w:rPr>
                <w:rFonts w:ascii="Calibri" w:hAnsi="Calibri" w:eastAsia="仿宋_GB2312"/>
                <w:color w:val="000000"/>
                <w:sz w:val="32"/>
                <w:szCs w:val="21"/>
              </w:rPr>
            </w:pPr>
            <w:r>
              <w:rPr>
                <w:rFonts w:ascii="Times New Roman" w:hAnsi="Times New Roman" w:eastAsia="仿宋_GB2312" w:cs="Times New Roman"/>
                <w:color w:val="000000"/>
                <w:kern w:val="0"/>
                <w:sz w:val="21"/>
                <w:szCs w:val="21"/>
              </w:rPr>
              <w:t>（202</w:t>
            </w:r>
            <w:r>
              <w:rPr>
                <w:rFonts w:hint="eastAsia" w:ascii="Times New Roman" w:hAnsi="Times New Roman" w:eastAsia="仿宋_GB2312" w:cs="Times New Roman"/>
                <w:color w:val="000000"/>
                <w:kern w:val="0"/>
                <w:sz w:val="21"/>
                <w:szCs w:val="21"/>
              </w:rPr>
              <w:t>3</w:t>
            </w:r>
            <w:r>
              <w:rPr>
                <w:rFonts w:ascii="Times New Roman" w:hAnsi="Times New Roman" w:eastAsia="仿宋_GB2312" w:cs="Times New Roman"/>
                <w:color w:val="000000"/>
                <w:kern w:val="0"/>
                <w:sz w:val="21"/>
                <w:szCs w:val="21"/>
              </w:rPr>
              <w:t>年度）</w:t>
            </w:r>
          </w:p>
        </w:tc>
      </w:tr>
      <w:tr>
        <w:tblPrEx>
          <w:tblCellMar>
            <w:top w:w="0" w:type="dxa"/>
            <w:left w:w="108" w:type="dxa"/>
            <w:bottom w:w="0" w:type="dxa"/>
            <w:right w:w="108" w:type="dxa"/>
          </w:tblCellMar>
        </w:tblPrEx>
        <w:trPr>
          <w:trHeight w:val="624" w:hRule="atLeast"/>
        </w:trPr>
        <w:tc>
          <w:tcPr>
            <w:tcW w:w="1102" w:type="pct"/>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textAlignment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专项名称</w:t>
            </w:r>
          </w:p>
        </w:tc>
        <w:tc>
          <w:tcPr>
            <w:tcW w:w="3897" w:type="pct"/>
            <w:gridSpan w:val="6"/>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textAlignment w:val="center"/>
              <w:rPr>
                <w:rFonts w:ascii="Times New Roman" w:hAnsi="Times New Roman" w:eastAsia="仿宋_GB2312" w:cs="Times New Roman"/>
                <w:color w:val="000000"/>
                <w:kern w:val="0"/>
                <w:sz w:val="21"/>
                <w:szCs w:val="21"/>
              </w:rPr>
            </w:pPr>
            <w:r>
              <w:rPr>
                <w:rFonts w:hint="eastAsia" w:ascii="Times New Roman" w:hAnsi="Times New Roman" w:eastAsia="仿宋_GB2312" w:cs="Times New Roman"/>
                <w:color w:val="000000"/>
                <w:kern w:val="0"/>
                <w:sz w:val="21"/>
                <w:szCs w:val="21"/>
                <w:lang w:val="en-US" w:eastAsia="zh-CN"/>
              </w:rPr>
              <w:t>残疾人就业和扶持</w:t>
            </w:r>
          </w:p>
        </w:tc>
      </w:tr>
      <w:tr>
        <w:tblPrEx>
          <w:tblCellMar>
            <w:top w:w="0" w:type="dxa"/>
            <w:left w:w="108" w:type="dxa"/>
            <w:bottom w:w="0" w:type="dxa"/>
            <w:right w:w="108" w:type="dxa"/>
          </w:tblCellMar>
        </w:tblPrEx>
        <w:trPr>
          <w:trHeight w:val="624" w:hRule="atLeast"/>
        </w:trPr>
        <w:tc>
          <w:tcPr>
            <w:tcW w:w="1102" w:type="pct"/>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textAlignment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中央主管部门</w:t>
            </w:r>
          </w:p>
        </w:tc>
        <w:tc>
          <w:tcPr>
            <w:tcW w:w="3897" w:type="pct"/>
            <w:gridSpan w:val="6"/>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textAlignment w:val="center"/>
              <w:rPr>
                <w:rFonts w:ascii="Times New Roman" w:hAnsi="Times New Roman" w:eastAsia="仿宋_GB2312" w:cs="Times New Roman"/>
                <w:color w:val="000000"/>
                <w:kern w:val="0"/>
                <w:sz w:val="21"/>
                <w:szCs w:val="21"/>
              </w:rPr>
            </w:pPr>
          </w:p>
        </w:tc>
      </w:tr>
      <w:tr>
        <w:tblPrEx>
          <w:tblCellMar>
            <w:top w:w="0" w:type="dxa"/>
            <w:left w:w="108" w:type="dxa"/>
            <w:bottom w:w="0" w:type="dxa"/>
            <w:right w:w="108" w:type="dxa"/>
          </w:tblCellMar>
        </w:tblPrEx>
        <w:trPr>
          <w:trHeight w:val="624" w:hRule="atLeast"/>
        </w:trPr>
        <w:tc>
          <w:tcPr>
            <w:tcW w:w="1102" w:type="pct"/>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textAlignment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省级财政部门</w:t>
            </w:r>
          </w:p>
        </w:tc>
        <w:tc>
          <w:tcPr>
            <w:tcW w:w="3897" w:type="pct"/>
            <w:gridSpan w:val="6"/>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textAlignment w:val="center"/>
              <w:rPr>
                <w:rFonts w:ascii="Times New Roman" w:hAnsi="Times New Roman" w:eastAsia="仿宋_GB2312" w:cs="Times New Roman"/>
                <w:color w:val="000000"/>
                <w:kern w:val="0"/>
                <w:sz w:val="21"/>
                <w:szCs w:val="21"/>
              </w:rPr>
            </w:pPr>
          </w:p>
        </w:tc>
      </w:tr>
      <w:tr>
        <w:tblPrEx>
          <w:tblCellMar>
            <w:top w:w="0" w:type="dxa"/>
            <w:left w:w="108" w:type="dxa"/>
            <w:bottom w:w="0" w:type="dxa"/>
            <w:right w:w="108" w:type="dxa"/>
          </w:tblCellMar>
        </w:tblPrEx>
        <w:trPr>
          <w:trHeight w:val="624" w:hRule="atLeast"/>
        </w:trPr>
        <w:tc>
          <w:tcPr>
            <w:tcW w:w="1102" w:type="pct"/>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textAlignment w:val="center"/>
              <w:rPr>
                <w:rFonts w:hint="eastAsia" w:ascii="Times New Roman" w:hAnsi="Times New Roman" w:eastAsia="仿宋_GB2312" w:cs="Times New Roman"/>
                <w:color w:val="000000"/>
                <w:kern w:val="0"/>
                <w:sz w:val="21"/>
                <w:szCs w:val="21"/>
                <w:lang w:eastAsia="zh-CN"/>
              </w:rPr>
            </w:pPr>
            <w:r>
              <w:rPr>
                <w:rFonts w:ascii="Times New Roman" w:hAnsi="Times New Roman" w:eastAsia="仿宋_GB2312" w:cs="Times New Roman"/>
                <w:color w:val="000000"/>
                <w:kern w:val="0"/>
                <w:sz w:val="21"/>
                <w:szCs w:val="21"/>
              </w:rPr>
              <w:t>资金</w:t>
            </w:r>
          </w:p>
          <w:p>
            <w:pPr>
              <w:widowControl/>
              <w:spacing w:line="320" w:lineRule="exact"/>
              <w:jc w:val="center"/>
              <w:textAlignment w:val="center"/>
              <w:rPr>
                <w:rFonts w:hint="eastAsia" w:ascii="Times New Roman" w:hAnsi="Times New Roman" w:eastAsia="仿宋_GB2312" w:cs="Times New Roman"/>
                <w:color w:val="000000"/>
                <w:kern w:val="0"/>
                <w:sz w:val="21"/>
                <w:szCs w:val="21"/>
                <w:lang w:eastAsia="zh-CN"/>
              </w:rPr>
            </w:pPr>
            <w:r>
              <w:rPr>
                <w:rFonts w:ascii="Times New Roman" w:hAnsi="Times New Roman" w:eastAsia="仿宋_GB2312" w:cs="Times New Roman"/>
                <w:color w:val="000000"/>
                <w:kern w:val="0"/>
                <w:sz w:val="21"/>
                <w:szCs w:val="21"/>
              </w:rPr>
              <w:t>情况</w:t>
            </w:r>
          </w:p>
          <w:p>
            <w:pPr>
              <w:widowControl/>
              <w:spacing w:line="320" w:lineRule="exact"/>
              <w:jc w:val="center"/>
              <w:textAlignment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（万元）</w:t>
            </w:r>
          </w:p>
        </w:tc>
        <w:tc>
          <w:tcPr>
            <w:tcW w:w="932" w:type="pc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textAlignment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xml:space="preserve">  预算数：</w:t>
            </w:r>
          </w:p>
        </w:tc>
        <w:tc>
          <w:tcPr>
            <w:tcW w:w="1049" w:type="pct"/>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textAlignment w:val="center"/>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17</w:t>
            </w:r>
          </w:p>
        </w:tc>
        <w:tc>
          <w:tcPr>
            <w:tcW w:w="992" w:type="pc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textAlignment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执行数：</w:t>
            </w:r>
          </w:p>
        </w:tc>
        <w:tc>
          <w:tcPr>
            <w:tcW w:w="924" w:type="pc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textAlignment w:val="center"/>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17</w:t>
            </w:r>
          </w:p>
        </w:tc>
      </w:tr>
      <w:tr>
        <w:tblPrEx>
          <w:tblCellMar>
            <w:top w:w="0" w:type="dxa"/>
            <w:left w:w="108" w:type="dxa"/>
            <w:bottom w:w="0" w:type="dxa"/>
            <w:right w:w="108" w:type="dxa"/>
          </w:tblCellMar>
        </w:tblPrEx>
        <w:trPr>
          <w:trHeight w:val="624" w:hRule="atLeast"/>
        </w:trPr>
        <w:tc>
          <w:tcPr>
            <w:tcW w:w="1102"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textAlignment w:val="center"/>
              <w:rPr>
                <w:rFonts w:ascii="Times New Roman" w:hAnsi="Times New Roman" w:eastAsia="仿宋_GB2312" w:cs="Times New Roman"/>
                <w:color w:val="000000"/>
                <w:kern w:val="0"/>
                <w:sz w:val="21"/>
                <w:szCs w:val="21"/>
              </w:rPr>
            </w:pPr>
          </w:p>
        </w:tc>
        <w:tc>
          <w:tcPr>
            <w:tcW w:w="932" w:type="pc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textAlignment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其中：中央补助</w:t>
            </w:r>
          </w:p>
        </w:tc>
        <w:tc>
          <w:tcPr>
            <w:tcW w:w="1049" w:type="pct"/>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textAlignment w:val="center"/>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 xml:space="preserve"> 0</w:t>
            </w:r>
          </w:p>
        </w:tc>
        <w:tc>
          <w:tcPr>
            <w:tcW w:w="992" w:type="pc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textAlignment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其中：中央补助</w:t>
            </w:r>
          </w:p>
        </w:tc>
        <w:tc>
          <w:tcPr>
            <w:tcW w:w="924" w:type="pc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textAlignment w:val="center"/>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0</w:t>
            </w:r>
          </w:p>
        </w:tc>
      </w:tr>
      <w:tr>
        <w:tblPrEx>
          <w:tblCellMar>
            <w:top w:w="0" w:type="dxa"/>
            <w:left w:w="108" w:type="dxa"/>
            <w:bottom w:w="0" w:type="dxa"/>
            <w:right w:w="108" w:type="dxa"/>
          </w:tblCellMar>
        </w:tblPrEx>
        <w:trPr>
          <w:trHeight w:val="90" w:hRule="atLeast"/>
        </w:trPr>
        <w:tc>
          <w:tcPr>
            <w:tcW w:w="1102"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textAlignment w:val="center"/>
              <w:rPr>
                <w:rFonts w:ascii="Times New Roman" w:hAnsi="Times New Roman" w:eastAsia="仿宋_GB2312" w:cs="Times New Roman"/>
                <w:color w:val="000000"/>
                <w:kern w:val="0"/>
                <w:sz w:val="21"/>
                <w:szCs w:val="21"/>
              </w:rPr>
            </w:pPr>
          </w:p>
        </w:tc>
        <w:tc>
          <w:tcPr>
            <w:tcW w:w="932" w:type="pc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textAlignment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xml:space="preserve">                省级补助</w:t>
            </w:r>
          </w:p>
        </w:tc>
        <w:tc>
          <w:tcPr>
            <w:tcW w:w="1049" w:type="pct"/>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textAlignment w:val="center"/>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4.3</w:t>
            </w:r>
          </w:p>
        </w:tc>
        <w:tc>
          <w:tcPr>
            <w:tcW w:w="992" w:type="pc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textAlignment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xml:space="preserve">                省级补助</w:t>
            </w:r>
          </w:p>
        </w:tc>
        <w:tc>
          <w:tcPr>
            <w:tcW w:w="924" w:type="pc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textAlignment w:val="center"/>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4.3</w:t>
            </w:r>
          </w:p>
        </w:tc>
      </w:tr>
      <w:tr>
        <w:tblPrEx>
          <w:tblCellMar>
            <w:top w:w="0" w:type="dxa"/>
            <w:left w:w="108" w:type="dxa"/>
            <w:bottom w:w="0" w:type="dxa"/>
            <w:right w:w="108" w:type="dxa"/>
          </w:tblCellMar>
        </w:tblPrEx>
        <w:trPr>
          <w:trHeight w:val="624" w:hRule="atLeast"/>
        </w:trPr>
        <w:tc>
          <w:tcPr>
            <w:tcW w:w="1102"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textAlignment w:val="center"/>
              <w:rPr>
                <w:rFonts w:ascii="Times New Roman" w:hAnsi="Times New Roman" w:eastAsia="仿宋_GB2312" w:cs="Times New Roman"/>
                <w:color w:val="000000"/>
                <w:kern w:val="0"/>
                <w:sz w:val="21"/>
                <w:szCs w:val="21"/>
              </w:rPr>
            </w:pPr>
          </w:p>
        </w:tc>
        <w:tc>
          <w:tcPr>
            <w:tcW w:w="932" w:type="pc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textAlignment w:val="center"/>
              <w:rPr>
                <w:rFonts w:hint="eastAsia" w:ascii="Times New Roman" w:hAnsi="Times New Roman" w:eastAsia="仿宋_GB2312" w:cs="Times New Roman"/>
                <w:color w:val="000000"/>
                <w:kern w:val="0"/>
                <w:sz w:val="21"/>
                <w:szCs w:val="21"/>
                <w:lang w:eastAsia="zh-CN"/>
              </w:rPr>
            </w:pPr>
            <w:r>
              <w:rPr>
                <w:rFonts w:hint="eastAsia" w:ascii="Times New Roman" w:hAnsi="Times New Roman" w:eastAsia="仿宋_GB2312" w:cs="Times New Roman"/>
                <w:color w:val="000000"/>
                <w:kern w:val="0"/>
                <w:sz w:val="21"/>
                <w:szCs w:val="21"/>
                <w:lang w:eastAsia="zh-CN"/>
              </w:rPr>
              <w:t>市级补助</w:t>
            </w:r>
          </w:p>
        </w:tc>
        <w:tc>
          <w:tcPr>
            <w:tcW w:w="1049" w:type="pct"/>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textAlignment w:val="center"/>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0.63</w:t>
            </w:r>
          </w:p>
        </w:tc>
        <w:tc>
          <w:tcPr>
            <w:tcW w:w="992" w:type="pc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textAlignment w:val="center"/>
              <w:rPr>
                <w:rFonts w:ascii="Times New Roman" w:hAnsi="Times New Roman" w:eastAsia="仿宋_GB2312" w:cs="Times New Roman"/>
                <w:color w:val="000000"/>
                <w:kern w:val="0"/>
                <w:sz w:val="21"/>
                <w:szCs w:val="21"/>
              </w:rPr>
            </w:pPr>
            <w:r>
              <w:rPr>
                <w:rFonts w:hint="eastAsia" w:ascii="Times New Roman" w:hAnsi="Times New Roman" w:eastAsia="仿宋_GB2312" w:cs="Times New Roman"/>
                <w:color w:val="000000"/>
                <w:kern w:val="0"/>
                <w:sz w:val="21"/>
                <w:szCs w:val="21"/>
                <w:lang w:eastAsia="zh-CN"/>
              </w:rPr>
              <w:t>市级补助</w:t>
            </w:r>
          </w:p>
        </w:tc>
        <w:tc>
          <w:tcPr>
            <w:tcW w:w="924" w:type="pc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textAlignment w:val="center"/>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0.63</w:t>
            </w:r>
          </w:p>
        </w:tc>
      </w:tr>
      <w:tr>
        <w:tblPrEx>
          <w:tblCellMar>
            <w:top w:w="0" w:type="dxa"/>
            <w:left w:w="108" w:type="dxa"/>
            <w:bottom w:w="0" w:type="dxa"/>
            <w:right w:w="108" w:type="dxa"/>
          </w:tblCellMar>
        </w:tblPrEx>
        <w:trPr>
          <w:trHeight w:val="624" w:hRule="atLeast"/>
        </w:trPr>
        <w:tc>
          <w:tcPr>
            <w:tcW w:w="1102"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textAlignment w:val="center"/>
              <w:rPr>
                <w:rFonts w:ascii="Times New Roman" w:hAnsi="Times New Roman" w:eastAsia="仿宋_GB2312" w:cs="Times New Roman"/>
                <w:color w:val="000000"/>
                <w:kern w:val="0"/>
                <w:sz w:val="21"/>
                <w:szCs w:val="21"/>
              </w:rPr>
            </w:pPr>
          </w:p>
        </w:tc>
        <w:tc>
          <w:tcPr>
            <w:tcW w:w="932" w:type="pc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textAlignment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xml:space="preserve">                  地方资金</w:t>
            </w:r>
          </w:p>
        </w:tc>
        <w:tc>
          <w:tcPr>
            <w:tcW w:w="1049" w:type="pct"/>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textAlignment w:val="center"/>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12.07</w:t>
            </w:r>
          </w:p>
        </w:tc>
        <w:tc>
          <w:tcPr>
            <w:tcW w:w="992" w:type="pc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textAlignment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xml:space="preserve">                  地方资金</w:t>
            </w:r>
          </w:p>
        </w:tc>
        <w:tc>
          <w:tcPr>
            <w:tcW w:w="924" w:type="pc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textAlignment w:val="center"/>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12.07</w:t>
            </w:r>
          </w:p>
        </w:tc>
      </w:tr>
      <w:tr>
        <w:tblPrEx>
          <w:tblCellMar>
            <w:top w:w="0" w:type="dxa"/>
            <w:left w:w="108" w:type="dxa"/>
            <w:bottom w:w="0" w:type="dxa"/>
            <w:right w:w="108" w:type="dxa"/>
          </w:tblCellMar>
        </w:tblPrEx>
        <w:trPr>
          <w:trHeight w:val="384" w:hRule="atLeast"/>
        </w:trPr>
        <w:tc>
          <w:tcPr>
            <w:tcW w:w="354"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textAlignment w:val="center"/>
              <w:rPr>
                <w:rFonts w:hint="eastAsia" w:ascii="Times New Roman" w:hAnsi="Times New Roman" w:eastAsia="仿宋_GB2312" w:cs="Times New Roman"/>
                <w:color w:val="000000"/>
                <w:kern w:val="0"/>
                <w:sz w:val="21"/>
                <w:szCs w:val="21"/>
                <w:lang w:eastAsia="zh-CN"/>
              </w:rPr>
            </w:pPr>
            <w:r>
              <w:rPr>
                <w:rFonts w:ascii="Times New Roman" w:hAnsi="Times New Roman" w:eastAsia="仿宋_GB2312" w:cs="Times New Roman"/>
                <w:color w:val="000000"/>
                <w:kern w:val="0"/>
                <w:sz w:val="21"/>
                <w:szCs w:val="21"/>
              </w:rPr>
              <w:t>年</w:t>
            </w:r>
          </w:p>
          <w:p>
            <w:pPr>
              <w:widowControl/>
              <w:spacing w:line="320" w:lineRule="exact"/>
              <w:jc w:val="center"/>
              <w:textAlignment w:val="center"/>
              <w:rPr>
                <w:rFonts w:hint="eastAsia" w:ascii="Times New Roman" w:hAnsi="Times New Roman" w:eastAsia="仿宋_GB2312" w:cs="Times New Roman"/>
                <w:color w:val="000000"/>
                <w:kern w:val="0"/>
                <w:sz w:val="21"/>
                <w:szCs w:val="21"/>
                <w:lang w:eastAsia="zh-CN"/>
              </w:rPr>
            </w:pPr>
            <w:r>
              <w:rPr>
                <w:rFonts w:ascii="Times New Roman" w:hAnsi="Times New Roman" w:eastAsia="仿宋_GB2312" w:cs="Times New Roman"/>
                <w:color w:val="000000"/>
                <w:kern w:val="0"/>
                <w:sz w:val="21"/>
                <w:szCs w:val="21"/>
              </w:rPr>
              <w:t>度</w:t>
            </w:r>
          </w:p>
          <w:p>
            <w:pPr>
              <w:widowControl/>
              <w:spacing w:line="320" w:lineRule="exact"/>
              <w:jc w:val="center"/>
              <w:textAlignment w:val="center"/>
              <w:rPr>
                <w:rFonts w:hint="eastAsia" w:ascii="Times New Roman" w:hAnsi="Times New Roman" w:eastAsia="仿宋_GB2312" w:cs="Times New Roman"/>
                <w:color w:val="000000"/>
                <w:kern w:val="0"/>
                <w:sz w:val="21"/>
                <w:szCs w:val="21"/>
                <w:lang w:eastAsia="zh-CN"/>
              </w:rPr>
            </w:pPr>
            <w:r>
              <w:rPr>
                <w:rFonts w:ascii="Times New Roman" w:hAnsi="Times New Roman" w:eastAsia="仿宋_GB2312" w:cs="Times New Roman"/>
                <w:color w:val="000000"/>
                <w:kern w:val="0"/>
                <w:sz w:val="21"/>
                <w:szCs w:val="21"/>
              </w:rPr>
              <w:t>总</w:t>
            </w:r>
          </w:p>
          <w:p>
            <w:pPr>
              <w:widowControl/>
              <w:spacing w:line="320" w:lineRule="exact"/>
              <w:jc w:val="center"/>
              <w:textAlignment w:val="center"/>
              <w:rPr>
                <w:rFonts w:hint="eastAsia" w:ascii="Times New Roman" w:hAnsi="Times New Roman" w:eastAsia="仿宋_GB2312" w:cs="Times New Roman"/>
                <w:color w:val="000000"/>
                <w:kern w:val="0"/>
                <w:sz w:val="21"/>
                <w:szCs w:val="21"/>
                <w:lang w:eastAsia="zh-CN"/>
              </w:rPr>
            </w:pPr>
            <w:r>
              <w:rPr>
                <w:rFonts w:ascii="Times New Roman" w:hAnsi="Times New Roman" w:eastAsia="仿宋_GB2312" w:cs="Times New Roman"/>
                <w:color w:val="000000"/>
                <w:kern w:val="0"/>
                <w:sz w:val="21"/>
                <w:szCs w:val="21"/>
              </w:rPr>
              <w:t>体</w:t>
            </w:r>
          </w:p>
          <w:p>
            <w:pPr>
              <w:widowControl/>
              <w:spacing w:line="320" w:lineRule="exact"/>
              <w:jc w:val="center"/>
              <w:textAlignment w:val="center"/>
              <w:rPr>
                <w:rFonts w:hint="eastAsia" w:ascii="Times New Roman" w:hAnsi="Times New Roman" w:eastAsia="仿宋_GB2312" w:cs="Times New Roman"/>
                <w:color w:val="000000"/>
                <w:kern w:val="0"/>
                <w:sz w:val="21"/>
                <w:szCs w:val="21"/>
                <w:lang w:eastAsia="zh-CN"/>
              </w:rPr>
            </w:pPr>
            <w:r>
              <w:rPr>
                <w:rFonts w:ascii="Times New Roman" w:hAnsi="Times New Roman" w:eastAsia="仿宋_GB2312" w:cs="Times New Roman"/>
                <w:color w:val="000000"/>
                <w:kern w:val="0"/>
                <w:sz w:val="21"/>
                <w:szCs w:val="21"/>
              </w:rPr>
              <w:t>目</w:t>
            </w:r>
          </w:p>
          <w:p>
            <w:pPr>
              <w:widowControl/>
              <w:spacing w:line="320" w:lineRule="exact"/>
              <w:jc w:val="center"/>
              <w:textAlignment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标</w:t>
            </w:r>
          </w:p>
        </w:tc>
        <w:tc>
          <w:tcPr>
            <w:tcW w:w="2407" w:type="pct"/>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textAlignment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预期目标</w:t>
            </w:r>
          </w:p>
        </w:tc>
        <w:tc>
          <w:tcPr>
            <w:tcW w:w="2238" w:type="pct"/>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textAlignment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目标实际完成情况</w:t>
            </w:r>
          </w:p>
        </w:tc>
      </w:tr>
      <w:tr>
        <w:tblPrEx>
          <w:tblCellMar>
            <w:top w:w="0" w:type="dxa"/>
            <w:left w:w="108" w:type="dxa"/>
            <w:bottom w:w="0" w:type="dxa"/>
            <w:right w:w="108" w:type="dxa"/>
          </w:tblCellMar>
        </w:tblPrEx>
        <w:trPr>
          <w:trHeight w:val="1928" w:hRule="atLeast"/>
        </w:trPr>
        <w:tc>
          <w:tcPr>
            <w:tcW w:w="354"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textAlignment w:val="center"/>
              <w:rPr>
                <w:rFonts w:ascii="Times New Roman" w:hAnsi="Times New Roman" w:eastAsia="仿宋_GB2312" w:cs="Times New Roman"/>
                <w:color w:val="000000"/>
                <w:kern w:val="0"/>
                <w:sz w:val="21"/>
                <w:szCs w:val="21"/>
              </w:rPr>
            </w:pPr>
          </w:p>
        </w:tc>
        <w:tc>
          <w:tcPr>
            <w:tcW w:w="2407" w:type="pct"/>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textAlignment w:val="center"/>
              <w:rPr>
                <w:rFonts w:ascii="Times New Roman" w:hAnsi="Times New Roman" w:eastAsia="仿宋_GB2312" w:cs="Times New Roman"/>
                <w:color w:val="000000"/>
                <w:kern w:val="0"/>
                <w:sz w:val="21"/>
                <w:szCs w:val="21"/>
              </w:rPr>
            </w:pPr>
            <w:r>
              <w:rPr>
                <w:rFonts w:hint="eastAsia" w:ascii="宋体" w:hAnsi="宋体" w:eastAsia="宋体" w:cs="宋体"/>
                <w:kern w:val="0"/>
                <w:sz w:val="20"/>
                <w:szCs w:val="20"/>
                <w:lang w:eastAsia="zh-CN"/>
              </w:rPr>
              <w:t>鼓励、扶持、带动更多残疾人更好地实现就业创业</w:t>
            </w:r>
            <w:r>
              <w:rPr>
                <w:rFonts w:hint="eastAsia" w:ascii="Times New Roman" w:hAnsi="仿宋_GB2312" w:eastAsia="仿宋_GB2312"/>
                <w:spacing w:val="14"/>
                <w:sz w:val="32"/>
                <w:szCs w:val="32"/>
              </w:rPr>
              <w:t>，</w:t>
            </w:r>
          </w:p>
        </w:tc>
        <w:tc>
          <w:tcPr>
            <w:tcW w:w="2238" w:type="pct"/>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textAlignment w:val="center"/>
              <w:rPr>
                <w:rFonts w:hint="default" w:ascii="Times New Roman" w:hAnsi="Times New Roman" w:eastAsia="仿宋_GB2312" w:cs="Times New Roman"/>
                <w:color w:val="000000"/>
                <w:kern w:val="0"/>
                <w:sz w:val="21"/>
                <w:szCs w:val="21"/>
                <w:lang w:val="en-US"/>
              </w:rPr>
            </w:pPr>
            <w:r>
              <w:rPr>
                <w:rFonts w:hint="eastAsia" w:ascii="宋体" w:hAnsi="宋体" w:eastAsia="宋体" w:cs="宋体"/>
                <w:kern w:val="0"/>
                <w:sz w:val="20"/>
                <w:szCs w:val="20"/>
                <w:lang w:val="en-US" w:eastAsia="zh-CN"/>
              </w:rPr>
              <w:t>通过对灵活就业残疾人进行补贴，对创业残疾人进行一次性创业补贴，大大减轻了残疾人及其家庭负担，提高了残疾人生活水平，鼓励、带动更多残疾人自力更生，创造价值。</w:t>
            </w:r>
          </w:p>
        </w:tc>
      </w:tr>
      <w:tr>
        <w:tblPrEx>
          <w:tblCellMar>
            <w:top w:w="0" w:type="dxa"/>
            <w:left w:w="108" w:type="dxa"/>
            <w:bottom w:w="0" w:type="dxa"/>
            <w:right w:w="108" w:type="dxa"/>
          </w:tblCellMar>
        </w:tblPrEx>
        <w:trPr>
          <w:trHeight w:val="624" w:hRule="atLeast"/>
        </w:trPr>
        <w:tc>
          <w:tcPr>
            <w:tcW w:w="354" w:type="pct"/>
            <w:vMerge w:val="restart"/>
            <w:tcBorders>
              <w:top w:val="single" w:color="auto" w:sz="4" w:space="0"/>
              <w:left w:val="single" w:color="auto" w:sz="4" w:space="0"/>
              <w:right w:val="single" w:color="auto" w:sz="4" w:space="0"/>
            </w:tcBorders>
            <w:noWrap w:val="0"/>
            <w:vAlign w:val="center"/>
          </w:tcPr>
          <w:p>
            <w:pPr>
              <w:widowControl/>
              <w:spacing w:line="320" w:lineRule="exact"/>
              <w:jc w:val="center"/>
              <w:textAlignment w:val="center"/>
              <w:rPr>
                <w:rFonts w:hint="eastAsia" w:ascii="Times New Roman" w:hAnsi="Times New Roman" w:eastAsia="仿宋_GB2312" w:cs="Times New Roman"/>
                <w:color w:val="000000"/>
                <w:kern w:val="0"/>
                <w:sz w:val="21"/>
                <w:szCs w:val="21"/>
                <w:lang w:eastAsia="zh-CN"/>
              </w:rPr>
            </w:pPr>
            <w:r>
              <w:rPr>
                <w:rFonts w:ascii="Times New Roman" w:hAnsi="Times New Roman" w:eastAsia="仿宋_GB2312" w:cs="Times New Roman"/>
                <w:color w:val="000000"/>
                <w:kern w:val="0"/>
                <w:sz w:val="21"/>
                <w:szCs w:val="21"/>
              </w:rPr>
              <w:t>绩</w:t>
            </w:r>
          </w:p>
          <w:p>
            <w:pPr>
              <w:widowControl/>
              <w:spacing w:line="320" w:lineRule="exact"/>
              <w:jc w:val="center"/>
              <w:textAlignment w:val="center"/>
              <w:rPr>
                <w:rFonts w:hint="eastAsia" w:ascii="Times New Roman" w:hAnsi="Times New Roman" w:eastAsia="仿宋_GB2312" w:cs="Times New Roman"/>
                <w:color w:val="000000"/>
                <w:kern w:val="0"/>
                <w:sz w:val="21"/>
                <w:szCs w:val="21"/>
                <w:lang w:eastAsia="zh-CN"/>
              </w:rPr>
            </w:pPr>
            <w:r>
              <w:rPr>
                <w:rFonts w:ascii="Times New Roman" w:hAnsi="Times New Roman" w:eastAsia="仿宋_GB2312" w:cs="Times New Roman"/>
                <w:color w:val="000000"/>
                <w:kern w:val="0"/>
                <w:sz w:val="21"/>
                <w:szCs w:val="21"/>
              </w:rPr>
              <w:t>效</w:t>
            </w:r>
          </w:p>
          <w:p>
            <w:pPr>
              <w:widowControl/>
              <w:spacing w:line="320" w:lineRule="exact"/>
              <w:jc w:val="center"/>
              <w:textAlignment w:val="center"/>
              <w:rPr>
                <w:rFonts w:hint="eastAsia" w:ascii="Times New Roman" w:hAnsi="Times New Roman" w:eastAsia="仿宋_GB2312" w:cs="Times New Roman"/>
                <w:color w:val="000000"/>
                <w:kern w:val="0"/>
                <w:sz w:val="21"/>
                <w:szCs w:val="21"/>
                <w:lang w:eastAsia="zh-CN"/>
              </w:rPr>
            </w:pPr>
            <w:r>
              <w:rPr>
                <w:rFonts w:ascii="Times New Roman" w:hAnsi="Times New Roman" w:eastAsia="仿宋_GB2312" w:cs="Times New Roman"/>
                <w:color w:val="000000"/>
                <w:kern w:val="0"/>
                <w:sz w:val="21"/>
                <w:szCs w:val="21"/>
              </w:rPr>
              <w:t>指</w:t>
            </w:r>
          </w:p>
          <w:p>
            <w:pPr>
              <w:widowControl/>
              <w:spacing w:line="320" w:lineRule="exact"/>
              <w:jc w:val="center"/>
              <w:textAlignment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标</w:t>
            </w:r>
          </w:p>
        </w:tc>
        <w:tc>
          <w:tcPr>
            <w:tcW w:w="748" w:type="pc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textAlignment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一级指标</w:t>
            </w:r>
          </w:p>
        </w:tc>
        <w:tc>
          <w:tcPr>
            <w:tcW w:w="1002" w:type="pct"/>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textAlignment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二级指标</w:t>
            </w:r>
          </w:p>
        </w:tc>
        <w:tc>
          <w:tcPr>
            <w:tcW w:w="979" w:type="pct"/>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textAlignment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三级指标</w:t>
            </w:r>
          </w:p>
        </w:tc>
        <w:tc>
          <w:tcPr>
            <w:tcW w:w="992" w:type="pc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textAlignment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指标值</w:t>
            </w:r>
          </w:p>
        </w:tc>
        <w:tc>
          <w:tcPr>
            <w:tcW w:w="924" w:type="pc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textAlignment w:val="center"/>
              <w:rPr>
                <w:rFonts w:hint="eastAsia" w:ascii="Times New Roman" w:hAnsi="Times New Roman" w:eastAsia="仿宋_GB2312" w:cs="Times New Roman"/>
                <w:color w:val="000000"/>
                <w:kern w:val="0"/>
                <w:sz w:val="21"/>
                <w:szCs w:val="21"/>
                <w:lang w:eastAsia="zh-CN"/>
              </w:rPr>
            </w:pPr>
            <w:r>
              <w:rPr>
                <w:rFonts w:ascii="Times New Roman" w:hAnsi="Times New Roman" w:eastAsia="仿宋_GB2312" w:cs="Times New Roman"/>
                <w:color w:val="000000"/>
                <w:kern w:val="0"/>
                <w:sz w:val="21"/>
                <w:szCs w:val="21"/>
              </w:rPr>
              <w:t>绩效指标实际</w:t>
            </w:r>
          </w:p>
          <w:p>
            <w:pPr>
              <w:widowControl/>
              <w:spacing w:line="320" w:lineRule="exact"/>
              <w:jc w:val="center"/>
              <w:textAlignment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完成情况</w:t>
            </w:r>
          </w:p>
        </w:tc>
      </w:tr>
      <w:tr>
        <w:tblPrEx>
          <w:tblCellMar>
            <w:top w:w="0" w:type="dxa"/>
            <w:left w:w="108" w:type="dxa"/>
            <w:bottom w:w="0" w:type="dxa"/>
            <w:right w:w="108" w:type="dxa"/>
          </w:tblCellMar>
        </w:tblPrEx>
        <w:trPr>
          <w:trHeight w:val="624" w:hRule="atLeast"/>
        </w:trPr>
        <w:tc>
          <w:tcPr>
            <w:tcW w:w="354" w:type="pct"/>
            <w:vMerge w:val="continue"/>
            <w:tcBorders>
              <w:left w:val="single" w:color="auto" w:sz="4" w:space="0"/>
              <w:right w:val="single" w:color="auto" w:sz="4" w:space="0"/>
            </w:tcBorders>
            <w:noWrap w:val="0"/>
            <w:vAlign w:val="center"/>
          </w:tcPr>
          <w:p>
            <w:pPr>
              <w:widowControl/>
              <w:spacing w:line="320" w:lineRule="exact"/>
              <w:jc w:val="center"/>
              <w:textAlignment w:val="center"/>
              <w:rPr>
                <w:rFonts w:ascii="Times New Roman" w:hAnsi="Times New Roman" w:eastAsia="仿宋_GB2312" w:cs="Times New Roman"/>
                <w:color w:val="000000"/>
                <w:kern w:val="0"/>
                <w:sz w:val="21"/>
                <w:szCs w:val="21"/>
              </w:rPr>
            </w:pPr>
          </w:p>
        </w:tc>
        <w:tc>
          <w:tcPr>
            <w:tcW w:w="748"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textAlignment w:val="center"/>
              <w:rPr>
                <w:rFonts w:hint="eastAsia" w:ascii="Times New Roman" w:hAnsi="Times New Roman" w:eastAsia="仿宋_GB2312" w:cs="Times New Roman"/>
                <w:color w:val="000000"/>
                <w:kern w:val="0"/>
                <w:sz w:val="21"/>
                <w:szCs w:val="21"/>
                <w:lang w:eastAsia="zh-CN"/>
              </w:rPr>
            </w:pPr>
            <w:r>
              <w:rPr>
                <w:rFonts w:ascii="Times New Roman" w:hAnsi="Times New Roman" w:eastAsia="仿宋_GB2312" w:cs="Times New Roman"/>
                <w:color w:val="000000"/>
                <w:kern w:val="0"/>
                <w:sz w:val="21"/>
                <w:szCs w:val="21"/>
              </w:rPr>
              <w:t>产</w:t>
            </w:r>
          </w:p>
          <w:p>
            <w:pPr>
              <w:widowControl/>
              <w:spacing w:line="320" w:lineRule="exact"/>
              <w:jc w:val="center"/>
              <w:textAlignment w:val="center"/>
              <w:rPr>
                <w:rFonts w:hint="eastAsia" w:ascii="Times New Roman" w:hAnsi="Times New Roman" w:eastAsia="仿宋_GB2312" w:cs="Times New Roman"/>
                <w:color w:val="000000"/>
                <w:kern w:val="0"/>
                <w:sz w:val="21"/>
                <w:szCs w:val="21"/>
                <w:lang w:eastAsia="zh-CN"/>
              </w:rPr>
            </w:pPr>
            <w:r>
              <w:rPr>
                <w:rFonts w:ascii="Times New Roman" w:hAnsi="Times New Roman" w:eastAsia="仿宋_GB2312" w:cs="Times New Roman"/>
                <w:color w:val="000000"/>
                <w:kern w:val="0"/>
                <w:sz w:val="21"/>
                <w:szCs w:val="21"/>
              </w:rPr>
              <w:t>出</w:t>
            </w:r>
          </w:p>
          <w:p>
            <w:pPr>
              <w:widowControl/>
              <w:spacing w:line="320" w:lineRule="exact"/>
              <w:jc w:val="center"/>
              <w:textAlignment w:val="center"/>
              <w:rPr>
                <w:rFonts w:hint="eastAsia" w:ascii="Times New Roman" w:hAnsi="Times New Roman" w:eastAsia="仿宋_GB2312" w:cs="Times New Roman"/>
                <w:color w:val="000000"/>
                <w:kern w:val="0"/>
                <w:sz w:val="21"/>
                <w:szCs w:val="21"/>
                <w:lang w:eastAsia="zh-CN"/>
              </w:rPr>
            </w:pPr>
            <w:r>
              <w:rPr>
                <w:rFonts w:ascii="Times New Roman" w:hAnsi="Times New Roman" w:eastAsia="仿宋_GB2312" w:cs="Times New Roman"/>
                <w:color w:val="000000"/>
                <w:kern w:val="0"/>
                <w:sz w:val="21"/>
                <w:szCs w:val="21"/>
              </w:rPr>
              <w:t>指</w:t>
            </w:r>
          </w:p>
          <w:p>
            <w:pPr>
              <w:widowControl/>
              <w:spacing w:line="320" w:lineRule="exact"/>
              <w:jc w:val="center"/>
              <w:textAlignment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标</w:t>
            </w:r>
          </w:p>
        </w:tc>
        <w:tc>
          <w:tcPr>
            <w:tcW w:w="1002" w:type="pct"/>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textAlignment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数量指标</w:t>
            </w:r>
          </w:p>
        </w:tc>
        <w:tc>
          <w:tcPr>
            <w:tcW w:w="979" w:type="pct"/>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宋体" w:hAnsi="宋体" w:eastAsia="仿宋_GB2312" w:cs="宋体"/>
                <w:color w:val="000000"/>
                <w:kern w:val="0"/>
                <w:sz w:val="20"/>
                <w:szCs w:val="20"/>
                <w:lang w:val="en-US" w:eastAsia="zh-CN" w:bidi="ar-SA"/>
              </w:rPr>
            </w:pPr>
            <w:r>
              <w:rPr>
                <w:rFonts w:hint="eastAsia" w:ascii="宋体" w:hAnsi="宋体" w:eastAsia="仿宋_GB2312" w:cs="宋体"/>
                <w:color w:val="000000"/>
                <w:kern w:val="0"/>
                <w:sz w:val="20"/>
                <w:szCs w:val="20"/>
                <w:lang w:val="en-US" w:eastAsia="zh-CN" w:bidi="ar-SA"/>
              </w:rPr>
              <w:t>灵活就业补贴人数</w:t>
            </w:r>
          </w:p>
        </w:tc>
        <w:tc>
          <w:tcPr>
            <w:tcW w:w="992" w:type="pc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宋体" w:hAnsi="宋体" w:eastAsia="仿宋_GB2312" w:cs="宋体"/>
                <w:color w:val="000000"/>
                <w:kern w:val="0"/>
                <w:sz w:val="20"/>
                <w:szCs w:val="20"/>
                <w:lang w:val="en-US" w:eastAsia="zh-CN" w:bidi="ar-SA"/>
              </w:rPr>
            </w:pPr>
            <w:r>
              <w:rPr>
                <w:rFonts w:hint="eastAsia" w:ascii="宋体" w:hAnsi="宋体" w:eastAsia="仿宋_GB2312" w:cs="宋体"/>
                <w:color w:val="000000"/>
                <w:kern w:val="0"/>
                <w:sz w:val="20"/>
                <w:szCs w:val="20"/>
                <w:lang w:val="en-US" w:eastAsia="zh-CN" w:bidi="ar-SA"/>
              </w:rPr>
              <w:t>30人</w:t>
            </w:r>
          </w:p>
        </w:tc>
        <w:tc>
          <w:tcPr>
            <w:tcW w:w="924" w:type="pc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textAlignment w:val="center"/>
              <w:rPr>
                <w:rFonts w:hint="default" w:ascii="Times New Roman" w:hAnsi="Times New Roman" w:eastAsia="仿宋_GB2312" w:cs="Times New Roman"/>
                <w:color w:val="000000"/>
                <w:kern w:val="0"/>
                <w:sz w:val="21"/>
                <w:szCs w:val="21"/>
                <w:lang w:val="en-US" w:eastAsia="zh-CN"/>
              </w:rPr>
            </w:pPr>
            <w:r>
              <w:rPr>
                <w:rFonts w:hint="eastAsia" w:ascii="Calibri" w:hAnsi="Calibri" w:eastAsia="仿宋_GB2312" w:cs="Times New Roman"/>
                <w:color w:val="000000"/>
                <w:kern w:val="0"/>
                <w:sz w:val="21"/>
                <w:szCs w:val="21"/>
                <w:lang w:val="en-US" w:eastAsia="zh-CN"/>
              </w:rPr>
              <w:t>300</w:t>
            </w:r>
            <w:r>
              <w:rPr>
                <w:rFonts w:hint="eastAsia" w:ascii="Times New Roman" w:hAnsi="Times New Roman" w:eastAsia="仿宋_GB2312" w:cs="Times New Roman"/>
                <w:color w:val="000000"/>
                <w:kern w:val="0"/>
                <w:sz w:val="21"/>
                <w:szCs w:val="21"/>
                <w:lang w:val="en-US" w:eastAsia="zh-CN"/>
              </w:rPr>
              <w:t>人</w:t>
            </w:r>
          </w:p>
        </w:tc>
      </w:tr>
      <w:tr>
        <w:tblPrEx>
          <w:tblCellMar>
            <w:top w:w="0" w:type="dxa"/>
            <w:left w:w="108" w:type="dxa"/>
            <w:bottom w:w="0" w:type="dxa"/>
            <w:right w:w="108" w:type="dxa"/>
          </w:tblCellMar>
        </w:tblPrEx>
        <w:trPr>
          <w:trHeight w:val="624" w:hRule="atLeast"/>
        </w:trPr>
        <w:tc>
          <w:tcPr>
            <w:tcW w:w="354" w:type="pct"/>
            <w:vMerge w:val="continue"/>
            <w:tcBorders>
              <w:left w:val="single" w:color="auto" w:sz="4" w:space="0"/>
              <w:right w:val="single" w:color="auto" w:sz="4" w:space="0"/>
            </w:tcBorders>
            <w:noWrap w:val="0"/>
            <w:vAlign w:val="center"/>
          </w:tcPr>
          <w:p>
            <w:pPr>
              <w:widowControl/>
              <w:spacing w:line="320" w:lineRule="exact"/>
              <w:jc w:val="center"/>
              <w:textAlignment w:val="center"/>
              <w:rPr>
                <w:rFonts w:ascii="Times New Roman" w:hAnsi="Times New Roman" w:eastAsia="仿宋_GB2312" w:cs="Times New Roman"/>
                <w:color w:val="000000"/>
                <w:kern w:val="0"/>
                <w:sz w:val="21"/>
                <w:szCs w:val="21"/>
              </w:rPr>
            </w:pPr>
          </w:p>
        </w:tc>
        <w:tc>
          <w:tcPr>
            <w:tcW w:w="748" w:type="pct"/>
            <w:vMerge w:val="continue"/>
            <w:tcBorders>
              <w:left w:val="single" w:color="auto" w:sz="4" w:space="0"/>
              <w:right w:val="single" w:color="auto" w:sz="4" w:space="0"/>
            </w:tcBorders>
            <w:noWrap w:val="0"/>
            <w:vAlign w:val="center"/>
          </w:tcPr>
          <w:p>
            <w:pPr>
              <w:widowControl/>
              <w:spacing w:line="320" w:lineRule="exact"/>
              <w:jc w:val="center"/>
              <w:textAlignment w:val="center"/>
              <w:rPr>
                <w:rFonts w:ascii="Times New Roman" w:hAnsi="Times New Roman" w:eastAsia="仿宋_GB2312" w:cs="Times New Roman"/>
                <w:color w:val="000000"/>
                <w:kern w:val="0"/>
                <w:sz w:val="21"/>
                <w:szCs w:val="21"/>
              </w:rPr>
            </w:pPr>
          </w:p>
        </w:tc>
        <w:tc>
          <w:tcPr>
            <w:tcW w:w="1002" w:type="pct"/>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textAlignment w:val="center"/>
              <w:rPr>
                <w:rFonts w:ascii="Times New Roman" w:hAnsi="Times New Roman" w:eastAsia="仿宋_GB2312" w:cs="Times New Roman"/>
                <w:color w:val="000000"/>
                <w:kern w:val="0"/>
                <w:sz w:val="21"/>
                <w:szCs w:val="21"/>
                <w:lang w:val="en-US" w:eastAsia="zh-CN" w:bidi="ar-SA"/>
              </w:rPr>
            </w:pPr>
            <w:r>
              <w:rPr>
                <w:rFonts w:ascii="Times New Roman" w:hAnsi="Times New Roman" w:eastAsia="仿宋_GB2312" w:cs="Times New Roman"/>
                <w:color w:val="000000"/>
                <w:kern w:val="0"/>
                <w:sz w:val="21"/>
                <w:szCs w:val="21"/>
              </w:rPr>
              <w:t>数量指标</w:t>
            </w:r>
          </w:p>
        </w:tc>
        <w:tc>
          <w:tcPr>
            <w:tcW w:w="979" w:type="pct"/>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宋体" w:hAnsi="宋体" w:eastAsia="仿宋_GB2312" w:cs="宋体"/>
                <w:color w:val="000000"/>
                <w:kern w:val="0"/>
                <w:sz w:val="20"/>
                <w:szCs w:val="20"/>
                <w:lang w:val="en-US" w:eastAsia="zh-CN" w:bidi="ar-SA"/>
              </w:rPr>
            </w:pPr>
            <w:r>
              <w:rPr>
                <w:rFonts w:hint="eastAsia" w:ascii="宋体" w:hAnsi="宋体" w:eastAsia="仿宋_GB2312" w:cs="宋体"/>
                <w:color w:val="000000"/>
                <w:kern w:val="0"/>
                <w:sz w:val="20"/>
                <w:szCs w:val="20"/>
                <w:lang w:val="en-US" w:eastAsia="zh-CN" w:bidi="ar-SA"/>
              </w:rPr>
              <w:t>一次性创业补贴人数</w:t>
            </w:r>
          </w:p>
        </w:tc>
        <w:tc>
          <w:tcPr>
            <w:tcW w:w="992" w:type="pc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宋体" w:hAnsi="宋体" w:eastAsia="仿宋_GB2312" w:cs="宋体"/>
                <w:color w:val="000000"/>
                <w:kern w:val="0"/>
                <w:sz w:val="20"/>
                <w:szCs w:val="20"/>
                <w:lang w:val="en-US" w:eastAsia="zh-CN" w:bidi="ar-SA"/>
              </w:rPr>
            </w:pPr>
            <w:r>
              <w:rPr>
                <w:rFonts w:hint="eastAsia" w:ascii="宋体" w:hAnsi="宋体" w:eastAsia="仿宋_GB2312" w:cs="宋体"/>
                <w:color w:val="000000"/>
                <w:kern w:val="0"/>
                <w:sz w:val="20"/>
                <w:szCs w:val="20"/>
                <w:lang w:val="en-US" w:eastAsia="zh-CN" w:bidi="ar-SA"/>
              </w:rPr>
              <w:t>2人</w:t>
            </w:r>
          </w:p>
        </w:tc>
        <w:tc>
          <w:tcPr>
            <w:tcW w:w="924" w:type="pc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textAlignment w:val="center"/>
              <w:rPr>
                <w:rFonts w:hint="eastAsia" w:ascii="Times New Roman" w:hAnsi="Times New Roman" w:eastAsia="仿宋_GB2312" w:cs="Times New Roman"/>
                <w:color w:val="000000"/>
                <w:kern w:val="0"/>
                <w:sz w:val="21"/>
                <w:szCs w:val="21"/>
                <w:lang w:val="en-US" w:eastAsia="zh-CN" w:bidi="ar-SA"/>
              </w:rPr>
            </w:pPr>
            <w:r>
              <w:rPr>
                <w:rFonts w:hint="eastAsia" w:ascii="Calibri" w:hAnsi="Calibri" w:eastAsia="仿宋_GB2312" w:cs="Times New Roman"/>
                <w:color w:val="000000"/>
                <w:kern w:val="0"/>
                <w:sz w:val="21"/>
                <w:szCs w:val="21"/>
                <w:lang w:val="en-US" w:eastAsia="zh-CN"/>
              </w:rPr>
              <w:t>2</w:t>
            </w:r>
            <w:r>
              <w:rPr>
                <w:rFonts w:hint="eastAsia" w:ascii="Times New Roman" w:hAnsi="Times New Roman" w:eastAsia="仿宋_GB2312" w:cs="Times New Roman"/>
                <w:color w:val="000000"/>
                <w:kern w:val="0"/>
                <w:sz w:val="21"/>
                <w:szCs w:val="21"/>
                <w:lang w:val="en-US" w:eastAsia="zh-CN"/>
              </w:rPr>
              <w:t>人</w:t>
            </w:r>
          </w:p>
        </w:tc>
      </w:tr>
      <w:tr>
        <w:tblPrEx>
          <w:tblCellMar>
            <w:top w:w="0" w:type="dxa"/>
            <w:left w:w="108" w:type="dxa"/>
            <w:bottom w:w="0" w:type="dxa"/>
            <w:right w:w="108" w:type="dxa"/>
          </w:tblCellMar>
        </w:tblPrEx>
        <w:trPr>
          <w:trHeight w:val="624" w:hRule="atLeast"/>
        </w:trPr>
        <w:tc>
          <w:tcPr>
            <w:tcW w:w="354" w:type="pct"/>
            <w:vMerge w:val="continue"/>
            <w:tcBorders>
              <w:left w:val="single" w:color="auto" w:sz="4" w:space="0"/>
              <w:right w:val="single" w:color="auto" w:sz="4" w:space="0"/>
            </w:tcBorders>
            <w:noWrap w:val="0"/>
            <w:vAlign w:val="center"/>
          </w:tcPr>
          <w:p>
            <w:pPr>
              <w:widowControl/>
              <w:spacing w:line="320" w:lineRule="exact"/>
              <w:jc w:val="center"/>
              <w:textAlignment w:val="center"/>
              <w:rPr>
                <w:rFonts w:ascii="Times New Roman" w:hAnsi="Times New Roman" w:eastAsia="仿宋_GB2312" w:cs="Times New Roman"/>
                <w:color w:val="000000"/>
                <w:kern w:val="0"/>
                <w:sz w:val="21"/>
                <w:szCs w:val="21"/>
              </w:rPr>
            </w:pPr>
          </w:p>
        </w:tc>
        <w:tc>
          <w:tcPr>
            <w:tcW w:w="748"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textAlignment w:val="center"/>
              <w:rPr>
                <w:rFonts w:ascii="Times New Roman" w:hAnsi="Times New Roman" w:eastAsia="仿宋_GB2312" w:cs="Times New Roman"/>
                <w:color w:val="000000"/>
                <w:kern w:val="0"/>
                <w:sz w:val="21"/>
                <w:szCs w:val="21"/>
              </w:rPr>
            </w:pPr>
          </w:p>
        </w:tc>
        <w:tc>
          <w:tcPr>
            <w:tcW w:w="1002" w:type="pct"/>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textAlignment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质量指标</w:t>
            </w:r>
          </w:p>
        </w:tc>
        <w:tc>
          <w:tcPr>
            <w:tcW w:w="979" w:type="pct"/>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textAlignment w:val="center"/>
              <w:rPr>
                <w:rFonts w:hint="eastAsia" w:ascii="Times New Roman" w:hAnsi="Times New Roman" w:eastAsia="仿宋_GB2312" w:cs="Times New Roman"/>
                <w:color w:val="000000"/>
                <w:kern w:val="0"/>
                <w:sz w:val="21"/>
                <w:szCs w:val="21"/>
                <w:lang w:val="en-US" w:eastAsia="zh-CN" w:bidi="ar-SA"/>
              </w:rPr>
            </w:pPr>
            <w:r>
              <w:rPr>
                <w:rFonts w:hint="eastAsia" w:ascii="Calibri" w:hAnsi="Calibri" w:eastAsia="仿宋_GB2312" w:cs="Times New Roman"/>
                <w:color w:val="000000"/>
                <w:kern w:val="0"/>
                <w:sz w:val="21"/>
                <w:szCs w:val="21"/>
                <w:lang w:val="en-US" w:eastAsia="zh-CN"/>
              </w:rPr>
              <w:t>灵活就业补贴标准</w:t>
            </w:r>
          </w:p>
        </w:tc>
        <w:tc>
          <w:tcPr>
            <w:tcW w:w="992" w:type="pc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ind w:firstLine="200" w:firstLineChars="100"/>
              <w:jc w:val="both"/>
              <w:rPr>
                <w:rFonts w:hint="eastAsia" w:ascii="宋体" w:hAnsi="宋体" w:eastAsia="仿宋_GB2312" w:cs="宋体"/>
                <w:color w:val="000000"/>
                <w:kern w:val="0"/>
                <w:sz w:val="20"/>
                <w:szCs w:val="20"/>
                <w:lang w:val="en-US" w:eastAsia="zh-CN" w:bidi="ar-SA"/>
              </w:rPr>
            </w:pPr>
            <w:r>
              <w:rPr>
                <w:rFonts w:hint="eastAsia" w:ascii="宋体" w:hAnsi="宋体" w:eastAsia="宋体" w:cs="宋体"/>
                <w:color w:val="000000"/>
                <w:kern w:val="0"/>
                <w:sz w:val="20"/>
                <w:szCs w:val="20"/>
              </w:rPr>
              <w:t>500元/人</w:t>
            </w:r>
            <w:r>
              <w:rPr>
                <w:rFonts w:hint="eastAsia" w:ascii="宋体" w:hAnsi="宋体" w:eastAsia="仿宋_GB2312" w:cs="宋体"/>
                <w:color w:val="000000"/>
                <w:kern w:val="0"/>
                <w:sz w:val="20"/>
                <w:szCs w:val="20"/>
              </w:rPr>
              <w:t>　</w:t>
            </w:r>
          </w:p>
        </w:tc>
        <w:tc>
          <w:tcPr>
            <w:tcW w:w="924" w:type="pc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宋体" w:hAnsi="宋体" w:eastAsia="仿宋_GB2312" w:cs="宋体"/>
                <w:color w:val="000000"/>
                <w:kern w:val="0"/>
                <w:sz w:val="20"/>
                <w:szCs w:val="20"/>
                <w:lang w:val="en-US" w:eastAsia="zh-CN" w:bidi="ar-SA"/>
              </w:rPr>
            </w:pPr>
            <w:r>
              <w:rPr>
                <w:rFonts w:hint="eastAsia" w:ascii="宋体" w:hAnsi="宋体" w:eastAsia="宋体" w:cs="宋体"/>
                <w:color w:val="000000"/>
                <w:kern w:val="0"/>
                <w:sz w:val="20"/>
                <w:szCs w:val="20"/>
              </w:rPr>
              <w:t>500元/人</w:t>
            </w:r>
            <w:r>
              <w:rPr>
                <w:rFonts w:hint="eastAsia" w:ascii="宋体" w:hAnsi="宋体" w:eastAsia="仿宋_GB2312" w:cs="宋体"/>
                <w:color w:val="000000"/>
                <w:kern w:val="0"/>
                <w:sz w:val="20"/>
                <w:szCs w:val="20"/>
              </w:rPr>
              <w:t>　</w:t>
            </w:r>
          </w:p>
        </w:tc>
      </w:tr>
      <w:tr>
        <w:tblPrEx>
          <w:tblCellMar>
            <w:top w:w="0" w:type="dxa"/>
            <w:left w:w="108" w:type="dxa"/>
            <w:bottom w:w="0" w:type="dxa"/>
            <w:right w:w="108" w:type="dxa"/>
          </w:tblCellMar>
        </w:tblPrEx>
        <w:trPr>
          <w:trHeight w:val="624" w:hRule="atLeast"/>
        </w:trPr>
        <w:tc>
          <w:tcPr>
            <w:tcW w:w="354" w:type="pct"/>
            <w:vMerge w:val="continue"/>
            <w:tcBorders>
              <w:left w:val="single" w:color="auto" w:sz="4" w:space="0"/>
              <w:right w:val="single" w:color="auto" w:sz="4" w:space="0"/>
            </w:tcBorders>
            <w:noWrap w:val="0"/>
            <w:vAlign w:val="center"/>
          </w:tcPr>
          <w:p>
            <w:pPr>
              <w:widowControl/>
              <w:spacing w:line="320" w:lineRule="exact"/>
              <w:jc w:val="center"/>
              <w:textAlignment w:val="center"/>
              <w:rPr>
                <w:rFonts w:ascii="Times New Roman" w:hAnsi="Times New Roman" w:eastAsia="仿宋_GB2312" w:cs="Times New Roman"/>
                <w:color w:val="000000"/>
                <w:kern w:val="0"/>
                <w:sz w:val="21"/>
                <w:szCs w:val="21"/>
              </w:rPr>
            </w:pPr>
          </w:p>
        </w:tc>
        <w:tc>
          <w:tcPr>
            <w:tcW w:w="748"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textAlignment w:val="center"/>
              <w:rPr>
                <w:rFonts w:ascii="Times New Roman" w:hAnsi="Times New Roman" w:eastAsia="仿宋_GB2312" w:cs="Times New Roman"/>
                <w:color w:val="000000"/>
                <w:kern w:val="0"/>
                <w:sz w:val="21"/>
                <w:szCs w:val="21"/>
              </w:rPr>
            </w:pPr>
          </w:p>
        </w:tc>
        <w:tc>
          <w:tcPr>
            <w:tcW w:w="1002" w:type="pct"/>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textAlignment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质量指标</w:t>
            </w:r>
          </w:p>
        </w:tc>
        <w:tc>
          <w:tcPr>
            <w:tcW w:w="979" w:type="pct"/>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textAlignment w:val="center"/>
              <w:rPr>
                <w:rFonts w:hint="default" w:ascii="Times New Roman" w:hAnsi="Times New Roman" w:eastAsia="仿宋_GB2312" w:cs="Times New Roman"/>
                <w:color w:val="000000"/>
                <w:kern w:val="0"/>
                <w:sz w:val="21"/>
                <w:szCs w:val="21"/>
                <w:lang w:val="en-US" w:eastAsia="zh-CN"/>
              </w:rPr>
            </w:pPr>
            <w:r>
              <w:rPr>
                <w:rFonts w:hint="eastAsia" w:ascii="Calibri" w:hAnsi="Calibri" w:eastAsia="仿宋_GB2312" w:cs="Times New Roman"/>
                <w:color w:val="000000"/>
                <w:kern w:val="0"/>
                <w:sz w:val="21"/>
                <w:szCs w:val="21"/>
                <w:lang w:val="en-US" w:eastAsia="zh-CN"/>
              </w:rPr>
              <w:t>一次性创业补贴标准</w:t>
            </w:r>
          </w:p>
        </w:tc>
        <w:tc>
          <w:tcPr>
            <w:tcW w:w="992" w:type="pc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宋体" w:hAnsi="宋体" w:eastAsia="仿宋_GB2312" w:cs="宋体"/>
                <w:color w:val="000000"/>
                <w:kern w:val="0"/>
                <w:sz w:val="20"/>
                <w:szCs w:val="20"/>
                <w:lang w:val="en-US" w:eastAsia="zh-CN" w:bidi="ar-SA"/>
              </w:rPr>
            </w:pPr>
            <w:r>
              <w:rPr>
                <w:rFonts w:hint="eastAsia" w:ascii="宋体" w:hAnsi="宋体" w:eastAsia="仿宋_GB2312" w:cs="宋体"/>
                <w:color w:val="000000"/>
                <w:kern w:val="0"/>
                <w:sz w:val="20"/>
                <w:szCs w:val="20"/>
                <w:lang w:val="en-US" w:eastAsia="zh-CN" w:bidi="ar-SA"/>
              </w:rPr>
              <w:t>10000</w:t>
            </w:r>
            <w:r>
              <w:rPr>
                <w:rFonts w:hint="eastAsia" w:ascii="宋体" w:hAnsi="宋体" w:eastAsia="宋体" w:cs="宋体"/>
                <w:color w:val="000000"/>
                <w:kern w:val="0"/>
                <w:sz w:val="20"/>
                <w:szCs w:val="20"/>
              </w:rPr>
              <w:t>元/人</w:t>
            </w:r>
          </w:p>
        </w:tc>
        <w:tc>
          <w:tcPr>
            <w:tcW w:w="924" w:type="pc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宋体" w:hAnsi="宋体" w:eastAsia="仿宋_GB2312"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rPr>
              <w:t>10000</w:t>
            </w:r>
            <w:r>
              <w:rPr>
                <w:rFonts w:hint="eastAsia" w:ascii="宋体" w:hAnsi="宋体" w:eastAsia="宋体" w:cs="宋体"/>
                <w:color w:val="000000"/>
                <w:kern w:val="0"/>
                <w:sz w:val="20"/>
                <w:szCs w:val="20"/>
              </w:rPr>
              <w:t>元/人</w:t>
            </w:r>
          </w:p>
        </w:tc>
      </w:tr>
      <w:tr>
        <w:tblPrEx>
          <w:tblCellMar>
            <w:top w:w="0" w:type="dxa"/>
            <w:left w:w="108" w:type="dxa"/>
            <w:bottom w:w="0" w:type="dxa"/>
            <w:right w:w="108" w:type="dxa"/>
          </w:tblCellMar>
        </w:tblPrEx>
        <w:trPr>
          <w:trHeight w:val="624" w:hRule="atLeast"/>
        </w:trPr>
        <w:tc>
          <w:tcPr>
            <w:tcW w:w="354" w:type="pct"/>
            <w:vMerge w:val="continue"/>
            <w:tcBorders>
              <w:left w:val="single" w:color="auto" w:sz="4" w:space="0"/>
              <w:right w:val="single" w:color="auto" w:sz="4" w:space="0"/>
            </w:tcBorders>
            <w:noWrap w:val="0"/>
            <w:vAlign w:val="center"/>
          </w:tcPr>
          <w:p>
            <w:pPr>
              <w:widowControl/>
              <w:spacing w:line="320" w:lineRule="exact"/>
              <w:jc w:val="center"/>
              <w:textAlignment w:val="center"/>
              <w:rPr>
                <w:rFonts w:ascii="Times New Roman" w:hAnsi="Times New Roman" w:eastAsia="仿宋_GB2312" w:cs="Times New Roman"/>
                <w:color w:val="000000"/>
                <w:kern w:val="0"/>
                <w:sz w:val="21"/>
                <w:szCs w:val="21"/>
              </w:rPr>
            </w:pPr>
          </w:p>
        </w:tc>
        <w:tc>
          <w:tcPr>
            <w:tcW w:w="748"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textAlignment w:val="center"/>
              <w:rPr>
                <w:rFonts w:ascii="Times New Roman" w:hAnsi="Times New Roman" w:eastAsia="仿宋_GB2312" w:cs="Times New Roman"/>
                <w:color w:val="000000"/>
                <w:kern w:val="0"/>
                <w:sz w:val="21"/>
                <w:szCs w:val="21"/>
              </w:rPr>
            </w:pPr>
          </w:p>
        </w:tc>
        <w:tc>
          <w:tcPr>
            <w:tcW w:w="1002" w:type="pct"/>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textAlignment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成本指标</w:t>
            </w:r>
          </w:p>
        </w:tc>
        <w:tc>
          <w:tcPr>
            <w:tcW w:w="979" w:type="pct"/>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textAlignment w:val="center"/>
              <w:rPr>
                <w:rFonts w:ascii="Times New Roman" w:hAnsi="Times New Roman" w:eastAsia="仿宋_GB2312" w:cs="Times New Roman"/>
                <w:color w:val="000000"/>
                <w:kern w:val="0"/>
                <w:sz w:val="21"/>
                <w:szCs w:val="21"/>
              </w:rPr>
            </w:pPr>
            <w:r>
              <w:rPr>
                <w:rFonts w:hint="eastAsia" w:ascii="宋体" w:hAnsi="宋体" w:eastAsia="仿宋_GB2312" w:cs="宋体"/>
                <w:color w:val="000000"/>
                <w:kern w:val="0"/>
                <w:sz w:val="20"/>
                <w:szCs w:val="20"/>
              </w:rPr>
              <w:t>农村困难残疾人实用技术培训总金额</w:t>
            </w:r>
          </w:p>
        </w:tc>
        <w:tc>
          <w:tcPr>
            <w:tcW w:w="992" w:type="pc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textAlignment w:val="center"/>
              <w:rPr>
                <w:rFonts w:hint="default" w:ascii="Times New Roman" w:hAnsi="Times New Roman" w:eastAsia="仿宋_GB2312" w:cs="Times New Roman"/>
                <w:color w:val="000000"/>
                <w:kern w:val="0"/>
                <w:sz w:val="21"/>
                <w:szCs w:val="21"/>
                <w:lang w:val="en-US" w:eastAsia="zh-CN"/>
              </w:rPr>
            </w:pPr>
            <w:r>
              <w:rPr>
                <w:rFonts w:hint="eastAsia" w:ascii="Calibri" w:hAnsi="Calibri" w:eastAsia="仿宋_GB2312" w:cs="Times New Roman"/>
                <w:color w:val="000000"/>
                <w:kern w:val="0"/>
                <w:sz w:val="21"/>
                <w:szCs w:val="21"/>
                <w:lang w:val="en-US" w:eastAsia="zh-CN"/>
              </w:rPr>
              <w:t>17</w:t>
            </w:r>
            <w:r>
              <w:rPr>
                <w:rFonts w:hint="eastAsia" w:ascii="Times New Roman" w:hAnsi="Times New Roman" w:eastAsia="仿宋_GB2312" w:cs="Times New Roman"/>
                <w:color w:val="000000"/>
                <w:kern w:val="0"/>
                <w:sz w:val="21"/>
                <w:szCs w:val="21"/>
                <w:lang w:val="en-US" w:eastAsia="zh-CN"/>
              </w:rPr>
              <w:t>万元</w:t>
            </w:r>
          </w:p>
        </w:tc>
        <w:tc>
          <w:tcPr>
            <w:tcW w:w="924" w:type="pc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textAlignment w:val="center"/>
              <w:rPr>
                <w:rFonts w:hint="default" w:ascii="Times New Roman" w:hAnsi="Times New Roman" w:eastAsia="仿宋_GB2312" w:cs="Times New Roman"/>
                <w:color w:val="000000"/>
                <w:kern w:val="0"/>
                <w:sz w:val="21"/>
                <w:szCs w:val="21"/>
                <w:lang w:val="en-US" w:eastAsia="zh-CN"/>
              </w:rPr>
            </w:pPr>
            <w:r>
              <w:rPr>
                <w:rFonts w:hint="eastAsia" w:ascii="Calibri" w:hAnsi="Calibri" w:eastAsia="仿宋_GB2312" w:cs="Times New Roman"/>
                <w:color w:val="000000"/>
                <w:kern w:val="0"/>
                <w:sz w:val="21"/>
                <w:szCs w:val="21"/>
                <w:lang w:val="en-US" w:eastAsia="zh-CN"/>
              </w:rPr>
              <w:t>17</w:t>
            </w:r>
            <w:r>
              <w:rPr>
                <w:rFonts w:hint="eastAsia" w:ascii="Times New Roman" w:hAnsi="Times New Roman" w:eastAsia="仿宋_GB2312" w:cs="Times New Roman"/>
                <w:color w:val="000000"/>
                <w:kern w:val="0"/>
                <w:sz w:val="21"/>
                <w:szCs w:val="21"/>
                <w:lang w:val="en-US" w:eastAsia="zh-CN"/>
              </w:rPr>
              <w:t>万元</w:t>
            </w:r>
          </w:p>
        </w:tc>
      </w:tr>
      <w:tr>
        <w:tblPrEx>
          <w:tblCellMar>
            <w:top w:w="0" w:type="dxa"/>
            <w:left w:w="108" w:type="dxa"/>
            <w:bottom w:w="0" w:type="dxa"/>
            <w:right w:w="108" w:type="dxa"/>
          </w:tblCellMar>
        </w:tblPrEx>
        <w:trPr>
          <w:trHeight w:val="624" w:hRule="atLeast"/>
        </w:trPr>
        <w:tc>
          <w:tcPr>
            <w:tcW w:w="354" w:type="pct"/>
            <w:vMerge w:val="continue"/>
            <w:tcBorders>
              <w:left w:val="single" w:color="auto" w:sz="4" w:space="0"/>
              <w:right w:val="single" w:color="auto" w:sz="4" w:space="0"/>
            </w:tcBorders>
            <w:noWrap w:val="0"/>
            <w:vAlign w:val="center"/>
          </w:tcPr>
          <w:p>
            <w:pPr>
              <w:widowControl/>
              <w:spacing w:line="320" w:lineRule="exact"/>
              <w:jc w:val="center"/>
              <w:textAlignment w:val="center"/>
              <w:rPr>
                <w:rFonts w:ascii="Times New Roman" w:hAnsi="Times New Roman" w:eastAsia="仿宋_GB2312" w:cs="Times New Roman"/>
                <w:color w:val="000000"/>
                <w:kern w:val="0"/>
                <w:sz w:val="21"/>
                <w:szCs w:val="21"/>
              </w:rPr>
            </w:pPr>
          </w:p>
        </w:tc>
        <w:tc>
          <w:tcPr>
            <w:tcW w:w="748"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textAlignment w:val="center"/>
              <w:rPr>
                <w:rFonts w:ascii="Times New Roman" w:hAnsi="Times New Roman" w:eastAsia="仿宋_GB2312" w:cs="Times New Roman"/>
                <w:color w:val="000000"/>
                <w:kern w:val="0"/>
                <w:sz w:val="21"/>
                <w:szCs w:val="21"/>
              </w:rPr>
            </w:pPr>
          </w:p>
        </w:tc>
        <w:tc>
          <w:tcPr>
            <w:tcW w:w="1002" w:type="pct"/>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textAlignment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时效指标</w:t>
            </w:r>
          </w:p>
        </w:tc>
        <w:tc>
          <w:tcPr>
            <w:tcW w:w="979" w:type="pct"/>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textAlignment w:val="center"/>
              <w:rPr>
                <w:rFonts w:ascii="Times New Roman" w:hAnsi="Times New Roman" w:eastAsia="仿宋_GB2312" w:cs="Times New Roman"/>
                <w:color w:val="000000"/>
                <w:kern w:val="0"/>
                <w:sz w:val="21"/>
                <w:szCs w:val="21"/>
              </w:rPr>
            </w:pPr>
            <w:r>
              <w:rPr>
                <w:rFonts w:hint="eastAsia" w:ascii="宋体" w:hAnsi="宋体" w:eastAsia="仿宋_GB2312" w:cs="宋体"/>
                <w:color w:val="000000"/>
                <w:kern w:val="0"/>
                <w:sz w:val="20"/>
                <w:szCs w:val="20"/>
              </w:rPr>
              <w:t>完成时间　</w:t>
            </w:r>
          </w:p>
        </w:tc>
        <w:tc>
          <w:tcPr>
            <w:tcW w:w="992" w:type="pc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textAlignment w:val="center"/>
              <w:rPr>
                <w:rFonts w:ascii="Times New Roman" w:hAnsi="Times New Roman" w:eastAsia="仿宋_GB2312" w:cs="Times New Roman"/>
                <w:color w:val="000000"/>
                <w:kern w:val="0"/>
                <w:sz w:val="21"/>
                <w:szCs w:val="21"/>
              </w:rPr>
            </w:pPr>
            <w:r>
              <w:rPr>
                <w:rFonts w:hint="eastAsia" w:ascii="宋体" w:hAnsi="宋体" w:eastAsia="宋体" w:cs="宋体"/>
                <w:color w:val="000000"/>
                <w:kern w:val="0"/>
                <w:sz w:val="20"/>
                <w:szCs w:val="20"/>
              </w:rPr>
              <w:t>一年完成</w:t>
            </w:r>
          </w:p>
        </w:tc>
        <w:tc>
          <w:tcPr>
            <w:tcW w:w="924" w:type="pc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textAlignment w:val="center"/>
              <w:rPr>
                <w:rFonts w:ascii="Times New Roman" w:hAnsi="Times New Roman" w:eastAsia="仿宋_GB2312" w:cs="Times New Roman"/>
                <w:color w:val="000000"/>
                <w:kern w:val="0"/>
                <w:sz w:val="21"/>
                <w:szCs w:val="21"/>
              </w:rPr>
            </w:pPr>
            <w:r>
              <w:rPr>
                <w:rFonts w:hint="eastAsia" w:ascii="宋体" w:hAnsi="宋体" w:eastAsia="宋体" w:cs="宋体"/>
                <w:color w:val="000000"/>
                <w:kern w:val="0"/>
                <w:sz w:val="20"/>
                <w:szCs w:val="20"/>
              </w:rPr>
              <w:t>一年完成</w:t>
            </w:r>
          </w:p>
        </w:tc>
      </w:tr>
      <w:tr>
        <w:tblPrEx>
          <w:tblCellMar>
            <w:top w:w="0" w:type="dxa"/>
            <w:left w:w="108" w:type="dxa"/>
            <w:bottom w:w="0" w:type="dxa"/>
            <w:right w:w="108" w:type="dxa"/>
          </w:tblCellMar>
        </w:tblPrEx>
        <w:trPr>
          <w:trHeight w:val="624" w:hRule="atLeast"/>
        </w:trPr>
        <w:tc>
          <w:tcPr>
            <w:tcW w:w="354" w:type="pct"/>
            <w:vMerge w:val="continue"/>
            <w:tcBorders>
              <w:left w:val="single" w:color="auto" w:sz="4" w:space="0"/>
              <w:right w:val="single" w:color="auto" w:sz="4" w:space="0"/>
            </w:tcBorders>
            <w:noWrap w:val="0"/>
            <w:vAlign w:val="center"/>
          </w:tcPr>
          <w:p>
            <w:pPr>
              <w:widowControl/>
              <w:spacing w:line="320" w:lineRule="exact"/>
              <w:jc w:val="center"/>
              <w:textAlignment w:val="center"/>
              <w:rPr>
                <w:rFonts w:ascii="Times New Roman" w:hAnsi="Times New Roman" w:eastAsia="仿宋_GB2312" w:cs="Times New Roman"/>
                <w:color w:val="000000"/>
                <w:kern w:val="0"/>
                <w:sz w:val="21"/>
                <w:szCs w:val="21"/>
              </w:rPr>
            </w:pPr>
          </w:p>
        </w:tc>
        <w:tc>
          <w:tcPr>
            <w:tcW w:w="748" w:type="pct"/>
            <w:tcBorders>
              <w:top w:val="single" w:color="auto" w:sz="4" w:space="0"/>
              <w:left w:val="single" w:color="auto" w:sz="4" w:space="0"/>
              <w:right w:val="single" w:color="auto" w:sz="4" w:space="0"/>
            </w:tcBorders>
            <w:noWrap w:val="0"/>
            <w:vAlign w:val="center"/>
          </w:tcPr>
          <w:p>
            <w:pPr>
              <w:widowControl/>
              <w:spacing w:line="320" w:lineRule="exact"/>
              <w:jc w:val="center"/>
              <w:textAlignment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效益指标</w:t>
            </w:r>
          </w:p>
        </w:tc>
        <w:tc>
          <w:tcPr>
            <w:tcW w:w="1002" w:type="pct"/>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textAlignment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社会效益指标</w:t>
            </w:r>
          </w:p>
        </w:tc>
        <w:tc>
          <w:tcPr>
            <w:tcW w:w="979" w:type="pct"/>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textAlignment w:val="center"/>
              <w:rPr>
                <w:rFonts w:ascii="Times New Roman" w:hAnsi="Times New Roman" w:eastAsia="仿宋_GB2312" w:cs="Times New Roman"/>
                <w:color w:val="000000"/>
                <w:kern w:val="0"/>
                <w:sz w:val="21"/>
                <w:szCs w:val="21"/>
              </w:rPr>
            </w:pPr>
            <w:r>
              <w:rPr>
                <w:rFonts w:hint="eastAsia" w:ascii="宋体" w:hAnsi="宋体" w:eastAsia="仿宋_GB2312" w:cs="宋体"/>
                <w:color w:val="000000"/>
                <w:kern w:val="0"/>
                <w:sz w:val="20"/>
                <w:szCs w:val="20"/>
              </w:rPr>
              <w:t>受益残疾人数</w:t>
            </w:r>
          </w:p>
        </w:tc>
        <w:tc>
          <w:tcPr>
            <w:tcW w:w="992" w:type="pc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宋体" w:hAnsi="宋体" w:eastAsia="仿宋_GB2312" w:cs="宋体"/>
                <w:color w:val="000000"/>
                <w:kern w:val="0"/>
                <w:sz w:val="20"/>
                <w:szCs w:val="20"/>
                <w:lang w:val="en-US" w:eastAsia="zh-CN" w:bidi="ar-SA"/>
              </w:rPr>
            </w:pPr>
            <w:r>
              <w:rPr>
                <w:rFonts w:hint="eastAsia" w:ascii="宋体" w:hAnsi="宋体" w:eastAsia="宋体" w:cs="宋体"/>
                <w:kern w:val="0"/>
                <w:sz w:val="20"/>
                <w:szCs w:val="20"/>
              </w:rPr>
              <w:t>≥</w:t>
            </w:r>
            <w:r>
              <w:rPr>
                <w:rFonts w:hint="eastAsia" w:ascii="宋体" w:hAnsi="宋体" w:eastAsia="宋体" w:cs="宋体"/>
                <w:kern w:val="0"/>
                <w:sz w:val="20"/>
                <w:szCs w:val="20"/>
                <w:lang w:val="en-US" w:eastAsia="zh-CN"/>
              </w:rPr>
              <w:t>302</w:t>
            </w:r>
            <w:r>
              <w:rPr>
                <w:rFonts w:hint="eastAsia" w:ascii="宋体" w:hAnsi="宋体" w:eastAsia="宋体" w:cs="宋体"/>
                <w:kern w:val="0"/>
                <w:sz w:val="20"/>
                <w:szCs w:val="20"/>
              </w:rPr>
              <w:t>人</w:t>
            </w:r>
            <w:r>
              <w:rPr>
                <w:rFonts w:hint="eastAsia" w:ascii="宋体" w:hAnsi="宋体" w:eastAsia="仿宋_GB2312" w:cs="宋体"/>
                <w:color w:val="000000"/>
                <w:kern w:val="0"/>
                <w:sz w:val="20"/>
                <w:szCs w:val="20"/>
              </w:rPr>
              <w:t>　</w:t>
            </w:r>
          </w:p>
        </w:tc>
        <w:tc>
          <w:tcPr>
            <w:tcW w:w="924" w:type="pc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textAlignment w:val="center"/>
              <w:rPr>
                <w:rFonts w:ascii="Times New Roman" w:hAnsi="Times New Roman" w:eastAsia="仿宋_GB2312" w:cs="Times New Roman"/>
                <w:color w:val="000000"/>
                <w:kern w:val="0"/>
                <w:sz w:val="21"/>
                <w:szCs w:val="21"/>
              </w:rPr>
            </w:pPr>
            <w:r>
              <w:rPr>
                <w:rFonts w:hint="eastAsia" w:ascii="宋体" w:hAnsi="宋体" w:eastAsia="宋体" w:cs="宋体"/>
                <w:kern w:val="0"/>
                <w:sz w:val="20"/>
                <w:szCs w:val="20"/>
              </w:rPr>
              <w:t>≥</w:t>
            </w:r>
            <w:r>
              <w:rPr>
                <w:rFonts w:hint="eastAsia" w:ascii="宋体" w:hAnsi="宋体" w:eastAsia="宋体" w:cs="宋体"/>
                <w:kern w:val="0"/>
                <w:sz w:val="20"/>
                <w:szCs w:val="20"/>
                <w:lang w:val="en-US" w:eastAsia="zh-CN"/>
              </w:rPr>
              <w:t>302</w:t>
            </w:r>
            <w:r>
              <w:rPr>
                <w:rFonts w:hint="eastAsia" w:ascii="宋体" w:hAnsi="宋体" w:eastAsia="宋体" w:cs="宋体"/>
                <w:kern w:val="0"/>
                <w:sz w:val="20"/>
                <w:szCs w:val="20"/>
              </w:rPr>
              <w:t>人</w:t>
            </w:r>
          </w:p>
        </w:tc>
      </w:tr>
      <w:tr>
        <w:tblPrEx>
          <w:tblCellMar>
            <w:top w:w="0" w:type="dxa"/>
            <w:left w:w="108" w:type="dxa"/>
            <w:bottom w:w="0" w:type="dxa"/>
            <w:right w:w="108" w:type="dxa"/>
          </w:tblCellMar>
        </w:tblPrEx>
        <w:trPr>
          <w:trHeight w:val="624" w:hRule="atLeast"/>
        </w:trPr>
        <w:tc>
          <w:tcPr>
            <w:tcW w:w="354" w:type="pct"/>
            <w:vMerge w:val="continue"/>
            <w:tcBorders>
              <w:left w:val="single" w:color="auto" w:sz="4" w:space="0"/>
              <w:bottom w:val="single" w:color="auto" w:sz="4" w:space="0"/>
              <w:right w:val="single" w:color="auto" w:sz="4" w:space="0"/>
            </w:tcBorders>
            <w:noWrap w:val="0"/>
            <w:vAlign w:val="center"/>
          </w:tcPr>
          <w:p>
            <w:pPr>
              <w:widowControl/>
              <w:spacing w:line="320" w:lineRule="exact"/>
              <w:jc w:val="center"/>
              <w:textAlignment w:val="center"/>
              <w:rPr>
                <w:rFonts w:ascii="Times New Roman" w:hAnsi="Times New Roman" w:eastAsia="仿宋_GB2312" w:cs="Times New Roman"/>
                <w:color w:val="000000"/>
                <w:kern w:val="0"/>
                <w:sz w:val="21"/>
                <w:szCs w:val="21"/>
              </w:rPr>
            </w:pPr>
          </w:p>
        </w:tc>
        <w:tc>
          <w:tcPr>
            <w:tcW w:w="748" w:type="pc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textAlignment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满意度指标</w:t>
            </w:r>
          </w:p>
        </w:tc>
        <w:tc>
          <w:tcPr>
            <w:tcW w:w="1002" w:type="pct"/>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textAlignment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服务对象满意度</w:t>
            </w:r>
          </w:p>
        </w:tc>
        <w:tc>
          <w:tcPr>
            <w:tcW w:w="979" w:type="pct"/>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textAlignment w:val="center"/>
              <w:rPr>
                <w:rFonts w:ascii="Times New Roman" w:hAnsi="Times New Roman" w:eastAsia="仿宋_GB2312" w:cs="Times New Roman"/>
                <w:color w:val="000000"/>
                <w:kern w:val="0"/>
                <w:sz w:val="21"/>
                <w:szCs w:val="21"/>
              </w:rPr>
            </w:pPr>
            <w:r>
              <w:rPr>
                <w:rFonts w:hint="eastAsia" w:ascii="宋体" w:hAnsi="宋体" w:eastAsia="仿宋_GB2312" w:cs="宋体"/>
                <w:color w:val="000000"/>
                <w:kern w:val="0"/>
                <w:sz w:val="20"/>
                <w:szCs w:val="20"/>
              </w:rPr>
              <w:t>受助对象满意度</w:t>
            </w:r>
          </w:p>
        </w:tc>
        <w:tc>
          <w:tcPr>
            <w:tcW w:w="992" w:type="pc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textAlignment w:val="center"/>
              <w:rPr>
                <w:rFonts w:ascii="Times New Roman" w:hAnsi="Times New Roman" w:eastAsia="仿宋_GB2312" w:cs="Times New Roman"/>
                <w:color w:val="000000"/>
                <w:kern w:val="0"/>
                <w:sz w:val="21"/>
                <w:szCs w:val="21"/>
              </w:rPr>
            </w:pPr>
            <w:r>
              <w:rPr>
                <w:rFonts w:hint="eastAsia" w:ascii="宋体" w:hAnsi="宋体" w:eastAsia="宋体" w:cs="宋体"/>
                <w:color w:val="000000"/>
                <w:kern w:val="0"/>
                <w:sz w:val="20"/>
                <w:szCs w:val="20"/>
              </w:rPr>
              <w:t>≥90%</w:t>
            </w:r>
          </w:p>
        </w:tc>
        <w:tc>
          <w:tcPr>
            <w:tcW w:w="924" w:type="pc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textAlignment w:val="center"/>
              <w:rPr>
                <w:rFonts w:ascii="Times New Roman" w:hAnsi="Times New Roman" w:eastAsia="仿宋_GB2312" w:cs="Times New Roman"/>
                <w:color w:val="000000"/>
                <w:kern w:val="0"/>
                <w:sz w:val="21"/>
                <w:szCs w:val="21"/>
              </w:rPr>
            </w:pPr>
            <w:r>
              <w:rPr>
                <w:rFonts w:hint="eastAsia" w:ascii="宋体" w:hAnsi="宋体" w:eastAsia="宋体" w:cs="宋体"/>
                <w:color w:val="000000"/>
                <w:kern w:val="0"/>
                <w:sz w:val="20"/>
                <w:szCs w:val="20"/>
              </w:rPr>
              <w:t>≥90%</w:t>
            </w:r>
          </w:p>
        </w:tc>
      </w:tr>
    </w:tbl>
    <w:p>
      <w:pPr>
        <w:keepNext w:val="0"/>
        <w:keepLines w:val="0"/>
        <w:pageBreakBefore w:val="0"/>
        <w:widowControl w:val="0"/>
        <w:wordWrap/>
        <w:overflowPunct/>
        <w:topLinePunct w:val="0"/>
        <w:bidi w:val="0"/>
        <w:adjustRightInd w:val="0"/>
        <w:snapToGrid w:val="0"/>
        <w:spacing w:line="560" w:lineRule="atLeast"/>
        <w:ind w:firstLine="640" w:firstLineChars="200"/>
        <w:textAlignment w:val="auto"/>
        <w:rPr>
          <w:rFonts w:hint="eastAsia" w:ascii="仿宋_GB2312" w:hAnsi="仿宋_GB2312" w:eastAsia="仿宋_GB2312" w:cs="仿宋_GB2312"/>
          <w:color w:val="FF000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textAlignment w:val="auto"/>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rPr>
        <w:t>五、评价结论及建议</w:t>
      </w:r>
      <w:bookmarkStart w:id="103" w:name="_GoBack"/>
      <w:bookmarkEnd w:id="103"/>
    </w:p>
    <w:p>
      <w:pPr>
        <w:keepNext w:val="0"/>
        <w:keepLines w:val="0"/>
        <w:pageBreakBefore w:val="0"/>
        <w:widowControl w:val="0"/>
        <w:kinsoku/>
        <w:wordWrap/>
        <w:overflowPunct/>
        <w:topLinePunct w:val="0"/>
        <w:autoSpaceDE/>
        <w:autoSpaceDN/>
        <w:bidi w:val="0"/>
        <w:adjustRightInd w:val="0"/>
        <w:snapToGrid w:val="0"/>
        <w:spacing w:line="560" w:lineRule="atLeast"/>
        <w:ind w:firstLine="64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val="0"/>
          <w:color w:val="auto"/>
          <w:sz w:val="32"/>
          <w:szCs w:val="32"/>
        </w:rPr>
        <w:t>（一）评价结论。</w:t>
      </w:r>
      <w:r>
        <w:rPr>
          <w:rFonts w:hint="default" w:ascii="Times New Roman" w:hAnsi="Times New Roman" w:eastAsia="仿宋_GB2312" w:cs="Times New Roman"/>
          <w:bCs/>
          <w:color w:val="auto"/>
          <w:sz w:val="32"/>
          <w:szCs w:val="32"/>
        </w:rPr>
        <w:t>该</w:t>
      </w:r>
      <w:r>
        <w:rPr>
          <w:rFonts w:hint="default" w:ascii="Times New Roman" w:hAnsi="Times New Roman" w:eastAsia="仿宋_GB2312" w:cs="Times New Roman"/>
          <w:bCs/>
          <w:color w:val="auto"/>
          <w:sz w:val="32"/>
          <w:szCs w:val="32"/>
          <w:lang w:val="zh-CN"/>
        </w:rPr>
        <w:t>项目绩效评价总</w:t>
      </w:r>
      <w:r>
        <w:rPr>
          <w:rFonts w:hint="eastAsia" w:ascii="仿宋" w:hAnsi="仿宋" w:eastAsia="仿宋" w:cs="仿宋"/>
          <w:bCs/>
          <w:color w:val="auto"/>
          <w:sz w:val="32"/>
          <w:szCs w:val="32"/>
          <w:lang w:val="zh-CN"/>
        </w:rPr>
        <w:t>体为优。通过</w:t>
      </w:r>
      <w:r>
        <w:rPr>
          <w:rFonts w:hint="default" w:ascii="Times New Roman" w:hAnsi="Times New Roman" w:eastAsia="仿宋_GB2312" w:cs="Times New Roman"/>
          <w:bCs/>
          <w:color w:val="auto"/>
          <w:sz w:val="32"/>
          <w:szCs w:val="32"/>
          <w:lang w:eastAsia="zh-CN"/>
        </w:rPr>
        <w:t>发放残疾人居家灵活就业补贴</w:t>
      </w:r>
      <w:r>
        <w:rPr>
          <w:rFonts w:hint="eastAsia" w:ascii="Times New Roman" w:hAnsi="Times New Roman" w:eastAsia="仿宋_GB2312" w:cs="Times New Roman"/>
          <w:bCs/>
          <w:color w:val="auto"/>
          <w:sz w:val="32"/>
          <w:szCs w:val="32"/>
          <w:lang w:eastAsia="zh-CN"/>
        </w:rPr>
        <w:t>及</w:t>
      </w:r>
      <w:r>
        <w:rPr>
          <w:rFonts w:hint="default" w:ascii="Times New Roman" w:hAnsi="Times New Roman" w:eastAsia="仿宋_GB2312" w:cs="Times New Roman"/>
          <w:bCs/>
          <w:color w:val="auto"/>
          <w:sz w:val="32"/>
          <w:szCs w:val="32"/>
          <w:lang w:eastAsia="zh-CN"/>
        </w:rPr>
        <w:t>扶持残疾人自主创业补贴</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bCs/>
          <w:color w:val="auto"/>
          <w:sz w:val="32"/>
          <w:szCs w:val="32"/>
          <w:lang w:eastAsia="zh-CN"/>
        </w:rPr>
        <w:t>帮助残疾人就业。</w:t>
      </w:r>
    </w:p>
    <w:p>
      <w:pPr>
        <w:keepNext w:val="0"/>
        <w:keepLines w:val="0"/>
        <w:pageBreakBefore w:val="0"/>
        <w:widowControl w:val="0"/>
        <w:kinsoku/>
        <w:wordWrap/>
        <w:overflowPunct/>
        <w:topLinePunct w:val="0"/>
        <w:autoSpaceDE/>
        <w:autoSpaceDN/>
        <w:bidi w:val="0"/>
        <w:adjustRightInd w:val="0"/>
        <w:snapToGrid w:val="0"/>
        <w:spacing w:line="560" w:lineRule="atLeast"/>
        <w:ind w:firstLine="642" w:firstLineChars="200"/>
        <w:textAlignment w:val="auto"/>
        <w:rPr>
          <w:rFonts w:hint="eastAsia" w:ascii="仿宋_GB2312" w:hAnsi="宋体" w:eastAsia="仿宋_GB2312" w:cs="Times New Roman"/>
          <w:sz w:val="32"/>
          <w:szCs w:val="32"/>
          <w:lang w:val="zh-CN" w:eastAsia="zh-CN"/>
        </w:rPr>
      </w:pPr>
      <w:r>
        <w:rPr>
          <w:rFonts w:hint="default" w:ascii="Times New Roman" w:hAnsi="Times New Roman" w:eastAsia="楷体_GB2312" w:cs="Times New Roman"/>
          <w:b/>
          <w:bCs w:val="0"/>
          <w:color w:val="auto"/>
          <w:sz w:val="32"/>
          <w:szCs w:val="32"/>
        </w:rPr>
        <w:t>（二）存在的问题。</w:t>
      </w:r>
      <w:r>
        <w:rPr>
          <w:rFonts w:hint="eastAsia" w:ascii="仿宋_GB2312" w:hAnsi="宋体" w:eastAsia="仿宋_GB2312" w:cs="Times New Roman"/>
          <w:sz w:val="32"/>
          <w:szCs w:val="32"/>
          <w:lang w:val="zh-CN" w:eastAsia="zh-CN"/>
        </w:rPr>
        <w:t>部分残疾人择业观念不正确。有些残疾人不愿意通过自己的劳动自食其力，等、靠、要的依赖思想严重，摆脱不了对社会和家庭的依赖思想，缺乏竞争意识和创新意识，不具备参与社会竞争的积极态度。</w:t>
      </w:r>
    </w:p>
    <w:p>
      <w:pPr>
        <w:pStyle w:val="4"/>
        <w:rPr>
          <w:rFonts w:hint="default" w:ascii="仿宋_GB2312" w:hAnsi="宋体" w:eastAsia="仿宋_GB2312" w:cs="Times New Roman"/>
          <w:b w:val="0"/>
          <w:bCs w:val="0"/>
          <w:kern w:val="2"/>
          <w:sz w:val="32"/>
          <w:szCs w:val="32"/>
          <w:lang w:val="zh-CN" w:eastAsia="zh-CN" w:bidi="ar-SA"/>
        </w:rPr>
      </w:pPr>
      <w:bookmarkStart w:id="74" w:name="_Toc1555"/>
      <w:r>
        <w:rPr>
          <w:rFonts w:hint="default" w:ascii="Times New Roman" w:hAnsi="Times New Roman" w:eastAsia="楷体_GB2312" w:cs="Times New Roman"/>
          <w:b/>
          <w:bCs w:val="0"/>
          <w:color w:val="auto"/>
          <w:sz w:val="32"/>
          <w:szCs w:val="32"/>
        </w:rPr>
        <w:t>（三）项目建议。</w:t>
      </w:r>
      <w:r>
        <w:rPr>
          <w:rFonts w:hint="default" w:ascii="仿宋_GB2312" w:hAnsi="宋体" w:eastAsia="仿宋_GB2312" w:cs="Times New Roman"/>
          <w:b w:val="0"/>
          <w:bCs w:val="0"/>
          <w:kern w:val="2"/>
          <w:sz w:val="32"/>
          <w:szCs w:val="32"/>
          <w:lang w:val="zh-CN" w:eastAsia="zh-CN" w:bidi="ar-SA"/>
        </w:rPr>
        <w:t>推进残疾人政策法规落实，不断拓宽残疾人帮扶措施。在党和政府的高度重视，社会各界的大力支持，残疾人工作者的无私奉献、不懈努力下，残疾人迈入小康社会的目标就一定能够早日实现。</w:t>
      </w:r>
      <w:bookmarkEnd w:id="74"/>
    </w:p>
    <w:p>
      <w:pPr>
        <w:rPr>
          <w:rFonts w:hint="default" w:ascii="仿宋_GB2312" w:hAnsi="宋体" w:eastAsia="仿宋_GB2312" w:cs="Times New Roman"/>
          <w:b w:val="0"/>
          <w:bCs w:val="0"/>
          <w:kern w:val="2"/>
          <w:sz w:val="32"/>
          <w:szCs w:val="32"/>
          <w:lang w:val="zh-CN" w:eastAsia="zh-CN" w:bidi="ar-SA"/>
        </w:rPr>
      </w:pPr>
    </w:p>
    <w:p>
      <w:pPr>
        <w:pStyle w:val="2"/>
        <w:widowControl w:val="0"/>
        <w:numPr>
          <w:ilvl w:val="0"/>
          <w:numId w:val="0"/>
        </w:numPr>
        <w:jc w:val="both"/>
        <w:rPr>
          <w:rFonts w:hint="default" w:ascii="仿宋_GB2312" w:hAnsi="宋体" w:eastAsia="仿宋_GB2312" w:cs="Times New Roman"/>
          <w:b w:val="0"/>
          <w:bCs w:val="0"/>
          <w:kern w:val="2"/>
          <w:sz w:val="32"/>
          <w:szCs w:val="32"/>
          <w:lang w:val="zh-CN" w:eastAsia="zh-CN" w:bidi="ar-SA"/>
        </w:rPr>
      </w:pPr>
    </w:p>
    <w:p>
      <w:pPr>
        <w:pStyle w:val="2"/>
        <w:widowControl w:val="0"/>
        <w:numPr>
          <w:ilvl w:val="0"/>
          <w:numId w:val="0"/>
        </w:numPr>
        <w:jc w:val="both"/>
        <w:rPr>
          <w:rFonts w:hint="eastAsia" w:ascii="仿宋_GB2312" w:hAnsi="宋体" w:eastAsia="仿宋_GB2312" w:cs="Times New Roman"/>
          <w:b w:val="0"/>
          <w:bCs w:val="0"/>
          <w:kern w:val="2"/>
          <w:sz w:val="32"/>
          <w:szCs w:val="32"/>
          <w:lang w:val="zh-CN" w:eastAsia="zh-CN" w:bidi="ar-SA"/>
        </w:rPr>
      </w:pPr>
    </w:p>
    <w:p>
      <w:pPr>
        <w:pStyle w:val="2"/>
        <w:widowControl w:val="0"/>
        <w:numPr>
          <w:ilvl w:val="0"/>
          <w:numId w:val="0"/>
        </w:numPr>
        <w:jc w:val="both"/>
        <w:rPr>
          <w:rFonts w:hint="eastAsia" w:ascii="仿宋_GB2312" w:hAnsi="宋体" w:eastAsia="仿宋_GB2312" w:cs="Times New Roman"/>
          <w:b w:val="0"/>
          <w:bCs w:val="0"/>
          <w:kern w:val="2"/>
          <w:sz w:val="32"/>
          <w:szCs w:val="32"/>
          <w:lang w:val="zh-CN" w:eastAsia="zh-CN" w:bidi="ar-SA"/>
        </w:rPr>
      </w:pPr>
    </w:p>
    <w:p>
      <w:pPr>
        <w:pStyle w:val="2"/>
        <w:widowControl w:val="0"/>
        <w:numPr>
          <w:ilvl w:val="0"/>
          <w:numId w:val="0"/>
        </w:numPr>
        <w:jc w:val="both"/>
        <w:rPr>
          <w:rFonts w:hint="eastAsia" w:ascii="仿宋_GB2312" w:hAnsi="宋体" w:eastAsia="仿宋_GB2312" w:cs="Times New Roman"/>
          <w:b w:val="0"/>
          <w:bCs w:val="0"/>
          <w:kern w:val="2"/>
          <w:sz w:val="32"/>
          <w:szCs w:val="32"/>
          <w:lang w:val="zh-CN" w:eastAsia="zh-CN" w:bidi="ar-SA"/>
        </w:rPr>
      </w:pPr>
    </w:p>
    <w:p>
      <w:pPr>
        <w:pStyle w:val="2"/>
        <w:widowControl w:val="0"/>
        <w:numPr>
          <w:ilvl w:val="0"/>
          <w:numId w:val="0"/>
        </w:numPr>
        <w:jc w:val="both"/>
        <w:rPr>
          <w:rFonts w:hint="eastAsia" w:ascii="仿宋_GB2312" w:hAnsi="宋体" w:eastAsia="仿宋_GB2312" w:cs="Times New Roman"/>
          <w:b w:val="0"/>
          <w:bCs w:val="0"/>
          <w:kern w:val="2"/>
          <w:sz w:val="32"/>
          <w:szCs w:val="32"/>
          <w:lang w:val="zh-CN" w:eastAsia="zh-CN" w:bidi="ar-SA"/>
        </w:rPr>
      </w:pPr>
    </w:p>
    <w:p>
      <w:pPr>
        <w:pStyle w:val="2"/>
        <w:widowControl w:val="0"/>
        <w:numPr>
          <w:ilvl w:val="0"/>
          <w:numId w:val="0"/>
        </w:numPr>
        <w:jc w:val="both"/>
        <w:rPr>
          <w:rFonts w:hint="eastAsia" w:ascii="仿宋_GB2312" w:hAnsi="宋体" w:eastAsia="仿宋_GB2312" w:cs="Times New Roman"/>
          <w:b w:val="0"/>
          <w:bCs w:val="0"/>
          <w:kern w:val="2"/>
          <w:sz w:val="32"/>
          <w:szCs w:val="32"/>
          <w:lang w:val="zh-CN" w:eastAsia="zh-CN" w:bidi="ar-SA"/>
        </w:rPr>
      </w:pPr>
    </w:p>
    <w:p>
      <w:pPr>
        <w:pStyle w:val="2"/>
        <w:widowControl w:val="0"/>
        <w:numPr>
          <w:ilvl w:val="0"/>
          <w:numId w:val="0"/>
        </w:numPr>
        <w:jc w:val="both"/>
        <w:rPr>
          <w:rFonts w:hint="eastAsia" w:ascii="仿宋_GB2312" w:hAnsi="宋体" w:eastAsia="仿宋_GB2312" w:cs="Times New Roman"/>
          <w:b w:val="0"/>
          <w:bCs w:val="0"/>
          <w:kern w:val="2"/>
          <w:sz w:val="32"/>
          <w:szCs w:val="32"/>
          <w:lang w:val="zh-CN" w:eastAsia="zh-CN" w:bidi="ar-SA"/>
        </w:rPr>
      </w:pPr>
    </w:p>
    <w:p>
      <w:pPr>
        <w:pStyle w:val="2"/>
        <w:widowControl w:val="0"/>
        <w:numPr>
          <w:ilvl w:val="0"/>
          <w:numId w:val="0"/>
        </w:numPr>
        <w:jc w:val="both"/>
        <w:rPr>
          <w:rFonts w:hint="eastAsia" w:ascii="仿宋_GB2312" w:hAnsi="宋体" w:eastAsia="仿宋_GB2312" w:cs="Times New Roman"/>
          <w:b w:val="0"/>
          <w:bCs w:val="0"/>
          <w:kern w:val="2"/>
          <w:sz w:val="32"/>
          <w:szCs w:val="32"/>
          <w:lang w:val="zh-CN" w:eastAsia="zh-CN" w:bidi="ar-SA"/>
        </w:rPr>
      </w:pPr>
    </w:p>
    <w:p>
      <w:pPr>
        <w:pStyle w:val="2"/>
        <w:widowControl w:val="0"/>
        <w:numPr>
          <w:ilvl w:val="0"/>
          <w:numId w:val="0"/>
        </w:numPr>
        <w:jc w:val="both"/>
        <w:rPr>
          <w:rFonts w:hint="eastAsia" w:ascii="仿宋_GB2312" w:hAnsi="宋体" w:eastAsia="仿宋_GB2312" w:cs="Times New Roman"/>
          <w:b w:val="0"/>
          <w:bCs w:val="0"/>
          <w:kern w:val="2"/>
          <w:sz w:val="32"/>
          <w:szCs w:val="32"/>
          <w:lang w:val="zh-CN" w:eastAsia="zh-CN" w:bidi="ar-SA"/>
        </w:rPr>
      </w:pPr>
    </w:p>
    <w:p>
      <w:pPr>
        <w:pStyle w:val="2"/>
        <w:widowControl w:val="0"/>
        <w:numPr>
          <w:ilvl w:val="0"/>
          <w:numId w:val="0"/>
        </w:numPr>
        <w:jc w:val="both"/>
        <w:rPr>
          <w:rFonts w:hint="eastAsia" w:ascii="仿宋_GB2312" w:hAnsi="宋体" w:eastAsia="仿宋_GB2312" w:cs="Times New Roman"/>
          <w:b w:val="0"/>
          <w:bCs w:val="0"/>
          <w:kern w:val="2"/>
          <w:sz w:val="32"/>
          <w:szCs w:val="32"/>
          <w:lang w:val="zh-CN" w:eastAsia="zh-CN" w:bidi="ar-SA"/>
        </w:rPr>
      </w:pPr>
    </w:p>
    <w:p>
      <w:pPr>
        <w:pStyle w:val="2"/>
        <w:widowControl w:val="0"/>
        <w:numPr>
          <w:ilvl w:val="0"/>
          <w:numId w:val="0"/>
        </w:numPr>
        <w:jc w:val="both"/>
        <w:rPr>
          <w:rFonts w:hint="eastAsia" w:ascii="仿宋_GB2312" w:hAnsi="宋体" w:eastAsia="仿宋_GB2312" w:cs="Times New Roman"/>
          <w:b w:val="0"/>
          <w:bCs w:val="0"/>
          <w:kern w:val="2"/>
          <w:sz w:val="32"/>
          <w:szCs w:val="32"/>
          <w:lang w:val="zh-CN" w:eastAsia="zh-CN" w:bidi="ar-SA"/>
        </w:rPr>
      </w:pPr>
    </w:p>
    <w:p>
      <w:pPr>
        <w:pStyle w:val="2"/>
        <w:widowControl w:val="0"/>
        <w:numPr>
          <w:ilvl w:val="0"/>
          <w:numId w:val="0"/>
        </w:numPr>
        <w:jc w:val="both"/>
        <w:rPr>
          <w:rFonts w:hint="eastAsia" w:ascii="仿宋_GB2312" w:hAnsi="宋体" w:eastAsia="仿宋_GB2312" w:cs="Times New Roman"/>
          <w:b w:val="0"/>
          <w:bCs w:val="0"/>
          <w:kern w:val="2"/>
          <w:sz w:val="32"/>
          <w:szCs w:val="32"/>
          <w:lang w:val="zh-CN" w:eastAsia="zh-CN" w:bidi="ar-SA"/>
        </w:rPr>
      </w:pPr>
    </w:p>
    <w:p>
      <w:pPr>
        <w:pStyle w:val="2"/>
        <w:widowControl w:val="0"/>
        <w:numPr>
          <w:ilvl w:val="0"/>
          <w:numId w:val="0"/>
        </w:numPr>
        <w:jc w:val="both"/>
        <w:rPr>
          <w:rFonts w:hint="eastAsia" w:ascii="仿宋_GB2312" w:hAnsi="宋体" w:eastAsia="仿宋_GB2312" w:cs="Times New Roman"/>
          <w:b w:val="0"/>
          <w:bCs w:val="0"/>
          <w:kern w:val="2"/>
          <w:sz w:val="32"/>
          <w:szCs w:val="32"/>
          <w:lang w:val="zh-CN" w:eastAsia="zh-CN" w:bidi="ar-SA"/>
        </w:rPr>
      </w:pPr>
    </w:p>
    <w:p>
      <w:pPr>
        <w:pStyle w:val="2"/>
        <w:widowControl w:val="0"/>
        <w:numPr>
          <w:ilvl w:val="0"/>
          <w:numId w:val="0"/>
        </w:numPr>
        <w:jc w:val="both"/>
        <w:rPr>
          <w:rFonts w:hint="eastAsia" w:ascii="仿宋_GB2312" w:hAnsi="宋体" w:eastAsia="仿宋_GB2312" w:cs="Times New Roman"/>
          <w:b w:val="0"/>
          <w:bCs w:val="0"/>
          <w:kern w:val="2"/>
          <w:sz w:val="32"/>
          <w:szCs w:val="32"/>
          <w:lang w:val="zh-CN" w:eastAsia="zh-CN" w:bidi="ar-SA"/>
        </w:rPr>
      </w:pPr>
    </w:p>
    <w:p>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firstLine="2200" w:firstLineChars="500"/>
        <w:jc w:val="both"/>
        <w:textAlignment w:val="auto"/>
        <w:outlineLvl w:val="0"/>
        <w:rPr>
          <w:rStyle w:val="32"/>
          <w:rFonts w:hint="eastAsia" w:ascii="黑体" w:hAnsi="黑体" w:eastAsia="黑体"/>
          <w:b w:val="0"/>
          <w:color w:val="auto"/>
          <w:highlight w:val="none"/>
        </w:rPr>
      </w:pPr>
      <w:bookmarkStart w:id="75" w:name="_Toc29613"/>
      <w:bookmarkStart w:id="76" w:name="_Toc3232"/>
      <w:r>
        <w:rPr>
          <w:rStyle w:val="32"/>
          <w:rFonts w:hint="eastAsia" w:ascii="黑体" w:hAnsi="黑体" w:eastAsia="黑体"/>
          <w:b w:val="0"/>
          <w:color w:val="auto"/>
          <w:highlight w:val="none"/>
        </w:rPr>
        <w:t>附表</w:t>
      </w:r>
      <w:bookmarkEnd w:id="75"/>
      <w:bookmarkEnd w:id="76"/>
      <w:bookmarkStart w:id="77" w:name="_Toc28702"/>
    </w:p>
    <w:p>
      <w:pPr>
        <w:numPr>
          <w:ilvl w:val="0"/>
          <w:numId w:val="7"/>
        </w:numPr>
        <w:spacing w:line="600" w:lineRule="exact"/>
        <w:jc w:val="both"/>
        <w:outlineLvl w:val="0"/>
        <w:rPr>
          <w:rStyle w:val="33"/>
          <w:rFonts w:hint="eastAsia" w:ascii="仿宋" w:hAnsi="仿宋" w:eastAsia="仿宋"/>
          <w:b w:val="0"/>
          <w:bCs w:val="0"/>
          <w:color w:val="auto"/>
          <w:sz w:val="32"/>
          <w:szCs w:val="32"/>
          <w:highlight w:val="none"/>
        </w:rPr>
      </w:pPr>
      <w:bookmarkStart w:id="78" w:name="_Toc15129"/>
      <w:r>
        <w:rPr>
          <w:rFonts w:hint="eastAsia" w:ascii="仿宋" w:hAnsi="仿宋" w:eastAsia="仿宋"/>
          <w:b w:val="0"/>
          <w:color w:val="auto"/>
          <w:sz w:val="32"/>
          <w:szCs w:val="32"/>
          <w:highlight w:val="none"/>
        </w:rPr>
        <w:t>收</w:t>
      </w:r>
      <w:r>
        <w:rPr>
          <w:rStyle w:val="33"/>
          <w:rFonts w:hint="eastAsia" w:ascii="仿宋" w:hAnsi="仿宋" w:eastAsia="仿宋"/>
          <w:b w:val="0"/>
          <w:bCs w:val="0"/>
          <w:color w:val="auto"/>
          <w:sz w:val="32"/>
          <w:szCs w:val="32"/>
          <w:highlight w:val="none"/>
        </w:rPr>
        <w:t>入支出决算总表</w:t>
      </w:r>
      <w:bookmarkEnd w:id="77"/>
      <w:bookmarkEnd w:id="78"/>
      <w:bookmarkStart w:id="79" w:name="_Toc32640"/>
    </w:p>
    <w:p>
      <w:pPr>
        <w:numPr>
          <w:ilvl w:val="0"/>
          <w:numId w:val="7"/>
        </w:numPr>
        <w:spacing w:line="600" w:lineRule="exact"/>
        <w:jc w:val="both"/>
        <w:outlineLvl w:val="0"/>
        <w:rPr>
          <w:rFonts w:ascii="仿宋" w:hAnsi="仿宋" w:eastAsia="仿宋"/>
          <w:color w:val="auto"/>
          <w:highlight w:val="none"/>
        </w:rPr>
      </w:pPr>
      <w:bookmarkStart w:id="80" w:name="_Toc22915"/>
      <w:r>
        <w:rPr>
          <w:rFonts w:hint="eastAsia" w:ascii="仿宋" w:hAnsi="仿宋" w:eastAsia="仿宋"/>
          <w:b w:val="0"/>
          <w:color w:val="auto"/>
          <w:sz w:val="32"/>
          <w:szCs w:val="32"/>
          <w:highlight w:val="none"/>
        </w:rPr>
        <w:t>收</w:t>
      </w:r>
      <w:r>
        <w:rPr>
          <w:rStyle w:val="33"/>
          <w:rFonts w:hint="eastAsia" w:ascii="仿宋" w:hAnsi="仿宋" w:eastAsia="仿宋"/>
          <w:b w:val="0"/>
          <w:bCs w:val="0"/>
          <w:color w:val="auto"/>
          <w:sz w:val="32"/>
          <w:szCs w:val="32"/>
          <w:highlight w:val="none"/>
        </w:rPr>
        <w:t>入决算表</w:t>
      </w:r>
      <w:bookmarkEnd w:id="79"/>
      <w:bookmarkEnd w:id="80"/>
      <w:bookmarkStart w:id="81" w:name="_Toc28724"/>
      <w:bookmarkStart w:id="82" w:name="_Toc25704"/>
    </w:p>
    <w:p>
      <w:pPr>
        <w:numPr>
          <w:ilvl w:val="0"/>
          <w:numId w:val="7"/>
        </w:numPr>
        <w:spacing w:line="600" w:lineRule="exact"/>
        <w:jc w:val="both"/>
        <w:outlineLvl w:val="0"/>
        <w:rPr>
          <w:rFonts w:ascii="仿宋" w:hAnsi="仿宋" w:eastAsia="仿宋"/>
          <w:b w:val="0"/>
          <w:color w:val="auto"/>
          <w:sz w:val="32"/>
          <w:szCs w:val="32"/>
          <w:highlight w:val="none"/>
        </w:rPr>
      </w:pPr>
      <w:r>
        <w:rPr>
          <w:rFonts w:hint="eastAsia" w:ascii="仿宋" w:hAnsi="仿宋" w:eastAsia="仿宋"/>
          <w:b w:val="0"/>
          <w:color w:val="auto"/>
          <w:sz w:val="32"/>
          <w:szCs w:val="32"/>
          <w:highlight w:val="none"/>
        </w:rPr>
        <w:t>支</w:t>
      </w:r>
      <w:r>
        <w:rPr>
          <w:rStyle w:val="33"/>
          <w:rFonts w:hint="eastAsia" w:ascii="仿宋" w:hAnsi="仿宋" w:eastAsia="仿宋"/>
          <w:b w:val="0"/>
          <w:bCs w:val="0"/>
          <w:color w:val="auto"/>
          <w:sz w:val="32"/>
          <w:szCs w:val="32"/>
          <w:highlight w:val="none"/>
        </w:rPr>
        <w:t>出决算表</w:t>
      </w:r>
      <w:bookmarkEnd w:id="81"/>
      <w:bookmarkEnd w:id="82"/>
      <w:bookmarkStart w:id="83" w:name="_Toc22777"/>
      <w:bookmarkStart w:id="84" w:name="_Toc18431"/>
    </w:p>
    <w:p>
      <w:pPr>
        <w:numPr>
          <w:ilvl w:val="0"/>
          <w:numId w:val="7"/>
        </w:numPr>
        <w:spacing w:line="600" w:lineRule="exact"/>
        <w:jc w:val="both"/>
        <w:outlineLvl w:val="0"/>
        <w:rPr>
          <w:rStyle w:val="33"/>
          <w:rFonts w:ascii="仿宋" w:hAnsi="仿宋" w:eastAsia="仿宋"/>
          <w:b w:val="0"/>
          <w:bCs w:val="0"/>
          <w:color w:val="auto"/>
          <w:sz w:val="32"/>
          <w:szCs w:val="32"/>
          <w:highlight w:val="none"/>
        </w:rPr>
      </w:pPr>
      <w:r>
        <w:rPr>
          <w:rFonts w:hint="eastAsia" w:ascii="仿宋" w:hAnsi="仿宋" w:eastAsia="仿宋"/>
          <w:b w:val="0"/>
          <w:color w:val="auto"/>
          <w:sz w:val="32"/>
          <w:szCs w:val="32"/>
          <w:highlight w:val="none"/>
        </w:rPr>
        <w:t>财</w:t>
      </w:r>
      <w:r>
        <w:rPr>
          <w:rStyle w:val="33"/>
          <w:rFonts w:hint="eastAsia" w:ascii="仿宋" w:hAnsi="仿宋" w:eastAsia="仿宋"/>
          <w:b w:val="0"/>
          <w:bCs w:val="0"/>
          <w:color w:val="auto"/>
          <w:sz w:val="32"/>
          <w:szCs w:val="32"/>
          <w:highlight w:val="none"/>
        </w:rPr>
        <w:t>政拨款收入支出决算总表</w:t>
      </w:r>
      <w:bookmarkEnd w:id="83"/>
      <w:bookmarkEnd w:id="84"/>
      <w:bookmarkStart w:id="85" w:name="_Toc22517"/>
      <w:bookmarkStart w:id="86" w:name="_Toc15381"/>
    </w:p>
    <w:p>
      <w:pPr>
        <w:numPr>
          <w:ilvl w:val="0"/>
          <w:numId w:val="7"/>
        </w:numPr>
        <w:spacing w:line="600" w:lineRule="exact"/>
        <w:jc w:val="both"/>
        <w:outlineLvl w:val="0"/>
        <w:rPr>
          <w:rFonts w:ascii="仿宋" w:hAnsi="仿宋" w:eastAsia="仿宋"/>
          <w:color w:val="auto"/>
          <w:sz w:val="32"/>
          <w:szCs w:val="32"/>
          <w:highlight w:val="none"/>
        </w:rPr>
      </w:pPr>
      <w:r>
        <w:rPr>
          <w:rFonts w:hint="eastAsia" w:ascii="仿宋" w:hAnsi="仿宋" w:eastAsia="仿宋"/>
          <w:b w:val="0"/>
          <w:color w:val="auto"/>
          <w:sz w:val="32"/>
          <w:szCs w:val="32"/>
          <w:highlight w:val="none"/>
        </w:rPr>
        <w:t>财</w:t>
      </w:r>
      <w:r>
        <w:rPr>
          <w:rStyle w:val="33"/>
          <w:rFonts w:hint="eastAsia" w:ascii="仿宋" w:hAnsi="仿宋" w:eastAsia="仿宋"/>
          <w:b w:val="0"/>
          <w:bCs w:val="0"/>
          <w:color w:val="auto"/>
          <w:sz w:val="32"/>
          <w:szCs w:val="32"/>
          <w:highlight w:val="none"/>
        </w:rPr>
        <w:t>政拨款支出决算明细表</w:t>
      </w:r>
      <w:bookmarkEnd w:id="85"/>
      <w:bookmarkEnd w:id="86"/>
      <w:bookmarkStart w:id="87" w:name="_Toc4164"/>
      <w:bookmarkStart w:id="88" w:name="_Toc24898"/>
    </w:p>
    <w:p>
      <w:pPr>
        <w:numPr>
          <w:ilvl w:val="0"/>
          <w:numId w:val="7"/>
        </w:numPr>
        <w:spacing w:line="600" w:lineRule="exact"/>
        <w:jc w:val="both"/>
        <w:outlineLvl w:val="0"/>
        <w:rPr>
          <w:rFonts w:ascii="仿宋" w:hAnsi="仿宋" w:eastAsia="仿宋"/>
          <w:color w:val="auto"/>
          <w:sz w:val="32"/>
          <w:szCs w:val="32"/>
          <w:highlight w:val="none"/>
        </w:rPr>
      </w:pPr>
      <w:r>
        <w:rPr>
          <w:rFonts w:hint="eastAsia" w:ascii="仿宋" w:hAnsi="仿宋" w:eastAsia="仿宋"/>
          <w:b w:val="0"/>
          <w:color w:val="auto"/>
          <w:sz w:val="32"/>
          <w:szCs w:val="32"/>
          <w:highlight w:val="none"/>
        </w:rPr>
        <w:t>一</w:t>
      </w:r>
      <w:r>
        <w:rPr>
          <w:rStyle w:val="33"/>
          <w:rFonts w:hint="eastAsia" w:ascii="仿宋" w:hAnsi="仿宋" w:eastAsia="仿宋"/>
          <w:b w:val="0"/>
          <w:bCs w:val="0"/>
          <w:color w:val="auto"/>
          <w:sz w:val="32"/>
          <w:szCs w:val="32"/>
          <w:highlight w:val="none"/>
        </w:rPr>
        <w:t>般公共预算财政拨款支出决算表</w:t>
      </w:r>
      <w:bookmarkEnd w:id="87"/>
      <w:bookmarkEnd w:id="88"/>
      <w:bookmarkStart w:id="89" w:name="_Toc7010"/>
      <w:bookmarkStart w:id="90" w:name="_Toc23615"/>
    </w:p>
    <w:p>
      <w:pPr>
        <w:numPr>
          <w:ilvl w:val="0"/>
          <w:numId w:val="7"/>
        </w:numPr>
        <w:spacing w:line="600" w:lineRule="exact"/>
        <w:jc w:val="both"/>
        <w:outlineLvl w:val="0"/>
        <w:rPr>
          <w:rFonts w:ascii="仿宋" w:hAnsi="仿宋" w:eastAsia="仿宋"/>
          <w:color w:val="auto"/>
          <w:sz w:val="32"/>
          <w:szCs w:val="32"/>
          <w:highlight w:val="none"/>
        </w:rPr>
      </w:pPr>
      <w:r>
        <w:rPr>
          <w:rFonts w:hint="eastAsia" w:ascii="仿宋" w:hAnsi="仿宋" w:eastAsia="仿宋"/>
          <w:b w:val="0"/>
          <w:color w:val="auto"/>
          <w:sz w:val="32"/>
          <w:szCs w:val="32"/>
          <w:highlight w:val="none"/>
        </w:rPr>
        <w:t>一</w:t>
      </w:r>
      <w:r>
        <w:rPr>
          <w:rStyle w:val="33"/>
          <w:rFonts w:hint="eastAsia" w:ascii="仿宋" w:hAnsi="仿宋" w:eastAsia="仿宋"/>
          <w:b w:val="0"/>
          <w:bCs w:val="0"/>
          <w:color w:val="auto"/>
          <w:sz w:val="32"/>
          <w:szCs w:val="32"/>
          <w:highlight w:val="none"/>
        </w:rPr>
        <w:t>般公共预算财政拨款支出决算明细表</w:t>
      </w:r>
      <w:bookmarkEnd w:id="89"/>
      <w:bookmarkEnd w:id="90"/>
      <w:bookmarkStart w:id="91" w:name="_Toc8005"/>
      <w:bookmarkStart w:id="92" w:name="_Toc8828"/>
    </w:p>
    <w:p>
      <w:pPr>
        <w:numPr>
          <w:ilvl w:val="0"/>
          <w:numId w:val="7"/>
        </w:numPr>
        <w:spacing w:line="600" w:lineRule="exact"/>
        <w:jc w:val="both"/>
        <w:outlineLvl w:val="0"/>
        <w:rPr>
          <w:rFonts w:ascii="仿宋" w:hAnsi="仿宋" w:eastAsia="仿宋"/>
          <w:color w:val="auto"/>
          <w:sz w:val="32"/>
          <w:szCs w:val="32"/>
          <w:highlight w:val="none"/>
        </w:rPr>
      </w:pPr>
      <w:r>
        <w:rPr>
          <w:rFonts w:hint="eastAsia" w:ascii="仿宋" w:hAnsi="仿宋" w:eastAsia="仿宋"/>
          <w:b w:val="0"/>
          <w:color w:val="auto"/>
          <w:sz w:val="32"/>
          <w:szCs w:val="32"/>
          <w:highlight w:val="none"/>
        </w:rPr>
        <w:t>一</w:t>
      </w:r>
      <w:r>
        <w:rPr>
          <w:rStyle w:val="33"/>
          <w:rFonts w:hint="eastAsia" w:ascii="仿宋" w:hAnsi="仿宋" w:eastAsia="仿宋"/>
          <w:b w:val="0"/>
          <w:bCs w:val="0"/>
          <w:color w:val="auto"/>
          <w:sz w:val="32"/>
          <w:szCs w:val="32"/>
          <w:highlight w:val="none"/>
        </w:rPr>
        <w:t>般公共预算财政拨款基本支出决算表</w:t>
      </w:r>
      <w:bookmarkEnd w:id="91"/>
      <w:bookmarkEnd w:id="92"/>
      <w:bookmarkStart w:id="93" w:name="_Toc5505"/>
      <w:bookmarkStart w:id="94" w:name="_Toc4142"/>
    </w:p>
    <w:p>
      <w:pPr>
        <w:numPr>
          <w:ilvl w:val="0"/>
          <w:numId w:val="7"/>
        </w:numPr>
        <w:spacing w:line="600" w:lineRule="exact"/>
        <w:jc w:val="both"/>
        <w:outlineLvl w:val="0"/>
        <w:rPr>
          <w:rFonts w:ascii="仿宋" w:hAnsi="仿宋" w:eastAsia="仿宋"/>
          <w:color w:val="auto"/>
          <w:sz w:val="32"/>
          <w:szCs w:val="32"/>
          <w:highlight w:val="none"/>
        </w:rPr>
      </w:pPr>
      <w:r>
        <w:rPr>
          <w:rFonts w:hint="eastAsia" w:ascii="仿宋" w:hAnsi="仿宋" w:eastAsia="仿宋"/>
          <w:b w:val="0"/>
          <w:color w:val="auto"/>
          <w:sz w:val="32"/>
          <w:szCs w:val="32"/>
          <w:highlight w:val="none"/>
        </w:rPr>
        <w:t>一</w:t>
      </w:r>
      <w:r>
        <w:rPr>
          <w:rStyle w:val="33"/>
          <w:rFonts w:hint="eastAsia" w:ascii="仿宋" w:hAnsi="仿宋" w:eastAsia="仿宋"/>
          <w:b w:val="0"/>
          <w:bCs w:val="0"/>
          <w:color w:val="auto"/>
          <w:sz w:val="32"/>
          <w:szCs w:val="32"/>
          <w:highlight w:val="none"/>
        </w:rPr>
        <w:t>般公共预算财政拨款项目支出决算表</w:t>
      </w:r>
      <w:bookmarkEnd w:id="93"/>
      <w:bookmarkEnd w:id="94"/>
      <w:bookmarkStart w:id="95" w:name="_Toc24171"/>
      <w:bookmarkStart w:id="96" w:name="_Toc19895"/>
    </w:p>
    <w:p>
      <w:pPr>
        <w:numPr>
          <w:ilvl w:val="0"/>
          <w:numId w:val="7"/>
        </w:numPr>
        <w:spacing w:line="600" w:lineRule="exact"/>
        <w:jc w:val="both"/>
        <w:outlineLvl w:val="0"/>
        <w:rPr>
          <w:rFonts w:ascii="仿宋" w:hAnsi="仿宋" w:eastAsia="仿宋"/>
          <w:color w:val="auto"/>
          <w:sz w:val="32"/>
          <w:szCs w:val="32"/>
          <w:highlight w:val="none"/>
        </w:rPr>
      </w:pPr>
      <w:r>
        <w:rPr>
          <w:rFonts w:hint="eastAsia" w:ascii="仿宋" w:hAnsi="仿宋" w:eastAsia="仿宋"/>
          <w:b w:val="0"/>
          <w:color w:val="auto"/>
          <w:sz w:val="32"/>
          <w:szCs w:val="32"/>
          <w:highlight w:val="none"/>
        </w:rPr>
        <w:t>政</w:t>
      </w:r>
      <w:r>
        <w:rPr>
          <w:rStyle w:val="33"/>
          <w:rFonts w:hint="eastAsia" w:ascii="仿宋" w:hAnsi="仿宋" w:eastAsia="仿宋"/>
          <w:b w:val="0"/>
          <w:bCs w:val="0"/>
          <w:color w:val="auto"/>
          <w:sz w:val="32"/>
          <w:szCs w:val="32"/>
          <w:highlight w:val="none"/>
        </w:rPr>
        <w:t>府性基金预算财政拨款收入支出决算表</w:t>
      </w:r>
      <w:bookmarkEnd w:id="95"/>
      <w:bookmarkEnd w:id="96"/>
      <w:bookmarkStart w:id="97" w:name="_Toc27076"/>
      <w:bookmarkStart w:id="98" w:name="_Toc11502"/>
    </w:p>
    <w:p>
      <w:pPr>
        <w:numPr>
          <w:ilvl w:val="0"/>
          <w:numId w:val="7"/>
        </w:numPr>
        <w:spacing w:line="600" w:lineRule="exact"/>
        <w:jc w:val="both"/>
        <w:outlineLvl w:val="0"/>
        <w:rPr>
          <w:rFonts w:ascii="仿宋" w:hAnsi="仿宋" w:eastAsia="仿宋"/>
          <w:color w:val="auto"/>
          <w:sz w:val="32"/>
          <w:szCs w:val="32"/>
          <w:highlight w:val="none"/>
        </w:rPr>
      </w:pPr>
      <w:r>
        <w:rPr>
          <w:rFonts w:hint="eastAsia" w:ascii="仿宋" w:hAnsi="仿宋" w:eastAsia="仿宋"/>
          <w:b w:val="0"/>
          <w:color w:val="auto"/>
          <w:sz w:val="32"/>
          <w:szCs w:val="32"/>
          <w:highlight w:val="none"/>
        </w:rPr>
        <w:t>国</w:t>
      </w:r>
      <w:r>
        <w:rPr>
          <w:rStyle w:val="33"/>
          <w:rFonts w:hint="eastAsia" w:ascii="仿宋" w:hAnsi="仿宋" w:eastAsia="仿宋"/>
          <w:b w:val="0"/>
          <w:bCs w:val="0"/>
          <w:color w:val="auto"/>
          <w:sz w:val="32"/>
          <w:szCs w:val="32"/>
          <w:highlight w:val="none"/>
        </w:rPr>
        <w:t>有资本经营预算</w:t>
      </w:r>
      <w:r>
        <w:rPr>
          <w:rStyle w:val="33"/>
          <w:rFonts w:hint="eastAsia" w:ascii="仿宋" w:hAnsi="仿宋" w:eastAsia="仿宋"/>
          <w:b w:val="0"/>
          <w:bCs w:val="0"/>
          <w:color w:val="auto"/>
          <w:sz w:val="32"/>
          <w:szCs w:val="32"/>
          <w:highlight w:val="none"/>
          <w:lang w:eastAsia="zh-CN"/>
        </w:rPr>
        <w:t>财政拨款收入</w:t>
      </w:r>
      <w:r>
        <w:rPr>
          <w:rStyle w:val="33"/>
          <w:rFonts w:hint="eastAsia" w:ascii="仿宋" w:hAnsi="仿宋" w:eastAsia="仿宋"/>
          <w:b w:val="0"/>
          <w:bCs w:val="0"/>
          <w:color w:val="auto"/>
          <w:sz w:val="32"/>
          <w:szCs w:val="32"/>
          <w:highlight w:val="none"/>
        </w:rPr>
        <w:t>支出决算表</w:t>
      </w:r>
      <w:bookmarkEnd w:id="97"/>
      <w:bookmarkEnd w:id="98"/>
      <w:bookmarkStart w:id="99" w:name="_Toc22544"/>
      <w:bookmarkStart w:id="100" w:name="_Toc18259"/>
    </w:p>
    <w:p>
      <w:pPr>
        <w:numPr>
          <w:ilvl w:val="0"/>
          <w:numId w:val="7"/>
        </w:numPr>
        <w:spacing w:line="600" w:lineRule="exact"/>
        <w:jc w:val="both"/>
        <w:outlineLvl w:val="0"/>
        <w:rPr>
          <w:rFonts w:hint="eastAsia" w:eastAsia="仿宋"/>
          <w:color w:val="auto"/>
          <w:sz w:val="32"/>
          <w:szCs w:val="32"/>
          <w:highlight w:val="none"/>
          <w:lang w:eastAsia="zh-CN"/>
        </w:rPr>
      </w:pPr>
      <w:r>
        <w:rPr>
          <w:rStyle w:val="33"/>
          <w:rFonts w:hint="eastAsia" w:ascii="仿宋" w:hAnsi="仿宋" w:eastAsia="仿宋"/>
          <w:b w:val="0"/>
          <w:bCs w:val="0"/>
          <w:color w:val="auto"/>
          <w:sz w:val="32"/>
          <w:szCs w:val="32"/>
          <w:highlight w:val="none"/>
          <w:lang w:eastAsia="zh-CN"/>
        </w:rPr>
        <w:t>国有资本经营预算财政拨款支出决算表</w:t>
      </w:r>
      <w:bookmarkEnd w:id="99"/>
      <w:bookmarkEnd w:id="100"/>
      <w:bookmarkStart w:id="101" w:name="_Toc19057"/>
      <w:bookmarkStart w:id="102" w:name="_Toc7004"/>
    </w:p>
    <w:p>
      <w:pPr>
        <w:numPr>
          <w:ilvl w:val="0"/>
          <w:numId w:val="7"/>
        </w:numPr>
        <w:spacing w:line="600" w:lineRule="exact"/>
        <w:jc w:val="both"/>
        <w:outlineLvl w:val="0"/>
        <w:rPr>
          <w:rFonts w:hint="eastAsia" w:eastAsia="仿宋"/>
          <w:color w:val="auto"/>
          <w:sz w:val="32"/>
          <w:szCs w:val="32"/>
          <w:highlight w:val="none"/>
          <w:lang w:eastAsia="zh-CN"/>
        </w:rPr>
      </w:pPr>
      <w:r>
        <w:rPr>
          <w:rStyle w:val="33"/>
          <w:rFonts w:hint="eastAsia" w:ascii="仿宋" w:hAnsi="仿宋" w:eastAsia="仿宋"/>
          <w:b w:val="0"/>
          <w:bCs w:val="0"/>
          <w:color w:val="auto"/>
          <w:sz w:val="32"/>
          <w:szCs w:val="32"/>
          <w:highlight w:val="none"/>
          <w:lang w:eastAsia="zh-CN"/>
        </w:rPr>
        <w:t>财政拨款“三公”经费支出决算表</w:t>
      </w:r>
      <w:bookmarkEnd w:id="101"/>
      <w:bookmarkEnd w:id="102"/>
    </w:p>
    <w:p>
      <w:pPr>
        <w:pStyle w:val="4"/>
        <w:outlineLvl w:val="9"/>
        <w:rPr>
          <w:rFonts w:hint="eastAsia" w:eastAsia="仿宋"/>
          <w:color w:val="auto"/>
          <w:highlight w:val="none"/>
          <w:lang w:eastAsia="zh-CN"/>
        </w:rPr>
      </w:pPr>
    </w:p>
    <w:p>
      <w:pPr>
        <w:pStyle w:val="2"/>
        <w:widowControl w:val="0"/>
        <w:numPr>
          <w:ilvl w:val="0"/>
          <w:numId w:val="0"/>
        </w:numPr>
        <w:jc w:val="both"/>
        <w:rPr>
          <w:rFonts w:hint="eastAsia" w:ascii="仿宋_GB2312" w:hAnsi="宋体" w:eastAsia="仿宋_GB2312" w:cs="Times New Roman"/>
          <w:b w:val="0"/>
          <w:bCs w:val="0"/>
          <w:kern w:val="2"/>
          <w:sz w:val="32"/>
          <w:szCs w:val="32"/>
          <w:lang w:val="zh-CN" w:eastAsia="zh-CN" w:bidi="ar-SA"/>
        </w:rPr>
      </w:pPr>
    </w:p>
    <w:sectPr>
      <w:type w:val="continuous"/>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
    <w:altName w:val="华文中宋"/>
    <w:panose1 w:val="00000000000000000000"/>
    <w:charset w:val="00"/>
    <w:family w:val="roman"/>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script"/>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insoku w:val="0"/>
      <w:overflowPunct w:val="0"/>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insoku w:val="0"/>
      <w:overflowPunct w:val="0"/>
      <w:spacing w:line="14" w:lineRule="auto"/>
      <w:rPr>
        <w:sz w:val="20"/>
        <w:szCs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OGA044yAgAAYQQAAA4AAAAAAAAAAQAgAAAA&#10;NQEAAGRycy9lMm9Eb2MueG1sUEsFBgAAAAAGAAYAWQEAANk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insoku w:val="0"/>
      <w:overflowPunct w:val="0"/>
      <w:spacing w:line="14" w:lineRule="auto"/>
      <w:rPr>
        <w:sz w:val="20"/>
        <w:szCs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
                          </w:sdtPr>
                          <w:sdtContent>
                            <w:p>
                              <w:pPr>
                                <w:pStyle w:val="11"/>
                                <w:jc w:val="center"/>
                              </w:pPr>
                              <w:r>
                                <w:fldChar w:fldCharType="begin"/>
                              </w:r>
                              <w:r>
                                <w:instrText xml:space="preserve">PAGE   \* MERGEFORMAT</w:instrText>
                              </w:r>
                              <w:r>
                                <w:fldChar w:fldCharType="separate"/>
                              </w:r>
                              <w:r>
                                <w:rPr>
                                  <w:lang w:val="zh-CN"/>
                                </w:rPr>
                                <w:t>8</w:t>
                              </w:r>
                              <w:r>
                                <w:fldChar w:fldCharType="end"/>
                              </w:r>
                            </w:p>
                          </w:sdtContent>
                        </w:sdt>
                        <w:p>
                          <w:pPr>
                            <w:pStyle w:val="21"/>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sdt>
                    <w:sdtPr>
                      <w:id w:val="-1"/>
                    </w:sdtPr>
                    <w:sdtContent>
                      <w:p>
                        <w:pPr>
                          <w:pStyle w:val="11"/>
                          <w:jc w:val="center"/>
                        </w:pPr>
                        <w:r>
                          <w:fldChar w:fldCharType="begin"/>
                        </w:r>
                        <w:r>
                          <w:instrText xml:space="preserve">PAGE   \* MERGEFORMAT</w:instrText>
                        </w:r>
                        <w:r>
                          <w:fldChar w:fldCharType="separate"/>
                        </w:r>
                        <w:r>
                          <w:rPr>
                            <w:lang w:val="zh-CN"/>
                          </w:rPr>
                          <w:t>8</w:t>
                        </w:r>
                        <w:r>
                          <w:fldChar w:fldCharType="end"/>
                        </w:r>
                      </w:p>
                    </w:sdtContent>
                  </w:sdt>
                  <w:p>
                    <w:pPr>
                      <w:pStyle w:val="21"/>
                    </w:pPr>
                  </w:p>
                </w:txbxContent>
              </v:textbox>
            </v:shape>
          </w:pict>
        </mc:Fallback>
      </mc:AlternateContent>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D1211EEA"/>
    <w:multiLevelType w:val="singleLevel"/>
    <w:tmpl w:val="D1211EEA"/>
    <w:lvl w:ilvl="0" w:tentative="0">
      <w:start w:val="1"/>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19FE5A05"/>
    <w:multiLevelType w:val="singleLevel"/>
    <w:tmpl w:val="19FE5A05"/>
    <w:lvl w:ilvl="0" w:tentative="0">
      <w:start w:val="5"/>
      <w:numFmt w:val="chineseCounting"/>
      <w:suff w:val="space"/>
      <w:lvlText w:val="第%1部分"/>
      <w:lvlJc w:val="left"/>
      <w:rPr>
        <w:rFonts w:hint="eastAsia"/>
      </w:rPr>
    </w:lvl>
  </w:abstractNum>
  <w:abstractNum w:abstractNumId="5">
    <w:nsid w:val="2A0B06CE"/>
    <w:multiLevelType w:val="singleLevel"/>
    <w:tmpl w:val="2A0B06CE"/>
    <w:lvl w:ilvl="0" w:tentative="0">
      <w:start w:val="1"/>
      <w:numFmt w:val="decimal"/>
      <w:pStyle w:val="2"/>
      <w:lvlText w:val="%1."/>
      <w:lvlJc w:val="left"/>
      <w:pPr>
        <w:tabs>
          <w:tab w:val="left" w:pos="360"/>
        </w:tabs>
        <w:ind w:left="360" w:hanging="360"/>
      </w:pPr>
    </w:lvl>
  </w:abstractNum>
  <w:abstractNum w:abstractNumId="6">
    <w:nsid w:val="5BD3D1DE"/>
    <w:multiLevelType w:val="singleLevel"/>
    <w:tmpl w:val="5BD3D1DE"/>
    <w:lvl w:ilvl="0" w:tentative="0">
      <w:start w:val="1"/>
      <w:numFmt w:val="chineseCounting"/>
      <w:suff w:val="nothing"/>
      <w:lvlText w:val="%1、"/>
      <w:lvlJc w:val="left"/>
      <w:rPr>
        <w:rFonts w:hint="eastAsia" w:ascii="仿宋" w:hAnsi="仿宋" w:eastAsia="仿宋" w:cs="仿宋"/>
        <w:sz w:val="32"/>
        <w:szCs w:val="32"/>
      </w:rPr>
    </w:lvl>
  </w:abstractNum>
  <w:num w:numId="1">
    <w:abstractNumId w:val="5"/>
  </w:num>
  <w:num w:numId="2">
    <w:abstractNumId w:val="1"/>
  </w:num>
  <w:num w:numId="3">
    <w:abstractNumId w:val="3"/>
  </w:num>
  <w:num w:numId="4">
    <w:abstractNumId w:val="0"/>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06CC"/>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067F1"/>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6EF8"/>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1924287"/>
    <w:rsid w:val="02143E91"/>
    <w:rsid w:val="026F42FE"/>
    <w:rsid w:val="028F1EFF"/>
    <w:rsid w:val="02B17177"/>
    <w:rsid w:val="03065668"/>
    <w:rsid w:val="0312168F"/>
    <w:rsid w:val="035908D5"/>
    <w:rsid w:val="037E6D7C"/>
    <w:rsid w:val="04015AA0"/>
    <w:rsid w:val="041C4C1F"/>
    <w:rsid w:val="04770389"/>
    <w:rsid w:val="0591547A"/>
    <w:rsid w:val="05CE7E5C"/>
    <w:rsid w:val="05EA5FAC"/>
    <w:rsid w:val="05F63C19"/>
    <w:rsid w:val="064F49ED"/>
    <w:rsid w:val="066E0107"/>
    <w:rsid w:val="0712113E"/>
    <w:rsid w:val="07261D34"/>
    <w:rsid w:val="074C6B8C"/>
    <w:rsid w:val="077A4DF6"/>
    <w:rsid w:val="077B3AC8"/>
    <w:rsid w:val="07996F6E"/>
    <w:rsid w:val="07D47FF4"/>
    <w:rsid w:val="084E2809"/>
    <w:rsid w:val="08525561"/>
    <w:rsid w:val="08580CE4"/>
    <w:rsid w:val="0A2032A3"/>
    <w:rsid w:val="0A415285"/>
    <w:rsid w:val="0A61267A"/>
    <w:rsid w:val="0BC52BD0"/>
    <w:rsid w:val="0CCE7C7B"/>
    <w:rsid w:val="0D2901B0"/>
    <w:rsid w:val="0D5248DB"/>
    <w:rsid w:val="0DCE73C9"/>
    <w:rsid w:val="0DD95C10"/>
    <w:rsid w:val="0EC95F88"/>
    <w:rsid w:val="0ED93EBB"/>
    <w:rsid w:val="0EE87AAA"/>
    <w:rsid w:val="0EEB71A9"/>
    <w:rsid w:val="0F0C073B"/>
    <w:rsid w:val="0F9022FF"/>
    <w:rsid w:val="0F98263C"/>
    <w:rsid w:val="0F9D3E41"/>
    <w:rsid w:val="0FD93D33"/>
    <w:rsid w:val="101860EC"/>
    <w:rsid w:val="10C055FF"/>
    <w:rsid w:val="10D477A9"/>
    <w:rsid w:val="118107EC"/>
    <w:rsid w:val="121F4EBE"/>
    <w:rsid w:val="12512193"/>
    <w:rsid w:val="12B44556"/>
    <w:rsid w:val="132D5DD3"/>
    <w:rsid w:val="137B3AA8"/>
    <w:rsid w:val="13A937BC"/>
    <w:rsid w:val="13D50BC4"/>
    <w:rsid w:val="140F44B8"/>
    <w:rsid w:val="14117406"/>
    <w:rsid w:val="147C5547"/>
    <w:rsid w:val="14F50E56"/>
    <w:rsid w:val="151C749A"/>
    <w:rsid w:val="15716961"/>
    <w:rsid w:val="16BB723D"/>
    <w:rsid w:val="16D57556"/>
    <w:rsid w:val="172044D1"/>
    <w:rsid w:val="17A77A0D"/>
    <w:rsid w:val="18CE2120"/>
    <w:rsid w:val="192F31C3"/>
    <w:rsid w:val="193227AD"/>
    <w:rsid w:val="194B605F"/>
    <w:rsid w:val="19DD25E4"/>
    <w:rsid w:val="19EA6AAF"/>
    <w:rsid w:val="1A7A1A53"/>
    <w:rsid w:val="1AB952E0"/>
    <w:rsid w:val="1ABC044C"/>
    <w:rsid w:val="1ADC289C"/>
    <w:rsid w:val="1B4932E4"/>
    <w:rsid w:val="1BB842AC"/>
    <w:rsid w:val="1BE8440E"/>
    <w:rsid w:val="1CE6391A"/>
    <w:rsid w:val="1D0D31E0"/>
    <w:rsid w:val="1D155CEE"/>
    <w:rsid w:val="1D6628F1"/>
    <w:rsid w:val="1DD447BB"/>
    <w:rsid w:val="1E3D5D47"/>
    <w:rsid w:val="1EC84544"/>
    <w:rsid w:val="1EDB10BC"/>
    <w:rsid w:val="1EEA30DE"/>
    <w:rsid w:val="1F147105"/>
    <w:rsid w:val="1F6B63EC"/>
    <w:rsid w:val="1FF35744"/>
    <w:rsid w:val="20527EFA"/>
    <w:rsid w:val="20637C05"/>
    <w:rsid w:val="20832045"/>
    <w:rsid w:val="208F2D91"/>
    <w:rsid w:val="20B50B42"/>
    <w:rsid w:val="20BC3637"/>
    <w:rsid w:val="2127683B"/>
    <w:rsid w:val="21EF43E7"/>
    <w:rsid w:val="22AD5238"/>
    <w:rsid w:val="231958A3"/>
    <w:rsid w:val="23860B96"/>
    <w:rsid w:val="23A979DB"/>
    <w:rsid w:val="23CF178A"/>
    <w:rsid w:val="23F7480E"/>
    <w:rsid w:val="240371BF"/>
    <w:rsid w:val="24AB2751"/>
    <w:rsid w:val="25010BDC"/>
    <w:rsid w:val="253A157D"/>
    <w:rsid w:val="25415279"/>
    <w:rsid w:val="25567300"/>
    <w:rsid w:val="255F2164"/>
    <w:rsid w:val="257D2CAE"/>
    <w:rsid w:val="26062DCE"/>
    <w:rsid w:val="26200F51"/>
    <w:rsid w:val="26AB309C"/>
    <w:rsid w:val="27240D17"/>
    <w:rsid w:val="273F571B"/>
    <w:rsid w:val="27F356C9"/>
    <w:rsid w:val="289522DC"/>
    <w:rsid w:val="289A68BF"/>
    <w:rsid w:val="28DA74B5"/>
    <w:rsid w:val="292D057B"/>
    <w:rsid w:val="29AA0009"/>
    <w:rsid w:val="29DE4F5E"/>
    <w:rsid w:val="29EF3C6E"/>
    <w:rsid w:val="29FD04D3"/>
    <w:rsid w:val="2AA23EE1"/>
    <w:rsid w:val="2B1E2A5D"/>
    <w:rsid w:val="2B3F3824"/>
    <w:rsid w:val="2C0749F1"/>
    <w:rsid w:val="2C0B2FE1"/>
    <w:rsid w:val="2C6314C3"/>
    <w:rsid w:val="2C8A61B5"/>
    <w:rsid w:val="2CAB1391"/>
    <w:rsid w:val="2DF04E50"/>
    <w:rsid w:val="2E0D448A"/>
    <w:rsid w:val="2E122436"/>
    <w:rsid w:val="2E9D1EEA"/>
    <w:rsid w:val="2EF04710"/>
    <w:rsid w:val="2F040D46"/>
    <w:rsid w:val="2F653AA7"/>
    <w:rsid w:val="2FF6486A"/>
    <w:rsid w:val="30B17283"/>
    <w:rsid w:val="30D77936"/>
    <w:rsid w:val="30FD34B3"/>
    <w:rsid w:val="31140B8A"/>
    <w:rsid w:val="319F7F4E"/>
    <w:rsid w:val="328412B5"/>
    <w:rsid w:val="32F55D49"/>
    <w:rsid w:val="3304709D"/>
    <w:rsid w:val="33650A48"/>
    <w:rsid w:val="35C10681"/>
    <w:rsid w:val="36064819"/>
    <w:rsid w:val="36731ADE"/>
    <w:rsid w:val="36AA5135"/>
    <w:rsid w:val="36FF2A5E"/>
    <w:rsid w:val="371829FB"/>
    <w:rsid w:val="37691503"/>
    <w:rsid w:val="376D39B2"/>
    <w:rsid w:val="378679C0"/>
    <w:rsid w:val="37C624B2"/>
    <w:rsid w:val="37CD1DE7"/>
    <w:rsid w:val="37E16F03"/>
    <w:rsid w:val="38210FF2"/>
    <w:rsid w:val="382A0766"/>
    <w:rsid w:val="38A575AE"/>
    <w:rsid w:val="38D469F0"/>
    <w:rsid w:val="3911775D"/>
    <w:rsid w:val="3A233CF8"/>
    <w:rsid w:val="3A325533"/>
    <w:rsid w:val="3A72247D"/>
    <w:rsid w:val="3AFCFDFC"/>
    <w:rsid w:val="3B4770E1"/>
    <w:rsid w:val="3BCE118D"/>
    <w:rsid w:val="3C064460"/>
    <w:rsid w:val="3C264595"/>
    <w:rsid w:val="3C2C1E98"/>
    <w:rsid w:val="3C5B6581"/>
    <w:rsid w:val="3C740FC5"/>
    <w:rsid w:val="3C9379BC"/>
    <w:rsid w:val="3D98207C"/>
    <w:rsid w:val="3DFF1D84"/>
    <w:rsid w:val="3E5B3198"/>
    <w:rsid w:val="3E78745D"/>
    <w:rsid w:val="3F19380F"/>
    <w:rsid w:val="3F8C5994"/>
    <w:rsid w:val="40B87313"/>
    <w:rsid w:val="41DC53C1"/>
    <w:rsid w:val="431C07BA"/>
    <w:rsid w:val="433D2599"/>
    <w:rsid w:val="43761230"/>
    <w:rsid w:val="43C45474"/>
    <w:rsid w:val="444D2254"/>
    <w:rsid w:val="44E268DA"/>
    <w:rsid w:val="45633EA0"/>
    <w:rsid w:val="45C04ABA"/>
    <w:rsid w:val="45E529EA"/>
    <w:rsid w:val="472C67D7"/>
    <w:rsid w:val="4822314F"/>
    <w:rsid w:val="484A67E7"/>
    <w:rsid w:val="48B71770"/>
    <w:rsid w:val="48E236C7"/>
    <w:rsid w:val="492C6778"/>
    <w:rsid w:val="4930791C"/>
    <w:rsid w:val="4A36378E"/>
    <w:rsid w:val="4A4C6847"/>
    <w:rsid w:val="4A627F82"/>
    <w:rsid w:val="4B0E749A"/>
    <w:rsid w:val="4B4F25DA"/>
    <w:rsid w:val="4BD8414F"/>
    <w:rsid w:val="4BE068DB"/>
    <w:rsid w:val="4BF15731"/>
    <w:rsid w:val="4C402860"/>
    <w:rsid w:val="4CBE0DB0"/>
    <w:rsid w:val="4D577224"/>
    <w:rsid w:val="4D6B792C"/>
    <w:rsid w:val="4D9549A9"/>
    <w:rsid w:val="4DAE68D6"/>
    <w:rsid w:val="4DED20EF"/>
    <w:rsid w:val="4E21623C"/>
    <w:rsid w:val="4EAB630A"/>
    <w:rsid w:val="4ECE2238"/>
    <w:rsid w:val="4F161B19"/>
    <w:rsid w:val="4FC95A1F"/>
    <w:rsid w:val="4FD534EA"/>
    <w:rsid w:val="50302767"/>
    <w:rsid w:val="50642410"/>
    <w:rsid w:val="5084285F"/>
    <w:rsid w:val="50857B8D"/>
    <w:rsid w:val="50D650BC"/>
    <w:rsid w:val="517B5039"/>
    <w:rsid w:val="51AA632F"/>
    <w:rsid w:val="51AA70F6"/>
    <w:rsid w:val="51F64B4D"/>
    <w:rsid w:val="521A025B"/>
    <w:rsid w:val="529A4B46"/>
    <w:rsid w:val="52D634EC"/>
    <w:rsid w:val="52D65C0F"/>
    <w:rsid w:val="52E678CF"/>
    <w:rsid w:val="5322228D"/>
    <w:rsid w:val="536A2433"/>
    <w:rsid w:val="537E6D0A"/>
    <w:rsid w:val="53FE7139"/>
    <w:rsid w:val="541B17A9"/>
    <w:rsid w:val="559C38FC"/>
    <w:rsid w:val="55C23E61"/>
    <w:rsid w:val="561641AD"/>
    <w:rsid w:val="56521D3A"/>
    <w:rsid w:val="5660026C"/>
    <w:rsid w:val="5663384B"/>
    <w:rsid w:val="5697479B"/>
    <w:rsid w:val="57376493"/>
    <w:rsid w:val="573E4B9B"/>
    <w:rsid w:val="591B62ED"/>
    <w:rsid w:val="59B8421F"/>
    <w:rsid w:val="5A571237"/>
    <w:rsid w:val="5A5E62BF"/>
    <w:rsid w:val="5AF92295"/>
    <w:rsid w:val="5B0E4A9C"/>
    <w:rsid w:val="5B656408"/>
    <w:rsid w:val="5B7E6A7C"/>
    <w:rsid w:val="5BB02CCD"/>
    <w:rsid w:val="5BED0C20"/>
    <w:rsid w:val="5BFC6336"/>
    <w:rsid w:val="5BFF945A"/>
    <w:rsid w:val="5C2B0143"/>
    <w:rsid w:val="5CD71FC4"/>
    <w:rsid w:val="5CEB4D61"/>
    <w:rsid w:val="5CF61214"/>
    <w:rsid w:val="5D4E06D0"/>
    <w:rsid w:val="5DB70023"/>
    <w:rsid w:val="5E179474"/>
    <w:rsid w:val="5F263397"/>
    <w:rsid w:val="5F3B32FF"/>
    <w:rsid w:val="60AE2C7C"/>
    <w:rsid w:val="60E732E5"/>
    <w:rsid w:val="61822775"/>
    <w:rsid w:val="61DA52F1"/>
    <w:rsid w:val="623E1AE1"/>
    <w:rsid w:val="629A371D"/>
    <w:rsid w:val="62A80882"/>
    <w:rsid w:val="62E33669"/>
    <w:rsid w:val="63953AD0"/>
    <w:rsid w:val="639C03E7"/>
    <w:rsid w:val="641A5B12"/>
    <w:rsid w:val="6447443E"/>
    <w:rsid w:val="64B06D44"/>
    <w:rsid w:val="64CA4AE0"/>
    <w:rsid w:val="65BB267B"/>
    <w:rsid w:val="663A2B21"/>
    <w:rsid w:val="665D5B01"/>
    <w:rsid w:val="66FF3FD7"/>
    <w:rsid w:val="67626648"/>
    <w:rsid w:val="67B32FF1"/>
    <w:rsid w:val="67CC4FB6"/>
    <w:rsid w:val="68C83A2C"/>
    <w:rsid w:val="68E24874"/>
    <w:rsid w:val="698B77A1"/>
    <w:rsid w:val="6A483A81"/>
    <w:rsid w:val="6A656416"/>
    <w:rsid w:val="6B2443DD"/>
    <w:rsid w:val="6B2539FE"/>
    <w:rsid w:val="6B606630"/>
    <w:rsid w:val="6B7D1213"/>
    <w:rsid w:val="6C2076DB"/>
    <w:rsid w:val="6C3B62C3"/>
    <w:rsid w:val="6C4A05C8"/>
    <w:rsid w:val="6C4E379B"/>
    <w:rsid w:val="6C7C695A"/>
    <w:rsid w:val="6C81461E"/>
    <w:rsid w:val="6C8D5126"/>
    <w:rsid w:val="6DB47563"/>
    <w:rsid w:val="6E325235"/>
    <w:rsid w:val="6E7E3605"/>
    <w:rsid w:val="6E951EC7"/>
    <w:rsid w:val="6EC32CCC"/>
    <w:rsid w:val="6EDF3AED"/>
    <w:rsid w:val="6F107CF3"/>
    <w:rsid w:val="6F3E041D"/>
    <w:rsid w:val="6FAC2327"/>
    <w:rsid w:val="6FF5CC65"/>
    <w:rsid w:val="707A560C"/>
    <w:rsid w:val="710B095A"/>
    <w:rsid w:val="715C0E4B"/>
    <w:rsid w:val="72734D90"/>
    <w:rsid w:val="729C5939"/>
    <w:rsid w:val="72E02EC0"/>
    <w:rsid w:val="72F97723"/>
    <w:rsid w:val="738A574E"/>
    <w:rsid w:val="73AD73D5"/>
    <w:rsid w:val="73B6EB34"/>
    <w:rsid w:val="744731E5"/>
    <w:rsid w:val="74685100"/>
    <w:rsid w:val="754631F7"/>
    <w:rsid w:val="75560310"/>
    <w:rsid w:val="75644ADD"/>
    <w:rsid w:val="75C80A74"/>
    <w:rsid w:val="76036521"/>
    <w:rsid w:val="760F2C9B"/>
    <w:rsid w:val="763D57C6"/>
    <w:rsid w:val="764F2F30"/>
    <w:rsid w:val="766D53A4"/>
    <w:rsid w:val="76B566AC"/>
    <w:rsid w:val="76C92E49"/>
    <w:rsid w:val="76E3355F"/>
    <w:rsid w:val="76FE76A1"/>
    <w:rsid w:val="772A3A71"/>
    <w:rsid w:val="778769C8"/>
    <w:rsid w:val="77FC1598"/>
    <w:rsid w:val="78CA0299"/>
    <w:rsid w:val="795471FA"/>
    <w:rsid w:val="79DD3BEC"/>
    <w:rsid w:val="79EE5BA4"/>
    <w:rsid w:val="7A0D6597"/>
    <w:rsid w:val="7A4E01FC"/>
    <w:rsid w:val="7A894339"/>
    <w:rsid w:val="7B5CD339"/>
    <w:rsid w:val="7B711D02"/>
    <w:rsid w:val="7B9B2F1E"/>
    <w:rsid w:val="7C1871E8"/>
    <w:rsid w:val="7C8E53A1"/>
    <w:rsid w:val="7CA91CC9"/>
    <w:rsid w:val="7D371939"/>
    <w:rsid w:val="7DBF7E01"/>
    <w:rsid w:val="7E0C66D8"/>
    <w:rsid w:val="7EEF11D3"/>
    <w:rsid w:val="7EEF6113"/>
    <w:rsid w:val="7EFD254A"/>
    <w:rsid w:val="7F1D5900"/>
    <w:rsid w:val="7F9A2311"/>
    <w:rsid w:val="7FA30C79"/>
    <w:rsid w:val="7FB7269E"/>
    <w:rsid w:val="7FC96657"/>
    <w:rsid w:val="BA6BC010"/>
    <w:rsid w:val="CFEF4A9D"/>
    <w:rsid w:val="D8D6DB89"/>
    <w:rsid w:val="DB6F4CAB"/>
    <w:rsid w:val="DF6F9789"/>
    <w:rsid w:val="E6EE8D20"/>
    <w:rsid w:val="F676F23C"/>
    <w:rsid w:val="F9FB998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6"/>
    <w:unhideWhenUsed/>
    <w:qFormat/>
    <w:uiPriority w:val="9"/>
    <w:pPr>
      <w:keepNext/>
      <w:keepLines/>
      <w:spacing w:before="260" w:after="260" w:line="416" w:lineRule="auto"/>
      <w:outlineLvl w:val="2"/>
    </w:pPr>
    <w:rPr>
      <w:b/>
      <w:bCs/>
      <w:sz w:val="32"/>
      <w:szCs w:val="32"/>
    </w:rPr>
  </w:style>
  <w:style w:type="character" w:default="1" w:styleId="18">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List Number"/>
    <w:basedOn w:val="1"/>
    <w:semiHidden/>
    <w:unhideWhenUsed/>
    <w:qFormat/>
    <w:uiPriority w:val="99"/>
    <w:pPr>
      <w:numPr>
        <w:ilvl w:val="0"/>
        <w:numId w:val="1"/>
      </w:numPr>
    </w:pPr>
  </w:style>
  <w:style w:type="paragraph" w:styleId="6">
    <w:name w:val="Body Text"/>
    <w:basedOn w:val="1"/>
    <w:link w:val="29"/>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5"/>
    <w:semiHidden/>
    <w:unhideWhenUsed/>
    <w:qFormat/>
    <w:uiPriority w:val="99"/>
    <w:rPr>
      <w:sz w:val="18"/>
      <w:szCs w:val="18"/>
    </w:rPr>
  </w:style>
  <w:style w:type="paragraph" w:styleId="11">
    <w:name w:val="footer"/>
    <w:basedOn w:val="1"/>
    <w:link w:val="27"/>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5"/>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章标题"/>
    <w:basedOn w:val="1"/>
    <w:next w:val="22"/>
    <w:qFormat/>
    <w:uiPriority w:val="99"/>
    <w:pPr>
      <w:widowControl/>
      <w:spacing w:before="158" w:after="153" w:line="323" w:lineRule="atLeast"/>
      <w:ind w:right="-120"/>
      <w:jc w:val="center"/>
      <w:textAlignment w:val="baseline"/>
    </w:pPr>
    <w:rPr>
      <w:color w:val="FF0000"/>
      <w:sz w:val="18"/>
    </w:rPr>
  </w:style>
  <w:style w:type="paragraph" w:customStyle="1" w:styleId="22">
    <w:name w:val="节标题"/>
    <w:basedOn w:val="1"/>
    <w:next w:val="1"/>
    <w:qFormat/>
    <w:uiPriority w:val="99"/>
    <w:pPr>
      <w:widowControl/>
      <w:spacing w:line="289" w:lineRule="atLeast"/>
      <w:jc w:val="center"/>
      <w:textAlignment w:val="baseline"/>
    </w:pPr>
    <w:rPr>
      <w:color w:val="000000"/>
      <w:sz w:val="28"/>
    </w:rPr>
  </w:style>
  <w:style w:type="paragraph" w:customStyle="1" w:styleId="23">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4">
    <w:name w:val="Header Char"/>
    <w:basedOn w:val="18"/>
    <w:semiHidden/>
    <w:qFormat/>
    <w:uiPriority w:val="99"/>
    <w:rPr>
      <w:rFonts w:ascii="Times New Roman" w:hAnsi="Times New Roman"/>
      <w:sz w:val="18"/>
      <w:szCs w:val="18"/>
    </w:rPr>
  </w:style>
  <w:style w:type="character" w:customStyle="1" w:styleId="25">
    <w:name w:val="页眉 Char"/>
    <w:link w:val="12"/>
    <w:semiHidden/>
    <w:qFormat/>
    <w:locked/>
    <w:uiPriority w:val="99"/>
    <w:rPr>
      <w:sz w:val="18"/>
    </w:rPr>
  </w:style>
  <w:style w:type="character" w:customStyle="1" w:styleId="26">
    <w:name w:val="Footer Char"/>
    <w:basedOn w:val="18"/>
    <w:semiHidden/>
    <w:qFormat/>
    <w:uiPriority w:val="99"/>
    <w:rPr>
      <w:rFonts w:ascii="Times New Roman" w:hAnsi="Times New Roman"/>
      <w:sz w:val="18"/>
      <w:szCs w:val="18"/>
    </w:rPr>
  </w:style>
  <w:style w:type="character" w:customStyle="1" w:styleId="27">
    <w:name w:val="页脚 Char"/>
    <w:link w:val="11"/>
    <w:qFormat/>
    <w:locked/>
    <w:uiPriority w:val="99"/>
    <w:rPr>
      <w:sz w:val="18"/>
    </w:rPr>
  </w:style>
  <w:style w:type="character" w:customStyle="1" w:styleId="28">
    <w:name w:val="Body Text Char"/>
    <w:basedOn w:val="18"/>
    <w:semiHidden/>
    <w:qFormat/>
    <w:uiPriority w:val="99"/>
    <w:rPr>
      <w:rFonts w:ascii="Times New Roman" w:hAnsi="Times New Roman"/>
      <w:szCs w:val="24"/>
    </w:rPr>
  </w:style>
  <w:style w:type="character" w:customStyle="1" w:styleId="29">
    <w:name w:val="正文文本 Char"/>
    <w:link w:val="6"/>
    <w:qFormat/>
    <w:locked/>
    <w:uiPriority w:val="99"/>
    <w:rPr>
      <w:rFonts w:ascii="仿宋_GB2312" w:hAnsi="Times New Roman" w:eastAsia="仿宋_GB2312"/>
      <w:sz w:val="24"/>
    </w:rPr>
  </w:style>
  <w:style w:type="paragraph" w:customStyle="1" w:styleId="3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1">
    <w:name w:val="List Paragraph"/>
    <w:basedOn w:val="1"/>
    <w:qFormat/>
    <w:uiPriority w:val="34"/>
    <w:pPr>
      <w:ind w:firstLine="420" w:firstLineChars="200"/>
    </w:pPr>
  </w:style>
  <w:style w:type="character" w:customStyle="1" w:styleId="32">
    <w:name w:val="标题 1 Char"/>
    <w:basedOn w:val="18"/>
    <w:link w:val="3"/>
    <w:qFormat/>
    <w:uiPriority w:val="9"/>
    <w:rPr>
      <w:rFonts w:ascii="Times New Roman" w:hAnsi="Times New Roman"/>
      <w:b/>
      <w:bCs/>
      <w:kern w:val="44"/>
      <w:sz w:val="44"/>
      <w:szCs w:val="44"/>
    </w:rPr>
  </w:style>
  <w:style w:type="character" w:customStyle="1" w:styleId="33">
    <w:name w:val="标题 2 Char"/>
    <w:basedOn w:val="18"/>
    <w:link w:val="4"/>
    <w:qFormat/>
    <w:uiPriority w:val="9"/>
    <w:rPr>
      <w:rFonts w:asciiTheme="majorHAnsi" w:hAnsiTheme="majorHAnsi" w:eastAsiaTheme="majorEastAsia" w:cstheme="majorBidi"/>
      <w:b/>
      <w:bCs/>
      <w:kern w:val="2"/>
      <w:sz w:val="32"/>
      <w:szCs w:val="32"/>
    </w:rPr>
  </w:style>
  <w:style w:type="paragraph" w:customStyle="1" w:styleId="34">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Char"/>
    <w:basedOn w:val="18"/>
    <w:link w:val="10"/>
    <w:semiHidden/>
    <w:qFormat/>
    <w:uiPriority w:val="99"/>
    <w:rPr>
      <w:rFonts w:ascii="Times New Roman" w:hAnsi="Times New Roman"/>
      <w:kern w:val="2"/>
      <w:sz w:val="18"/>
      <w:szCs w:val="18"/>
    </w:rPr>
  </w:style>
  <w:style w:type="character" w:customStyle="1" w:styleId="36">
    <w:name w:val="标题 3 Char"/>
    <w:basedOn w:val="18"/>
    <w:link w:val="5"/>
    <w:qFormat/>
    <w:uiPriority w:val="9"/>
    <w:rPr>
      <w:rFonts w:ascii="Times New Roman" w:hAnsi="Times New Roman"/>
      <w:b/>
      <w:bCs/>
      <w:kern w:val="2"/>
      <w:sz w:val="32"/>
      <w:szCs w:val="32"/>
    </w:rPr>
  </w:style>
  <w:style w:type="paragraph" w:customStyle="1" w:styleId="37">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8">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9">
    <w:name w:val="WPSOffice手动目录 1"/>
    <w:qFormat/>
    <w:uiPriority w:val="0"/>
    <w:pPr>
      <w:ind w:leftChars="0"/>
    </w:pPr>
    <w:rPr>
      <w:rFonts w:asciiTheme="minorHAnsi" w:hAnsiTheme="minorHAnsi" w:eastAsiaTheme="minorEastAsia" w:cstheme="minorBidi"/>
      <w:sz w:val="20"/>
      <w:szCs w:val="20"/>
    </w:rPr>
  </w:style>
  <w:style w:type="paragraph" w:customStyle="1" w:styleId="40">
    <w:name w:val="WPSOffice手动目录 2"/>
    <w:qFormat/>
    <w:uiPriority w:val="0"/>
    <w:pPr>
      <w:ind w:leftChars="200"/>
    </w:pPr>
    <w:rPr>
      <w:rFonts w:asciiTheme="minorHAnsi" w:hAnsiTheme="minorHAnsi" w:eastAsiaTheme="minorEastAsia" w:cstheme="minorBidi"/>
      <w:sz w:val="20"/>
      <w:szCs w:val="20"/>
    </w:rPr>
  </w:style>
  <w:style w:type="character" w:customStyle="1" w:styleId="41">
    <w:name w:val="font21"/>
    <w:basedOn w:val="18"/>
    <w:qFormat/>
    <w:uiPriority w:val="0"/>
    <w:rPr>
      <w:rFonts w:ascii="宋体" w:hAnsi="宋体" w:eastAsia="宋体" w:cs="宋体"/>
      <w:color w:val="000000"/>
      <w:sz w:val="18"/>
      <w:szCs w:val="18"/>
      <w:u w:val="none"/>
    </w:rPr>
  </w:style>
  <w:style w:type="character" w:customStyle="1" w:styleId="42">
    <w:name w:val="font41"/>
    <w:basedOn w:val="18"/>
    <w:qFormat/>
    <w:uiPriority w:val="0"/>
    <w:rPr>
      <w:rFonts w:ascii="宋体" w:hAnsi="宋体" w:eastAsia="宋体" w:cs="宋体"/>
      <w:color w:val="000000"/>
      <w:sz w:val="18"/>
      <w:szCs w:val="18"/>
      <w:u w:val="none"/>
    </w:rPr>
  </w:style>
  <w:style w:type="character" w:customStyle="1" w:styleId="43">
    <w:name w:val="font51"/>
    <w:basedOn w:val="18"/>
    <w:qFormat/>
    <w:uiPriority w:val="0"/>
    <w:rPr>
      <w:rFonts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7.emf"/><Relationship Id="rId21" Type="http://schemas.openxmlformats.org/officeDocument/2006/relationships/oleObject" Target="embeddings/oleObject7.bin"/><Relationship Id="rId20" Type="http://schemas.openxmlformats.org/officeDocument/2006/relationships/image" Target="media/image6.emf"/><Relationship Id="rId2" Type="http://schemas.openxmlformats.org/officeDocument/2006/relationships/settings" Target="settings.xml"/><Relationship Id="rId19" Type="http://schemas.openxmlformats.org/officeDocument/2006/relationships/oleObject" Target="embeddings/oleObject6.bin"/><Relationship Id="rId18" Type="http://schemas.openxmlformats.org/officeDocument/2006/relationships/image" Target="media/image5.emf"/><Relationship Id="rId17" Type="http://schemas.openxmlformats.org/officeDocument/2006/relationships/oleObject" Target="embeddings/oleObject5.bin"/><Relationship Id="rId16" Type="http://schemas.openxmlformats.org/officeDocument/2006/relationships/image" Target="media/image4.emf"/><Relationship Id="rId15" Type="http://schemas.openxmlformats.org/officeDocument/2006/relationships/oleObject" Target="embeddings/oleObject4.bin"/><Relationship Id="rId14" Type="http://schemas.openxmlformats.org/officeDocument/2006/relationships/image" Target="media/image3.emf"/><Relationship Id="rId13" Type="http://schemas.openxmlformats.org/officeDocument/2006/relationships/oleObject" Target="embeddings/oleObject3.bin"/><Relationship Id="rId12" Type="http://schemas.openxmlformats.org/officeDocument/2006/relationships/image" Target="media/image2.emf"/><Relationship Id="rId11" Type="http://schemas.openxmlformats.org/officeDocument/2006/relationships/oleObject" Target="embeddings/oleObject2.bin"/><Relationship Id="rId10" Type="http://schemas.openxmlformats.org/officeDocument/2006/relationships/image" Target="media/image1.e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Info spid="_x0000_s1027"/>
    <customShpInfo spid="_x0000_s1028"/>
    <customShpInfo spid="_x0000_s1029"/>
    <customShpInfo spid="_x0000_s1030"/>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72</Pages>
  <Words>15371</Words>
  <Characters>16918</Characters>
  <Lines>61</Lines>
  <Paragraphs>17</Paragraphs>
  <TotalTime>17</TotalTime>
  <ScaleCrop>false</ScaleCrop>
  <LinksUpToDate>false</LinksUpToDate>
  <CharactersWithSpaces>17407</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2020-08-05T17:49:00Z</dcterms:created>
  <dc:creator>曹颖</dc:creator>
  <cp:lastModifiedBy>csq</cp:lastModifiedBy>
  <cp:lastPrinted>2023-07-31T18:35:00Z</cp:lastPrinted>
  <dcterms:modified xsi:type="dcterms:W3CDTF">2024-09-14T10:22:07Z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F274F3FC262044B2A0B117783A6B8A34_13</vt:lpwstr>
  </property>
</Properties>
</file>