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78441"/>
      <w:bookmarkStart w:id="4" w:name="_Toc15396475"/>
      <w:bookmarkStart w:id="5" w:name="_Toc518"/>
      <w:bookmarkStart w:id="6" w:name="_Toc15036"/>
      <w:bookmarkStart w:id="7" w:name="_Toc15377425"/>
      <w:r>
        <w:rPr>
          <w:rFonts w:hint="eastAsia" w:ascii="方正小标宋简体" w:hAnsi="方正小标宋简体" w:eastAsia="方正小标宋简体" w:cs="方正小标宋简体"/>
          <w:color w:val="auto"/>
          <w:sz w:val="72"/>
          <w:szCs w:val="72"/>
          <w:highlight w:val="none"/>
          <w:lang w:eastAsia="zh-CN"/>
        </w:rPr>
        <w:t>2023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78442"/>
      <w:bookmarkStart w:id="9" w:name="_Toc17807"/>
      <w:bookmarkStart w:id="10" w:name="_Toc15377194"/>
      <w:bookmarkStart w:id="11" w:name="_Toc15396476"/>
      <w:bookmarkStart w:id="12" w:name="_Toc15396598"/>
      <w:bookmarkStart w:id="13" w:name="_Toc15306268"/>
      <w:bookmarkStart w:id="14" w:name="_Toc19224"/>
      <w:bookmarkStart w:id="15" w:name="_Toc15377426"/>
      <w:r>
        <w:rPr>
          <w:rFonts w:hint="eastAsia" w:ascii="方正小标宋简体" w:hAnsi="方正小标宋简体" w:eastAsia="方正小标宋简体" w:cs="方正小标宋简体"/>
          <w:color w:val="auto"/>
          <w:sz w:val="72"/>
          <w:szCs w:val="72"/>
          <w:highlight w:val="none"/>
        </w:rPr>
        <w:t>遂宁市船山区</w:t>
      </w:r>
      <w:r>
        <w:rPr>
          <w:rFonts w:hint="eastAsia" w:ascii="方正小标宋简体" w:hAnsi="方正小标宋简体" w:eastAsia="方正小标宋简体" w:cs="方正小标宋简体"/>
          <w:color w:val="auto"/>
          <w:sz w:val="72"/>
          <w:szCs w:val="72"/>
          <w:highlight w:val="none"/>
          <w:lang w:val="en-US" w:eastAsia="zh-CN"/>
        </w:rPr>
        <w:t>锦华</w:t>
      </w:r>
      <w:r>
        <w:rPr>
          <w:rFonts w:hint="eastAsia" w:ascii="方正小标宋简体" w:hAnsi="方正小标宋简体" w:eastAsia="方正小标宋简体" w:cs="方正小标宋简体"/>
          <w:color w:val="auto"/>
          <w:sz w:val="72"/>
          <w:szCs w:val="72"/>
          <w:highlight w:val="none"/>
        </w:rPr>
        <w:t>幼儿园</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jc w:val="center"/>
        <w:rPr>
          <w:rFonts w:hint="default" w:eastAsia="宋体"/>
          <w:lang w:val="en-US" w:eastAsia="zh-CN"/>
        </w:rPr>
      </w:pPr>
      <w:bookmarkStart w:id="16" w:name="OLE_LINK6"/>
      <w:r>
        <w:rPr>
          <w:rFonts w:hint="eastAsia" w:ascii="仿宋_GB2312" w:eastAsia="仿宋_GB2312" w:cs="Times New Roman"/>
          <w:color w:val="auto"/>
          <w:sz w:val="32"/>
          <w:szCs w:val="32"/>
          <w:highlight w:val="none"/>
          <w:lang w:val="en-US" w:eastAsia="zh-CN"/>
        </w:rPr>
        <w:t>公开时间：2024年9月11日</w:t>
      </w:r>
    </w:p>
    <w:bookmarkEnd w:id="16"/>
    <w:p>
      <w:pPr>
        <w:pStyle w:val="10"/>
        <w:rPr>
          <w:color w:val="auto"/>
          <w:highlight w:val="none"/>
        </w:rPr>
      </w:pPr>
    </w:p>
    <w:p/>
    <w:sdt>
      <w:sdtPr>
        <w:rPr>
          <w:rFonts w:ascii="宋体" w:hAnsi="宋体" w:eastAsia="宋体" w:cs="Times New Roman"/>
          <w:kern w:val="2"/>
          <w:sz w:val="21"/>
          <w:szCs w:val="24"/>
          <w:lang w:val="en-US" w:eastAsia="zh-CN" w:bidi="ar-SA"/>
        </w:rPr>
        <w:id w:val="147472892"/>
        <w15:color w:val="DBDBDB"/>
        <w:docPartObj>
          <w:docPartGallery w:val="Table of Contents"/>
          <w:docPartUnique/>
        </w:docPartObj>
      </w:sdtPr>
      <w:sdtEndPr>
        <w:rPr>
          <w:rFonts w:ascii="仿宋_GB2312" w:hAnsi="Times New Roman" w:eastAsia="仿宋_GB2312" w:cs="Times New Roman"/>
          <w:b/>
          <w:kern w:val="0"/>
          <w:sz w:val="30"/>
          <w:szCs w:val="24"/>
          <w:lang w:val="en-US" w:eastAsia="zh-CN" w:bidi="ar-SA"/>
        </w:rPr>
      </w:sdtEndPr>
      <w:sdtContent>
        <w:p>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pPr>
            <w:pStyle w:val="30"/>
            <w:tabs>
              <w:tab w:val="right" w:leader="dot" w:pos="8306"/>
            </w:tabs>
            <w:rPr>
              <w:b/>
            </w:rPr>
          </w:pPr>
          <w:r>
            <w:rPr>
              <w:b/>
            </w:rPr>
            <w:fldChar w:fldCharType="begin"/>
          </w:r>
          <w:r>
            <w:rPr>
              <w:b/>
            </w:rPr>
            <w:instrText xml:space="preserve"> HYPERLINK \l _Toc1073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rFonts w:hint="eastAsia"/>
              <w:b/>
              <w:lang w:val="en-US" w:eastAsia="zh-CN"/>
            </w:rPr>
            <w:t>1</w:t>
          </w:r>
          <w:r>
            <w:rPr>
              <w:b/>
            </w:rPr>
            <w:fldChar w:fldCharType="end"/>
          </w:r>
        </w:p>
        <w:p>
          <w:pPr>
            <w:pStyle w:val="31"/>
            <w:tabs>
              <w:tab w:val="right" w:leader="dot" w:pos="8306"/>
            </w:tabs>
          </w:pPr>
          <w:r>
            <w:fldChar w:fldCharType="begin"/>
          </w:r>
          <w:r>
            <w:instrText xml:space="preserve"> HYPERLINK \l _Toc24172 </w:instrText>
          </w:r>
          <w:r>
            <w:fldChar w:fldCharType="separate"/>
          </w:r>
          <w:r>
            <w:rPr>
              <w:rFonts w:hint="eastAsia" w:ascii="黑体" w:hAnsi="黑体" w:eastAsia="黑体"/>
              <w:bCs w:val="0"/>
              <w:highlight w:val="none"/>
              <w:lang w:val="en-US" w:eastAsia="zh-CN"/>
            </w:rPr>
            <w:t>一、</w:t>
          </w:r>
          <w:r>
            <w:rPr>
              <w:rFonts w:hint="eastAsia" w:ascii="黑体" w:hAnsi="黑体" w:eastAsia="黑体"/>
              <w:bCs w:val="0"/>
              <w:highlight w:val="none"/>
              <w:lang w:eastAsia="zh-CN"/>
            </w:rPr>
            <w:t>主要职责</w:t>
          </w:r>
          <w:r>
            <w:tab/>
          </w:r>
          <w:r>
            <w:rPr>
              <w:rFonts w:hint="eastAsia"/>
              <w:lang w:val="en-US" w:eastAsia="zh-CN"/>
            </w:rPr>
            <w:t>1</w:t>
          </w:r>
          <w:r>
            <w:fldChar w:fldCharType="end"/>
          </w:r>
        </w:p>
        <w:p>
          <w:pPr>
            <w:pStyle w:val="31"/>
            <w:tabs>
              <w:tab w:val="right" w:leader="dot" w:pos="8306"/>
            </w:tabs>
          </w:pPr>
          <w:r>
            <w:fldChar w:fldCharType="begin"/>
          </w:r>
          <w:r>
            <w:instrText xml:space="preserve"> HYPERLINK \l _Toc14294 </w:instrText>
          </w:r>
          <w:r>
            <w:fldChar w:fldCharType="separate"/>
          </w:r>
          <w:r>
            <w:rPr>
              <w:rFonts w:hint="eastAsia" w:ascii="黑体" w:hAnsi="黑体" w:eastAsia="黑体"/>
              <w:highlight w:val="none"/>
              <w:lang w:val="en-US" w:eastAsia="zh-CN"/>
            </w:rPr>
            <w:t>二、机构设置</w:t>
          </w:r>
          <w:r>
            <w:tab/>
          </w:r>
          <w:r>
            <w:fldChar w:fldCharType="begin"/>
          </w:r>
          <w:r>
            <w:instrText xml:space="preserve"> PAGEREF _Toc14294 \h </w:instrText>
          </w:r>
          <w:r>
            <w:fldChar w:fldCharType="separate"/>
          </w:r>
          <w:r>
            <w:t>3</w:t>
          </w:r>
          <w:r>
            <w:fldChar w:fldCharType="end"/>
          </w:r>
          <w:r>
            <w:fldChar w:fldCharType="end"/>
          </w:r>
        </w:p>
        <w:p>
          <w:pPr>
            <w:pStyle w:val="30"/>
            <w:tabs>
              <w:tab w:val="right" w:leader="dot" w:pos="8306"/>
            </w:tabs>
            <w:rPr>
              <w:b/>
            </w:rPr>
          </w:pPr>
          <w:r>
            <w:rPr>
              <w:b/>
            </w:rPr>
            <w:fldChar w:fldCharType="begin"/>
          </w:r>
          <w:r>
            <w:rPr>
              <w:b/>
            </w:rPr>
            <w:instrText xml:space="preserve"> HYPERLINK \l _Toc18738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_Toc18738 \h </w:instrText>
          </w:r>
          <w:r>
            <w:rPr>
              <w:b/>
            </w:rPr>
            <w:fldChar w:fldCharType="separate"/>
          </w:r>
          <w:r>
            <w:rPr>
              <w:b/>
            </w:rPr>
            <w:t>4</w:t>
          </w:r>
          <w:r>
            <w:rPr>
              <w:b/>
            </w:rPr>
            <w:fldChar w:fldCharType="end"/>
          </w:r>
          <w:r>
            <w:rPr>
              <w:b/>
            </w:rPr>
            <w:fldChar w:fldCharType="end"/>
          </w:r>
        </w:p>
        <w:p>
          <w:pPr>
            <w:pStyle w:val="31"/>
            <w:tabs>
              <w:tab w:val="right" w:leader="dot" w:pos="8306"/>
            </w:tabs>
          </w:pPr>
          <w:r>
            <w:fldChar w:fldCharType="begin"/>
          </w:r>
          <w:r>
            <w:instrText xml:space="preserve"> HYPERLINK \l _Toc31362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_Toc31362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_Toc15321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_Toc15321 \h </w:instrText>
          </w:r>
          <w:r>
            <w:fldChar w:fldCharType="separate"/>
          </w:r>
          <w:r>
            <w:t>4</w:t>
          </w:r>
          <w:r>
            <w:fldChar w:fldCharType="end"/>
          </w:r>
          <w:r>
            <w:fldChar w:fldCharType="end"/>
          </w:r>
        </w:p>
        <w:p>
          <w:pPr>
            <w:pStyle w:val="31"/>
            <w:tabs>
              <w:tab w:val="right" w:leader="dot" w:pos="8306"/>
            </w:tabs>
          </w:pPr>
          <w:r>
            <w:fldChar w:fldCharType="begin"/>
          </w:r>
          <w:r>
            <w:instrText xml:space="preserve"> HYPERLINK \l _Toc1436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_Toc1436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_Toc1256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_Toc1256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_Toc4703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_Toc4703 \h </w:instrText>
          </w:r>
          <w:r>
            <w:fldChar w:fldCharType="separate"/>
          </w:r>
          <w:r>
            <w:t>6</w:t>
          </w:r>
          <w:r>
            <w:fldChar w:fldCharType="end"/>
          </w:r>
          <w:r>
            <w:fldChar w:fldCharType="end"/>
          </w:r>
        </w:p>
        <w:p>
          <w:pPr>
            <w:pStyle w:val="31"/>
            <w:tabs>
              <w:tab w:val="right" w:leader="dot" w:pos="8306"/>
            </w:tabs>
          </w:pPr>
          <w:r>
            <w:fldChar w:fldCharType="begin"/>
          </w:r>
          <w:r>
            <w:instrText xml:space="preserve"> HYPERLINK \l _Toc9374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_Toc9374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_Toc1365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_Toc1365 \h </w:instrText>
          </w:r>
          <w:r>
            <w:fldChar w:fldCharType="separate"/>
          </w:r>
          <w:r>
            <w:t>8</w:t>
          </w:r>
          <w:r>
            <w:fldChar w:fldCharType="end"/>
          </w:r>
          <w:r>
            <w:fldChar w:fldCharType="end"/>
          </w:r>
        </w:p>
        <w:p>
          <w:pPr>
            <w:pStyle w:val="31"/>
            <w:tabs>
              <w:tab w:val="right" w:leader="dot" w:pos="8306"/>
            </w:tabs>
          </w:pPr>
          <w:r>
            <w:fldChar w:fldCharType="begin"/>
          </w:r>
          <w:r>
            <w:instrText xml:space="preserve"> HYPERLINK \l _Toc29265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_Toc29265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_Toc13546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_Toc13546 \h </w:instrText>
          </w:r>
          <w:r>
            <w:fldChar w:fldCharType="separate"/>
          </w:r>
          <w:r>
            <w:t>10</w:t>
          </w:r>
          <w:r>
            <w:fldChar w:fldCharType="end"/>
          </w:r>
          <w:r>
            <w:fldChar w:fldCharType="end"/>
          </w:r>
        </w:p>
        <w:p>
          <w:pPr>
            <w:pStyle w:val="31"/>
            <w:tabs>
              <w:tab w:val="right" w:leader="dot" w:pos="8306"/>
            </w:tabs>
          </w:pPr>
          <w:r>
            <w:fldChar w:fldCharType="begin"/>
          </w:r>
          <w:r>
            <w:instrText xml:space="preserve"> HYPERLINK \l _Toc27560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_Toc27560 \h </w:instrText>
          </w:r>
          <w:r>
            <w:fldChar w:fldCharType="separate"/>
          </w:r>
          <w:r>
            <w:t>10</w:t>
          </w:r>
          <w:r>
            <w:fldChar w:fldCharType="end"/>
          </w:r>
          <w:r>
            <w:fldChar w:fldCharType="end"/>
          </w:r>
        </w:p>
        <w:p>
          <w:pPr>
            <w:pStyle w:val="30"/>
            <w:tabs>
              <w:tab w:val="right" w:leader="dot" w:pos="8306"/>
            </w:tabs>
            <w:rPr>
              <w:b/>
            </w:rPr>
          </w:pPr>
          <w:r>
            <w:rPr>
              <w:b/>
            </w:rPr>
            <w:fldChar w:fldCharType="begin"/>
          </w:r>
          <w:r>
            <w:rPr>
              <w:b/>
            </w:rPr>
            <w:instrText xml:space="preserve"> HYPERLINK \l _Toc14915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_Toc14915 \h </w:instrText>
          </w:r>
          <w:r>
            <w:rPr>
              <w:b/>
            </w:rPr>
            <w:fldChar w:fldCharType="separate"/>
          </w:r>
          <w:r>
            <w:rPr>
              <w:b/>
            </w:rPr>
            <w:t>12</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_Toc27296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_Toc27296 \h </w:instrText>
          </w:r>
          <w:r>
            <w:rPr>
              <w:b/>
            </w:rPr>
            <w:fldChar w:fldCharType="separate"/>
          </w:r>
          <w:r>
            <w:rPr>
              <w:b/>
            </w:rPr>
            <w:t>14</w:t>
          </w:r>
          <w:r>
            <w:rPr>
              <w:b/>
            </w:rPr>
            <w:fldChar w:fldCharType="end"/>
          </w:r>
          <w:r>
            <w:rPr>
              <w:b/>
            </w:rPr>
            <w:fldChar w:fldCharType="end"/>
          </w:r>
        </w:p>
        <w:p>
          <w:pPr>
            <w:pStyle w:val="30"/>
            <w:tabs>
              <w:tab w:val="right" w:leader="dot" w:pos="8306"/>
            </w:tabs>
            <w:rPr>
              <w:b/>
            </w:rPr>
          </w:pPr>
          <w:r>
            <w:rPr>
              <w:b/>
            </w:rPr>
            <w:fldChar w:fldCharType="begin"/>
          </w:r>
          <w:r>
            <w:rPr>
              <w:b/>
            </w:rPr>
            <w:instrText xml:space="preserve"> HYPERLINK \l _Toc26345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_Toc26345 \h </w:instrText>
          </w:r>
          <w:r>
            <w:rPr>
              <w:b/>
            </w:rPr>
            <w:fldChar w:fldCharType="separate"/>
          </w:r>
          <w:r>
            <w:rPr>
              <w:b/>
            </w:rPr>
            <w:t>16</w:t>
          </w:r>
          <w:r>
            <w:rPr>
              <w:b/>
            </w:rPr>
            <w:fldChar w:fldCharType="end"/>
          </w:r>
          <w:r>
            <w:rPr>
              <w:b/>
            </w:rPr>
            <w:fldChar w:fldCharType="end"/>
          </w:r>
        </w:p>
        <w:p>
          <w:pPr>
            <w:pStyle w:val="31"/>
            <w:tabs>
              <w:tab w:val="right" w:leader="dot" w:pos="8306"/>
            </w:tabs>
          </w:pPr>
          <w:r>
            <w:fldChar w:fldCharType="begin"/>
          </w:r>
          <w:r>
            <w:instrText xml:space="preserve"> HYPERLINK \l _Toc25629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_Toc25629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_Toc1992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_Toc1992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_Toc13985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_Toc13985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_Toc22904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_Toc22904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_Toc11264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_Toc11264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_Toc26540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_Toc26540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_Toc11658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_Toc11658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_Toc31038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_Toc31038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_Toc26221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_Toc26221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_Toc30062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_Toc30062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_Toc11886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_Toc11886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_Toc21586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_Toc21586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_Toc10026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_Toc10026 \h </w:instrText>
          </w:r>
          <w:r>
            <w:fldChar w:fldCharType="separate"/>
          </w:r>
          <w:r>
            <w:t>16</w:t>
          </w:r>
          <w:r>
            <w:fldChar w:fldCharType="end"/>
          </w:r>
          <w:r>
            <w:fldChar w:fldCharType="end"/>
          </w:r>
        </w:p>
        <w:p>
          <w:pPr>
            <w:pStyle w:val="5"/>
          </w:pPr>
          <w:r>
            <w:rPr>
              <w:b/>
            </w:rPr>
            <w:fldChar w:fldCharType="end"/>
          </w:r>
        </w:p>
      </w:sdtContent>
    </w:sdt>
    <w:p>
      <w:pPr>
        <w:pStyle w:val="2"/>
        <w:jc w:val="center"/>
        <w:rPr>
          <w:rStyle w:val="24"/>
          <w:rFonts w:ascii="黑体" w:hAnsi="黑体" w:eastAsia="黑体"/>
          <w:b/>
          <w:bCs w:val="0"/>
          <w:color w:val="auto"/>
          <w:highlight w:val="none"/>
        </w:rPr>
      </w:pPr>
      <w:bookmarkStart w:id="17" w:name="_Toc1073"/>
      <w:bookmarkStart w:id="18" w:name="_Toc15377196"/>
      <w:bookmarkStart w:id="19" w:name="_Toc1539659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7"/>
      <w:bookmarkEnd w:id="18"/>
      <w:bookmarkEnd w:id="19"/>
    </w:p>
    <w:p>
      <w:pPr>
        <w:widowControl/>
        <w:jc w:val="left"/>
        <w:rPr>
          <w:rFonts w:ascii="黑体" w:eastAsia="黑体"/>
          <w:color w:val="auto"/>
          <w:sz w:val="32"/>
          <w:szCs w:val="32"/>
          <w:highlight w:val="none"/>
        </w:rPr>
      </w:pPr>
    </w:p>
    <w:p>
      <w:pPr>
        <w:pStyle w:val="3"/>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25"/>
          <w:rFonts w:hint="eastAsia" w:ascii="黑体" w:hAnsi="黑体" w:eastAsia="黑体"/>
          <w:b w:val="0"/>
          <w:bCs w:val="0"/>
          <w:color w:val="auto"/>
          <w:highlight w:val="none"/>
          <w:lang w:eastAsia="zh-CN"/>
        </w:rPr>
      </w:pPr>
      <w:bookmarkStart w:id="20" w:name="_Toc24172"/>
      <w:bookmarkStart w:id="21" w:name="_Toc15377197"/>
      <w:bookmarkStart w:id="22" w:name="_Toc15396600"/>
      <w:r>
        <w:rPr>
          <w:rStyle w:val="25"/>
          <w:rFonts w:hint="eastAsia" w:ascii="黑体" w:hAnsi="黑体" w:eastAsia="黑体"/>
          <w:b w:val="0"/>
          <w:bCs w:val="0"/>
          <w:color w:val="auto"/>
          <w:highlight w:val="none"/>
          <w:lang w:val="en-US" w:eastAsia="zh-CN"/>
        </w:rPr>
        <w:t>一、</w:t>
      </w:r>
      <w:r>
        <w:rPr>
          <w:rStyle w:val="25"/>
          <w:rFonts w:hint="eastAsia" w:ascii="黑体" w:hAnsi="黑体" w:eastAsia="黑体"/>
          <w:b w:val="0"/>
          <w:bCs w:val="0"/>
          <w:color w:val="auto"/>
          <w:highlight w:val="none"/>
          <w:lang w:eastAsia="zh-CN"/>
        </w:rPr>
        <w:t>主要职责</w:t>
      </w:r>
      <w:bookmarkEnd w:id="20"/>
    </w:p>
    <w:p>
      <w:pPr>
        <w:spacing w:line="576" w:lineRule="exact"/>
        <w:ind w:firstLine="640" w:firstLineChars="200"/>
        <w:rPr>
          <w:rFonts w:hint="eastAsia" w:eastAsia="仿宋_GB2312"/>
          <w:sz w:val="32"/>
        </w:rPr>
      </w:pPr>
      <w:bookmarkStart w:id="23" w:name="_Toc14294"/>
      <w:r>
        <w:rPr>
          <w:rFonts w:hint="eastAsia" w:eastAsia="仿宋_GB2312"/>
          <w:sz w:val="32"/>
        </w:rPr>
        <w:t>（1）正确贯彻执行党和国家的教育方针、政策、法规。</w:t>
      </w:r>
    </w:p>
    <w:p>
      <w:pPr>
        <w:spacing w:line="576" w:lineRule="exact"/>
        <w:ind w:firstLine="640" w:firstLineChars="200"/>
        <w:rPr>
          <w:rFonts w:hint="eastAsia" w:eastAsia="仿宋_GB2312"/>
          <w:sz w:val="32"/>
          <w:lang w:eastAsia="zh-CN"/>
        </w:rPr>
      </w:pPr>
      <w:r>
        <w:rPr>
          <w:rFonts w:hint="eastAsia" w:eastAsia="仿宋_GB2312"/>
          <w:sz w:val="32"/>
        </w:rPr>
        <w:t>（2）维护学校的教学秩序，为学生创造良好的学习环境</w:t>
      </w:r>
      <w:r>
        <w:rPr>
          <w:rFonts w:hint="eastAsia" w:eastAsia="仿宋_GB2312"/>
          <w:sz w:val="32"/>
          <w:lang w:eastAsia="zh-CN"/>
        </w:rPr>
        <w:t>。</w:t>
      </w:r>
    </w:p>
    <w:p>
      <w:pPr>
        <w:spacing w:line="576" w:lineRule="exact"/>
        <w:ind w:firstLine="640" w:firstLineChars="200"/>
        <w:rPr>
          <w:rFonts w:hint="eastAsia" w:eastAsia="仿宋_GB2312"/>
          <w:sz w:val="32"/>
          <w:lang w:eastAsia="zh-CN"/>
        </w:rPr>
      </w:pPr>
      <w:r>
        <w:rPr>
          <w:rFonts w:hint="eastAsia" w:eastAsia="仿宋_GB2312"/>
          <w:sz w:val="32"/>
        </w:rPr>
        <w:t>（3）积极稳妥地推进教育改革，按教育规律办事，不断提高教育质量</w:t>
      </w:r>
      <w:r>
        <w:rPr>
          <w:rFonts w:hint="eastAsia" w:eastAsia="仿宋_GB2312"/>
          <w:sz w:val="32"/>
          <w:lang w:eastAsia="zh-CN"/>
        </w:rPr>
        <w:t>。</w:t>
      </w:r>
    </w:p>
    <w:p>
      <w:pPr>
        <w:spacing w:line="576" w:lineRule="exact"/>
        <w:ind w:firstLine="640" w:firstLineChars="200"/>
        <w:rPr>
          <w:rFonts w:hint="eastAsia" w:eastAsia="仿宋_GB2312"/>
          <w:sz w:val="32"/>
        </w:rPr>
      </w:pPr>
      <w:r>
        <w:rPr>
          <w:rFonts w:hint="eastAsia" w:eastAsia="仿宋_GB2312"/>
          <w:sz w:val="32"/>
        </w:rPr>
        <w:t>（4）根据学校规模，设置学校管理机构，建立健全各项规章制度和岗位责任制。</w:t>
      </w:r>
    </w:p>
    <w:p>
      <w:pPr>
        <w:spacing w:line="576" w:lineRule="exact"/>
        <w:ind w:firstLine="640" w:firstLineChars="200"/>
        <w:rPr>
          <w:rFonts w:hint="eastAsia" w:eastAsia="仿宋_GB2312"/>
          <w:sz w:val="32"/>
        </w:rPr>
      </w:pPr>
      <w:r>
        <w:rPr>
          <w:rFonts w:hint="eastAsia" w:eastAsia="仿宋_GB2312"/>
          <w:sz w:val="32"/>
        </w:rPr>
        <w:t>（5）坚持教书育人，服务育人，环境育人方针，加强对学生的思想品德教育，使学生的德智体全面发展。</w:t>
      </w:r>
    </w:p>
    <w:p>
      <w:pPr>
        <w:spacing w:line="576" w:lineRule="exact"/>
        <w:ind w:firstLine="640" w:firstLineChars="200"/>
        <w:rPr>
          <w:rFonts w:hint="eastAsia" w:eastAsia="仿宋_GB2312"/>
          <w:sz w:val="32"/>
          <w:lang w:eastAsia="zh-CN"/>
        </w:rPr>
      </w:pPr>
      <w:r>
        <w:rPr>
          <w:rFonts w:hint="eastAsia" w:eastAsia="仿宋_GB2312"/>
          <w:sz w:val="32"/>
        </w:rPr>
        <w:t>（6）抓好教师队伍建设，使每个教师都热心于教育事业</w:t>
      </w:r>
      <w:r>
        <w:rPr>
          <w:rFonts w:hint="eastAsia" w:eastAsia="仿宋_GB2312"/>
          <w:sz w:val="32"/>
          <w:lang w:eastAsia="zh-CN"/>
        </w:rPr>
        <w:t>。</w:t>
      </w:r>
    </w:p>
    <w:p>
      <w:pPr>
        <w:pStyle w:val="3"/>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eastAsia="仿宋_GB2312"/>
          <w:sz w:val="32"/>
        </w:rPr>
      </w:pPr>
      <w:r>
        <w:rPr>
          <w:rFonts w:hint="eastAsia" w:ascii="Times New Roman" w:hAnsi="Times New Roman" w:eastAsia="仿宋_GB2312" w:cs="Times New Roman"/>
          <w:b w:val="0"/>
          <w:bCs w:val="0"/>
          <w:kern w:val="2"/>
          <w:sz w:val="32"/>
          <w:szCs w:val="24"/>
          <w:lang w:val="en-US" w:eastAsia="zh-CN" w:bidi="ar-SA"/>
        </w:rPr>
        <w:t>（7）做好安全防范，保证学生的人身安全。</w:t>
      </w:r>
    </w:p>
    <w:p>
      <w:pPr>
        <w:pStyle w:val="3"/>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bookmarkEnd w:id="23"/>
    </w:p>
    <w:p>
      <w:pPr>
        <w:pageBreakBefore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sz w:val="32"/>
          <w:szCs w:val="32"/>
        </w:rPr>
      </w:pPr>
      <w:r>
        <w:rPr>
          <w:rFonts w:hint="eastAsia" w:eastAsia="仿宋_GB2312"/>
          <w:sz w:val="32"/>
          <w:lang w:val="en-US" w:eastAsia="zh-CN"/>
        </w:rPr>
        <w:t>锦华</w:t>
      </w:r>
      <w:r>
        <w:rPr>
          <w:rFonts w:hint="eastAsia" w:eastAsia="仿宋_GB2312"/>
          <w:sz w:val="32"/>
        </w:rPr>
        <w:t>幼儿园</w:t>
      </w:r>
      <w:r>
        <w:rPr>
          <w:rFonts w:hint="eastAsia" w:ascii="仿宋" w:hAnsi="仿宋" w:eastAsia="仿宋"/>
          <w:sz w:val="32"/>
          <w:szCs w:val="32"/>
        </w:rPr>
        <w:t>是区教育体育局下属二级单位，本单位无下属单位。</w:t>
      </w:r>
    </w:p>
    <w:p>
      <w:pPr>
        <w:pStyle w:val="5"/>
      </w:pPr>
    </w:p>
    <w:bookmarkEnd w:id="21"/>
    <w:bookmarkEnd w:id="22"/>
    <w:p>
      <w:pPr>
        <w:pStyle w:val="2"/>
        <w:ind w:right="440"/>
        <w:jc w:val="center"/>
        <w:rPr>
          <w:rStyle w:val="24"/>
          <w:rFonts w:ascii="黑体" w:hAnsi="黑体" w:eastAsia="黑体"/>
          <w:b w:val="0"/>
          <w:bCs/>
          <w:color w:val="auto"/>
          <w:highlight w:val="none"/>
        </w:rPr>
      </w:pPr>
      <w:bookmarkStart w:id="24" w:name="_Toc15377204"/>
      <w:bookmarkStart w:id="25" w:name="_Toc15396602"/>
      <w:bookmarkStart w:id="26" w:name="_Toc18738"/>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4"/>
      <w:bookmarkEnd w:id="25"/>
      <w:bookmarkEnd w:id="26"/>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5396603"/>
      <w:bookmarkStart w:id="28" w:name="_Toc31362"/>
      <w:bookmarkStart w:id="2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7"/>
      <w:bookmarkEnd w:id="28"/>
      <w:bookmarkEnd w:id="2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_GB2312" w:hAnsi="仿宋_GB2312" w:eastAsia="仿宋_GB2312"/>
          <w:color w:val="000000"/>
          <w:kern w:val="2"/>
          <w:sz w:val="32"/>
          <w:szCs w:val="24"/>
          <w:lang w:val="zh-CN"/>
        </w:rPr>
        <w:t>2023年度收、支总计653.33万元。与2022年相比，收、支总计各</w:t>
      </w:r>
      <w:r>
        <w:rPr>
          <w:rFonts w:hint="eastAsia" w:ascii="仿宋_GB2312" w:hAnsi="仿宋_GB2312" w:eastAsia="仿宋_GB2312"/>
          <w:color w:val="000000"/>
          <w:kern w:val="2"/>
          <w:sz w:val="32"/>
          <w:szCs w:val="24"/>
          <w:lang w:val="en-US" w:eastAsia="zh-CN"/>
        </w:rPr>
        <w:t>减少141.92</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下降17.85</w:t>
      </w:r>
      <w:r>
        <w:rPr>
          <w:rFonts w:hint="eastAsia" w:ascii="仿宋_GB2312" w:hAnsi="仿宋_GB2312" w:eastAsia="仿宋_GB2312"/>
          <w:color w:val="000000"/>
          <w:kern w:val="2"/>
          <w:sz w:val="32"/>
          <w:szCs w:val="24"/>
          <w:lang w:val="zh-CN"/>
        </w:rPr>
        <w:t>%。</w:t>
      </w:r>
      <w:r>
        <w:rPr>
          <w:rFonts w:hint="eastAsia" w:ascii="仿宋" w:hAnsi="仿宋" w:eastAsia="仿宋"/>
          <w:color w:val="auto"/>
          <w:sz w:val="32"/>
          <w:szCs w:val="32"/>
          <w:highlight w:val="none"/>
        </w:rPr>
        <w:t>主要变动原因</w:t>
      </w:r>
      <w:r>
        <w:rPr>
          <w:rFonts w:hint="eastAsia" w:ascii="仿宋_GB2312" w:hAnsi="仿宋_GB2312" w:eastAsia="仿宋_GB2312"/>
          <w:color w:val="000000"/>
          <w:kern w:val="2"/>
          <w:sz w:val="32"/>
          <w:szCs w:val="24"/>
          <w:lang w:val="en-US" w:eastAsia="zh-CN"/>
        </w:rPr>
        <w:t>在编教师人数减少，收支相应减少</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5"/>
        <w:jc w:val="center"/>
        <w:rPr>
          <w:rFonts w:hint="eastAsia" w:ascii="仿宋_GB2312" w:eastAsia="仿宋_GB2312"/>
          <w:color w:val="auto"/>
          <w:sz w:val="32"/>
          <w:szCs w:val="32"/>
          <w:highlight w:val="none"/>
          <w:lang w:eastAsia="zh-CN"/>
        </w:rPr>
      </w:pP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0" w:name="_Toc15377206"/>
      <w:bookmarkStart w:id="31" w:name="_Toc15321"/>
      <w:bookmarkStart w:id="32"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30"/>
      <w:bookmarkEnd w:id="31"/>
      <w:bookmarkEnd w:id="32"/>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2023年本年收入合计619.67万元，其中：一般公共预算财政拨款收入572.21万元，占</w:t>
      </w:r>
      <w:r>
        <w:rPr>
          <w:rFonts w:hint="eastAsia" w:ascii="仿宋_GB2312" w:hAnsi="仿宋_GB2312" w:eastAsia="仿宋_GB2312"/>
          <w:color w:val="000000"/>
          <w:kern w:val="2"/>
          <w:sz w:val="32"/>
          <w:szCs w:val="24"/>
          <w:lang w:val="en-US" w:eastAsia="zh-CN"/>
        </w:rPr>
        <w:t>92.34</w:t>
      </w:r>
      <w:r>
        <w:rPr>
          <w:rFonts w:hint="eastAsia" w:ascii="仿宋_GB2312" w:hAnsi="仿宋_GB2312" w:eastAsia="仿宋_GB2312"/>
          <w:color w:val="000000"/>
          <w:kern w:val="2"/>
          <w:sz w:val="32"/>
          <w:szCs w:val="24"/>
          <w:lang w:val="zh-CN"/>
        </w:rPr>
        <w:t>%；其他收入47.46万元，占</w:t>
      </w:r>
      <w:r>
        <w:rPr>
          <w:rFonts w:hint="eastAsia" w:ascii="仿宋_GB2312" w:hAnsi="仿宋_GB2312" w:eastAsia="仿宋_GB2312"/>
          <w:color w:val="000000"/>
          <w:kern w:val="2"/>
          <w:sz w:val="32"/>
          <w:szCs w:val="24"/>
          <w:lang w:val="en-US" w:eastAsia="zh-CN"/>
        </w:rPr>
        <w:t>7.66</w:t>
      </w:r>
      <w:r>
        <w:rPr>
          <w:rFonts w:hint="eastAsia" w:ascii="仿宋_GB2312" w:hAnsi="仿宋_GB2312" w:eastAsia="仿宋_GB2312"/>
          <w:color w:val="000000"/>
          <w:kern w:val="2"/>
          <w:sz w:val="32"/>
          <w:szCs w:val="24"/>
          <w:lang w:val="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5"/>
        <w:jc w:val="center"/>
        <w:rPr>
          <w:rFonts w:hint="eastAsia"/>
          <w:lang w:eastAsia="zh-CN"/>
        </w:rPr>
      </w:pPr>
      <w:r>
        <w:drawing>
          <wp:inline distT="0" distB="0" distL="114300" distR="114300">
            <wp:extent cx="4248150" cy="2562225"/>
            <wp:effectExtent l="4445" t="4445" r="14605" b="5080"/>
            <wp:docPr id="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3" w:name="_Toc15377207"/>
      <w:bookmarkStart w:id="34" w:name="_Toc15396605"/>
      <w:bookmarkStart w:id="35" w:name="_Toc1436"/>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3"/>
      <w:bookmarkEnd w:id="34"/>
      <w:bookmarkEnd w:id="35"/>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2023年本年支出合计626.7</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万元，其中：基本支出426.36万元，占6</w:t>
      </w:r>
      <w:r>
        <w:rPr>
          <w:rFonts w:hint="eastAsia" w:ascii="仿宋_GB2312" w:hAnsi="仿宋_GB2312" w:eastAsia="仿宋_GB2312"/>
          <w:color w:val="000000"/>
          <w:kern w:val="2"/>
          <w:sz w:val="32"/>
          <w:szCs w:val="24"/>
          <w:lang w:val="en-US" w:eastAsia="zh-CN"/>
        </w:rPr>
        <w:t>8.03</w:t>
      </w:r>
      <w:r>
        <w:rPr>
          <w:rFonts w:hint="eastAsia" w:ascii="仿宋_GB2312" w:hAnsi="仿宋_GB2312" w:eastAsia="仿宋_GB2312"/>
          <w:color w:val="000000"/>
          <w:kern w:val="2"/>
          <w:sz w:val="32"/>
          <w:szCs w:val="24"/>
          <w:lang w:val="zh-CN"/>
        </w:rPr>
        <w:t>%；项目支出2</w:t>
      </w:r>
      <w:r>
        <w:rPr>
          <w:rFonts w:hint="eastAsia" w:ascii="仿宋_GB2312" w:hAnsi="仿宋_GB2312" w:eastAsia="仿宋_GB2312"/>
          <w:color w:val="000000"/>
          <w:kern w:val="2"/>
          <w:sz w:val="32"/>
          <w:szCs w:val="24"/>
          <w:lang w:val="en-US" w:eastAsia="zh-CN"/>
        </w:rPr>
        <w:t>00.34</w:t>
      </w:r>
      <w:r>
        <w:rPr>
          <w:rFonts w:hint="eastAsia" w:ascii="仿宋_GB2312" w:hAnsi="仿宋_GB2312" w:eastAsia="仿宋_GB2312"/>
          <w:color w:val="000000"/>
          <w:kern w:val="2"/>
          <w:sz w:val="32"/>
          <w:szCs w:val="24"/>
          <w:lang w:val="zh-CN"/>
        </w:rPr>
        <w:t>万元，占3</w:t>
      </w:r>
      <w:r>
        <w:rPr>
          <w:rFonts w:hint="eastAsia" w:ascii="仿宋_GB2312" w:hAnsi="仿宋_GB2312" w:eastAsia="仿宋_GB2312"/>
          <w:color w:val="000000"/>
          <w:kern w:val="2"/>
          <w:sz w:val="32"/>
          <w:szCs w:val="24"/>
          <w:lang w:val="en-US" w:eastAsia="zh-CN"/>
        </w:rPr>
        <w:t>1.97</w:t>
      </w:r>
      <w:r>
        <w:rPr>
          <w:rFonts w:hint="eastAsia" w:ascii="仿宋_GB2312" w:hAnsi="仿宋_GB2312" w:eastAsia="仿宋_GB2312"/>
          <w:color w:val="000000"/>
          <w:kern w:val="2"/>
          <w:sz w:val="32"/>
          <w:szCs w:val="24"/>
          <w:lang w:val="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5"/>
        <w:jc w:val="center"/>
        <w:rPr>
          <w:rFonts w:hint="eastAsia" w:ascii="仿宋_GB2312" w:eastAsia="仿宋_GB2312"/>
          <w:color w:val="auto"/>
          <w:sz w:val="32"/>
          <w:szCs w:val="32"/>
          <w:highlight w:val="none"/>
          <w:lang w:eastAsia="zh-CN"/>
        </w:rPr>
      </w:pPr>
      <w:r>
        <w:drawing>
          <wp:inline distT="0" distB="0" distL="114300" distR="114300">
            <wp:extent cx="4248150" cy="2496820"/>
            <wp:effectExtent l="4445" t="4445" r="14605" b="13335"/>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36" w:name="_Toc15377208"/>
      <w:bookmarkStart w:id="37" w:name="_Toc15396606"/>
      <w:bookmarkStart w:id="38" w:name="_Toc125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6"/>
      <w:bookmarkEnd w:id="37"/>
      <w:bookmarkEnd w:id="38"/>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2023年财政拨款收、支总计572.21万元。与2022年相比，财政拨款收、支总计各</w:t>
      </w:r>
      <w:r>
        <w:rPr>
          <w:rFonts w:hint="eastAsia" w:ascii="仿宋_GB2312" w:hAnsi="仿宋_GB2312" w:eastAsia="仿宋_GB2312"/>
          <w:color w:val="000000"/>
          <w:kern w:val="2"/>
          <w:sz w:val="32"/>
          <w:szCs w:val="24"/>
          <w:lang w:val="en-US" w:eastAsia="zh-CN"/>
        </w:rPr>
        <w:t>减少181.25</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下降24.06</w:t>
      </w:r>
      <w:r>
        <w:rPr>
          <w:rFonts w:hint="eastAsia" w:ascii="仿宋_GB2312" w:hAnsi="仿宋_GB2312" w:eastAsia="仿宋_GB2312"/>
          <w:color w:val="000000"/>
          <w:kern w:val="2"/>
          <w:sz w:val="32"/>
          <w:szCs w:val="24"/>
          <w:lang w:val="zh-CN"/>
        </w:rPr>
        <w:t>%。主要变动原因是</w:t>
      </w:r>
      <w:r>
        <w:rPr>
          <w:rFonts w:hint="eastAsia" w:ascii="仿宋_GB2312" w:hAnsi="仿宋_GB2312" w:eastAsia="仿宋_GB2312"/>
          <w:color w:val="000000"/>
          <w:kern w:val="2"/>
          <w:sz w:val="32"/>
          <w:szCs w:val="24"/>
          <w:lang w:val="en-US" w:eastAsia="zh-CN"/>
        </w:rPr>
        <w:t>在编教师人数减少，收支相应减少</w:t>
      </w:r>
      <w:r>
        <w:rPr>
          <w:rFonts w:hint="eastAsia" w:ascii="仿宋_GB2312" w:hAnsi="仿宋_GB2312" w:eastAsia="仿宋_GB2312"/>
          <w:color w:val="000000"/>
          <w:kern w:val="2"/>
          <w:sz w:val="32"/>
          <w:szCs w:val="24"/>
          <w:lang w:val="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5"/>
      </w:pPr>
      <w:r>
        <w:drawing>
          <wp:inline distT="0" distB="0" distL="114300" distR="114300">
            <wp:extent cx="4572000" cy="2447925"/>
            <wp:effectExtent l="4445" t="4445" r="14605" b="5080"/>
            <wp:docPr id="55"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jc w:val="center"/>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9" w:name="_Toc4703"/>
      <w:bookmarkStart w:id="40" w:name="_Toc15396607"/>
      <w:bookmarkStart w:id="4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2023年一般公共预算财政拨款支出572.21万元，占本年支出合计的</w:t>
      </w:r>
      <w:r>
        <w:rPr>
          <w:rFonts w:hint="eastAsia" w:ascii="仿宋_GB2312" w:hAnsi="仿宋_GB2312" w:eastAsia="仿宋_GB2312"/>
          <w:color w:val="000000"/>
          <w:kern w:val="2"/>
          <w:sz w:val="32"/>
          <w:szCs w:val="24"/>
          <w:lang w:val="en-US" w:eastAsia="zh-CN"/>
        </w:rPr>
        <w:t>91.31</w:t>
      </w:r>
      <w:r>
        <w:rPr>
          <w:rFonts w:hint="eastAsia" w:ascii="仿宋_GB2312" w:hAnsi="仿宋_GB2312" w:eastAsia="仿宋_GB2312"/>
          <w:color w:val="000000"/>
          <w:kern w:val="2"/>
          <w:sz w:val="32"/>
          <w:szCs w:val="24"/>
          <w:lang w:val="zh-CN"/>
        </w:rPr>
        <w:t>%。与2022年相比，一般公共预算财政拨款支出</w:t>
      </w:r>
      <w:r>
        <w:rPr>
          <w:rFonts w:hint="eastAsia" w:ascii="仿宋_GB2312" w:hAnsi="仿宋_GB2312" w:eastAsia="仿宋_GB2312"/>
          <w:color w:val="000000"/>
          <w:kern w:val="2"/>
          <w:sz w:val="32"/>
          <w:szCs w:val="24"/>
          <w:lang w:val="en-US" w:eastAsia="zh-CN"/>
        </w:rPr>
        <w:t>减少181.25</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000000"/>
          <w:kern w:val="2"/>
          <w:sz w:val="32"/>
          <w:szCs w:val="24"/>
          <w:lang w:val="en-US" w:eastAsia="zh-CN"/>
        </w:rPr>
        <w:t>下降24.06</w:t>
      </w:r>
      <w:r>
        <w:rPr>
          <w:rFonts w:hint="eastAsia" w:ascii="仿宋_GB2312" w:hAnsi="仿宋_GB2312" w:eastAsia="仿宋_GB2312"/>
          <w:color w:val="000000"/>
          <w:kern w:val="2"/>
          <w:sz w:val="32"/>
          <w:szCs w:val="24"/>
          <w:lang w:val="zh-CN"/>
        </w:rPr>
        <w:t>%。主要变动原因</w:t>
      </w:r>
      <w:r>
        <w:rPr>
          <w:rFonts w:hint="eastAsia" w:ascii="仿宋_GB2312" w:hAnsi="仿宋_GB2312" w:eastAsia="仿宋_GB2312"/>
          <w:color w:val="000000"/>
          <w:kern w:val="2"/>
          <w:sz w:val="32"/>
          <w:szCs w:val="24"/>
          <w:lang w:val="en-US" w:eastAsia="zh-CN"/>
        </w:rPr>
        <w:t>在编教师人数减少，支出相应减少</w:t>
      </w:r>
      <w:r>
        <w:rPr>
          <w:rFonts w:hint="eastAsia" w:ascii="仿宋_GB2312" w:hAnsi="仿宋_GB2312" w:eastAsia="仿宋_GB2312"/>
          <w:color w:val="000000"/>
          <w:kern w:val="2"/>
          <w:sz w:val="32"/>
          <w:szCs w:val="24"/>
          <w:lang w:val="zh-CN"/>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5"/>
        <w:jc w:val="center"/>
        <w:rPr>
          <w:rFonts w:hint="eastAsia" w:ascii="仿宋" w:hAnsi="仿宋" w:eastAsia="仿宋"/>
          <w:color w:val="auto"/>
          <w:sz w:val="32"/>
          <w:szCs w:val="32"/>
          <w:highlight w:val="none"/>
        </w:rPr>
      </w:pPr>
      <w:r>
        <w:drawing>
          <wp:inline distT="0" distB="0" distL="114300" distR="114300">
            <wp:extent cx="4705985" cy="2658110"/>
            <wp:effectExtent l="4445" t="5080" r="13970" b="22860"/>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2023年一般公共预算财政拨款支出572.21万元，主要用于以下方面: 教育支出479.87万元，占8</w:t>
      </w:r>
      <w:r>
        <w:rPr>
          <w:rFonts w:hint="eastAsia" w:ascii="仿宋_GB2312" w:hAnsi="仿宋_GB2312" w:eastAsia="仿宋_GB2312"/>
          <w:color w:val="000000"/>
          <w:kern w:val="2"/>
          <w:sz w:val="32"/>
          <w:szCs w:val="24"/>
          <w:lang w:val="en-US" w:eastAsia="zh-CN"/>
        </w:rPr>
        <w:t>3.86</w:t>
      </w:r>
      <w:r>
        <w:rPr>
          <w:rFonts w:hint="eastAsia" w:ascii="仿宋_GB2312" w:hAnsi="仿宋_GB2312" w:eastAsia="仿宋_GB2312"/>
          <w:color w:val="000000"/>
          <w:kern w:val="2"/>
          <w:sz w:val="32"/>
          <w:szCs w:val="24"/>
          <w:lang w:val="zh-CN"/>
        </w:rPr>
        <w:t>%；社会保障和就业支出44.63万元，占</w:t>
      </w:r>
      <w:r>
        <w:rPr>
          <w:rFonts w:hint="eastAsia" w:ascii="仿宋_GB2312" w:hAnsi="仿宋_GB2312" w:eastAsia="仿宋_GB2312"/>
          <w:color w:val="000000"/>
          <w:kern w:val="2"/>
          <w:sz w:val="32"/>
          <w:szCs w:val="24"/>
          <w:lang w:val="en-US" w:eastAsia="zh-CN"/>
        </w:rPr>
        <w:t>7.81</w:t>
      </w:r>
      <w:r>
        <w:rPr>
          <w:rFonts w:hint="eastAsia" w:ascii="仿宋_GB2312" w:hAnsi="仿宋_GB2312" w:eastAsia="仿宋_GB2312"/>
          <w:color w:val="000000"/>
          <w:kern w:val="2"/>
          <w:sz w:val="32"/>
          <w:szCs w:val="24"/>
          <w:lang w:val="zh-CN"/>
        </w:rPr>
        <w:t>%；卫生健康支出18.45万元，占</w:t>
      </w:r>
      <w:r>
        <w:rPr>
          <w:rFonts w:hint="eastAsia" w:ascii="仿宋_GB2312" w:hAnsi="仿宋_GB2312" w:eastAsia="仿宋_GB2312"/>
          <w:color w:val="000000"/>
          <w:kern w:val="2"/>
          <w:sz w:val="32"/>
          <w:szCs w:val="24"/>
          <w:lang w:val="en-US" w:eastAsia="zh-CN"/>
        </w:rPr>
        <w:t>3.22</w:t>
      </w:r>
      <w:r>
        <w:rPr>
          <w:rFonts w:hint="eastAsia" w:ascii="仿宋_GB2312" w:hAnsi="仿宋_GB2312" w:eastAsia="仿宋_GB2312"/>
          <w:color w:val="000000"/>
          <w:kern w:val="2"/>
          <w:sz w:val="32"/>
          <w:szCs w:val="24"/>
          <w:lang w:val="zh-CN"/>
        </w:rPr>
        <w:t>%；住房保障支出29.26万元，占5.</w:t>
      </w:r>
      <w:r>
        <w:rPr>
          <w:rFonts w:hint="eastAsia" w:ascii="仿宋_GB2312" w:hAnsi="仿宋_GB2312" w:eastAsia="仿宋_GB2312"/>
          <w:color w:val="000000"/>
          <w:kern w:val="2"/>
          <w:sz w:val="32"/>
          <w:szCs w:val="24"/>
          <w:lang w:val="en-US" w:eastAsia="zh-CN"/>
        </w:rPr>
        <w:t>11</w:t>
      </w:r>
      <w:r>
        <w:rPr>
          <w:rFonts w:hint="eastAsia" w:ascii="仿宋_GB2312" w:hAnsi="仿宋_GB2312" w:eastAsia="仿宋_GB2312"/>
          <w:color w:val="000000"/>
          <w:kern w:val="2"/>
          <w:sz w:val="32"/>
          <w:szCs w:val="24"/>
          <w:lang w:val="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5"/>
        <w:jc w:val="center"/>
        <w:rPr>
          <w:rFonts w:ascii="仿宋" w:hAnsi="仿宋" w:eastAsia="仿宋"/>
          <w:color w:val="auto"/>
          <w:sz w:val="32"/>
          <w:szCs w:val="32"/>
          <w:highlight w:val="none"/>
        </w:rPr>
      </w:pPr>
      <w:r>
        <w:drawing>
          <wp:inline distT="0" distB="0" distL="114300" distR="114300">
            <wp:extent cx="4848860" cy="2857500"/>
            <wp:effectExtent l="5080" t="4445" r="22860" b="1460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3" w:firstLineChars="200"/>
        <w:outlineLvl w:val="1"/>
        <w:rPr>
          <w:rFonts w:ascii="仿宋" w:hAnsi="仿宋" w:eastAsia="仿宋"/>
          <w:color w:val="auto"/>
          <w:sz w:val="32"/>
          <w:szCs w:val="32"/>
          <w:highlight w:val="none"/>
        </w:rPr>
      </w:pPr>
      <w:bookmarkStart w:id="45" w:name="_Toc15377213"/>
      <w:bookmarkStart w:id="46" w:name="_Toc15377444"/>
      <w:bookmarkStart w:id="47" w:name="_Toc15378460"/>
      <w:bookmarkStart w:id="48" w:name="_Toc2768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572.21万元，</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5"/>
      <w:bookmarkEnd w:id="46"/>
      <w:bookmarkEnd w:id="47"/>
      <w:bookmarkEnd w:id="48"/>
    </w:p>
    <w:p>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教育（类）普通教育（款）学前教育（项）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支出决算为479.87万元，完成预算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ascii="仿宋" w:hAnsi="仿宋" w:eastAsia="仿宋"/>
          <w:bCs/>
          <w:color w:val="auto"/>
          <w:sz w:val="32"/>
          <w:szCs w:val="32"/>
          <w:highlight w:val="none"/>
        </w:rPr>
        <w:t>2.</w:t>
      </w:r>
      <w:r>
        <w:rPr>
          <w:rStyle w:val="14"/>
          <w:rFonts w:hint="eastAsia" w:ascii="仿宋" w:hAnsi="仿宋" w:eastAsia="仿宋"/>
          <w:bCs/>
          <w:color w:val="auto"/>
          <w:sz w:val="32"/>
          <w:szCs w:val="32"/>
          <w:highlight w:val="none"/>
        </w:rPr>
        <w:t>社会保障和就业支出（类）行政事业单位养老支出（款）  行政单位离退休（项）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支出决算为0.77万元，完成预算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spacing w:line="600" w:lineRule="exact"/>
        <w:ind w:firstLine="643" w:firstLineChars="200"/>
        <w:rPr>
          <w:rStyle w:val="14"/>
          <w:rFonts w:hint="eastAsia" w:ascii="仿宋" w:hAnsi="仿宋" w:eastAsia="仿宋"/>
          <w:b w:val="0"/>
          <w:bCs/>
          <w:color w:val="auto"/>
          <w:sz w:val="32"/>
          <w:szCs w:val="32"/>
          <w:highlight w:val="none"/>
        </w:rPr>
      </w:pPr>
      <w:r>
        <w:rPr>
          <w:rStyle w:val="14"/>
          <w:rFonts w:ascii="仿宋" w:hAnsi="仿宋" w:eastAsia="仿宋"/>
          <w:bCs/>
          <w:color w:val="auto"/>
          <w:sz w:val="32"/>
          <w:szCs w:val="32"/>
          <w:highlight w:val="none"/>
        </w:rPr>
        <w:t>3.</w:t>
      </w:r>
      <w:r>
        <w:rPr>
          <w:rStyle w:val="14"/>
          <w:rFonts w:hint="eastAsia" w:ascii="仿宋" w:hAnsi="仿宋" w:eastAsia="仿宋"/>
          <w:bCs/>
          <w:color w:val="auto"/>
          <w:sz w:val="32"/>
          <w:szCs w:val="32"/>
          <w:highlight w:val="none"/>
        </w:rPr>
        <w:t>社会保障和就业支出（类）行政事业单位养老支出（款）    机关事业单位基本养老保险缴费支出（项）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支出决算为35.17万元，完成预算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社会保障和就业支出（类）行政事业单位养老支出（款）    机关事业单位职业年金缴费支出（项）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支出决算为4.46万元，完成预算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spacing w:line="600" w:lineRule="exact"/>
        <w:ind w:firstLine="643" w:firstLineChars="200"/>
        <w:rPr>
          <w:rStyle w:val="14"/>
          <w:rFonts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社会保障和就业支出（类）残疾人事业（款）残疾人就业（项）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支出决算为2.8</w:t>
      </w:r>
      <w:r>
        <w:rPr>
          <w:rStyle w:val="14"/>
          <w:rFonts w:hint="eastAsia" w:ascii="仿宋" w:hAnsi="仿宋" w:eastAsia="仿宋"/>
          <w:b w:val="0"/>
          <w:bCs/>
          <w:color w:val="auto"/>
          <w:sz w:val="32"/>
          <w:szCs w:val="32"/>
          <w:highlight w:val="none"/>
          <w:lang w:val="en-US" w:eastAsia="zh-CN"/>
        </w:rPr>
        <w:t>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pStyle w:val="5"/>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社会保障和就业支出（类）其他社会保障和就业支出（款）其他社会保障和就业支出（项）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支出决算为1.42万元，完成预算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4"/>
          <w:rFonts w:hint="eastAsia" w:ascii="仿宋" w:hAnsi="仿宋" w:eastAsia="仿宋"/>
          <w:bCs/>
          <w:color w:val="auto"/>
          <w:sz w:val="32"/>
          <w:szCs w:val="32"/>
          <w:highlight w:val="none"/>
        </w:rPr>
        <w:t>（类）行政事业单位医疗（款）事业单位医疗（项）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支出决算为1.42万元，完成预算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4"/>
          <w:rFonts w:hint="eastAsia" w:ascii="仿宋" w:hAnsi="仿宋" w:eastAsia="仿宋"/>
          <w:bCs/>
          <w:color w:val="auto"/>
          <w:sz w:val="32"/>
          <w:szCs w:val="32"/>
          <w:highlight w:val="none"/>
        </w:rPr>
        <w:t>（类）行政事业单位医疗（款）公务员医疗补助（项）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支出决算为4.57万元，完成预算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4"/>
          <w:rFonts w:hint="eastAsia" w:ascii="仿宋" w:hAnsi="仿宋" w:eastAsia="仿宋"/>
          <w:bCs/>
          <w:color w:val="auto"/>
          <w:sz w:val="32"/>
          <w:szCs w:val="32"/>
          <w:highlight w:val="none"/>
        </w:rPr>
        <w:t>（类）住房改革支出（款）住房公积金（项）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支出决算为29.26万元，完成预算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，决算数等于预算数。</w:t>
      </w:r>
    </w:p>
    <w:p>
      <w:pPr>
        <w:tabs>
          <w:tab w:val="right" w:pos="8306"/>
        </w:tabs>
        <w:spacing w:line="600" w:lineRule="exact"/>
        <w:ind w:firstLine="640"/>
        <w:outlineLvl w:val="1"/>
        <w:rPr>
          <w:rStyle w:val="25"/>
          <w:color w:val="auto"/>
          <w:highlight w:val="none"/>
        </w:rPr>
      </w:pPr>
      <w:bookmarkStart w:id="49" w:name="_Toc15377214"/>
      <w:bookmarkStart w:id="50" w:name="_Toc9374"/>
      <w:bookmarkStart w:id="5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9"/>
      <w:bookmarkEnd w:id="50"/>
      <w:bookmarkEnd w:id="51"/>
      <w:r>
        <w:rPr>
          <w:rStyle w:val="25"/>
          <w:rFonts w:ascii="黑体" w:hAnsi="黑体" w:eastAsia="黑体"/>
          <w:b w:val="0"/>
          <w:color w:val="auto"/>
          <w:highlight w:val="none"/>
        </w:rPr>
        <w:tab/>
      </w:r>
    </w:p>
    <w:p>
      <w:pPr>
        <w:spacing w:beforeLines="0" w:afterLines="0" w:line="576" w:lineRule="exact"/>
        <w:ind w:firstLine="640"/>
        <w:jc w:val="both"/>
        <w:rPr>
          <w:rFonts w:hint="eastAsia" w:ascii="仿宋_GB2312" w:hAnsi="仿宋_GB2312" w:eastAsia="仿宋_GB2312"/>
          <w:color w:val="000000"/>
          <w:kern w:val="2"/>
          <w:sz w:val="32"/>
          <w:szCs w:val="24"/>
          <w:lang w:val="zh-CN"/>
        </w:rPr>
      </w:pPr>
      <w:bookmarkStart w:id="52" w:name="_Toc1365"/>
      <w:bookmarkStart w:id="53" w:name="_Toc15377215"/>
      <w:bookmarkStart w:id="54" w:name="_Toc15396609"/>
      <w:r>
        <w:rPr>
          <w:rFonts w:hint="eastAsia" w:ascii="仿宋_GB2312" w:hAnsi="仿宋_GB2312" w:eastAsia="仿宋_GB2312"/>
          <w:color w:val="000000"/>
          <w:kern w:val="2"/>
          <w:sz w:val="32"/>
          <w:szCs w:val="24"/>
          <w:lang w:val="zh-CN"/>
        </w:rPr>
        <w:t>2023年一般公共预算财政拨款基本支出425.33万元，其中：</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en-US" w:eastAsia="zh-CN"/>
        </w:rPr>
        <w:t>389.33</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基本工资、津贴补贴、绩效工资、机关事业单位基本养老保险缴费、</w:t>
      </w:r>
      <w:r>
        <w:rPr>
          <w:rFonts w:hint="eastAsia" w:ascii="仿宋" w:hAnsi="仿宋" w:eastAsia="仿宋"/>
          <w:color w:val="auto"/>
          <w:kern w:val="2"/>
          <w:sz w:val="32"/>
          <w:szCs w:val="24"/>
          <w:lang w:val="en-US" w:eastAsia="zh-CN"/>
        </w:rPr>
        <w:t>职业年金缴费、</w:t>
      </w:r>
      <w:r>
        <w:rPr>
          <w:rFonts w:hint="eastAsia" w:ascii="仿宋" w:hAnsi="仿宋" w:eastAsia="仿宋"/>
          <w:color w:val="auto"/>
          <w:kern w:val="2"/>
          <w:sz w:val="32"/>
          <w:szCs w:val="24"/>
          <w:lang w:val="en-US"/>
        </w:rPr>
        <w:t>职工基本医疗保险缴费</w:t>
      </w:r>
      <w:r>
        <w:rPr>
          <w:rFonts w:hint="eastAsia" w:ascii="仿宋" w:hAnsi="仿宋" w:eastAsia="仿宋"/>
          <w:color w:val="auto"/>
          <w:kern w:val="2"/>
          <w:sz w:val="32"/>
          <w:szCs w:val="24"/>
          <w:lang w:val="en-US" w:eastAsia="zh-CN"/>
        </w:rPr>
        <w:t>、公务员医疗补助缴费、</w:t>
      </w:r>
      <w:r>
        <w:rPr>
          <w:rFonts w:hint="eastAsia" w:ascii="仿宋" w:hAnsi="仿宋" w:eastAsia="仿宋"/>
          <w:color w:val="auto"/>
          <w:kern w:val="2"/>
          <w:sz w:val="32"/>
          <w:szCs w:val="24"/>
          <w:lang w:val="en-US"/>
        </w:rPr>
        <w:t>其他社会保障缴费、住房公积金、其他工资福利支出、其他对个人和家庭的补助支出等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en-US" w:eastAsia="zh-CN"/>
        </w:rPr>
        <w:t>36.00</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办公费、印刷费、水费、电费、邮电费、差旅费、维修（护）费、</w:t>
      </w:r>
      <w:r>
        <w:rPr>
          <w:rFonts w:hint="eastAsia" w:ascii="仿宋" w:hAnsi="仿宋" w:eastAsia="仿宋"/>
          <w:color w:val="auto"/>
          <w:kern w:val="2"/>
          <w:sz w:val="32"/>
          <w:szCs w:val="24"/>
          <w:lang w:val="en-US" w:eastAsia="zh-CN"/>
        </w:rPr>
        <w:t>专用材料费</w:t>
      </w:r>
      <w:r>
        <w:rPr>
          <w:rFonts w:hint="eastAsia" w:ascii="仿宋" w:hAnsi="仿宋" w:eastAsia="仿宋"/>
          <w:color w:val="auto"/>
          <w:kern w:val="2"/>
          <w:sz w:val="32"/>
          <w:szCs w:val="24"/>
          <w:lang w:val="en-US"/>
        </w:rPr>
        <w:t>、培训费、劳务费、福利费、其他商品和服务支出</w:t>
      </w:r>
      <w:r>
        <w:rPr>
          <w:rFonts w:hint="eastAsia" w:ascii="仿宋_GB2312" w:hAnsi="仿宋_GB2312" w:eastAsia="仿宋_GB2312"/>
          <w:color w:val="000000"/>
          <w:kern w:val="2"/>
          <w:sz w:val="32"/>
          <w:szCs w:val="24"/>
          <w:lang w:val="zh-CN"/>
        </w:rPr>
        <w:t>。</w:t>
      </w:r>
    </w:p>
    <w:p>
      <w:pPr>
        <w:spacing w:line="600" w:lineRule="exact"/>
        <w:ind w:firstLine="640"/>
        <w:outlineLvl w:val="1"/>
        <w:rPr>
          <w:rStyle w:val="25"/>
          <w:rFonts w:ascii="黑体" w:hAnsi="黑体" w:eastAsia="黑体"/>
          <w:b w:val="0"/>
          <w:color w:val="auto"/>
          <w:highlight w:val="none"/>
        </w:rPr>
      </w:pPr>
      <w:r>
        <w:rPr>
          <w:rFonts w:hint="eastAsia" w:ascii="黑体" w:eastAsia="黑体"/>
          <w:color w:val="auto"/>
          <w:sz w:val="32"/>
          <w:szCs w:val="32"/>
          <w:highlight w:val="none"/>
        </w:rPr>
        <w:t>七、</w:t>
      </w:r>
      <w:r>
        <w:rPr>
          <w:rStyle w:val="25"/>
          <w:rFonts w:hint="eastAsia" w:ascii="黑体" w:hAnsi="黑体" w:eastAsia="黑体"/>
          <w:b w:val="0"/>
          <w:color w:val="auto"/>
          <w:highlight w:val="none"/>
        </w:rPr>
        <w:t>财政拨款</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ascii="仿宋" w:hAnsi="仿宋" w:eastAsia="仿宋"/>
          <w:color w:val="auto"/>
          <w:sz w:val="32"/>
          <w:szCs w:val="32"/>
          <w:highlight w:val="none"/>
        </w:rPr>
      </w:pPr>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经费财政拨款支出决算为0万元，完成预算0%；较上年增加0万元，增长</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w:t>
      </w:r>
      <w:r>
        <w:rPr>
          <w:rFonts w:hint="eastAsia" w:ascii="仿宋" w:hAnsi="仿宋" w:eastAsia="仿宋"/>
          <w:color w:val="auto"/>
          <w:sz w:val="32"/>
          <w:szCs w:val="32"/>
          <w:highlight w:val="none"/>
        </w:rPr>
        <w:t>决算数与预算数持平决算数与预算数持平</w:t>
      </w:r>
      <w:r>
        <w:rPr>
          <w:rFonts w:hint="eastAsia" w:ascii="仿宋" w:hAnsi="仿宋" w:eastAsia="仿宋"/>
          <w:color w:val="000000"/>
          <w:sz w:val="32"/>
          <w:szCs w:val="32"/>
        </w:rPr>
        <w:t>的主要原因是</w:t>
      </w:r>
      <w:r>
        <w:rPr>
          <w:rFonts w:hint="eastAsia" w:ascii="仿宋" w:hAnsi="仿宋" w:eastAsia="仿宋"/>
          <w:color w:val="000000"/>
          <w:sz w:val="32"/>
          <w:szCs w:val="32"/>
          <w:lang w:val="en-US" w:eastAsia="zh-CN"/>
        </w:rPr>
        <w:t>两</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均</w:t>
      </w:r>
      <w:r>
        <w:rPr>
          <w:rFonts w:hint="eastAsia" w:ascii="仿宋" w:hAnsi="仿宋" w:eastAsia="仿宋"/>
          <w:color w:val="000000"/>
          <w:sz w:val="32"/>
          <w:szCs w:val="32"/>
        </w:rPr>
        <w:t>未预算“三公”经费。</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2023年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经费财政拨款支出决算中，因公出国（境）费支出决算0万元，占0%；公务用车购置及运行维护费支出决算0万元，占0%；公务接待费支出决算0万元，占0%。具体情况如下：</w:t>
      </w:r>
    </w:p>
    <w:p>
      <w:pPr>
        <w:spacing w:line="560" w:lineRule="exact"/>
        <w:ind w:firstLine="643" w:firstLineChars="200"/>
        <w:rPr>
          <w:rFonts w:hint="eastAsia" w:ascii="仿宋_GB2312" w:eastAsia="仿宋_GB2312"/>
          <w:color w:val="000000"/>
          <w:sz w:val="32"/>
          <w:szCs w:val="32"/>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支出0万元，完成预算0%。全年安排因公出国（境）团组0个，出国（境）0人。因公出国（境）支出决算比2022年增加0万元，增长0%。</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两年均未预算安排因公出国（境）经费。</w:t>
      </w:r>
    </w:p>
    <w:p>
      <w:pPr>
        <w:spacing w:line="600" w:lineRule="exact"/>
        <w:ind w:firstLine="640"/>
        <w:rPr>
          <w:rFonts w:ascii="仿宋_GB2312" w:eastAsia="仿宋_GB2312"/>
          <w:b/>
          <w:color w:val="auto"/>
          <w:sz w:val="32"/>
          <w:szCs w:val="32"/>
          <w:highlight w:val="none"/>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支出0万元，完成预算0%。公务用车购置及运行维护费支出决算比2022年增加0万元，增长0%。</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000000"/>
          <w:sz w:val="32"/>
          <w:szCs w:val="32"/>
        </w:rPr>
        <w:t>学校无公务用车。</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color w:val="000000"/>
          <w:sz w:val="32"/>
          <w:szCs w:val="32"/>
        </w:rPr>
        <w:t>主要原因是两年都未预算公务接待费。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25"/>
          <w:rFonts w:ascii="黑体" w:hAnsi="黑体" w:eastAsia="黑体"/>
          <w:color w:val="auto"/>
          <w:highlight w:val="none"/>
        </w:rPr>
      </w:pPr>
      <w:bookmarkStart w:id="57" w:name="_Toc29265"/>
      <w:bookmarkStart w:id="58" w:name="_Toc15396610"/>
      <w:bookmarkStart w:id="59" w:name="_Toc1537721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ascii="黑体" w:hAnsi="黑体" w:eastAsia="黑体"/>
          <w:b w:val="0"/>
          <w:color w:val="auto"/>
          <w:highlight w:val="none"/>
        </w:rPr>
      </w:pPr>
      <w:bookmarkStart w:id="60" w:name="_Toc15396611"/>
      <w:bookmarkStart w:id="61" w:name="_Toc13546"/>
      <w:bookmarkStart w:id="62" w:name="_Toc15377219"/>
      <w:r>
        <w:rPr>
          <w:rStyle w:val="25"/>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3" w:name="_Toc27560"/>
      <w:bookmarkStart w:id="64" w:name="_Toc15396612"/>
      <w:bookmarkStart w:id="65" w:name="_Toc15377221"/>
      <w:r>
        <w:rPr>
          <w:rStyle w:val="25"/>
          <w:rFonts w:hint="eastAsia" w:ascii="黑体" w:hAnsi="黑体" w:eastAsia="黑体"/>
          <w:b w:val="0"/>
          <w:color w:val="auto"/>
          <w:highlight w:val="none"/>
        </w:rPr>
        <w:t>其他重要事项的情况说明</w:t>
      </w:r>
      <w:bookmarkEnd w:id="63"/>
      <w:bookmarkEnd w:id="64"/>
      <w:bookmarkEnd w:id="65"/>
    </w:p>
    <w:p>
      <w:pPr>
        <w:spacing w:line="600" w:lineRule="exact"/>
        <w:ind w:firstLine="643"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rPr>
          <w:rFonts w:ascii="仿宋" w:hAnsi="仿宋" w:eastAsia="仿宋"/>
          <w:b/>
          <w:color w:val="auto"/>
          <w:sz w:val="32"/>
          <w:szCs w:val="32"/>
          <w:highlight w:val="none"/>
        </w:rPr>
      </w:pPr>
      <w:r>
        <w:rPr>
          <w:rFonts w:hint="eastAsia" w:ascii="仿宋_GB2312" w:hAnsi="仿宋_GB2312" w:eastAsia="仿宋_GB2312"/>
          <w:color w:val="000000"/>
          <w:kern w:val="2"/>
          <w:sz w:val="32"/>
          <w:szCs w:val="24"/>
          <w:lang w:val="zh-CN"/>
        </w:rPr>
        <w:t>2023年机关运行经费支出0万元，</w:t>
      </w:r>
      <w:bookmarkStart w:id="67" w:name="OLE_LINK2"/>
      <w:bookmarkStart w:id="68" w:name="OLE_LINK3"/>
      <w:bookmarkStart w:id="69" w:name="OLE_LINK5"/>
      <w:bookmarkStart w:id="70" w:name="OLE_LINK4"/>
      <w:bookmarkStart w:id="71" w:name="OLE_LINK1"/>
      <w:r>
        <w:rPr>
          <w:rFonts w:hint="eastAsia" w:ascii="仿宋_GB2312" w:eastAsia="仿宋_GB2312" w:cs="Times New Roman"/>
          <w:color w:val="auto"/>
          <w:sz w:val="32"/>
          <w:szCs w:val="32"/>
          <w:highlight w:val="none"/>
          <w:lang w:val="en-US" w:eastAsia="zh-CN"/>
        </w:rPr>
        <w:t>本单位是全额拨款事业单位，没有预算机关运行经费</w:t>
      </w:r>
      <w:bookmarkEnd w:id="67"/>
      <w:bookmarkEnd w:id="68"/>
      <w:bookmarkEnd w:id="69"/>
      <w:bookmarkEnd w:id="70"/>
      <w:bookmarkEnd w:id="71"/>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3"/>
      <w:r>
        <w:rPr>
          <w:rFonts w:hint="eastAsia" w:ascii="仿宋" w:hAnsi="仿宋" w:eastAsia="仿宋"/>
          <w:b/>
          <w:color w:val="auto"/>
          <w:sz w:val="32"/>
          <w:szCs w:val="32"/>
          <w:highlight w:val="none"/>
        </w:rPr>
        <w:t>（二）政府采购支出情况</w:t>
      </w:r>
      <w:bookmarkEnd w:id="72"/>
    </w:p>
    <w:p>
      <w:pPr>
        <w:spacing w:beforeLines="0" w:afterLines="0" w:line="576" w:lineRule="exact"/>
        <w:ind w:firstLine="640"/>
        <w:jc w:val="both"/>
        <w:rPr>
          <w:rFonts w:hint="eastAsia" w:ascii="仿宋_GB2312" w:hAnsi="仿宋_GB2312" w:eastAsia="仿宋_GB2312"/>
          <w:color w:val="000000"/>
          <w:kern w:val="2"/>
          <w:sz w:val="32"/>
          <w:szCs w:val="24"/>
          <w:lang w:val="zh-CN"/>
        </w:rPr>
      </w:pPr>
      <w:bookmarkStart w:id="73" w:name="_Toc15377224"/>
      <w:r>
        <w:rPr>
          <w:rFonts w:hint="eastAsia" w:ascii="仿宋_GB2312" w:hAnsi="仿宋_GB2312" w:eastAsia="仿宋_GB2312"/>
          <w:color w:val="000000"/>
          <w:kern w:val="2"/>
          <w:sz w:val="32"/>
          <w:szCs w:val="24"/>
          <w:lang w:val="zh-CN"/>
        </w:rPr>
        <w:t>2023年遂宁市船山区锦华幼儿园政府采购支出总额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万元，其中：政府采购货物支出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万元、政府采购工程支出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万元、政府采购服务支出0万元。主要用于</w:t>
      </w:r>
      <w:r>
        <w:rPr>
          <w:rFonts w:hint="eastAsia" w:ascii="仿宋_GB2312" w:hAnsi="仿宋_GB2312" w:eastAsia="仿宋_GB2312"/>
          <w:color w:val="000000"/>
          <w:kern w:val="2"/>
          <w:sz w:val="32"/>
          <w:szCs w:val="24"/>
          <w:highlight w:val="white"/>
          <w:lang w:val="en-US" w:eastAsia="zh-CN"/>
        </w:rPr>
        <w:t>校舍维修改造和电脑设备购置</w:t>
      </w:r>
      <w:r>
        <w:rPr>
          <w:rFonts w:hint="eastAsia" w:ascii="仿宋_GB2312" w:hAnsi="仿宋_GB2312" w:eastAsia="仿宋_GB2312"/>
          <w:color w:val="000000"/>
          <w:kern w:val="2"/>
          <w:sz w:val="32"/>
          <w:szCs w:val="24"/>
          <w:highlight w:val="white"/>
          <w:lang w:val="zh-CN"/>
        </w:rPr>
        <w:t>。</w:t>
      </w:r>
      <w:r>
        <w:rPr>
          <w:rFonts w:hint="eastAsia" w:ascii="仿宋_GB2312" w:hAnsi="仿宋_GB2312" w:eastAsia="仿宋_GB2312"/>
          <w:color w:val="000000"/>
          <w:kern w:val="2"/>
          <w:sz w:val="32"/>
          <w:szCs w:val="24"/>
          <w:lang w:val="zh-CN"/>
        </w:rPr>
        <w:t>授予中小企业合同金额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万元，占政府采购支出总额的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%，其中：授予小微企业合同金额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000000"/>
          <w:kern w:val="2"/>
          <w:sz w:val="32"/>
          <w:szCs w:val="24"/>
          <w:lang w:val="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73"/>
    </w:p>
    <w:p>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2023年12月31日，遂宁市船山区锦华幼儿园共有车辆0辆，其中：副部（省）级及以上领导用车0辆、主要领导干部用车0辆、机要通信用车0辆、应急保障用车0辆、执法执勤用车0辆、特种专业技术用车0辆、离退休干部用车0辆、其他用车0辆。单价100万元（含）以上设备0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beforeLines="0" w:afterLines="0" w:line="576" w:lineRule="exact"/>
        <w:ind w:firstLine="640"/>
        <w:rPr>
          <w:rFonts w:hint="eastAsia" w:ascii="宋体" w:hAnsi="宋体" w:eastAsia="宋体" w:cs="宋体"/>
          <w:color w:val="000000"/>
          <w:kern w:val="2"/>
          <w:sz w:val="32"/>
          <w:szCs w:val="24"/>
          <w:lang w:val="zh-CN"/>
        </w:rPr>
      </w:pPr>
      <w:r>
        <w:rPr>
          <w:rFonts w:hint="eastAsia" w:ascii="仿宋_GB2312" w:hAnsi="仿宋_GB2312" w:eastAsia="仿宋_GB2312"/>
          <w:color w:val="000000"/>
          <w:kern w:val="2"/>
          <w:sz w:val="32"/>
          <w:szCs w:val="24"/>
          <w:lang w:val="zh-CN"/>
        </w:rPr>
        <w:t>根据预算绩效管理要求，本单位在2023年度预算编制阶段，</w:t>
      </w:r>
      <w:r>
        <w:rPr>
          <w:rFonts w:hint="eastAsia" w:ascii="仿宋_GB2312" w:hAnsi="仿宋_GB2312" w:eastAsia="仿宋_GB2312"/>
          <w:color w:val="000000"/>
          <w:kern w:val="2"/>
          <w:sz w:val="32"/>
          <w:szCs w:val="24"/>
          <w:lang w:val="en-US" w:eastAsia="zh-CN"/>
        </w:rPr>
        <w:t>没有需要做</w:t>
      </w:r>
      <w:r>
        <w:rPr>
          <w:rFonts w:hint="eastAsia" w:ascii="仿宋_GB2312" w:hAnsi="仿宋_GB2312" w:eastAsia="仿宋_GB2312"/>
          <w:color w:val="000000"/>
          <w:kern w:val="2"/>
          <w:sz w:val="32"/>
          <w:szCs w:val="24"/>
          <w:lang w:val="zh-CN"/>
        </w:rPr>
        <w:t>预算事前绩效评估</w:t>
      </w:r>
      <w:r>
        <w:rPr>
          <w:rFonts w:hint="eastAsia" w:ascii="仿宋_GB2312" w:hAnsi="仿宋_GB2312" w:eastAsia="仿宋_GB2312"/>
          <w:color w:val="000000"/>
          <w:kern w:val="2"/>
          <w:sz w:val="32"/>
          <w:szCs w:val="24"/>
          <w:lang w:val="en-US" w:eastAsia="zh-CN"/>
        </w:rPr>
        <w:t>项目</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故未开展预算绩效评估，组织对人员类、运转类、特定目标等27</w:t>
      </w:r>
      <w:r>
        <w:rPr>
          <w:rFonts w:hint="eastAsia" w:ascii="仿宋_GB2312" w:hAnsi="仿宋_GB2312" w:eastAsia="仿宋_GB2312"/>
          <w:color w:val="000000"/>
          <w:kern w:val="2"/>
          <w:sz w:val="32"/>
          <w:szCs w:val="24"/>
          <w:lang w:val="zh-CN"/>
        </w:rPr>
        <w:t>个项目编制了绩效目标，预算执行过程中，选取</w:t>
      </w:r>
      <w:r>
        <w:rPr>
          <w:rFonts w:hint="eastAsia" w:ascii="仿宋_GB2312" w:hAnsi="仿宋_GB2312" w:eastAsia="仿宋_GB2312"/>
          <w:color w:val="000000"/>
          <w:kern w:val="2"/>
          <w:sz w:val="32"/>
          <w:szCs w:val="24"/>
          <w:lang w:val="en-US" w:eastAsia="zh-CN"/>
        </w:rPr>
        <w:t>了1个</w:t>
      </w:r>
      <w:r>
        <w:rPr>
          <w:rFonts w:hint="eastAsia" w:ascii="仿宋_GB2312" w:hAnsi="仿宋_GB2312" w:eastAsia="仿宋_GB2312"/>
          <w:color w:val="000000"/>
          <w:kern w:val="2"/>
          <w:sz w:val="32"/>
          <w:szCs w:val="24"/>
          <w:lang w:val="zh-CN"/>
        </w:rPr>
        <w:t>项目开展绩效监控，组织对学前教育保教费（收费）项目</w:t>
      </w:r>
      <w:r>
        <w:rPr>
          <w:rFonts w:hint="eastAsia" w:ascii="仿宋_GB2312" w:hAnsi="仿宋_GB2312" w:eastAsia="仿宋_GB2312"/>
          <w:color w:val="000000"/>
          <w:kern w:val="2"/>
          <w:sz w:val="32"/>
          <w:szCs w:val="24"/>
          <w:lang w:val="en-US" w:eastAsia="zh-CN"/>
        </w:rPr>
        <w:t>等1</w:t>
      </w:r>
      <w:r>
        <w:rPr>
          <w:rFonts w:hint="eastAsia" w:ascii="仿宋_GB2312" w:hAnsi="仿宋_GB2312" w:eastAsia="仿宋_GB2312"/>
          <w:color w:val="000000"/>
          <w:kern w:val="2"/>
          <w:sz w:val="32"/>
          <w:szCs w:val="24"/>
          <w:lang w:val="zh-CN"/>
        </w:rPr>
        <w:t>个项目开展绩效自评，绩效自评表详见</w:t>
      </w:r>
      <w:r>
        <w:rPr>
          <w:rFonts w:hint="eastAsia" w:ascii="仿宋_GB2312" w:hAnsi="仿宋_GB2312" w:eastAsia="仿宋_GB2312"/>
          <w:color w:val="000000"/>
          <w:kern w:val="2"/>
          <w:sz w:val="32"/>
          <w:szCs w:val="24"/>
          <w:lang w:val="zh-CN" w:eastAsia="zh-CN"/>
        </w:rPr>
        <w:t>第四部分</w:t>
      </w:r>
      <w:r>
        <w:rPr>
          <w:rFonts w:hint="eastAsia" w:ascii="仿宋_GB2312" w:hAnsi="仿宋_GB2312" w:eastAsia="仿宋_GB2312"/>
          <w:color w:val="000000"/>
          <w:kern w:val="2"/>
          <w:sz w:val="32"/>
          <w:szCs w:val="24"/>
          <w:lang w:val="zh-CN"/>
        </w:rPr>
        <w:t>附件。</w:t>
      </w:r>
    </w:p>
    <w:p>
      <w:pPr>
        <w:widowControl/>
        <w:jc w:val="left"/>
        <w:rPr>
          <w:rFonts w:hint="default" w:ascii="仿宋_GB2312" w:eastAsia="仿宋_GB2312"/>
          <w:b/>
          <w:color w:val="auto"/>
          <w:sz w:val="32"/>
          <w:szCs w:val="32"/>
          <w:highlight w:val="none"/>
          <w:lang w:val="en-US" w:eastAsia="zh-CN"/>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74" w:name="_Toc14915"/>
      <w:bookmarkStart w:id="75" w:name="_Toc15396613"/>
      <w:bookmarkStart w:id="76"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4"/>
      <w:bookmarkEnd w:id="75"/>
      <w:bookmarkEnd w:id="76"/>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bookmarkStart w:id="77"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spacing w:line="576" w:lineRule="exact"/>
        <w:ind w:firstLine="640" w:firstLineChars="200"/>
        <w:rPr>
          <w:rFonts w:hint="eastAsia" w:eastAsia="仿宋_GB2312"/>
          <w:sz w:val="32"/>
        </w:rPr>
      </w:pPr>
      <w:r>
        <w:rPr>
          <w:rFonts w:hint="eastAsia" w:eastAsia="仿宋_GB2312"/>
          <w:sz w:val="32"/>
          <w:lang w:val="en-US" w:eastAsia="zh-CN"/>
        </w:rPr>
        <w:t>3</w:t>
      </w:r>
      <w:r>
        <w:rPr>
          <w:rFonts w:hint="eastAsia" w:eastAsia="仿宋_GB2312"/>
          <w:sz w:val="32"/>
        </w:rPr>
        <w:t>.教育（类）普通教育（款）学前教育（项）: 指学前教育。</w:t>
      </w:r>
    </w:p>
    <w:p>
      <w:pPr>
        <w:spacing w:line="576" w:lineRule="exact"/>
        <w:ind w:firstLine="640" w:firstLineChars="200"/>
        <w:rPr>
          <w:rFonts w:hint="eastAsia" w:eastAsia="仿宋_GB2312"/>
          <w:sz w:val="32"/>
        </w:rPr>
      </w:pPr>
      <w:r>
        <w:rPr>
          <w:rFonts w:hint="eastAsia" w:eastAsia="仿宋_GB2312"/>
          <w:sz w:val="32"/>
          <w:lang w:val="en-US" w:eastAsia="zh-CN"/>
        </w:rPr>
        <w:t>4</w:t>
      </w:r>
      <w:r>
        <w:rPr>
          <w:rFonts w:hint="eastAsia" w:eastAsia="仿宋_GB2312"/>
          <w:sz w:val="32"/>
        </w:rPr>
        <w:t>.教育（类）普通教育（款）其他普通教育（项）:指其他普通教育。</w:t>
      </w:r>
    </w:p>
    <w:p>
      <w:pPr>
        <w:spacing w:line="576" w:lineRule="exact"/>
        <w:ind w:firstLine="640" w:firstLineChars="200"/>
        <w:rPr>
          <w:rFonts w:hint="eastAsia" w:eastAsia="仿宋_GB2312"/>
          <w:sz w:val="32"/>
        </w:rPr>
      </w:pPr>
      <w:r>
        <w:rPr>
          <w:rFonts w:hint="eastAsia" w:eastAsia="仿宋_GB2312"/>
          <w:sz w:val="32"/>
          <w:lang w:val="en-US" w:eastAsia="zh-CN"/>
        </w:rPr>
        <w:t>5</w:t>
      </w:r>
      <w:r>
        <w:rPr>
          <w:rFonts w:hint="eastAsia" w:eastAsia="仿宋_GB2312"/>
          <w:sz w:val="32"/>
        </w:rPr>
        <w:t>.社会保障和就业（类）行政事业单位养老（款）机关事业单位基本养老保险缴费（项）:指机关事业单位基本养老保险缴费 。</w:t>
      </w:r>
    </w:p>
    <w:p>
      <w:pPr>
        <w:spacing w:line="576" w:lineRule="exact"/>
        <w:ind w:firstLine="640" w:firstLineChars="200"/>
        <w:rPr>
          <w:rFonts w:hint="eastAsia" w:eastAsia="仿宋_GB2312"/>
          <w:sz w:val="32"/>
          <w:lang w:val="en-US" w:eastAsia="zh-CN"/>
        </w:rPr>
      </w:pPr>
      <w:r>
        <w:rPr>
          <w:rFonts w:hint="eastAsia" w:eastAsia="仿宋_GB2312"/>
          <w:sz w:val="32"/>
          <w:lang w:val="en-US" w:eastAsia="zh-CN"/>
        </w:rPr>
        <w:t>6.</w:t>
      </w:r>
      <w:r>
        <w:rPr>
          <w:rFonts w:hint="eastAsia" w:eastAsia="仿宋_GB2312"/>
          <w:sz w:val="32"/>
        </w:rPr>
        <w:t>社会保障和就业支出（类）行政事业单位养老支出（款）    机关事业单位职业年金缴费支出（项）</w:t>
      </w:r>
      <w:r>
        <w:rPr>
          <w:rStyle w:val="14"/>
          <w:rFonts w:hint="eastAsia" w:ascii="仿宋" w:hAnsi="仿宋" w:eastAsia="仿宋"/>
          <w:bCs/>
          <w:color w:val="auto"/>
          <w:sz w:val="32"/>
          <w:szCs w:val="32"/>
          <w:highlight w:val="none"/>
          <w:lang w:eastAsia="zh-CN"/>
        </w:rPr>
        <w:t>：</w:t>
      </w:r>
      <w:r>
        <w:rPr>
          <w:rFonts w:hint="eastAsia" w:eastAsia="仿宋_GB2312"/>
          <w:sz w:val="32"/>
          <w:lang w:val="en-US" w:eastAsia="zh-CN"/>
        </w:rPr>
        <w:t>指</w:t>
      </w:r>
      <w:r>
        <w:rPr>
          <w:rFonts w:hint="eastAsia" w:eastAsia="仿宋_GB2312"/>
          <w:sz w:val="32"/>
        </w:rPr>
        <w:t>机关事业单位实施养老保险制度由单位实际缴纳的职业年金支出</w:t>
      </w:r>
      <w:r>
        <w:rPr>
          <w:rFonts w:hint="eastAsia" w:eastAsia="仿宋_GB2312"/>
          <w:sz w:val="32"/>
          <w:lang w:eastAsia="zh-CN"/>
        </w:rPr>
        <w:t>。</w:t>
      </w:r>
    </w:p>
    <w:p>
      <w:pPr>
        <w:spacing w:line="576" w:lineRule="exact"/>
        <w:ind w:firstLine="640" w:firstLineChars="200"/>
        <w:rPr>
          <w:rFonts w:hint="eastAsia" w:eastAsia="仿宋_GB2312"/>
          <w:sz w:val="32"/>
        </w:rPr>
      </w:pPr>
      <w:r>
        <w:rPr>
          <w:rFonts w:hint="eastAsia" w:eastAsia="仿宋_GB2312"/>
          <w:sz w:val="32"/>
          <w:lang w:val="en-US" w:eastAsia="zh-CN"/>
        </w:rPr>
        <w:t>7</w:t>
      </w:r>
      <w:r>
        <w:rPr>
          <w:rFonts w:hint="eastAsia" w:eastAsia="仿宋_GB2312"/>
          <w:sz w:val="32"/>
        </w:rPr>
        <w:t>.社会保障和就业（类）其他社会保障和就业（款）其他社会保障和就业（项）:指其他社会保障和就业。</w:t>
      </w:r>
    </w:p>
    <w:p>
      <w:pPr>
        <w:spacing w:line="576" w:lineRule="exact"/>
        <w:ind w:firstLine="640" w:firstLineChars="200"/>
        <w:rPr>
          <w:rFonts w:hint="eastAsia" w:eastAsia="仿宋_GB2312"/>
          <w:sz w:val="32"/>
        </w:rPr>
      </w:pPr>
      <w:r>
        <w:rPr>
          <w:rFonts w:hint="eastAsia" w:eastAsia="仿宋_GB2312"/>
          <w:sz w:val="32"/>
          <w:lang w:val="en-US" w:eastAsia="zh-CN"/>
        </w:rPr>
        <w:t>8</w:t>
      </w:r>
      <w:r>
        <w:rPr>
          <w:rFonts w:hint="eastAsia" w:eastAsia="仿宋_GB2312"/>
          <w:sz w:val="32"/>
        </w:rPr>
        <w:t>.卫生健康（类）行政事业单位医疗（款）事业单位医疗（项）:指事业单位医疗。</w:t>
      </w:r>
    </w:p>
    <w:p>
      <w:pPr>
        <w:spacing w:line="576" w:lineRule="exact"/>
        <w:ind w:firstLine="640" w:firstLineChars="200"/>
        <w:rPr>
          <w:rFonts w:hint="eastAsia" w:eastAsia="仿宋_GB2312"/>
          <w:sz w:val="32"/>
        </w:rPr>
      </w:pPr>
      <w:r>
        <w:rPr>
          <w:rFonts w:hint="eastAsia" w:eastAsia="仿宋_GB2312"/>
          <w:sz w:val="32"/>
          <w:lang w:val="en-US" w:eastAsia="zh-CN"/>
        </w:rPr>
        <w:t>9</w:t>
      </w:r>
      <w:r>
        <w:rPr>
          <w:rFonts w:hint="eastAsia" w:eastAsia="仿宋_GB2312"/>
          <w:sz w:val="32"/>
        </w:rPr>
        <w:t>.卫生健康（类）行政事业单位医疗（款）公务员医疗补助（项）：指公务员医疗补助。</w:t>
      </w:r>
    </w:p>
    <w:p>
      <w:pPr>
        <w:spacing w:line="576" w:lineRule="exact"/>
        <w:ind w:firstLine="640" w:firstLineChars="200"/>
        <w:rPr>
          <w:rFonts w:hint="eastAsia" w:eastAsia="仿宋_GB2312"/>
          <w:sz w:val="32"/>
        </w:rPr>
      </w:pPr>
      <w:r>
        <w:rPr>
          <w:rFonts w:hint="eastAsia" w:eastAsia="仿宋_GB2312"/>
          <w:sz w:val="32"/>
          <w:lang w:val="en-US" w:eastAsia="zh-CN"/>
        </w:rPr>
        <w:t>10</w:t>
      </w:r>
      <w:r>
        <w:rPr>
          <w:rFonts w:hint="eastAsia" w:eastAsia="仿宋_GB2312"/>
          <w:sz w:val="32"/>
        </w:rPr>
        <w:t>.卫生健康（类）行政事业单位医疗（款）其他行政事业单位医疗（项）：指其他行政事业单位医疗。</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1</w:t>
      </w:r>
      <w:r>
        <w:rPr>
          <w:rFonts w:hint="eastAsia" w:eastAsia="仿宋_GB2312"/>
          <w:sz w:val="32"/>
        </w:rPr>
        <w:t>.住房保障（类）住房改革（款）住房公积金（项）：指住房公积金。</w:t>
      </w:r>
    </w:p>
    <w:p>
      <w:pPr>
        <w:spacing w:line="576" w:lineRule="exact"/>
        <w:ind w:firstLine="640" w:firstLineChars="200"/>
        <w:rPr>
          <w:rFonts w:hint="eastAsia" w:eastAsia="仿宋_GB2312"/>
          <w:sz w:val="32"/>
        </w:rPr>
      </w:pPr>
      <w:r>
        <w:rPr>
          <w:rFonts w:hint="eastAsia" w:eastAsia="仿宋_GB2312"/>
          <w:sz w:val="32"/>
        </w:rPr>
        <w:t>1</w:t>
      </w:r>
      <w:r>
        <w:rPr>
          <w:rFonts w:hint="eastAsia" w:eastAsia="仿宋_GB2312"/>
          <w:sz w:val="32"/>
          <w:lang w:val="en-US" w:eastAsia="zh-CN"/>
        </w:rPr>
        <w:t>2</w:t>
      </w:r>
      <w:r>
        <w:rPr>
          <w:rFonts w:hint="eastAsia" w:eastAsia="仿宋_GB2312"/>
          <w:sz w:val="32"/>
        </w:rPr>
        <w:t>.基本支出：指为保障机构正常运转、完成日常工作任务而发生的人员支出和公用支出。</w:t>
      </w:r>
    </w:p>
    <w:p>
      <w:pPr>
        <w:spacing w:line="576" w:lineRule="exact"/>
        <w:ind w:firstLine="640" w:firstLineChars="200"/>
        <w:rPr>
          <w:rFonts w:ascii="仿宋_GB2312" w:eastAsia="仿宋_GB2312"/>
          <w:color w:val="auto"/>
          <w:sz w:val="32"/>
          <w:szCs w:val="32"/>
          <w:highlight w:val="none"/>
        </w:rPr>
      </w:pPr>
      <w:r>
        <w:rPr>
          <w:rFonts w:hint="eastAsia" w:eastAsia="仿宋_GB2312"/>
          <w:sz w:val="32"/>
        </w:rPr>
        <w:t>1</w:t>
      </w:r>
      <w:r>
        <w:rPr>
          <w:rFonts w:hint="eastAsia" w:eastAsia="仿宋_GB2312"/>
          <w:sz w:val="32"/>
          <w:lang w:val="en-US" w:eastAsia="zh-CN"/>
        </w:rPr>
        <w:t>3</w:t>
      </w:r>
      <w:r>
        <w:rPr>
          <w:rFonts w:hint="eastAsia" w:eastAsia="仿宋_GB2312"/>
          <w:sz w:val="32"/>
        </w:rPr>
        <w:t>.项目支出：指在基本支出之外为完成特定行政任务和事业发展目标所发生的支出。</w:t>
      </w:r>
    </w:p>
    <w:p>
      <w:pPr>
        <w:spacing w:line="600" w:lineRule="exact"/>
        <w:ind w:firstLine="640"/>
        <w:jc w:val="center"/>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w:t>
      </w:r>
    </w:p>
    <w:p>
      <w:pPr>
        <w:spacing w:line="600" w:lineRule="exact"/>
        <w:jc w:val="both"/>
        <w:outlineLvl w:val="9"/>
        <w:rPr>
          <w:rFonts w:ascii="宋体"/>
          <w:b/>
          <w:color w:val="auto"/>
          <w:sz w:val="44"/>
          <w:szCs w:val="44"/>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eastAsia="仿宋_GB2312"/>
          <w:color w:val="auto"/>
          <w:sz w:val="32"/>
          <w:szCs w:val="32"/>
          <w:highlight w:val="none"/>
        </w:rPr>
        <w:t>待（含外宾接待）支出。</w:t>
      </w:r>
    </w:p>
    <w:p>
      <w:pPr>
        <w:spacing w:line="600" w:lineRule="exact"/>
        <w:jc w:val="center"/>
        <w:outlineLvl w:val="0"/>
        <w:rPr>
          <w:rStyle w:val="24"/>
          <w:rFonts w:ascii="黑体" w:hAnsi="黑体" w:eastAsia="黑体"/>
          <w:b w:val="0"/>
          <w:color w:val="auto"/>
          <w:highlight w:val="none"/>
        </w:rPr>
      </w:pPr>
      <w:bookmarkStart w:id="78" w:name="_Toc15396614"/>
      <w:bookmarkStart w:id="79" w:name="_Toc27296"/>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8"/>
      <w:bookmarkEnd w:id="79"/>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921"/>
        <w:gridCol w:w="1032"/>
        <w:gridCol w:w="1075"/>
        <w:gridCol w:w="579"/>
        <w:gridCol w:w="784"/>
        <w:gridCol w:w="579"/>
        <w:gridCol w:w="1030"/>
        <w:gridCol w:w="558"/>
        <w:gridCol w:w="476"/>
        <w:gridCol w:w="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51090322T000000352871-学前教育保教费（收费）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四川省遂宁市船山区锦华幼儿园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年收入的保教费，将全部用于学校的办公费及聘用人员工资保险等等日常经费预算。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按要求，</w:t>
            </w:r>
            <w:r>
              <w:rPr>
                <w:rFonts w:hint="eastAsia" w:ascii="宋体" w:hAnsi="宋体" w:eastAsia="宋体" w:cs="宋体"/>
                <w:i w:val="0"/>
                <w:iCs w:val="0"/>
                <w:color w:val="000000"/>
                <w:kern w:val="0"/>
                <w:sz w:val="18"/>
                <w:szCs w:val="18"/>
                <w:u w:val="none"/>
                <w:lang w:val="en-US" w:eastAsia="zh-CN" w:bidi="ar"/>
              </w:rPr>
              <w:t>在年度内较好地完成了目标任务。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我园成立了学前保教经费领导小组，并拟定相关资金管理办法，做到学前保教经费资金使用“专款专用”的原则。严格按照财务管理制度进行管理、使用学前教育保教经费。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保教费人数约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提高学生综合能力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经费管理机制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按照区财政局和区教体局通知，我园立即组织相关工作人员成立自评小组，一是组织相关人员查阅资金使用情况，准备检查资料，二是根据预算项目支出绩效评价指标体系中的相关内容，认真填写预算项目支出绩效评价指标体系评分表，三是撰写预算项目支出绩效自评报告本项目的实施过程，真正做到年初有预算，事中、事后有监督</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总分98分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为了</w:t>
            </w:r>
            <w:r>
              <w:rPr>
                <w:rFonts w:hint="eastAsia" w:ascii="宋体" w:hAnsi="宋体" w:cs="宋体"/>
                <w:i w:val="0"/>
                <w:iCs w:val="0"/>
                <w:color w:val="000000"/>
                <w:kern w:val="0"/>
                <w:sz w:val="18"/>
                <w:szCs w:val="18"/>
                <w:u w:val="none"/>
                <w:lang w:val="en-US" w:eastAsia="zh-CN" w:bidi="ar"/>
              </w:rPr>
              <w:t>更好地保障</w:t>
            </w:r>
            <w:r>
              <w:rPr>
                <w:rFonts w:hint="eastAsia" w:ascii="宋体" w:hAnsi="宋体" w:eastAsia="宋体" w:cs="宋体"/>
                <w:i w:val="0"/>
                <w:iCs w:val="0"/>
                <w:color w:val="000000"/>
                <w:kern w:val="0"/>
                <w:sz w:val="18"/>
                <w:szCs w:val="18"/>
                <w:u w:val="none"/>
                <w:lang w:val="en-US" w:eastAsia="zh-CN" w:bidi="ar"/>
              </w:rPr>
              <w:t>全区适龄少年儿童接受学前教育，以及幼儿人数逐年增加，为提高教师专业业务能力，让老师能</w:t>
            </w:r>
            <w:r>
              <w:rPr>
                <w:rFonts w:hint="eastAsia" w:ascii="宋体" w:hAnsi="宋体" w:cs="宋体"/>
                <w:i w:val="0"/>
                <w:iCs w:val="0"/>
                <w:color w:val="000000"/>
                <w:kern w:val="0"/>
                <w:sz w:val="18"/>
                <w:szCs w:val="18"/>
                <w:u w:val="none"/>
                <w:lang w:val="en-US" w:eastAsia="zh-CN" w:bidi="ar"/>
              </w:rPr>
              <w:t>更好地服务</w:t>
            </w:r>
            <w:r>
              <w:rPr>
                <w:rFonts w:hint="eastAsia" w:ascii="宋体" w:hAnsi="宋体" w:eastAsia="宋体" w:cs="宋体"/>
                <w:i w:val="0"/>
                <w:iCs w:val="0"/>
                <w:color w:val="000000"/>
                <w:kern w:val="0"/>
                <w:sz w:val="18"/>
                <w:szCs w:val="18"/>
                <w:u w:val="none"/>
                <w:lang w:val="en-US" w:eastAsia="zh-CN" w:bidi="ar"/>
              </w:rPr>
              <w:t>幼儿，稳定教师队伍，让幼儿在安全卫生舒适的环境里接受教育，财政应继续加大对学前教育资金的投入</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项目负责人：彭爽</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财务负责人：何小玉</w:t>
            </w:r>
          </w:p>
        </w:tc>
      </w:tr>
    </w:tbl>
    <w:p>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pPr>
        <w:spacing w:line="600" w:lineRule="exact"/>
        <w:jc w:val="left"/>
        <w:outlineLvl w:val="9"/>
        <w:rPr>
          <w:rFonts w:ascii="宋体"/>
          <w:b/>
          <w:color w:val="auto"/>
          <w:sz w:val="44"/>
          <w:szCs w:val="44"/>
          <w:highlight w:val="none"/>
        </w:rPr>
        <w:sectPr>
          <w:pgSz w:w="11906" w:h="16838"/>
          <w:pgMar w:top="1440" w:right="1803" w:bottom="1440" w:left="1803" w:header="851" w:footer="992" w:gutter="0"/>
          <w:pgNumType w:fmt="decimal"/>
          <w:cols w:space="0" w:num="1"/>
          <w:titlePg/>
          <w:rtlGutter w:val="0"/>
          <w:docGrid w:type="lines" w:linePitch="319" w:charSpace="0"/>
        </w:sectPr>
      </w:pPr>
      <w:r>
        <w:rPr>
          <w:rFonts w:ascii="宋体"/>
          <w:b/>
          <w:color w:val="auto"/>
          <w:sz w:val="44"/>
          <w:szCs w:val="44"/>
          <w:highlight w:val="none"/>
        </w:rPr>
        <w:br w:type="page"/>
      </w:r>
      <w:bookmarkStart w:id="108" w:name="_GoBack"/>
      <w:bookmarkEnd w:id="108"/>
      <w:bookmarkStart w:id="80" w:name="_Toc15396618"/>
    </w:p>
    <w:p>
      <w:pPr>
        <w:spacing w:line="600" w:lineRule="exact"/>
        <w:jc w:val="center"/>
        <w:outlineLvl w:val="0"/>
        <w:rPr>
          <w:rFonts w:hint="eastAsia" w:ascii="仿宋" w:hAnsi="仿宋" w:eastAsia="仿宋"/>
          <w:b w:val="0"/>
          <w:color w:val="auto"/>
          <w:highlight w:val="none"/>
        </w:rPr>
      </w:pPr>
      <w:bookmarkStart w:id="81" w:name="_Toc2634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7"/>
      <w:bookmarkEnd w:id="80"/>
      <w:bookmarkEnd w:id="81"/>
      <w:bookmarkStart w:id="82" w:name="_Toc15396619"/>
    </w:p>
    <w:p>
      <w:pPr>
        <w:pStyle w:val="3"/>
        <w:rPr>
          <w:rFonts w:ascii="仿宋" w:hAnsi="仿宋" w:eastAsia="仿宋"/>
          <w:color w:val="auto"/>
          <w:highlight w:val="none"/>
        </w:rPr>
      </w:pPr>
      <w:bookmarkStart w:id="83" w:name="_Toc25629"/>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82"/>
      <w:bookmarkEnd w:id="83"/>
    </w:p>
    <w:p>
      <w:pPr>
        <w:pStyle w:val="3"/>
        <w:rPr>
          <w:rFonts w:ascii="仿宋" w:hAnsi="仿宋" w:eastAsia="仿宋"/>
          <w:color w:val="auto"/>
          <w:highlight w:val="none"/>
        </w:rPr>
      </w:pPr>
      <w:bookmarkStart w:id="84" w:name="_Toc15396620"/>
      <w:bookmarkStart w:id="85" w:name="_Toc1992"/>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84"/>
      <w:bookmarkEnd w:id="85"/>
    </w:p>
    <w:p>
      <w:pPr>
        <w:pStyle w:val="3"/>
        <w:rPr>
          <w:rFonts w:ascii="仿宋" w:hAnsi="仿宋" w:eastAsia="仿宋"/>
          <w:color w:val="auto"/>
          <w:highlight w:val="none"/>
        </w:rPr>
      </w:pPr>
      <w:bookmarkStart w:id="86" w:name="_Toc13985"/>
      <w:bookmarkStart w:id="87"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6"/>
      <w:bookmarkEnd w:id="87"/>
    </w:p>
    <w:p>
      <w:pPr>
        <w:pStyle w:val="3"/>
        <w:rPr>
          <w:rFonts w:ascii="仿宋" w:hAnsi="仿宋" w:eastAsia="仿宋"/>
          <w:b w:val="0"/>
          <w:color w:val="auto"/>
          <w:highlight w:val="none"/>
        </w:rPr>
      </w:pPr>
      <w:bookmarkStart w:id="88" w:name="_Toc15396622"/>
      <w:bookmarkStart w:id="89" w:name="_Toc22904"/>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8"/>
      <w:bookmarkEnd w:id="89"/>
    </w:p>
    <w:p>
      <w:pPr>
        <w:pStyle w:val="3"/>
        <w:rPr>
          <w:rStyle w:val="25"/>
          <w:rFonts w:ascii="仿宋" w:hAnsi="仿宋" w:eastAsia="仿宋"/>
          <w:b w:val="0"/>
          <w:bCs w:val="0"/>
          <w:color w:val="auto"/>
          <w:highlight w:val="none"/>
        </w:rPr>
      </w:pPr>
      <w:bookmarkStart w:id="90" w:name="_Toc15396623"/>
      <w:bookmarkStart w:id="91" w:name="_Toc11264"/>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90"/>
      <w:bookmarkEnd w:id="91"/>
      <w:bookmarkStart w:id="92" w:name="_Toc15396624"/>
    </w:p>
    <w:p>
      <w:pPr>
        <w:pStyle w:val="3"/>
        <w:rPr>
          <w:rFonts w:ascii="仿宋" w:hAnsi="仿宋" w:eastAsia="仿宋"/>
          <w:color w:val="auto"/>
          <w:highlight w:val="none"/>
        </w:rPr>
      </w:pPr>
      <w:bookmarkStart w:id="93" w:name="_Toc26540"/>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92"/>
      <w:bookmarkEnd w:id="93"/>
    </w:p>
    <w:p>
      <w:pPr>
        <w:pStyle w:val="3"/>
        <w:rPr>
          <w:rFonts w:ascii="仿宋" w:hAnsi="仿宋" w:eastAsia="仿宋"/>
          <w:color w:val="auto"/>
          <w:highlight w:val="none"/>
        </w:rPr>
      </w:pPr>
      <w:bookmarkStart w:id="94" w:name="_Toc15396625"/>
      <w:bookmarkStart w:id="95" w:name="_Toc11658"/>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94"/>
      <w:bookmarkEnd w:id="95"/>
    </w:p>
    <w:p>
      <w:pPr>
        <w:pStyle w:val="3"/>
        <w:rPr>
          <w:rFonts w:ascii="仿宋" w:hAnsi="仿宋" w:eastAsia="仿宋"/>
          <w:color w:val="auto"/>
          <w:highlight w:val="none"/>
        </w:rPr>
      </w:pPr>
      <w:bookmarkStart w:id="96" w:name="_Toc31038"/>
      <w:bookmarkStart w:id="97"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6"/>
      <w:bookmarkEnd w:id="97"/>
    </w:p>
    <w:p>
      <w:pPr>
        <w:pStyle w:val="3"/>
        <w:rPr>
          <w:rFonts w:ascii="仿宋" w:hAnsi="仿宋" w:eastAsia="仿宋"/>
          <w:color w:val="auto"/>
          <w:highlight w:val="none"/>
        </w:rPr>
      </w:pPr>
      <w:bookmarkStart w:id="98" w:name="_Toc26221"/>
      <w:bookmarkStart w:id="99"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8"/>
      <w:bookmarkEnd w:id="99"/>
    </w:p>
    <w:p>
      <w:pPr>
        <w:pStyle w:val="3"/>
        <w:rPr>
          <w:rFonts w:ascii="仿宋" w:hAnsi="仿宋" w:eastAsia="仿宋"/>
          <w:color w:val="auto"/>
          <w:highlight w:val="none"/>
        </w:rPr>
      </w:pPr>
      <w:bookmarkStart w:id="100" w:name="_Toc15396628"/>
      <w:bookmarkStart w:id="101" w:name="_Toc30062"/>
      <w:r>
        <w:rPr>
          <w:rStyle w:val="25"/>
          <w:rFonts w:hint="eastAsia" w:ascii="仿宋" w:hAnsi="仿宋" w:eastAsia="仿宋"/>
          <w:b w:val="0"/>
          <w:bCs w:val="0"/>
          <w:color w:val="auto"/>
          <w:highlight w:val="none"/>
        </w:rPr>
        <w:t>十、</w:t>
      </w:r>
      <w:bookmarkEnd w:id="100"/>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01"/>
    </w:p>
    <w:p>
      <w:pPr>
        <w:pStyle w:val="3"/>
        <w:rPr>
          <w:rFonts w:ascii="仿宋" w:hAnsi="仿宋" w:eastAsia="仿宋"/>
          <w:color w:val="auto"/>
          <w:highlight w:val="none"/>
        </w:rPr>
      </w:pPr>
      <w:bookmarkStart w:id="102" w:name="_Toc15396629"/>
      <w:bookmarkStart w:id="103" w:name="_Toc11886"/>
      <w:r>
        <w:rPr>
          <w:rStyle w:val="25"/>
          <w:rFonts w:hint="eastAsia" w:ascii="仿宋" w:hAnsi="仿宋" w:eastAsia="仿宋"/>
          <w:b w:val="0"/>
          <w:bCs w:val="0"/>
          <w:color w:val="auto"/>
          <w:highlight w:val="none"/>
        </w:rPr>
        <w:t>十一、</w:t>
      </w:r>
      <w:bookmarkEnd w:id="102"/>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3"/>
    </w:p>
    <w:p>
      <w:pPr>
        <w:pStyle w:val="3"/>
        <w:rPr>
          <w:rFonts w:ascii="仿宋" w:hAnsi="仿宋" w:eastAsia="仿宋"/>
          <w:color w:val="auto"/>
          <w:highlight w:val="none"/>
        </w:rPr>
      </w:pPr>
      <w:bookmarkStart w:id="104" w:name="_Toc15396630"/>
      <w:bookmarkStart w:id="105" w:name="_Toc21586"/>
      <w:r>
        <w:rPr>
          <w:rStyle w:val="25"/>
          <w:rFonts w:hint="eastAsia" w:ascii="仿宋" w:hAnsi="仿宋" w:eastAsia="仿宋"/>
          <w:b w:val="0"/>
          <w:bCs w:val="0"/>
          <w:color w:val="auto"/>
          <w:highlight w:val="none"/>
        </w:rPr>
        <w:t>十二、</w:t>
      </w:r>
      <w:bookmarkEnd w:id="104"/>
      <w:r>
        <w:rPr>
          <w:rStyle w:val="25"/>
          <w:rFonts w:hint="eastAsia" w:ascii="仿宋" w:hAnsi="仿宋" w:eastAsia="仿宋"/>
          <w:b w:val="0"/>
          <w:bCs w:val="0"/>
          <w:color w:val="auto"/>
          <w:highlight w:val="none"/>
          <w:lang w:eastAsia="zh-CN"/>
        </w:rPr>
        <w:t>国有资本经营预算财政拨款支出决算表</w:t>
      </w:r>
      <w:bookmarkEnd w:id="105"/>
    </w:p>
    <w:p>
      <w:pPr>
        <w:pStyle w:val="3"/>
        <w:rPr>
          <w:rFonts w:hint="eastAsia" w:eastAsia="仿宋"/>
          <w:color w:val="auto"/>
          <w:highlight w:val="none"/>
          <w:lang w:eastAsia="zh-CN"/>
        </w:rPr>
      </w:pPr>
      <w:bookmarkStart w:id="106" w:name="_Toc15396631"/>
      <w:bookmarkStart w:id="107" w:name="_Toc10026"/>
      <w:r>
        <w:rPr>
          <w:rStyle w:val="25"/>
          <w:rFonts w:hint="eastAsia" w:ascii="仿宋" w:hAnsi="仿宋" w:eastAsia="仿宋"/>
          <w:b w:val="0"/>
          <w:bCs w:val="0"/>
          <w:color w:val="auto"/>
          <w:highlight w:val="none"/>
        </w:rPr>
        <w:t>十三、</w:t>
      </w:r>
      <w:bookmarkEnd w:id="106"/>
      <w:r>
        <w:rPr>
          <w:rStyle w:val="25"/>
          <w:rFonts w:hint="eastAsia" w:ascii="仿宋" w:hAnsi="仿宋" w:eastAsia="仿宋"/>
          <w:b w:val="0"/>
          <w:bCs w:val="0"/>
          <w:color w:val="auto"/>
          <w:highlight w:val="none"/>
          <w:lang w:eastAsia="zh-CN"/>
        </w:rPr>
        <w:t>财政拨款“三公”经费支出决算表</w:t>
      </w:r>
      <w:bookmarkEnd w:id="107"/>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NjQ1ZjZlYTdkYTE1NTkzZDc0YTZhNzJlNDM4M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04DF"/>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4E7C79"/>
    <w:rsid w:val="053A62B5"/>
    <w:rsid w:val="0A2032A3"/>
    <w:rsid w:val="0B3760BD"/>
    <w:rsid w:val="0B8A37D8"/>
    <w:rsid w:val="10C055FF"/>
    <w:rsid w:val="118107EC"/>
    <w:rsid w:val="11DD6519"/>
    <w:rsid w:val="14F13CB4"/>
    <w:rsid w:val="155353BE"/>
    <w:rsid w:val="15A306CB"/>
    <w:rsid w:val="16BB723D"/>
    <w:rsid w:val="16C56B6D"/>
    <w:rsid w:val="18015F3F"/>
    <w:rsid w:val="1A980057"/>
    <w:rsid w:val="1BE8440E"/>
    <w:rsid w:val="1BF754B3"/>
    <w:rsid w:val="1D155CEE"/>
    <w:rsid w:val="1F7E6C45"/>
    <w:rsid w:val="1FBA01EF"/>
    <w:rsid w:val="20F57F95"/>
    <w:rsid w:val="240371BF"/>
    <w:rsid w:val="25711CC6"/>
    <w:rsid w:val="25C741E6"/>
    <w:rsid w:val="27842671"/>
    <w:rsid w:val="29FD04D3"/>
    <w:rsid w:val="2ABE7A3E"/>
    <w:rsid w:val="2CA234A8"/>
    <w:rsid w:val="2EFA178C"/>
    <w:rsid w:val="30B46D73"/>
    <w:rsid w:val="319F7F4E"/>
    <w:rsid w:val="349473AE"/>
    <w:rsid w:val="3677266F"/>
    <w:rsid w:val="383D272C"/>
    <w:rsid w:val="39AE70AB"/>
    <w:rsid w:val="39BD24C8"/>
    <w:rsid w:val="3B243576"/>
    <w:rsid w:val="3C0C0783"/>
    <w:rsid w:val="3D760FF4"/>
    <w:rsid w:val="3EC06C66"/>
    <w:rsid w:val="3F9F3A96"/>
    <w:rsid w:val="442E5667"/>
    <w:rsid w:val="48BF60AB"/>
    <w:rsid w:val="48E24C72"/>
    <w:rsid w:val="493C27E9"/>
    <w:rsid w:val="496F39ED"/>
    <w:rsid w:val="49FF41D3"/>
    <w:rsid w:val="4A625B88"/>
    <w:rsid w:val="4B8858EF"/>
    <w:rsid w:val="4BE068DB"/>
    <w:rsid w:val="4BF6002B"/>
    <w:rsid w:val="4E8371C8"/>
    <w:rsid w:val="4EC2357B"/>
    <w:rsid w:val="4ECE2238"/>
    <w:rsid w:val="4F9E2E2D"/>
    <w:rsid w:val="51295111"/>
    <w:rsid w:val="51481530"/>
    <w:rsid w:val="51DB4B86"/>
    <w:rsid w:val="54695690"/>
    <w:rsid w:val="55184CA4"/>
    <w:rsid w:val="55333C3E"/>
    <w:rsid w:val="57F364AC"/>
    <w:rsid w:val="58B7705F"/>
    <w:rsid w:val="5A8A7FAA"/>
    <w:rsid w:val="5FCA25C9"/>
    <w:rsid w:val="5FED0F10"/>
    <w:rsid w:val="61D20F3D"/>
    <w:rsid w:val="63623938"/>
    <w:rsid w:val="63A57AC5"/>
    <w:rsid w:val="64CA39A1"/>
    <w:rsid w:val="68946C46"/>
    <w:rsid w:val="69630ADE"/>
    <w:rsid w:val="6C4A05C8"/>
    <w:rsid w:val="6CBD0715"/>
    <w:rsid w:val="6D3B1A89"/>
    <w:rsid w:val="70F60628"/>
    <w:rsid w:val="71BF4EC2"/>
    <w:rsid w:val="71D8052E"/>
    <w:rsid w:val="72734D90"/>
    <w:rsid w:val="7412278C"/>
    <w:rsid w:val="74AE2984"/>
    <w:rsid w:val="79E7B28D"/>
    <w:rsid w:val="7F4339B5"/>
    <w:rsid w:val="7F84126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3-&#38182;&#21326;&#24188;&#20799;&#22253;2023&#24180;&#20915;&#31639;&#20844;&#24320;&#36164;&#26009;\&#22270;&#24418;&#2127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3-&#38182;&#21326;&#24188;&#20799;&#22253;2023&#24180;&#20915;&#31639;&#20844;&#24320;&#36164;&#26009;\&#22270;&#24418;&#2127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3-&#38182;&#21326;&#24188;&#20799;&#22253;2023&#24180;&#20915;&#31639;&#20844;&#24320;&#36164;&#26009;\&#22270;&#24418;&#2127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3-&#38182;&#21326;&#24188;&#20799;&#22253;2023&#24180;&#20915;&#31639;&#20844;&#24320;&#36164;&#26009;\&#22270;&#24418;&#2127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3-&#38182;&#21326;&#24188;&#20799;&#22253;2023&#24180;&#20915;&#31639;&#20844;&#24320;&#36164;&#26009;\&#22270;&#24418;&#2127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3-&#38182;&#21326;&#24188;&#20799;&#22253;2023&#24180;&#20915;&#31639;&#20844;&#24320;&#36164;&#26009;\&#22270;&#24418;&#2127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[图形化1.xlsx]Sheet1!$B$1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[图形化1.xlsx]Sheet1!$A$2:$A$3</c:f>
              <c:strCache>
                <c:ptCount val="2"/>
                <c:pt idx="0">
                  <c:v>2022年</c:v>
                </c:pt>
                <c:pt idx="1">
                  <c:v>2023年</c:v>
                </c:pt>
              </c:strCache>
            </c:strRef>
          </c:cat>
          <c:val>
            <c:numRef>
              <c:f>[图形化1.xlsx]Sheet1!$B$2:$B$3</c:f>
              <c:numCache>
                <c:formatCode>General</c:formatCode>
                <c:ptCount val="2"/>
                <c:pt idx="0">
                  <c:v>795.25</c:v>
                </c:pt>
                <c:pt idx="1">
                  <c:v>653.33</c:v>
                </c:pt>
              </c:numCache>
            </c:numRef>
          </c:val>
        </c:ser>
        <c:dLbls>
          <c:showLegendKey val="0"/>
          <c:showVal val="1"/>
          <c:showCatName val="0"/>
          <c:showSerName val="0"/>
          <c:showPercent val="0"/>
          <c:showBubbleSize val="0"/>
        </c:dLbls>
        <c:gapWidth val="150"/>
        <c:axId val="24361216"/>
        <c:axId val="24707072"/>
      </c:barChart>
      <c:catAx>
        <c:axId val="2436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707072"/>
        <c:crosses val="autoZero"/>
        <c:auto val="1"/>
        <c:lblAlgn val="ctr"/>
        <c:lblOffset val="100"/>
        <c:noMultiLvlLbl val="0"/>
      </c:catAx>
      <c:valAx>
        <c:axId val="24707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612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[图形化1.xlsx]Sheet1!$E$1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[图形化1.xlsx]Sheet1!$D$2:$D$4</c:f>
              <c:strCache>
                <c:ptCount val="3"/>
                <c:pt idx="0">
                  <c:v>一般公共预算财政拨款收入</c:v>
                </c:pt>
                <c:pt idx="1">
                  <c:v>其他收入</c:v>
                </c:pt>
              </c:strCache>
            </c:strRef>
          </c:cat>
          <c:val>
            <c:numRef>
              <c:f>[图形化1.xlsx]Sheet1!$E$2:$E$4</c:f>
              <c:numCache>
                <c:formatCode>General</c:formatCode>
                <c:ptCount val="3"/>
                <c:pt idx="0">
                  <c:v>572.21</c:v>
                </c:pt>
                <c:pt idx="1">
                  <c:v>47.46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[图形化1.xlsx]Sheet1!$I$1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[图形化1.xlsx]Sheet1!$H$2:$H$3</c:f>
              <c:strCache>
                <c:ptCount val="2"/>
                <c:pt idx="0">
                  <c:v>基本支出</c:v>
                </c:pt>
                <c:pt idx="1">
                  <c:v>项目支出</c:v>
                </c:pt>
              </c:strCache>
            </c:strRef>
          </c:cat>
          <c:val>
            <c:numRef>
              <c:f>[图形化1.xlsx]Sheet1!$I$2:$I$3</c:f>
              <c:numCache>
                <c:formatCode>General</c:formatCode>
                <c:ptCount val="2"/>
                <c:pt idx="0">
                  <c:v>426.36</c:v>
                </c:pt>
                <c:pt idx="1">
                  <c:v>200.34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[图形化1.xlsx]Sheet1!$M$1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[图形化1.xlsx]Sheet1!$L$2:$L$3</c:f>
              <c:strCache>
                <c:ptCount val="2"/>
                <c:pt idx="0">
                  <c:v>2022年</c:v>
                </c:pt>
                <c:pt idx="1">
                  <c:v>2023年</c:v>
                </c:pt>
              </c:strCache>
            </c:strRef>
          </c:cat>
          <c:val>
            <c:numRef>
              <c:f>[图形化1.xlsx]Sheet1!$M$2:$M$3</c:f>
              <c:numCache>
                <c:formatCode>General</c:formatCode>
                <c:ptCount val="2"/>
                <c:pt idx="0">
                  <c:v>753.46</c:v>
                </c:pt>
                <c:pt idx="1" c:formatCode="#,##0.00">
                  <c:v>572.21</c:v>
                </c:pt>
              </c:numCache>
            </c:numRef>
          </c:val>
        </c:ser>
        <c:dLbls>
          <c:showLegendKey val="0"/>
          <c:showVal val="1"/>
          <c:showCatName val="0"/>
          <c:showSerName val="0"/>
          <c:showPercent val="0"/>
          <c:showBubbleSize val="0"/>
        </c:dLbls>
        <c:gapWidth val="150"/>
        <c:axId val="24909696"/>
        <c:axId val="24911232"/>
      </c:barChart>
      <c:catAx>
        <c:axId val="24909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232"/>
        <c:crosses val="autoZero"/>
        <c:auto val="1"/>
        <c:lblAlgn val="ctr"/>
        <c:lblOffset val="100"/>
        <c:noMultiLvlLbl val="0"/>
      </c:catAx>
      <c:valAx>
        <c:axId val="24911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096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五、一般公共预算财政拨款支出（万元）</a:t>
            </a:r>
            <a:endParaRPr lang="zh-CN" altLang="en-US" sz="1200"/>
          </a:p>
        </c:rich>
      </c:tx>
      <c:layout>
        <c:manualLayout>
          <c:xMode val="edge"/>
          <c:yMode val="edge"/>
          <c:x val="0.192253670387933"/>
          <c:y val="0.0332357192468698"/>
        </c:manualLayout>
      </c:layout>
      <c:overlay val="0"/>
    </c:title>
    <c:autoTitleDeleted val="0"/>
    <c:plotArea>
      <c:layout>
        <c:manualLayout>
          <c:layoutTarget val="inner"/>
          <c:xMode val="edge"/>
          <c:yMode val="edge"/>
          <c:x val="0.10439076018575"/>
          <c:y val="0.138401349447186"/>
          <c:w val="0.867295222977443"/>
          <c:h val="0.585335840402905"/>
        </c:manualLayout>
      </c:layout>
      <c:barChart>
        <c:barDir val="col"/>
        <c:grouping val="clustered"/>
        <c:varyColors val="0"/>
        <c:ser>
          <c:idx val="0"/>
          <c:order val="0"/>
          <c:tx>
            <c:strRef>
              <c:f>[图形化1.xlsx]Sheet1!$B$20</c:f>
              <c:strCache>
                <c:ptCount val="1"/>
                <c:pt idx="0">
                  <c:v>五、一般公共预算财政拨款支出情况（万元）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[图形化1.xlsx]Sheet1!$A$21:$A$22</c:f>
              <c:strCache>
                <c:ptCount val="2"/>
                <c:pt idx="0">
                  <c:v>2022年</c:v>
                </c:pt>
                <c:pt idx="1">
                  <c:v>2023年</c:v>
                </c:pt>
              </c:strCache>
            </c:strRef>
          </c:cat>
          <c:val>
            <c:numRef>
              <c:f>[图形化1.xlsx]Sheet1!$B$21:$B$22</c:f>
              <c:numCache>
                <c:formatCode>General</c:formatCode>
                <c:ptCount val="2"/>
                <c:pt idx="0">
                  <c:v>653.46</c:v>
                </c:pt>
                <c:pt idx="1" c:formatCode="#,##0.00">
                  <c:v>572.21</c:v>
                </c:pt>
              </c:numCache>
            </c:numRef>
          </c:val>
        </c:ser>
        <c:dLbls>
          <c:showLegendKey val="0"/>
          <c:showVal val="1"/>
          <c:showCatName val="0"/>
          <c:showSerName val="0"/>
          <c:showPercent val="0"/>
          <c:showBubbleSize val="0"/>
        </c:dLbls>
        <c:gapWidth val="150"/>
        <c:axId val="24927232"/>
        <c:axId val="24961792"/>
      </c:barChart>
      <c:catAx>
        <c:axId val="24927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61792"/>
        <c:crosses val="autoZero"/>
        <c:auto val="1"/>
        <c:lblAlgn val="ctr"/>
        <c:lblOffset val="100"/>
        <c:noMultiLvlLbl val="0"/>
      </c:catAx>
      <c:valAx>
        <c:axId val="2496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7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[图形化1.xlsx]Sheet1!$B$47</c:f>
              <c:strCache>
                <c:ptCount val="1"/>
                <c:pt idx="0">
                  <c:v>六、一般公共预算财政拨款支出决算(万元)</c:v>
                </c:pt>
              </c:strCache>
            </c:strRef>
          </c:tx>
          <c:explosion val="14"/>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[图形化1.xlsx]Sheet1!$A$48:$A$51</c:f>
              <c:strCache>
                <c:ptCount val="4"/>
                <c:pt idx="0">
                  <c:v>教育支出</c:v>
                </c:pt>
                <c:pt idx="1">
                  <c:v>社会保障和就业支出</c:v>
                </c:pt>
                <c:pt idx="2">
                  <c:v>卫生健康支出</c:v>
                </c:pt>
                <c:pt idx="3">
                  <c:v>住房保障支出</c:v>
                </c:pt>
              </c:strCache>
            </c:strRef>
          </c:cat>
          <c:val>
            <c:numRef>
              <c:f>[图形化1.xlsx]Sheet1!$B$48:$B$51</c:f>
              <c:numCache>
                <c:formatCode>#,##0.00_ </c:formatCode>
                <c:ptCount val="4"/>
                <c:pt idx="0">
                  <c:v>479.87</c:v>
                </c:pt>
                <c:pt idx="1" c:formatCode="General">
                  <c:v>44.63</c:v>
                </c:pt>
                <c:pt idx="2" c:formatCode="General">
                  <c:v>18.45</c:v>
                </c:pt>
                <c:pt idx="3" c:formatCode="General">
                  <c:v>29.26</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591709755030621"/>
          <c:y val="0.461732283464567"/>
          <c:w val="0.363845800524934"/>
          <c:h val="0.3348687664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5139</Words>
  <Characters>5633</Characters>
  <Lines>61</Lines>
  <Paragraphs>17</Paragraphs>
  <TotalTime>4</TotalTime>
  <ScaleCrop>false</ScaleCrop>
  <LinksUpToDate>false</LinksUpToDate>
  <CharactersWithSpaces>5764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2024-09-14T02:47:45Z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CC826ECC25AA44CA977B8C2BAC31306C_13</vt:lpwstr>
  </property>
</Properties>
</file>