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3B14">
      <w:pPr>
        <w:spacing w:line="600" w:lineRule="exact"/>
        <w:jc w:val="left"/>
        <w:outlineLvl w:val="9"/>
        <w:rPr>
          <w:rFonts w:ascii="方正小标宋简体" w:hAnsi="宋体" w:eastAsia="方正小标宋简体"/>
          <w:color w:val="auto"/>
          <w:sz w:val="21"/>
          <w:szCs w:val="21"/>
          <w:highlight w:val="none"/>
        </w:rPr>
      </w:pPr>
      <w:bookmarkStart w:id="0" w:name="_Toc15306267"/>
    </w:p>
    <w:p w14:paraId="5D48DF8A">
      <w:pPr>
        <w:spacing w:line="600" w:lineRule="exact"/>
        <w:jc w:val="center"/>
        <w:outlineLvl w:val="9"/>
        <w:rPr>
          <w:rFonts w:ascii="方正小标宋简体" w:hAnsi="宋体" w:eastAsia="方正小标宋简体"/>
          <w:color w:val="auto"/>
          <w:sz w:val="72"/>
          <w:szCs w:val="72"/>
          <w:highlight w:val="none"/>
        </w:rPr>
      </w:pPr>
    </w:p>
    <w:p w14:paraId="4BAA0E37">
      <w:pPr>
        <w:spacing w:line="600" w:lineRule="exact"/>
        <w:jc w:val="center"/>
        <w:outlineLvl w:val="9"/>
        <w:rPr>
          <w:rFonts w:ascii="方正小标宋简体" w:hAnsi="宋体" w:eastAsia="方正小标宋简体"/>
          <w:color w:val="auto"/>
          <w:sz w:val="72"/>
          <w:szCs w:val="72"/>
          <w:highlight w:val="none"/>
        </w:rPr>
      </w:pPr>
    </w:p>
    <w:p w14:paraId="29EBE18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475"/>
      <w:bookmarkStart w:id="3" w:name="_Toc15377193"/>
      <w:bookmarkStart w:id="4" w:name="_Toc24015"/>
      <w:bookmarkStart w:id="5" w:name="_Toc15396597"/>
      <w:bookmarkStart w:id="6"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14:paraId="55829A4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5396476"/>
      <w:bookmarkStart w:id="9" w:name="_Toc15377426"/>
      <w:bookmarkStart w:id="10" w:name="_Toc15377194"/>
      <w:bookmarkStart w:id="11" w:name="_Toc15378442"/>
      <w:bookmarkStart w:id="12" w:name="_Toc7622"/>
      <w:r>
        <w:rPr>
          <w:rFonts w:hint="eastAsia" w:ascii="方正小标宋简体" w:hAnsi="方正小标宋简体" w:eastAsia="方正小标宋简体" w:cs="方正小标宋简体"/>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z w:val="72"/>
          <w:szCs w:val="72"/>
          <w:highlight w:val="none"/>
        </w:rPr>
        <w:t>遂宁市船山区机关事务服务中心</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14:paraId="32F9E293">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3BECA64">
      <w:pPr>
        <w:widowControl/>
        <w:jc w:val="center"/>
        <w:rPr>
          <w:rFonts w:ascii="黑体" w:hAnsi="黑体" w:eastAsia="黑体" w:cstheme="minorBidi"/>
          <w:color w:val="auto"/>
          <w:sz w:val="28"/>
          <w:szCs w:val="28"/>
          <w:highlight w:val="none"/>
        </w:rPr>
      </w:pPr>
    </w:p>
    <w:p w14:paraId="0F25E73E">
      <w:pPr>
        <w:pStyle w:val="12"/>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 xml:space="preserve">9 </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kern w:val="2"/>
          <w:sz w:val="21"/>
          <w:szCs w:val="24"/>
          <w:lang w:val="en-US" w:eastAsia="zh-CN" w:bidi="ar-SA"/>
        </w:rPr>
        <w:id w:val="147481710"/>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205CF4B2">
          <w:pPr>
            <w:pStyle w:val="36"/>
            <w:tabs>
              <w:tab w:val="right" w:leader="dot" w:pos="8306"/>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_Toc11195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_Toc11195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14:paraId="51364B02">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_Toc21500 </w:instrText>
          </w:r>
          <w:r>
            <w:rPr>
              <w:rFonts w:hint="eastAsia" w:ascii="宋体" w:hAnsi="宋体" w:eastAsia="宋体" w:cs="宋体"/>
              <w:highlight w:val="none"/>
            </w:rPr>
            <w:fldChar w:fldCharType="separate"/>
          </w:r>
          <w:r>
            <w:rPr>
              <w:rFonts w:hint="eastAsia" w:ascii="宋体" w:hAnsi="宋体" w:eastAsia="宋体" w:cs="宋体"/>
              <w:bCs w:val="0"/>
              <w:lang w:eastAsia="zh-CN"/>
            </w:rPr>
            <w:t xml:space="preserve">一、 </w:t>
          </w:r>
          <w:r>
            <w:rPr>
              <w:rFonts w:hint="eastAsia" w:ascii="宋体" w:hAnsi="宋体" w:eastAsia="宋体" w:cs="宋体"/>
              <w:bCs w:val="0"/>
              <w:highlight w:val="none"/>
              <w:lang w:eastAsia="zh-CN"/>
            </w:rPr>
            <w:t>主要职责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_Toc21500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B87CEF2">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_Toc29134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二、机构设置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_Toc29134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1BD6474">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_Toc28105 </w:instrText>
          </w:r>
          <w:r>
            <w:rPr>
              <w:rFonts w:hint="eastAsia" w:ascii="黑体" w:hAnsi="黑体" w:eastAsia="黑体"/>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_Toc28105 \h </w:instrText>
          </w:r>
          <w:r>
            <w:rPr>
              <w:b/>
            </w:rPr>
            <w:fldChar w:fldCharType="separate"/>
          </w:r>
          <w:r>
            <w:rPr>
              <w:b/>
            </w:rPr>
            <w:t>2</w:t>
          </w:r>
          <w:r>
            <w:rPr>
              <w:b/>
            </w:rPr>
            <w:fldChar w:fldCharType="end"/>
          </w:r>
          <w:r>
            <w:rPr>
              <w:rFonts w:hint="eastAsia" w:ascii="黑体" w:hAnsi="黑体" w:eastAsia="黑体"/>
              <w:b/>
              <w:color w:val="auto"/>
              <w:highlight w:val="none"/>
            </w:rPr>
            <w:fldChar w:fldCharType="end"/>
          </w:r>
        </w:p>
        <w:p w14:paraId="778E7459">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_Toc28146 </w:instrText>
          </w:r>
          <w:r>
            <w:rPr>
              <w:rFonts w:hint="eastAsia" w:ascii="宋体" w:hAnsi="宋体" w:eastAsia="宋体" w:cs="宋体"/>
              <w:highlight w:val="none"/>
            </w:rPr>
            <w:fldChar w:fldCharType="separate"/>
          </w:r>
          <w:r>
            <w:rPr>
              <w:rFonts w:hint="eastAsia" w:ascii="宋体" w:hAnsi="宋体" w:eastAsia="宋体" w:cs="宋体"/>
            </w:rPr>
            <w:t xml:space="preserve">一、 </w:t>
          </w:r>
          <w:r>
            <w:rPr>
              <w:rFonts w:hint="eastAsia" w:ascii="宋体" w:hAnsi="宋体" w:eastAsia="宋体" w:cs="宋体"/>
              <w:szCs w:val="32"/>
              <w:highlight w:val="none"/>
            </w:rPr>
            <w:t>收</w:t>
          </w:r>
          <w:r>
            <w:rPr>
              <w:rFonts w:hint="eastAsia" w:ascii="宋体" w:hAnsi="宋体" w:eastAsia="宋体" w:cs="宋体"/>
              <w:highlight w:val="none"/>
            </w:rPr>
            <w:t>入支出决算总体情况说明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_Toc28146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207DF11">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_Toc29659 </w:instrText>
          </w:r>
          <w:r>
            <w:rPr>
              <w:rFonts w:hint="eastAsia" w:ascii="宋体" w:hAnsi="宋体" w:eastAsia="宋体" w:cs="宋体"/>
              <w:highlight w:val="none"/>
            </w:rPr>
            <w:fldChar w:fldCharType="separate"/>
          </w:r>
          <w:r>
            <w:rPr>
              <w:rFonts w:hint="eastAsia" w:ascii="宋体" w:hAnsi="宋体" w:eastAsia="宋体" w:cs="宋体"/>
            </w:rPr>
            <w:t xml:space="preserve">二、 </w:t>
          </w:r>
          <w:r>
            <w:rPr>
              <w:rFonts w:hint="eastAsia" w:ascii="宋体" w:hAnsi="宋体" w:eastAsia="宋体" w:cs="宋体"/>
              <w:szCs w:val="32"/>
              <w:highlight w:val="none"/>
            </w:rPr>
            <w:t>收</w:t>
          </w:r>
          <w:r>
            <w:rPr>
              <w:rFonts w:hint="eastAsia" w:ascii="宋体" w:hAnsi="宋体" w:eastAsia="宋体" w:cs="宋体"/>
              <w:highlight w:val="none"/>
            </w:rPr>
            <w:t>入决算情况说明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_Toc29659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95C3E23">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_Toc30654 </w:instrText>
          </w:r>
          <w:r>
            <w:rPr>
              <w:rFonts w:hint="eastAsia" w:ascii="宋体" w:hAnsi="宋体" w:eastAsia="宋体" w:cs="宋体"/>
              <w:highlight w:val="none"/>
            </w:rPr>
            <w:fldChar w:fldCharType="separate"/>
          </w:r>
          <w:r>
            <w:rPr>
              <w:rFonts w:hint="eastAsia" w:ascii="宋体" w:hAnsi="宋体" w:eastAsia="宋体" w:cs="宋体"/>
            </w:rPr>
            <w:t xml:space="preserve">三、 </w:t>
          </w:r>
          <w:r>
            <w:rPr>
              <w:rFonts w:hint="eastAsia" w:ascii="宋体" w:hAnsi="宋体" w:eastAsia="宋体" w:cs="宋体"/>
              <w:szCs w:val="32"/>
              <w:highlight w:val="none"/>
            </w:rPr>
            <w:t>支</w:t>
          </w:r>
          <w:r>
            <w:rPr>
              <w:rFonts w:hint="eastAsia" w:ascii="宋体" w:hAnsi="宋体" w:eastAsia="宋体" w:cs="宋体"/>
              <w:highlight w:val="none"/>
            </w:rPr>
            <w:t>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_Toc30654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1B02054">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_Toc5741 </w:instrText>
          </w:r>
          <w:r>
            <w:rPr>
              <w:rFonts w:hint="eastAsia" w:ascii="宋体" w:hAnsi="宋体" w:eastAsia="宋体" w:cs="宋体"/>
              <w:highlight w:val="none"/>
            </w:rPr>
            <w:fldChar w:fldCharType="separate"/>
          </w:r>
          <w:r>
            <w:rPr>
              <w:rFonts w:hint="eastAsia" w:ascii="宋体" w:hAnsi="宋体" w:eastAsia="宋体" w:cs="宋体"/>
              <w:szCs w:val="32"/>
              <w:highlight w:val="none"/>
            </w:rPr>
            <w:t>四、财</w:t>
          </w:r>
          <w:r>
            <w:rPr>
              <w:rFonts w:hint="eastAsia" w:ascii="宋体" w:hAnsi="宋体" w:eastAsia="宋体" w:cs="宋体"/>
              <w:highlight w:val="none"/>
            </w:rPr>
            <w:t>政拨款收入支出决算总体情况说明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_Toc5741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C49FA9D">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_Toc15388 </w:instrText>
          </w:r>
          <w:r>
            <w:rPr>
              <w:rFonts w:hint="eastAsia" w:ascii="宋体" w:hAnsi="宋体" w:eastAsia="宋体" w:cs="宋体"/>
              <w:highlight w:val="none"/>
            </w:rPr>
            <w:fldChar w:fldCharType="separate"/>
          </w:r>
          <w:r>
            <w:rPr>
              <w:rFonts w:hint="eastAsia" w:ascii="宋体" w:hAnsi="宋体" w:eastAsia="宋体" w:cs="宋体"/>
              <w:szCs w:val="32"/>
              <w:highlight w:val="none"/>
            </w:rPr>
            <w:t>五、一</w:t>
          </w:r>
          <w:r>
            <w:rPr>
              <w:rFonts w:hint="eastAsia" w:ascii="宋体" w:hAnsi="宋体" w:eastAsia="宋体" w:cs="宋体"/>
              <w:highlight w:val="none"/>
            </w:rPr>
            <w:t>般公共预算财政拨款支出决算情况说明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_Toc15388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FED6308">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_Toc27769 </w:instrText>
          </w:r>
          <w:r>
            <w:rPr>
              <w:rFonts w:hint="eastAsia" w:ascii="宋体" w:hAnsi="宋体" w:eastAsia="宋体" w:cs="宋体"/>
              <w:highlight w:val="none"/>
            </w:rPr>
            <w:fldChar w:fldCharType="separate"/>
          </w:r>
          <w:r>
            <w:rPr>
              <w:rFonts w:hint="eastAsia" w:ascii="宋体" w:hAnsi="宋体" w:eastAsia="宋体" w:cs="宋体"/>
              <w:szCs w:val="32"/>
              <w:highlight w:val="none"/>
            </w:rPr>
            <w:t>六、一</w:t>
          </w:r>
          <w:r>
            <w:rPr>
              <w:rFonts w:hint="eastAsia" w:ascii="宋体" w:hAnsi="宋体" w:eastAsia="宋体" w:cs="宋体"/>
              <w:highlight w:val="none"/>
            </w:rPr>
            <w:t>般公共预算财政拨款基本支出决算情况说明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_Toc27769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EFA68F7">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_Toc8601 </w:instrText>
          </w:r>
          <w:r>
            <w:rPr>
              <w:rFonts w:hint="eastAsia" w:ascii="宋体" w:hAnsi="宋体" w:eastAsia="宋体" w:cs="宋体"/>
              <w:highlight w:val="none"/>
            </w:rPr>
            <w:fldChar w:fldCharType="separate"/>
          </w:r>
          <w:r>
            <w:rPr>
              <w:rFonts w:hint="eastAsia" w:ascii="宋体" w:hAnsi="宋体" w:eastAsia="宋体" w:cs="宋体"/>
              <w:szCs w:val="32"/>
              <w:highlight w:val="none"/>
            </w:rPr>
            <w:t>七、</w:t>
          </w:r>
          <w:r>
            <w:rPr>
              <w:rFonts w:hint="eastAsia" w:ascii="宋体" w:hAnsi="宋体" w:eastAsia="宋体" w:cs="宋体"/>
              <w:highlight w:val="none"/>
            </w:rPr>
            <w:t>财政拨款“三公”经费支出决算情况说明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F6ECB4F">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_Toc28736 </w:instrText>
          </w:r>
          <w:r>
            <w:rPr>
              <w:rFonts w:hint="eastAsia" w:ascii="宋体" w:hAnsi="宋体" w:eastAsia="宋体" w:cs="宋体"/>
              <w:highlight w:val="none"/>
            </w:rPr>
            <w:fldChar w:fldCharType="separate"/>
          </w:r>
          <w:r>
            <w:rPr>
              <w:rFonts w:hint="eastAsia" w:ascii="宋体" w:hAnsi="宋体" w:eastAsia="宋体" w:cs="宋体"/>
              <w:szCs w:val="32"/>
              <w:highlight w:val="none"/>
            </w:rPr>
            <w:t>八、</w:t>
          </w:r>
          <w:r>
            <w:rPr>
              <w:rFonts w:hint="eastAsia" w:ascii="宋体" w:hAnsi="宋体" w:eastAsia="宋体" w:cs="宋体"/>
              <w:highlight w:val="none"/>
            </w:rPr>
            <w:t>政府性基金预算支出决算情况说明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_Toc28736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BB89EA6">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_Toc14375 </w:instrText>
          </w:r>
          <w:r>
            <w:rPr>
              <w:rFonts w:hint="eastAsia" w:ascii="宋体" w:hAnsi="宋体" w:eastAsia="宋体" w:cs="宋体"/>
              <w:highlight w:val="none"/>
            </w:rPr>
            <w:fldChar w:fldCharType="separate"/>
          </w:r>
          <w:r>
            <w:rPr>
              <w:rFonts w:hint="eastAsia" w:ascii="宋体" w:hAnsi="宋体" w:eastAsia="宋体" w:cs="宋体"/>
            </w:rPr>
            <w:t xml:space="preserve">九、 </w:t>
          </w:r>
          <w:r>
            <w:rPr>
              <w:rFonts w:hint="eastAsia" w:ascii="宋体" w:hAnsi="宋体" w:eastAsia="宋体" w:cs="宋体"/>
              <w:highlight w:val="none"/>
            </w:rPr>
            <w:t>国有资本经营预算支出决算情况说明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_Toc14375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9E635AE">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_Toc2830 </w:instrText>
          </w:r>
          <w:r>
            <w:rPr>
              <w:rFonts w:hint="eastAsia" w:ascii="宋体" w:hAnsi="宋体" w:eastAsia="宋体" w:cs="宋体"/>
              <w:highlight w:val="none"/>
            </w:rPr>
            <w:fldChar w:fldCharType="separate"/>
          </w:r>
          <w:r>
            <w:rPr>
              <w:rFonts w:hint="eastAsia" w:ascii="宋体" w:hAnsi="宋体" w:eastAsia="宋体" w:cs="宋体"/>
            </w:rPr>
            <w:t xml:space="preserve">十、 </w:t>
          </w:r>
          <w:r>
            <w:rPr>
              <w:rFonts w:hint="eastAsia" w:ascii="宋体" w:hAnsi="宋体" w:eastAsia="宋体" w:cs="宋体"/>
              <w:highlight w:val="none"/>
            </w:rPr>
            <w:t>其他重要事项的情况说明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4932EE0">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_Toc32757 </w:instrText>
          </w:r>
          <w:r>
            <w:rPr>
              <w:rFonts w:hint="eastAsia" w:ascii="黑体" w:hAnsi="黑体" w:eastAsia="黑体"/>
              <w:b/>
              <w:highlight w:val="none"/>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_Toc32757 \h </w:instrText>
          </w:r>
          <w:r>
            <w:rPr>
              <w:b/>
            </w:rPr>
            <w:fldChar w:fldCharType="separate"/>
          </w:r>
          <w:r>
            <w:rPr>
              <w:b/>
            </w:rPr>
            <w:t>11</w:t>
          </w:r>
          <w:r>
            <w:rPr>
              <w:b/>
            </w:rPr>
            <w:fldChar w:fldCharType="end"/>
          </w:r>
          <w:r>
            <w:rPr>
              <w:rFonts w:hint="eastAsia" w:ascii="黑体" w:hAnsi="黑体" w:eastAsia="黑体"/>
              <w:b/>
              <w:color w:val="auto"/>
              <w:highlight w:val="none"/>
            </w:rPr>
            <w:fldChar w:fldCharType="end"/>
          </w:r>
        </w:p>
        <w:p w14:paraId="78EA2A06">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_Toc20513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_Toc20513 \h </w:instrText>
          </w:r>
          <w:r>
            <w:rPr>
              <w:b/>
            </w:rPr>
            <w:fldChar w:fldCharType="separate"/>
          </w:r>
          <w:r>
            <w:rPr>
              <w:b/>
            </w:rPr>
            <w:t>14</w:t>
          </w:r>
          <w:r>
            <w:rPr>
              <w:b/>
            </w:rPr>
            <w:fldChar w:fldCharType="end"/>
          </w:r>
          <w:r>
            <w:rPr>
              <w:rFonts w:hint="eastAsia" w:ascii="黑体" w:hAnsi="黑体" w:eastAsia="黑体"/>
              <w:b/>
              <w:color w:val="auto"/>
              <w:highlight w:val="none"/>
            </w:rPr>
            <w:fldChar w:fldCharType="end"/>
          </w:r>
        </w:p>
        <w:p w14:paraId="5D9CA5A8">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_Toc11239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_Toc11239 \h </w:instrText>
          </w:r>
          <w:r>
            <w:rPr>
              <w:b/>
            </w:rPr>
            <w:fldChar w:fldCharType="separate"/>
          </w:r>
          <w:r>
            <w:rPr>
              <w:b/>
            </w:rPr>
            <w:t>28</w:t>
          </w:r>
          <w:r>
            <w:rPr>
              <w:b/>
            </w:rPr>
            <w:fldChar w:fldCharType="end"/>
          </w:r>
          <w:r>
            <w:rPr>
              <w:rFonts w:hint="eastAsia" w:ascii="黑体" w:hAnsi="黑体" w:eastAsia="黑体"/>
              <w:b/>
              <w:color w:val="auto"/>
              <w:highlight w:val="none"/>
            </w:rPr>
            <w:fldChar w:fldCharType="end"/>
          </w:r>
        </w:p>
        <w:p w14:paraId="654E0895">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_Toc26851 </w:instrText>
          </w:r>
          <w:r>
            <w:rPr>
              <w:rFonts w:hint="eastAsia" w:ascii="宋体" w:hAnsi="宋体" w:eastAsia="宋体" w:cs="宋体"/>
              <w:highlight w:val="none"/>
            </w:rPr>
            <w:fldChar w:fldCharType="separate"/>
          </w:r>
          <w:r>
            <w:rPr>
              <w:rFonts w:hint="eastAsia" w:ascii="宋体" w:hAnsi="宋体" w:eastAsia="宋体" w:cs="宋体"/>
              <w:highlight w:val="none"/>
            </w:rPr>
            <w:t>一、收</w:t>
          </w:r>
          <w:r>
            <w:rPr>
              <w:rFonts w:hint="eastAsia" w:ascii="宋体" w:hAnsi="宋体" w:eastAsia="宋体" w:cs="宋体"/>
              <w:bCs w:val="0"/>
              <w:highlight w:val="none"/>
            </w:rPr>
            <w:t>入支出决算总表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_Toc26851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256EDB6">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_Toc24950 </w:instrText>
          </w:r>
          <w:r>
            <w:rPr>
              <w:rFonts w:hint="eastAsia" w:ascii="宋体" w:hAnsi="宋体" w:eastAsia="宋体" w:cs="宋体"/>
              <w:highlight w:val="none"/>
            </w:rPr>
            <w:fldChar w:fldCharType="separate"/>
          </w:r>
          <w:r>
            <w:rPr>
              <w:rFonts w:hint="eastAsia" w:ascii="宋体" w:hAnsi="宋体" w:eastAsia="宋体" w:cs="宋体"/>
              <w:highlight w:val="none"/>
            </w:rPr>
            <w:t>二、收</w:t>
          </w:r>
          <w:r>
            <w:rPr>
              <w:rFonts w:hint="eastAsia" w:ascii="宋体" w:hAnsi="宋体" w:eastAsia="宋体" w:cs="宋体"/>
              <w:bCs w:val="0"/>
              <w:highlight w:val="none"/>
            </w:rPr>
            <w:t>入决算表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_Toc24950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C0D4A59">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_Toc18391 </w:instrText>
          </w:r>
          <w:r>
            <w:rPr>
              <w:rFonts w:hint="eastAsia" w:ascii="宋体" w:hAnsi="宋体" w:eastAsia="宋体" w:cs="宋体"/>
              <w:highlight w:val="none"/>
            </w:rPr>
            <w:fldChar w:fldCharType="separate"/>
          </w:r>
          <w:r>
            <w:rPr>
              <w:rFonts w:hint="eastAsia" w:ascii="宋体" w:hAnsi="宋体" w:eastAsia="宋体" w:cs="宋体"/>
              <w:bCs w:val="0"/>
              <w:highlight w:val="none"/>
            </w:rPr>
            <w:t>三、</w:t>
          </w:r>
          <w:r>
            <w:rPr>
              <w:rFonts w:hint="eastAsia" w:ascii="宋体" w:hAnsi="宋体" w:eastAsia="宋体" w:cs="宋体"/>
              <w:highlight w:val="none"/>
            </w:rPr>
            <w:t>支</w:t>
          </w:r>
          <w:r>
            <w:rPr>
              <w:rFonts w:hint="eastAsia" w:ascii="宋体" w:hAnsi="宋体" w:eastAsia="宋体" w:cs="宋体"/>
              <w:bCs w:val="0"/>
              <w:highlight w:val="none"/>
            </w:rPr>
            <w:t>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_Toc18391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B8EC188">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_Toc18522 </w:instrText>
          </w:r>
          <w:r>
            <w:rPr>
              <w:rFonts w:hint="eastAsia" w:ascii="宋体" w:hAnsi="宋体" w:eastAsia="宋体" w:cs="宋体"/>
              <w:highlight w:val="none"/>
            </w:rPr>
            <w:fldChar w:fldCharType="separate"/>
          </w:r>
          <w:r>
            <w:rPr>
              <w:rFonts w:hint="eastAsia" w:ascii="宋体" w:hAnsi="宋体" w:eastAsia="宋体" w:cs="宋体"/>
              <w:bCs w:val="0"/>
              <w:highlight w:val="none"/>
            </w:rPr>
            <w:t>四、</w:t>
          </w:r>
          <w:r>
            <w:rPr>
              <w:rFonts w:hint="eastAsia" w:ascii="宋体" w:hAnsi="宋体" w:eastAsia="宋体" w:cs="宋体"/>
              <w:highlight w:val="none"/>
            </w:rPr>
            <w:t>财</w:t>
          </w:r>
          <w:r>
            <w:rPr>
              <w:rFonts w:hint="eastAsia" w:ascii="宋体" w:hAnsi="宋体" w:eastAsia="宋体" w:cs="宋体"/>
              <w:bCs w:val="0"/>
              <w:highlight w:val="none"/>
            </w:rPr>
            <w:t>政拨款收入支出决算总表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32101CA">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 </w:instrText>
          </w:r>
          <w:r>
            <w:rPr>
              <w:rFonts w:hint="eastAsia" w:ascii="宋体" w:hAnsi="宋体" w:eastAsia="宋体" w:cs="宋体"/>
              <w:highlight w:val="none"/>
            </w:rPr>
            <w:fldChar w:fldCharType="separate"/>
          </w:r>
          <w:r>
            <w:rPr>
              <w:rFonts w:hint="eastAsia" w:ascii="宋体" w:hAnsi="宋体" w:eastAsia="宋体" w:cs="宋体"/>
              <w:bCs w:val="0"/>
              <w:highlight w:val="none"/>
            </w:rPr>
            <w:t>五、</w:t>
          </w:r>
          <w:r>
            <w:rPr>
              <w:rFonts w:hint="eastAsia" w:ascii="宋体" w:hAnsi="宋体" w:eastAsia="宋体" w:cs="宋体"/>
              <w:highlight w:val="none"/>
            </w:rPr>
            <w:t>财</w:t>
          </w:r>
          <w:r>
            <w:rPr>
              <w:rFonts w:hint="eastAsia" w:ascii="宋体" w:hAnsi="宋体" w:eastAsia="宋体" w:cs="宋体"/>
              <w:bCs w:val="0"/>
              <w:highlight w:val="none"/>
            </w:rPr>
            <w:t>政拨款支出决算明细表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3C6E0EC">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_Toc28860 </w:instrText>
          </w:r>
          <w:r>
            <w:rPr>
              <w:rFonts w:hint="eastAsia" w:ascii="宋体" w:hAnsi="宋体" w:eastAsia="宋体" w:cs="宋体"/>
              <w:highlight w:val="none"/>
            </w:rPr>
            <w:fldChar w:fldCharType="separate"/>
          </w:r>
          <w:r>
            <w:rPr>
              <w:rFonts w:hint="eastAsia" w:ascii="宋体" w:hAnsi="宋体" w:eastAsia="宋体" w:cs="宋体"/>
              <w:bCs w:val="0"/>
              <w:highlight w:val="none"/>
            </w:rPr>
            <w:t>六、</w:t>
          </w:r>
          <w:r>
            <w:rPr>
              <w:rFonts w:hint="eastAsia" w:ascii="宋体" w:hAnsi="宋体" w:eastAsia="宋体" w:cs="宋体"/>
              <w:highlight w:val="none"/>
            </w:rPr>
            <w:t>一</w:t>
          </w:r>
          <w:r>
            <w:rPr>
              <w:rFonts w:hint="eastAsia" w:ascii="宋体" w:hAnsi="宋体" w:eastAsia="宋体" w:cs="宋体"/>
              <w:bCs w:val="0"/>
              <w:highlight w:val="none"/>
            </w:rPr>
            <w:t>般公共预算财政拨款支出决算表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_Toc28860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DCFD983">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_Toc19729 </w:instrText>
          </w:r>
          <w:r>
            <w:rPr>
              <w:rFonts w:hint="eastAsia" w:ascii="宋体" w:hAnsi="宋体" w:eastAsia="宋体" w:cs="宋体"/>
              <w:highlight w:val="none"/>
            </w:rPr>
            <w:fldChar w:fldCharType="separate"/>
          </w:r>
          <w:r>
            <w:rPr>
              <w:rFonts w:hint="eastAsia" w:ascii="宋体" w:hAnsi="宋体" w:eastAsia="宋体" w:cs="宋体"/>
              <w:bCs w:val="0"/>
              <w:highlight w:val="none"/>
            </w:rPr>
            <w:t>七、</w:t>
          </w:r>
          <w:r>
            <w:rPr>
              <w:rFonts w:hint="eastAsia" w:ascii="宋体" w:hAnsi="宋体" w:eastAsia="宋体" w:cs="宋体"/>
              <w:highlight w:val="none"/>
            </w:rPr>
            <w:t>一</w:t>
          </w:r>
          <w:r>
            <w:rPr>
              <w:rFonts w:hint="eastAsia" w:ascii="宋体" w:hAnsi="宋体" w:eastAsia="宋体" w:cs="宋体"/>
              <w:bCs w:val="0"/>
              <w:highlight w:val="none"/>
            </w:rPr>
            <w:t>般公共预算财政拨款支出决算明细表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_Toc19729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E2360AE">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_Toc3011 </w:instrText>
          </w:r>
          <w:r>
            <w:rPr>
              <w:rFonts w:hint="eastAsia" w:ascii="宋体" w:hAnsi="宋体" w:eastAsia="宋体" w:cs="宋体"/>
              <w:highlight w:val="none"/>
            </w:rPr>
            <w:fldChar w:fldCharType="separate"/>
          </w:r>
          <w:r>
            <w:rPr>
              <w:rFonts w:hint="eastAsia" w:ascii="宋体" w:hAnsi="宋体" w:eastAsia="宋体" w:cs="宋体"/>
              <w:bCs w:val="0"/>
              <w:highlight w:val="none"/>
            </w:rPr>
            <w:t>八、</w:t>
          </w:r>
          <w:r>
            <w:rPr>
              <w:rFonts w:hint="eastAsia" w:ascii="宋体" w:hAnsi="宋体" w:eastAsia="宋体" w:cs="宋体"/>
              <w:highlight w:val="none"/>
            </w:rPr>
            <w:t>一</w:t>
          </w:r>
          <w:r>
            <w:rPr>
              <w:rFonts w:hint="eastAsia" w:ascii="宋体" w:hAnsi="宋体" w:eastAsia="宋体" w:cs="宋体"/>
              <w:bCs w:val="0"/>
              <w:highlight w:val="none"/>
            </w:rPr>
            <w:t>般公共预算财政拨款基本支出决算表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56233BC">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_Toc30670 </w:instrText>
          </w:r>
          <w:r>
            <w:rPr>
              <w:rFonts w:hint="eastAsia" w:ascii="宋体" w:hAnsi="宋体" w:eastAsia="宋体" w:cs="宋体"/>
              <w:highlight w:val="none"/>
            </w:rPr>
            <w:fldChar w:fldCharType="separate"/>
          </w:r>
          <w:r>
            <w:rPr>
              <w:rFonts w:hint="eastAsia" w:ascii="宋体" w:hAnsi="宋体" w:eastAsia="宋体" w:cs="宋体"/>
              <w:bCs w:val="0"/>
              <w:highlight w:val="none"/>
            </w:rPr>
            <w:t>九、</w:t>
          </w:r>
          <w:r>
            <w:rPr>
              <w:rFonts w:hint="eastAsia" w:ascii="宋体" w:hAnsi="宋体" w:eastAsia="宋体" w:cs="宋体"/>
              <w:highlight w:val="none"/>
            </w:rPr>
            <w:t>一</w:t>
          </w:r>
          <w:r>
            <w:rPr>
              <w:rFonts w:hint="eastAsia" w:ascii="宋体" w:hAnsi="宋体" w:eastAsia="宋体" w:cs="宋体"/>
              <w:bCs w:val="0"/>
              <w:highlight w:val="none"/>
            </w:rPr>
            <w:t>般公共预算财政拨款项目支出决算表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_Toc30670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A8141AA">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_Toc4532 </w:instrText>
          </w:r>
          <w:r>
            <w:rPr>
              <w:rFonts w:hint="eastAsia" w:ascii="宋体" w:hAnsi="宋体" w:eastAsia="宋体" w:cs="宋体"/>
              <w:highlight w:val="none"/>
            </w:rPr>
            <w:fldChar w:fldCharType="separate"/>
          </w:r>
          <w:r>
            <w:rPr>
              <w:rFonts w:hint="eastAsia" w:ascii="宋体" w:hAnsi="宋体" w:eastAsia="宋体" w:cs="宋体"/>
              <w:bCs w:val="0"/>
              <w:highlight w:val="none"/>
            </w:rPr>
            <w:t>十、</w:t>
          </w:r>
          <w:r>
            <w:rPr>
              <w:rFonts w:hint="eastAsia" w:ascii="宋体" w:hAnsi="宋体" w:eastAsia="宋体" w:cs="宋体"/>
              <w:highlight w:val="none"/>
            </w:rPr>
            <w:t>政</w:t>
          </w:r>
          <w:r>
            <w:rPr>
              <w:rFonts w:hint="eastAsia" w:ascii="宋体" w:hAnsi="宋体" w:eastAsia="宋体" w:cs="宋体"/>
              <w:bCs w:val="0"/>
              <w:highlight w:val="none"/>
            </w:rPr>
            <w:t>府性基金预算财政拨款收入支出决算表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_Toc4532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F7D7768">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_Toc26268 </w:instrText>
          </w:r>
          <w:r>
            <w:rPr>
              <w:rFonts w:hint="eastAsia" w:ascii="宋体" w:hAnsi="宋体" w:eastAsia="宋体" w:cs="宋体"/>
              <w:highlight w:val="none"/>
            </w:rPr>
            <w:fldChar w:fldCharType="separate"/>
          </w:r>
          <w:r>
            <w:rPr>
              <w:rFonts w:hint="eastAsia" w:ascii="宋体" w:hAnsi="宋体" w:eastAsia="宋体" w:cs="宋体"/>
              <w:bCs w:val="0"/>
              <w:highlight w:val="none"/>
            </w:rPr>
            <w:t>十一、</w:t>
          </w:r>
          <w:r>
            <w:rPr>
              <w:rFonts w:hint="eastAsia" w:ascii="宋体" w:hAnsi="宋体" w:eastAsia="宋体" w:cs="宋体"/>
              <w:highlight w:val="none"/>
            </w:rPr>
            <w:t>国</w:t>
          </w:r>
          <w:r>
            <w:rPr>
              <w:rFonts w:hint="eastAsia" w:ascii="宋体" w:hAnsi="宋体" w:eastAsia="宋体" w:cs="宋体"/>
              <w:bCs w:val="0"/>
              <w:highlight w:val="none"/>
            </w:rPr>
            <w:t>有资本经营预算</w:t>
          </w:r>
          <w:r>
            <w:rPr>
              <w:rFonts w:hint="eastAsia" w:ascii="宋体" w:hAnsi="宋体" w:eastAsia="宋体" w:cs="宋体"/>
              <w:bCs w:val="0"/>
              <w:highlight w:val="none"/>
              <w:lang w:eastAsia="zh-CN"/>
            </w:rPr>
            <w:t>财政拨款收入</w:t>
          </w:r>
          <w:r>
            <w:rPr>
              <w:rFonts w:hint="eastAsia" w:ascii="宋体" w:hAnsi="宋体" w:eastAsia="宋体" w:cs="宋体"/>
              <w:bCs w:val="0"/>
              <w:highlight w:val="none"/>
            </w:rPr>
            <w:t>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_Toc26268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AE41389">
          <w:pPr>
            <w:pStyle w:val="37"/>
            <w:tabs>
              <w:tab w:val="right" w:leader="dot" w:pos="8306"/>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_Toc2568 </w:instrText>
          </w:r>
          <w:r>
            <w:rPr>
              <w:rFonts w:hint="eastAsia" w:ascii="宋体" w:hAnsi="宋体" w:eastAsia="宋体" w:cs="宋体"/>
              <w:highlight w:val="none"/>
            </w:rPr>
            <w:fldChar w:fldCharType="separate"/>
          </w:r>
          <w:r>
            <w:rPr>
              <w:rFonts w:hint="eastAsia" w:ascii="宋体" w:hAnsi="宋体" w:eastAsia="宋体" w:cs="宋体"/>
              <w:bCs w:val="0"/>
              <w:highlight w:val="none"/>
            </w:rPr>
            <w:t>十二、</w:t>
          </w:r>
          <w:r>
            <w:rPr>
              <w:rFonts w:hint="eastAsia" w:ascii="宋体" w:hAnsi="宋体" w:eastAsia="宋体" w:cs="宋体"/>
              <w:bCs w:val="0"/>
              <w:highlight w:val="none"/>
              <w:lang w:eastAsia="zh-CN"/>
            </w:rPr>
            <w:t>国有资本经营预算财政拨款支出决算表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_Toc2568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5CBFAA1">
          <w:pPr>
            <w:pStyle w:val="37"/>
            <w:tabs>
              <w:tab w:val="right" w:leader="dot" w:pos="8306"/>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_Toc23436 </w:instrText>
          </w:r>
          <w:r>
            <w:rPr>
              <w:rFonts w:hint="eastAsia" w:ascii="宋体" w:hAnsi="宋体" w:eastAsia="宋体" w:cs="宋体"/>
              <w:highlight w:val="none"/>
            </w:rPr>
            <w:fldChar w:fldCharType="separate"/>
          </w:r>
          <w:r>
            <w:rPr>
              <w:rFonts w:hint="eastAsia" w:ascii="宋体" w:hAnsi="宋体" w:eastAsia="宋体" w:cs="宋体"/>
              <w:bCs w:val="0"/>
              <w:highlight w:val="none"/>
            </w:rPr>
            <w:t>十三、</w:t>
          </w:r>
          <w:r>
            <w:rPr>
              <w:rFonts w:hint="eastAsia" w:ascii="宋体" w:hAnsi="宋体" w:eastAsia="宋体" w:cs="宋体"/>
              <w:bCs w:val="0"/>
              <w:highlight w:val="none"/>
              <w:lang w:eastAsia="zh-CN"/>
            </w:rPr>
            <w:t>财政拨款“三公”经费支出决算表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_Toc23436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8B504E8">
          <w:pPr>
            <w:pStyle w:val="2"/>
            <w:jc w:val="both"/>
            <w:outlineLvl w:val="9"/>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黑体" w:hAnsi="黑体" w:eastAsia="黑体"/>
              <w:b/>
              <w:color w:val="auto"/>
              <w:highlight w:val="none"/>
            </w:rPr>
            <w:fldChar w:fldCharType="end"/>
          </w:r>
        </w:p>
      </w:sdtContent>
    </w:sdt>
    <w:p w14:paraId="033E0E25">
      <w:pPr>
        <w:pStyle w:val="2"/>
        <w:jc w:val="center"/>
        <w:rPr>
          <w:rStyle w:val="30"/>
          <w:rFonts w:ascii="黑体" w:hAnsi="黑体" w:eastAsia="黑体"/>
          <w:b/>
          <w:bCs w:val="0"/>
          <w:color w:val="auto"/>
          <w:highlight w:val="none"/>
        </w:rPr>
      </w:pPr>
      <w:bookmarkStart w:id="14" w:name="_Toc11195"/>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0"/>
          <w:rFonts w:hint="eastAsia" w:ascii="黑体" w:hAnsi="黑体" w:eastAsia="黑体"/>
          <w:b w:val="0"/>
          <w:bCs w:val="0"/>
          <w:color w:val="auto"/>
          <w:highlight w:val="none"/>
        </w:rPr>
        <w:t>概况</w:t>
      </w:r>
      <w:bookmarkEnd w:id="14"/>
    </w:p>
    <w:p w14:paraId="2F7C16BD">
      <w:pPr>
        <w:widowControl/>
        <w:jc w:val="left"/>
        <w:rPr>
          <w:rFonts w:ascii="黑体" w:eastAsia="黑体"/>
          <w:color w:val="auto"/>
          <w:sz w:val="32"/>
          <w:szCs w:val="32"/>
          <w:highlight w:val="none"/>
        </w:rPr>
      </w:pPr>
    </w:p>
    <w:p w14:paraId="6C9F174C">
      <w:pPr>
        <w:pStyle w:val="3"/>
        <w:numPr>
          <w:ilvl w:val="0"/>
          <w:numId w:val="1"/>
        </w:numPr>
        <w:rPr>
          <w:rStyle w:val="31"/>
          <w:rFonts w:hint="eastAsia" w:ascii="黑体" w:hAnsi="黑体" w:eastAsia="黑体"/>
          <w:b w:val="0"/>
          <w:bCs w:val="0"/>
          <w:color w:val="auto"/>
          <w:highlight w:val="none"/>
          <w:lang w:eastAsia="zh-CN"/>
        </w:rPr>
      </w:pPr>
      <w:bookmarkStart w:id="15" w:name="_Toc21500"/>
      <w:bookmarkStart w:id="16" w:name="_Toc15396600"/>
      <w:bookmarkStart w:id="17" w:name="_Toc15377197"/>
      <w:r>
        <w:rPr>
          <w:rStyle w:val="31"/>
          <w:rFonts w:hint="eastAsia" w:ascii="黑体" w:hAnsi="黑体" w:eastAsia="黑体"/>
          <w:b w:val="0"/>
          <w:bCs w:val="0"/>
          <w:color w:val="auto"/>
          <w:highlight w:val="none"/>
          <w:lang w:eastAsia="zh-CN"/>
        </w:rPr>
        <w:t>主要职责</w:t>
      </w:r>
      <w:bookmarkEnd w:id="15"/>
    </w:p>
    <w:p w14:paraId="28DB5356">
      <w:pPr>
        <w:adjustRightInd w:val="0"/>
        <w:snapToGrid w:val="0"/>
        <w:spacing w:line="600" w:lineRule="exact"/>
        <w:ind w:firstLine="640" w:firstLineChars="200"/>
        <w:rPr>
          <w:rFonts w:eastAsia="仿宋_GB2312"/>
          <w:color w:val="000000"/>
          <w:kern w:val="0"/>
          <w:sz w:val="32"/>
          <w:szCs w:val="32"/>
          <w:highlight w:val="none"/>
        </w:rPr>
      </w:pPr>
      <w:r>
        <w:rPr>
          <w:rFonts w:eastAsia="仿宋_GB2312"/>
          <w:color w:val="000000"/>
          <w:kern w:val="0"/>
          <w:sz w:val="32"/>
          <w:szCs w:val="32"/>
          <w:highlight w:val="none"/>
        </w:rPr>
        <w:t>我中心主要负责区委、区政府等区级机关事务保障和后勤服务工作，承担全区机关事务管理辅助性工作。具体职责为：负责区委、区政府机关集中办公区运行保障和后勤事务管理；负责区委、区政府机关房屋公共部位、共用设施（含给排水、电力系统、通讯网络、消防、电梯等）运行管理、维修改造；负责区委、区政府机关集中办公区公共区域卫生保洁、绿化美化、机关秩序维护和安全保卫等；负责区委、区政府机关集中办公区节能减排指导协调工作；负责全区集中管理公务用车的调度和管理，做好区级重大会议及重大活动的车辆保障；负责区委、区政府机关职工食堂运行和管理。</w:t>
      </w:r>
    </w:p>
    <w:p w14:paraId="1DAD6CA3">
      <w:pPr>
        <w:pStyle w:val="3"/>
        <w:numPr>
          <w:ilvl w:val="0"/>
          <w:numId w:val="0"/>
        </w:numPr>
        <w:rPr>
          <w:rFonts w:hint="eastAsia" w:ascii="黑体" w:hAnsi="黑体" w:eastAsia="黑体"/>
          <w:b w:val="0"/>
          <w:color w:val="auto"/>
          <w:highlight w:val="none"/>
          <w:lang w:val="en-US" w:eastAsia="zh-CN"/>
        </w:rPr>
      </w:pPr>
      <w:bookmarkStart w:id="18" w:name="_Toc29134"/>
      <w:r>
        <w:rPr>
          <w:rFonts w:hint="eastAsia" w:ascii="黑体" w:hAnsi="黑体" w:eastAsia="黑体"/>
          <w:b w:val="0"/>
          <w:color w:val="auto"/>
          <w:highlight w:val="none"/>
          <w:lang w:val="en-US" w:eastAsia="zh-CN"/>
        </w:rPr>
        <w:t>二、机构设置</w:t>
      </w:r>
      <w:bookmarkEnd w:id="18"/>
    </w:p>
    <w:bookmarkEnd w:id="16"/>
    <w:bookmarkEnd w:id="17"/>
    <w:p w14:paraId="7C72E4A2">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Calibri" w:hAnsi="Calibri" w:eastAsia="仿宋_GB2312" w:cs="Times New Roman"/>
          <w:color w:val="000000"/>
          <w:kern w:val="0"/>
          <w:sz w:val="32"/>
          <w:szCs w:val="32"/>
          <w:highlight w:val="none"/>
          <w:lang w:eastAsia="zh-CN"/>
        </w:rPr>
        <w:t>我</w:t>
      </w:r>
      <w:r>
        <w:rPr>
          <w:rFonts w:eastAsia="仿宋_GB2312"/>
          <w:color w:val="000000"/>
          <w:kern w:val="0"/>
          <w:sz w:val="32"/>
          <w:szCs w:val="32"/>
          <w:highlight w:val="none"/>
        </w:rPr>
        <w:t>中心为政府直属公益一类事业单位，归口区政府办公室管理</w:t>
      </w:r>
      <w:r>
        <w:rPr>
          <w:rFonts w:hint="eastAsia" w:eastAsia="仿宋_GB2312"/>
          <w:color w:val="000000"/>
          <w:kern w:val="0"/>
          <w:sz w:val="32"/>
          <w:szCs w:val="32"/>
          <w:highlight w:val="none"/>
          <w:lang w:eastAsia="zh-CN"/>
        </w:rPr>
        <w:t>。</w:t>
      </w:r>
      <w:r>
        <w:rPr>
          <w:rFonts w:eastAsia="仿宋_GB2312"/>
          <w:color w:val="000000"/>
          <w:kern w:val="0"/>
          <w:sz w:val="32"/>
          <w:szCs w:val="32"/>
          <w:highlight w:val="none"/>
        </w:rPr>
        <w:t>领导职数按照主任1名（正科级）、副主任2名（副科级）配备，</w:t>
      </w:r>
      <w:r>
        <w:rPr>
          <w:rFonts w:hint="eastAsia" w:eastAsia="仿宋_GB2312"/>
          <w:color w:val="000000"/>
          <w:kern w:val="0"/>
          <w:sz w:val="32"/>
          <w:szCs w:val="32"/>
          <w:highlight w:val="none"/>
          <w:lang w:eastAsia="zh-CN"/>
        </w:rPr>
        <w:t>内设</w:t>
      </w:r>
      <w:r>
        <w:rPr>
          <w:rFonts w:hint="eastAsia" w:eastAsia="仿宋_GB2312"/>
          <w:color w:val="000000"/>
          <w:kern w:val="0"/>
          <w:sz w:val="32"/>
          <w:szCs w:val="32"/>
          <w:highlight w:val="none"/>
          <w:lang w:val="en-US" w:eastAsia="zh-CN"/>
        </w:rPr>
        <w:t>4</w:t>
      </w:r>
      <w:r>
        <w:rPr>
          <w:rFonts w:hint="eastAsia" w:eastAsia="仿宋_GB2312"/>
          <w:color w:val="000000"/>
          <w:kern w:val="0"/>
          <w:sz w:val="32"/>
          <w:szCs w:val="32"/>
          <w:highlight w:val="none"/>
          <w:lang w:eastAsia="zh-CN"/>
        </w:rPr>
        <w:t>个中层股室，分别是综合股、财务股、公车服务股、后勤服务股。全额拨款事业编制</w:t>
      </w:r>
      <w:r>
        <w:rPr>
          <w:rFonts w:hint="eastAsia" w:eastAsia="仿宋_GB2312"/>
          <w:color w:val="000000"/>
          <w:kern w:val="0"/>
          <w:sz w:val="32"/>
          <w:szCs w:val="32"/>
          <w:highlight w:val="none"/>
          <w:lang w:val="en-US" w:eastAsia="zh-CN"/>
        </w:rPr>
        <w:t>8个，2023年12月底实有7人。</w:t>
      </w:r>
    </w:p>
    <w:p w14:paraId="7C008081">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F56AC54">
      <w:pPr>
        <w:pStyle w:val="2"/>
        <w:ind w:right="440"/>
        <w:jc w:val="center"/>
        <w:rPr>
          <w:rStyle w:val="30"/>
          <w:rFonts w:ascii="黑体" w:hAnsi="黑体" w:eastAsia="黑体"/>
          <w:b w:val="0"/>
          <w:bCs/>
          <w:color w:val="auto"/>
          <w:highlight w:val="none"/>
        </w:rPr>
      </w:pPr>
      <w:bookmarkStart w:id="19" w:name="_Toc15396602"/>
      <w:bookmarkStart w:id="20" w:name="_Toc15377204"/>
      <w:bookmarkStart w:id="21" w:name="_Toc2810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lang w:eastAsia="zh-CN"/>
        </w:rPr>
        <w:t>单位</w:t>
      </w:r>
      <w:r>
        <w:rPr>
          <w:rStyle w:val="30"/>
          <w:rFonts w:hint="eastAsia" w:ascii="黑体" w:hAnsi="黑体" w:eastAsia="黑体"/>
          <w:b w:val="0"/>
          <w:bCs/>
          <w:color w:val="auto"/>
          <w:highlight w:val="none"/>
        </w:rPr>
        <w:t>决算情况说明</w:t>
      </w:r>
      <w:bookmarkEnd w:id="19"/>
      <w:bookmarkEnd w:id="20"/>
      <w:bookmarkEnd w:id="21"/>
    </w:p>
    <w:p w14:paraId="668DDE4D">
      <w:pPr>
        <w:rPr>
          <w:color w:val="auto"/>
          <w:highlight w:val="none"/>
        </w:rPr>
      </w:pPr>
    </w:p>
    <w:p w14:paraId="60A8A813">
      <w:pPr>
        <w:pStyle w:val="29"/>
        <w:numPr>
          <w:ilvl w:val="0"/>
          <w:numId w:val="2"/>
        </w:numPr>
        <w:spacing w:line="600" w:lineRule="exact"/>
        <w:ind w:firstLineChars="0"/>
        <w:outlineLvl w:val="1"/>
        <w:rPr>
          <w:rStyle w:val="31"/>
          <w:rFonts w:ascii="黑体" w:hAnsi="黑体" w:eastAsia="黑体"/>
          <w:b w:val="0"/>
          <w:color w:val="auto"/>
          <w:highlight w:val="none"/>
        </w:rPr>
      </w:pPr>
      <w:bookmarkStart w:id="22" w:name="_Toc15377205"/>
      <w:bookmarkStart w:id="23" w:name="_Toc15396603"/>
      <w:bookmarkStart w:id="24" w:name="_Toc2814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2"/>
      <w:bookmarkEnd w:id="23"/>
      <w:bookmarkEnd w:id="24"/>
    </w:p>
    <w:p w14:paraId="493C3BF1">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年度收、支总计1,597.20万元。与20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17.14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2023年减少食堂运行费用及清退2020年目标绩效。</w:t>
      </w:r>
    </w:p>
    <w:p w14:paraId="10E7A2F1">
      <w:pPr>
        <w:spacing w:line="600" w:lineRule="exact"/>
        <w:ind w:firstLine="640" w:firstLineChars="200"/>
        <w:jc w:val="left"/>
        <w:rPr>
          <w:rFonts w:ascii="仿宋_GB2312" w:eastAsia="仿宋_GB2312"/>
          <w:color w:val="auto"/>
          <w:sz w:val="32"/>
          <w:szCs w:val="32"/>
          <w:highlight w:val="none"/>
        </w:rPr>
      </w:pPr>
    </w:p>
    <w:p w14:paraId="1644AA54">
      <w:pPr>
        <w:pStyle w:val="5"/>
        <w:rPr>
          <w:rFonts w:ascii="仿宋_GB2312" w:eastAsia="仿宋_GB2312"/>
          <w:color w:val="auto"/>
          <w:sz w:val="32"/>
          <w:szCs w:val="32"/>
          <w:highlight w:val="none"/>
        </w:rPr>
      </w:pPr>
      <w:r>
        <w:drawing>
          <wp:inline distT="0" distB="0" distL="114300" distR="114300">
            <wp:extent cx="5260340" cy="2750820"/>
            <wp:effectExtent l="4445" t="4445" r="1206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43736C">
      <w:pPr>
        <w:pStyle w:val="5"/>
        <w:rPr>
          <w:rFonts w:ascii="仿宋_GB2312" w:eastAsia="仿宋_GB2312"/>
          <w:color w:val="auto"/>
          <w:sz w:val="32"/>
          <w:szCs w:val="32"/>
          <w:highlight w:val="none"/>
        </w:rPr>
      </w:pPr>
    </w:p>
    <w:p w14:paraId="19505E62">
      <w:pPr>
        <w:pStyle w:val="29"/>
        <w:numPr>
          <w:ilvl w:val="0"/>
          <w:numId w:val="2"/>
        </w:numPr>
        <w:spacing w:line="600" w:lineRule="exact"/>
        <w:ind w:firstLineChars="0"/>
        <w:outlineLvl w:val="1"/>
        <w:rPr>
          <w:rStyle w:val="31"/>
          <w:rFonts w:ascii="黑体" w:hAnsi="黑体" w:eastAsia="黑体"/>
          <w:b w:val="0"/>
          <w:color w:val="auto"/>
          <w:highlight w:val="none"/>
        </w:rPr>
      </w:pPr>
      <w:bookmarkStart w:id="25" w:name="_Toc29659"/>
      <w:bookmarkStart w:id="26" w:name="_Toc15396604"/>
      <w:bookmarkStart w:id="27"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5"/>
      <w:bookmarkEnd w:id="26"/>
      <w:bookmarkEnd w:id="27"/>
    </w:p>
    <w:p w14:paraId="2DC1EDCA">
      <w:pPr>
        <w:spacing w:line="600" w:lineRule="exact"/>
        <w:ind w:firstLine="640" w:firstLineChars="200"/>
        <w:outlineLvl w:val="1"/>
        <w:rPr>
          <w:rFonts w:ascii="仿宋" w:hAnsi="仿宋" w:eastAsia="仿宋"/>
          <w:color w:val="auto"/>
          <w:sz w:val="32"/>
          <w:szCs w:val="32"/>
          <w:highlight w:val="none"/>
        </w:rPr>
      </w:pPr>
      <w:bookmarkStart w:id="28" w:name="_Toc2633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年本年收入合计1,369.53万元，其中：一般公共预算财政拨款收入1,261.67万元，占</w:t>
      </w:r>
      <w:r>
        <w:rPr>
          <w:rFonts w:hint="eastAsia" w:ascii="仿宋" w:hAnsi="仿宋" w:eastAsia="仿宋"/>
          <w:color w:val="auto"/>
          <w:sz w:val="32"/>
          <w:szCs w:val="32"/>
          <w:highlight w:val="none"/>
          <w:lang w:val="en-US" w:eastAsia="zh-CN"/>
        </w:rPr>
        <w:t>92.12</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；其他收入107.86万元，占</w:t>
      </w:r>
      <w:r>
        <w:rPr>
          <w:rFonts w:hint="eastAsia" w:ascii="仿宋" w:hAnsi="仿宋" w:eastAsia="仿宋"/>
          <w:color w:val="auto"/>
          <w:sz w:val="32"/>
          <w:szCs w:val="32"/>
          <w:highlight w:val="none"/>
          <w:lang w:val="en-US" w:eastAsia="zh-CN"/>
        </w:rPr>
        <w:t>7.88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8"/>
    </w:p>
    <w:p w14:paraId="58B9492B">
      <w:pPr>
        <w:pStyle w:val="5"/>
        <w:rPr>
          <w:rFonts w:ascii="仿宋_GB2312" w:eastAsia="仿宋_GB2312"/>
          <w:color w:val="auto"/>
          <w:sz w:val="32"/>
          <w:szCs w:val="32"/>
          <w:highlight w:val="none"/>
        </w:rPr>
      </w:pPr>
    </w:p>
    <w:p w14:paraId="612CCD1C">
      <w:pPr>
        <w:pStyle w:val="5"/>
        <w:rPr>
          <w:rFonts w:ascii="仿宋_GB2312" w:eastAsia="仿宋_GB2312"/>
          <w:color w:val="auto"/>
          <w:sz w:val="32"/>
          <w:szCs w:val="32"/>
          <w:highlight w:val="none"/>
        </w:rPr>
      </w:pPr>
    </w:p>
    <w:p w14:paraId="3422E62F">
      <w:pPr>
        <w:pStyle w:val="5"/>
        <w:rPr>
          <w:rFonts w:ascii="仿宋_GB2312" w:eastAsia="仿宋_GB2312"/>
          <w:color w:val="auto"/>
          <w:sz w:val="32"/>
          <w:szCs w:val="32"/>
          <w:highlight w:val="none"/>
        </w:rPr>
      </w:pPr>
      <w: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483D42">
      <w:pPr>
        <w:pStyle w:val="5"/>
        <w:rPr>
          <w:rFonts w:ascii="仿宋_GB2312" w:eastAsia="仿宋_GB2312"/>
          <w:color w:val="auto"/>
          <w:sz w:val="32"/>
          <w:szCs w:val="32"/>
          <w:highlight w:val="none"/>
        </w:rPr>
      </w:pPr>
    </w:p>
    <w:p w14:paraId="2424F000">
      <w:pPr>
        <w:pStyle w:val="29"/>
        <w:numPr>
          <w:ilvl w:val="0"/>
          <w:numId w:val="2"/>
        </w:numPr>
        <w:spacing w:line="600" w:lineRule="exact"/>
        <w:ind w:firstLineChars="0"/>
        <w:outlineLvl w:val="1"/>
        <w:rPr>
          <w:rStyle w:val="31"/>
          <w:rFonts w:ascii="黑体" w:hAnsi="黑体" w:eastAsia="黑体"/>
          <w:b w:val="0"/>
          <w:color w:val="auto"/>
          <w:highlight w:val="none"/>
        </w:rPr>
      </w:pPr>
      <w:bookmarkStart w:id="29" w:name="_Toc15377207"/>
      <w:bookmarkStart w:id="30" w:name="_Toc15396605"/>
      <w:bookmarkStart w:id="31" w:name="_Toc30654"/>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9"/>
      <w:bookmarkEnd w:id="30"/>
      <w:bookmarkEnd w:id="31"/>
    </w:p>
    <w:p w14:paraId="097C8EBF">
      <w:pPr>
        <w:spacing w:line="600" w:lineRule="exact"/>
        <w:ind w:firstLine="640" w:firstLineChars="200"/>
        <w:outlineLvl w:val="1"/>
        <w:rPr>
          <w:rFonts w:ascii="仿宋" w:hAnsi="仿宋" w:eastAsia="仿宋"/>
          <w:color w:val="auto"/>
          <w:sz w:val="32"/>
          <w:szCs w:val="32"/>
          <w:highlight w:val="none"/>
        </w:rPr>
      </w:pPr>
      <w:bookmarkStart w:id="32" w:name="_Toc2426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年本年支出合计1,261.67万元，其中：基本支出</w:t>
      </w:r>
      <w:r>
        <w:rPr>
          <w:rFonts w:hint="eastAsia" w:ascii="仿宋_GB2312" w:hAnsi="仿宋" w:eastAsia="仿宋_GB2312"/>
          <w:sz w:val="32"/>
          <w:szCs w:val="32"/>
          <w:highlight w:val="none"/>
          <w:lang w:val="en-US" w:eastAsia="zh-CN"/>
        </w:rPr>
        <w:t>418.30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33.15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_GB2312" w:hAnsi="仿宋" w:eastAsia="仿宋_GB2312"/>
          <w:sz w:val="32"/>
          <w:szCs w:val="32"/>
          <w:highlight w:val="none"/>
          <w:lang w:val="en-US" w:eastAsia="zh-CN"/>
        </w:rPr>
        <w:t>843.37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p>
    <w:p w14:paraId="1C236E26">
      <w:pPr>
        <w:spacing w:line="600" w:lineRule="exact"/>
        <w:ind w:firstLine="640" w:firstLineChars="200"/>
        <w:outlineLvl w:val="9"/>
        <w:rPr>
          <w:rFonts w:ascii="仿宋_GB2312" w:eastAsia="仿宋_GB2312"/>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-29210</wp:posOffset>
            </wp:positionH>
            <wp:positionV relativeFrom="paragraph">
              <wp:posOffset>379095</wp:posOffset>
            </wp:positionV>
            <wp:extent cx="5380990" cy="2680335"/>
            <wp:effectExtent l="4445" t="4445" r="5715" b="2032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96422CA">
      <w:pPr>
        <w:spacing w:line="600" w:lineRule="exact"/>
        <w:ind w:firstLine="640" w:firstLineChars="200"/>
        <w:outlineLvl w:val="1"/>
        <w:rPr>
          <w:rStyle w:val="31"/>
          <w:rFonts w:ascii="黑体" w:hAnsi="黑体" w:eastAsia="黑体"/>
          <w:b w:val="0"/>
          <w:color w:val="auto"/>
          <w:highlight w:val="none"/>
        </w:rPr>
      </w:pPr>
      <w:bookmarkStart w:id="33" w:name="_Toc15396606"/>
      <w:bookmarkStart w:id="34" w:name="_Toc15377208"/>
      <w:bookmarkStart w:id="35" w:name="_Toc5741"/>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33"/>
      <w:bookmarkEnd w:id="34"/>
      <w:bookmarkEnd w:id="35"/>
    </w:p>
    <w:p w14:paraId="71605B58">
      <w:pPr>
        <w:snapToGrid w:val="0"/>
        <w:spacing w:line="520" w:lineRule="exact"/>
        <w:ind w:firstLine="640" w:firstLineChars="200"/>
        <w:rPr>
          <w:rFonts w:hint="eastAsia" w:ascii="仿宋_GB2312" w:hAnsi="仿宋" w:eastAsia="仿宋_GB2312"/>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年财政拨款收、支总计1,261.67万元。与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86.19万元，下降6.39%</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_GB2312" w:hAnsi="仿宋" w:eastAsia="仿宋_GB2312"/>
          <w:sz w:val="32"/>
          <w:szCs w:val="32"/>
          <w:highlight w:val="none"/>
          <w:lang w:val="en-US" w:eastAsia="zh-CN"/>
        </w:rPr>
        <w:t>2023年减少食堂运行费用及清退2020年目标绩效。</w:t>
      </w:r>
    </w:p>
    <w:p w14:paraId="0F388E55">
      <w:pPr>
        <w:spacing w:line="600" w:lineRule="exact"/>
        <w:ind w:firstLine="640"/>
        <w:rPr>
          <w:rFonts w:hint="eastAsia" w:ascii="仿宋" w:hAnsi="仿宋" w:eastAsia="仿宋"/>
          <w:color w:val="auto"/>
          <w:sz w:val="32"/>
          <w:szCs w:val="32"/>
          <w:highlight w:val="yellow"/>
          <w:lang w:eastAsia="zh-CN"/>
        </w:rPr>
      </w:pPr>
    </w:p>
    <w:p w14:paraId="05D89B19">
      <w:pPr>
        <w:pStyle w:val="5"/>
      </w:pPr>
    </w:p>
    <w:p w14:paraId="00920516">
      <w:pPr>
        <w:pStyle w:val="5"/>
        <w:rPr>
          <w:rFonts w:ascii="仿宋" w:hAnsi="仿宋" w:eastAsia="仿宋"/>
          <w:b/>
          <w:color w:val="auto"/>
          <w:sz w:val="32"/>
          <w:szCs w:val="32"/>
          <w:highlight w:val="none"/>
        </w:rPr>
      </w:pPr>
      <w:r>
        <w:rPr>
          <w:rFonts w:hint="eastAsia" w:ascii="仿宋" w:hAnsi="仿宋" w:eastAsia="仿宋"/>
          <w:color w:val="auto"/>
          <w:sz w:val="32"/>
          <w:szCs w:val="32"/>
          <w:lang w:eastAsia="zh-CN"/>
        </w:rPr>
        <w:drawing>
          <wp:anchor distT="0" distB="0" distL="114300" distR="114300" simplePos="0" relativeHeight="251662336" behindDoc="0" locked="0" layoutInCell="1" allowOverlap="1">
            <wp:simplePos x="0" y="0"/>
            <wp:positionH relativeFrom="column">
              <wp:posOffset>65405</wp:posOffset>
            </wp:positionH>
            <wp:positionV relativeFrom="paragraph">
              <wp:posOffset>57150</wp:posOffset>
            </wp:positionV>
            <wp:extent cx="5347335" cy="2362835"/>
            <wp:effectExtent l="4445" t="4445" r="20320" b="1397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BA39AF">
      <w:pPr>
        <w:spacing w:line="600" w:lineRule="exact"/>
        <w:ind w:firstLine="640" w:firstLineChars="200"/>
        <w:outlineLvl w:val="1"/>
        <w:rPr>
          <w:rStyle w:val="31"/>
          <w:rFonts w:ascii="黑体" w:hAnsi="黑体" w:eastAsia="黑体"/>
          <w:b w:val="0"/>
          <w:color w:val="auto"/>
          <w:highlight w:val="none"/>
        </w:rPr>
      </w:pPr>
      <w:bookmarkStart w:id="36" w:name="_Toc15377209"/>
      <w:bookmarkStart w:id="37" w:name="_Toc15388"/>
      <w:bookmarkStart w:id="3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36"/>
      <w:bookmarkEnd w:id="37"/>
      <w:bookmarkEnd w:id="38"/>
    </w:p>
    <w:p w14:paraId="1DE432CC">
      <w:pPr>
        <w:spacing w:line="600" w:lineRule="exact"/>
        <w:ind w:firstLine="643" w:firstLineChars="200"/>
        <w:outlineLvl w:val="2"/>
        <w:rPr>
          <w:rFonts w:ascii="仿宋" w:hAnsi="仿宋" w:eastAsia="仿宋"/>
          <w:b/>
          <w:color w:val="auto"/>
          <w:sz w:val="32"/>
          <w:szCs w:val="32"/>
          <w:highlight w:val="none"/>
        </w:rPr>
      </w:pPr>
      <w:bookmarkStart w:id="39" w:name="_Toc15377210"/>
      <w:r>
        <w:rPr>
          <w:rFonts w:hint="eastAsia" w:ascii="仿宋" w:hAnsi="仿宋" w:eastAsia="仿宋"/>
          <w:b/>
          <w:color w:val="auto"/>
          <w:sz w:val="32"/>
          <w:szCs w:val="32"/>
          <w:highlight w:val="none"/>
        </w:rPr>
        <w:t>（一）一般公共预算财政拨款支出决算总体情况</w:t>
      </w:r>
      <w:bookmarkEnd w:id="39"/>
    </w:p>
    <w:p w14:paraId="75587807">
      <w:pPr>
        <w:snapToGrid w:val="0"/>
        <w:spacing w:line="520" w:lineRule="exact"/>
        <w:ind w:firstLine="640" w:firstLineChars="200"/>
        <w:rPr>
          <w:rFonts w:hint="eastAsia" w:ascii="仿宋_GB2312" w:hAnsi="仿宋" w:eastAsia="仿宋_GB2312"/>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年一般公共预算财政拨款支出1,261.67万元，占本年支出合计的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86.19万元，下降6.39%</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2023年减少食堂运行费用及清退2020年目标绩效。</w:t>
      </w:r>
    </w:p>
    <w:p w14:paraId="0C4E5FA4">
      <w:pPr>
        <w:spacing w:line="600" w:lineRule="exact"/>
        <w:ind w:firstLine="640"/>
        <w:rPr>
          <w:rFonts w:hint="eastAsia" w:ascii="仿宋" w:hAnsi="仿宋" w:eastAsia="仿宋"/>
          <w:color w:val="auto"/>
          <w:sz w:val="32"/>
          <w:szCs w:val="32"/>
          <w:highlight w:val="yellow"/>
          <w:lang w:eastAsia="zh-CN"/>
        </w:rPr>
      </w:pPr>
    </w:p>
    <w:p w14:paraId="65024769">
      <w:pPr>
        <w:spacing w:line="600" w:lineRule="exact"/>
        <w:ind w:firstLine="640" w:firstLineChars="200"/>
        <w:rPr>
          <w:rFonts w:ascii="仿宋" w:hAnsi="仿宋" w:eastAsia="仿宋"/>
          <w:color w:val="auto"/>
          <w:sz w:val="32"/>
          <w:szCs w:val="32"/>
          <w:highlight w:val="none"/>
        </w:rPr>
      </w:pPr>
      <w:r>
        <w:rPr>
          <w:rFonts w:hint="default" w:ascii="仿宋" w:hAnsi="仿宋" w:eastAsia="仿宋"/>
          <w:color w:val="000000"/>
          <w:sz w:val="32"/>
          <w:szCs w:val="32"/>
          <w:lang w:val="en-US" w:eastAsia="zh-CN"/>
        </w:rPr>
        <w:drawing>
          <wp:anchor distT="0" distB="0" distL="114300" distR="114300" simplePos="0" relativeHeight="251663360" behindDoc="0" locked="0" layoutInCell="1" allowOverlap="1">
            <wp:simplePos x="0" y="0"/>
            <wp:positionH relativeFrom="column">
              <wp:posOffset>105410</wp:posOffset>
            </wp:positionH>
            <wp:positionV relativeFrom="paragraph">
              <wp:posOffset>428625</wp:posOffset>
            </wp:positionV>
            <wp:extent cx="5270500" cy="2155190"/>
            <wp:effectExtent l="5080" t="4445" r="2032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12A087">
      <w:pPr>
        <w:spacing w:line="600" w:lineRule="exact"/>
        <w:rPr>
          <w:rFonts w:ascii="仿宋" w:hAnsi="仿宋" w:eastAsia="仿宋"/>
          <w:color w:val="auto"/>
          <w:sz w:val="32"/>
          <w:szCs w:val="32"/>
          <w:highlight w:val="none"/>
        </w:rPr>
      </w:pPr>
    </w:p>
    <w:p w14:paraId="2CBC6802">
      <w:pPr>
        <w:pStyle w:val="20"/>
        <w:rPr>
          <w:rFonts w:ascii="仿宋" w:hAnsi="仿宋" w:eastAsia="仿宋"/>
          <w:color w:val="auto"/>
          <w:sz w:val="32"/>
          <w:szCs w:val="32"/>
          <w:highlight w:val="none"/>
        </w:rPr>
      </w:pPr>
    </w:p>
    <w:p w14:paraId="0EB23010"/>
    <w:p w14:paraId="578A8714">
      <w:pPr>
        <w:spacing w:line="600" w:lineRule="exact"/>
        <w:ind w:firstLine="643" w:firstLineChars="200"/>
        <w:outlineLvl w:val="2"/>
        <w:rPr>
          <w:rFonts w:ascii="仿宋" w:hAnsi="仿宋" w:eastAsia="仿宋"/>
          <w:b/>
          <w:color w:val="auto"/>
          <w:sz w:val="32"/>
          <w:szCs w:val="32"/>
          <w:highlight w:val="none"/>
        </w:rPr>
      </w:pPr>
      <w:bookmarkStart w:id="40" w:name="_Toc15377211"/>
      <w:r>
        <w:rPr>
          <w:rFonts w:hint="eastAsia" w:ascii="仿宋" w:hAnsi="仿宋" w:eastAsia="仿宋"/>
          <w:b/>
          <w:color w:val="auto"/>
          <w:sz w:val="32"/>
          <w:szCs w:val="32"/>
          <w:highlight w:val="none"/>
        </w:rPr>
        <w:t>（二）一般公共预算财政拨款支出决算结构情况</w:t>
      </w:r>
      <w:bookmarkEnd w:id="40"/>
    </w:p>
    <w:p w14:paraId="0BBB92C9">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年一般公共预算财政拨款支出1,261.67万元，主要用于以下方面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一般公共服务支出</w:t>
      </w:r>
      <w:r>
        <w:rPr>
          <w:rFonts w:hint="eastAsia" w:ascii="仿宋" w:hAnsi="仿宋" w:eastAsia="仿宋"/>
          <w:color w:val="auto"/>
          <w:sz w:val="32"/>
          <w:szCs w:val="32"/>
          <w:highlight w:val="none"/>
          <w:lang w:val="en-US" w:eastAsia="zh-CN"/>
        </w:rPr>
        <w:t>1,233.03万元，占97.98%；</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13.21万元，占</w:t>
      </w:r>
      <w:r>
        <w:rPr>
          <w:rFonts w:hint="eastAsia" w:ascii="仿宋" w:hAnsi="仿宋" w:eastAsia="仿宋"/>
          <w:color w:val="auto"/>
          <w:sz w:val="32"/>
          <w:szCs w:val="32"/>
          <w:highlight w:val="none"/>
          <w:lang w:val="en-US" w:eastAsia="zh-CN"/>
        </w:rPr>
        <w:t>0.83%</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4.95万元，占</w:t>
      </w:r>
      <w:r>
        <w:rPr>
          <w:rFonts w:hint="eastAsia" w:ascii="仿宋" w:hAnsi="仿宋" w:eastAsia="仿宋"/>
          <w:color w:val="auto"/>
          <w:sz w:val="32"/>
          <w:szCs w:val="32"/>
          <w:highlight w:val="none"/>
          <w:lang w:val="en-US" w:eastAsia="zh-CN"/>
        </w:rPr>
        <w:t>0.37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10.48万元，占</w:t>
      </w:r>
      <w:r>
        <w:rPr>
          <w:rFonts w:hint="eastAsia" w:ascii="仿宋" w:hAnsi="仿宋" w:eastAsia="仿宋"/>
          <w:color w:val="auto"/>
          <w:sz w:val="32"/>
          <w:szCs w:val="32"/>
          <w:highlight w:val="none"/>
          <w:lang w:val="en-US" w:eastAsia="zh-CN"/>
        </w:rPr>
        <w:t>0.82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20A41BB">
      <w:pPr>
        <w:pStyle w:val="5"/>
        <w:rPr>
          <w:rFonts w:hint="eastAsia" w:ascii="仿宋" w:hAnsi="仿宋" w:eastAsia="仿宋"/>
          <w:b/>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48260</wp:posOffset>
            </wp:positionH>
            <wp:positionV relativeFrom="paragraph">
              <wp:posOffset>356870</wp:posOffset>
            </wp:positionV>
            <wp:extent cx="5241290" cy="3013710"/>
            <wp:effectExtent l="4445" t="4445" r="12065" b="107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1" w:name="_Toc15377212"/>
    </w:p>
    <w:p w14:paraId="7B630FB1">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1"/>
    </w:p>
    <w:p w14:paraId="3AB47B85">
      <w:pPr>
        <w:spacing w:line="600" w:lineRule="exact"/>
        <w:ind w:firstLine="643" w:firstLineChars="200"/>
        <w:outlineLvl w:val="2"/>
        <w:rPr>
          <w:rFonts w:ascii="仿宋" w:hAnsi="仿宋" w:eastAsia="仿宋"/>
          <w:color w:val="auto"/>
          <w:sz w:val="32"/>
          <w:szCs w:val="32"/>
          <w:highlight w:val="none"/>
        </w:rPr>
      </w:pPr>
      <w:bookmarkStart w:id="42" w:name="_Toc15378460"/>
      <w:bookmarkStart w:id="43" w:name="_Toc15377213"/>
      <w:bookmarkStart w:id="44"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般公共预算支出决算数为1261.67</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2"/>
      <w:bookmarkEnd w:id="43"/>
      <w:bookmarkEnd w:id="44"/>
    </w:p>
    <w:p w14:paraId="5417B2F9">
      <w:pPr>
        <w:numPr>
          <w:ilvl w:val="0"/>
          <w:numId w:val="3"/>
        </w:numPr>
        <w:spacing w:line="600" w:lineRule="exact"/>
        <w:ind w:left="0" w:leftChars="0" w:firstLine="397" w:firstLineChars="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 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39.85</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r>
        <w:rPr>
          <w:rStyle w:val="18"/>
          <w:rFonts w:hint="eastAsia" w:ascii="仿宋" w:hAnsi="仿宋" w:eastAsia="仿宋"/>
          <w:b w:val="0"/>
          <w:bCs/>
          <w:color w:val="auto"/>
          <w:sz w:val="32"/>
          <w:szCs w:val="32"/>
          <w:highlight w:val="none"/>
          <w:lang w:eastAsia="zh-CN"/>
        </w:rPr>
        <w:t>与预算持平。</w:t>
      </w:r>
    </w:p>
    <w:p w14:paraId="72FA9AED">
      <w:pPr>
        <w:numPr>
          <w:ilvl w:val="0"/>
          <w:numId w:val="3"/>
        </w:numPr>
        <w:spacing w:line="600" w:lineRule="exact"/>
        <w:ind w:left="0" w:leftChars="0" w:firstLine="397" w:firstLineChars="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）事业运行（</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389.65</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r>
        <w:rPr>
          <w:rStyle w:val="18"/>
          <w:rFonts w:hint="eastAsia" w:ascii="仿宋" w:hAnsi="仿宋" w:eastAsia="仿宋"/>
          <w:b w:val="0"/>
          <w:bCs/>
          <w:color w:val="auto"/>
          <w:sz w:val="32"/>
          <w:szCs w:val="32"/>
          <w:highlight w:val="none"/>
          <w:lang w:eastAsia="zh-CN"/>
        </w:rPr>
        <w:t>与预算持平。</w:t>
      </w:r>
    </w:p>
    <w:p w14:paraId="482EAB3E">
      <w:pPr>
        <w:numPr>
          <w:ilvl w:val="0"/>
          <w:numId w:val="3"/>
        </w:numPr>
        <w:spacing w:line="600" w:lineRule="exact"/>
        <w:ind w:left="0" w:leftChars="0" w:firstLine="397" w:firstLineChars="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 其他政府办公厅（室）及相关机构事务支出（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803.53</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r>
        <w:rPr>
          <w:rStyle w:val="18"/>
          <w:rFonts w:hint="eastAsia" w:ascii="仿宋" w:hAnsi="仿宋" w:eastAsia="仿宋"/>
          <w:b w:val="0"/>
          <w:bCs/>
          <w:color w:val="auto"/>
          <w:sz w:val="32"/>
          <w:szCs w:val="32"/>
          <w:highlight w:val="none"/>
          <w:lang w:eastAsia="zh-CN"/>
        </w:rPr>
        <w:t>与预算持平。</w:t>
      </w:r>
    </w:p>
    <w:p w14:paraId="2D8E0957">
      <w:pPr>
        <w:numPr>
          <w:ilvl w:val="0"/>
          <w:numId w:val="3"/>
        </w:numPr>
        <w:spacing w:line="600" w:lineRule="exact"/>
        <w:ind w:left="0" w:leftChars="0" w:firstLine="397" w:firstLineChars="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rPr>
        <w:t xml:space="preserve">社会保障和就业支出（208）行政事业单位养老支出（05）  机关事业单位基本养老保险缴费支出项（05）: </w:t>
      </w:r>
      <w:r>
        <w:rPr>
          <w:rStyle w:val="18"/>
          <w:rFonts w:hint="eastAsia" w:ascii="仿宋" w:hAnsi="仿宋" w:eastAsia="仿宋"/>
          <w:b w:val="0"/>
          <w:bCs/>
          <w:color w:val="auto"/>
          <w:sz w:val="32"/>
          <w:szCs w:val="32"/>
          <w:highlight w:val="none"/>
        </w:rPr>
        <w:t>支出决算为11.98万元，完成预算100%，决算数与预算数持平。</w:t>
      </w:r>
      <w:r>
        <w:rPr>
          <w:rStyle w:val="18"/>
          <w:rFonts w:hint="eastAsia" w:ascii="仿宋" w:hAnsi="仿宋" w:eastAsia="仿宋"/>
          <w:b w:val="0"/>
          <w:bCs/>
          <w:color w:val="auto"/>
          <w:sz w:val="32"/>
          <w:szCs w:val="32"/>
          <w:highlight w:val="none"/>
          <w:lang w:val="en-US" w:eastAsia="zh-CN"/>
        </w:rPr>
        <w:t xml:space="preserve">             </w:t>
      </w:r>
    </w:p>
    <w:p w14:paraId="1B6511F6">
      <w:pPr>
        <w:numPr>
          <w:ilvl w:val="0"/>
          <w:numId w:val="3"/>
        </w:numPr>
        <w:spacing w:line="600" w:lineRule="exact"/>
        <w:ind w:left="0" w:leftChars="0" w:firstLine="397" w:firstLineChars="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社会保障和就业支出（208</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残疾人事业（</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 xml:space="preserve">）  残疾人就业（05）: </w:t>
      </w:r>
      <w:r>
        <w:rPr>
          <w:rStyle w:val="18"/>
          <w:rFonts w:hint="eastAsia" w:ascii="仿宋" w:hAnsi="仿宋" w:eastAsia="仿宋"/>
          <w:b w:val="0"/>
          <w:bCs/>
          <w:color w:val="auto"/>
          <w:sz w:val="32"/>
          <w:szCs w:val="32"/>
          <w:highlight w:val="none"/>
        </w:rPr>
        <w:t>支出决算为0.82万元，完成预算100%，决算数与预算数持平。</w:t>
      </w:r>
    </w:p>
    <w:p w14:paraId="37547D24">
      <w:pPr>
        <w:numPr>
          <w:ilvl w:val="0"/>
          <w:numId w:val="3"/>
        </w:numPr>
        <w:spacing w:line="600" w:lineRule="exact"/>
        <w:ind w:left="0" w:leftChars="0" w:firstLine="397" w:firstLineChars="0"/>
        <w:rPr>
          <w:rFonts w:ascii="仿宋" w:hAnsi="仿宋" w:eastAsia="仿宋"/>
          <w:bCs/>
          <w:color w:val="000000"/>
          <w:sz w:val="32"/>
          <w:szCs w:val="32"/>
        </w:rPr>
      </w:pPr>
      <w:r>
        <w:rPr>
          <w:rStyle w:val="18"/>
          <w:rFonts w:hint="eastAsia" w:ascii="仿宋" w:hAnsi="仿宋" w:eastAsia="仿宋"/>
          <w:bCs/>
          <w:color w:val="auto"/>
          <w:sz w:val="32"/>
          <w:szCs w:val="32"/>
          <w:highlight w:val="none"/>
        </w:rPr>
        <w:t>社会保障和就业支出（208）其他社会保障和就业支出（99）其他社会保障和就业支出（99）:</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0.41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，决算数与预算数持平。</w:t>
      </w:r>
    </w:p>
    <w:p w14:paraId="39BD55E9">
      <w:pPr>
        <w:numPr>
          <w:ilvl w:val="0"/>
          <w:numId w:val="3"/>
        </w:numPr>
        <w:spacing w:line="600" w:lineRule="exact"/>
        <w:ind w:left="0" w:leftChars="0" w:firstLine="397" w:firstLineChars="0"/>
        <w:rPr>
          <w:rFonts w:ascii="仿宋" w:hAnsi="仿宋" w:eastAsia="仿宋"/>
          <w:bCs/>
          <w:color w:val="000000"/>
          <w:sz w:val="32"/>
          <w:szCs w:val="32"/>
        </w:rPr>
      </w:pPr>
      <w:r>
        <w:rPr>
          <w:rStyle w:val="18"/>
          <w:rFonts w:hint="eastAsia" w:ascii="仿宋" w:hAnsi="仿宋" w:eastAsia="仿宋"/>
          <w:bCs/>
          <w:color w:val="auto"/>
          <w:sz w:val="32"/>
          <w:szCs w:val="32"/>
          <w:highlight w:val="none"/>
        </w:rPr>
        <w:t>卫生健康支出（210）行政事业单位医疗（11）事业单位医疗（02）:</w:t>
      </w:r>
      <w:r>
        <w:rPr>
          <w:rStyle w:val="18"/>
          <w:rFonts w:hint="eastAsia" w:ascii="仿宋" w:hAnsi="仿宋" w:eastAsia="仿宋"/>
          <w:b w:val="0"/>
          <w:bCs/>
          <w:color w:val="000000"/>
          <w:sz w:val="32"/>
          <w:szCs w:val="32"/>
        </w:rPr>
        <w:t>支出决算为3.91万元，完成预算100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，决算数与预算数持平。</w:t>
      </w:r>
    </w:p>
    <w:p w14:paraId="284A38BC">
      <w:pPr>
        <w:numPr>
          <w:ilvl w:val="0"/>
          <w:numId w:val="3"/>
        </w:numPr>
        <w:spacing w:line="600" w:lineRule="exact"/>
        <w:ind w:left="0" w:leftChars="0" w:firstLine="397" w:firstLineChars="0"/>
        <w:rPr>
          <w:rFonts w:ascii="仿宋" w:hAnsi="仿宋" w:eastAsia="仿宋"/>
          <w:bCs/>
          <w:color w:val="000000"/>
          <w:sz w:val="32"/>
          <w:szCs w:val="32"/>
        </w:rPr>
      </w:pPr>
      <w:r>
        <w:rPr>
          <w:rStyle w:val="18"/>
          <w:rFonts w:hint="eastAsia" w:ascii="仿宋" w:hAnsi="仿宋" w:eastAsia="仿宋"/>
          <w:bCs/>
          <w:color w:val="auto"/>
          <w:sz w:val="32"/>
          <w:szCs w:val="32"/>
          <w:highlight w:val="none"/>
        </w:rPr>
        <w:t>卫生健康支出（210）行政事业单位医疗（11） 公务员医疗补助（03）:</w:t>
      </w:r>
      <w:r>
        <w:rPr>
          <w:rStyle w:val="18"/>
          <w:rFonts w:hint="eastAsia" w:ascii="仿宋" w:hAnsi="仿宋" w:eastAsia="仿宋"/>
          <w:b w:val="0"/>
          <w:bCs/>
          <w:color w:val="000000"/>
          <w:sz w:val="32"/>
          <w:szCs w:val="32"/>
        </w:rPr>
        <w:t>支出决算为1.04万元，完成预算100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，决算数与预算数持平。</w:t>
      </w:r>
    </w:p>
    <w:p w14:paraId="541B45B4">
      <w:pPr>
        <w:numPr>
          <w:ilvl w:val="0"/>
          <w:numId w:val="3"/>
        </w:numPr>
        <w:spacing w:line="600" w:lineRule="exact"/>
        <w:ind w:left="0" w:leftChars="0" w:firstLine="397" w:firstLineChars="0"/>
        <w:rPr>
          <w:rFonts w:ascii="仿宋" w:hAnsi="仿宋" w:eastAsia="仿宋"/>
          <w:bCs/>
          <w:color w:val="000000"/>
          <w:sz w:val="32"/>
          <w:szCs w:val="32"/>
        </w:rPr>
      </w:pPr>
      <w:r>
        <w:rPr>
          <w:rStyle w:val="18"/>
          <w:rFonts w:hint="eastAsia" w:ascii="仿宋" w:hAnsi="仿宋" w:eastAsia="仿宋"/>
          <w:bCs/>
          <w:color w:val="auto"/>
          <w:sz w:val="32"/>
          <w:szCs w:val="32"/>
          <w:highlight w:val="none"/>
        </w:rPr>
        <w:t>住房保障支出（</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）住房</w:t>
      </w:r>
      <w:r>
        <w:rPr>
          <w:rStyle w:val="18"/>
          <w:rFonts w:hint="eastAsia" w:ascii="仿宋" w:hAnsi="仿宋" w:eastAsia="仿宋"/>
          <w:bCs/>
          <w:color w:val="auto"/>
          <w:sz w:val="32"/>
          <w:szCs w:val="32"/>
          <w:highlight w:val="none"/>
          <w:lang w:eastAsia="zh-CN"/>
        </w:rPr>
        <w:t>改革</w:t>
      </w:r>
      <w:r>
        <w:rPr>
          <w:rStyle w:val="18"/>
          <w:rFonts w:hint="eastAsia" w:ascii="仿宋" w:hAnsi="仿宋" w:eastAsia="仿宋"/>
          <w:bCs/>
          <w:color w:val="auto"/>
          <w:sz w:val="32"/>
          <w:szCs w:val="32"/>
          <w:highlight w:val="none"/>
        </w:rPr>
        <w:t>支出（02） 住房公积金（01）：</w:t>
      </w:r>
      <w:r>
        <w:rPr>
          <w:rStyle w:val="18"/>
          <w:rFonts w:hint="eastAsia" w:ascii="仿宋" w:hAnsi="仿宋" w:eastAsia="仿宋"/>
          <w:b w:val="0"/>
          <w:bCs/>
          <w:color w:val="000000"/>
          <w:sz w:val="32"/>
          <w:szCs w:val="32"/>
        </w:rPr>
        <w:t>支出决算为10.48万元，完成预算100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，决算数与预算数持平。</w:t>
      </w:r>
    </w:p>
    <w:p w14:paraId="22288E79">
      <w:pPr>
        <w:spacing w:line="600" w:lineRule="exact"/>
        <w:rPr>
          <w:rFonts w:ascii="仿宋" w:hAnsi="仿宋" w:eastAsia="仿宋"/>
          <w:b/>
          <w:color w:val="auto"/>
          <w:sz w:val="32"/>
          <w:szCs w:val="32"/>
          <w:highlight w:val="none"/>
        </w:rPr>
      </w:pPr>
    </w:p>
    <w:p w14:paraId="6BD577D1">
      <w:pPr>
        <w:tabs>
          <w:tab w:val="right" w:pos="8306"/>
        </w:tabs>
        <w:spacing w:line="600" w:lineRule="exact"/>
        <w:ind w:firstLine="640"/>
        <w:outlineLvl w:val="1"/>
        <w:rPr>
          <w:rStyle w:val="31"/>
          <w:color w:val="auto"/>
          <w:highlight w:val="none"/>
        </w:rPr>
      </w:pPr>
      <w:bookmarkStart w:id="45" w:name="_Toc15396608"/>
      <w:bookmarkStart w:id="46" w:name="_Toc15377214"/>
      <w:bookmarkStart w:id="47" w:name="_Toc2776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45"/>
      <w:bookmarkEnd w:id="46"/>
      <w:bookmarkEnd w:id="47"/>
      <w:r>
        <w:rPr>
          <w:rStyle w:val="31"/>
          <w:rFonts w:ascii="黑体" w:hAnsi="黑体" w:eastAsia="黑体"/>
          <w:b w:val="0"/>
          <w:color w:val="auto"/>
          <w:highlight w:val="none"/>
        </w:rPr>
        <w:tab/>
      </w:r>
    </w:p>
    <w:p w14:paraId="3083CA74">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418.30</w:t>
      </w:r>
      <w:r>
        <w:rPr>
          <w:rFonts w:hint="eastAsia" w:ascii="仿宋" w:hAnsi="仿宋" w:eastAsia="仿宋"/>
          <w:color w:val="auto"/>
          <w:sz w:val="32"/>
          <w:szCs w:val="32"/>
          <w:highlight w:val="none"/>
        </w:rPr>
        <w:t>万元，其中：</w:t>
      </w:r>
    </w:p>
    <w:p w14:paraId="4C436EDA">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人员经费111.54万元，主要包括：基本工资、津贴补贴、绩效工资、机关事业单位基本养老保险缴费、职工基本医疗保险缴费、公务员医疗补助缴费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306.76</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邮电费、  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劳务费、公务用车运行维护费、其他商品和服务支出。</w:t>
      </w:r>
    </w:p>
    <w:p w14:paraId="13753266">
      <w:pPr>
        <w:spacing w:line="600" w:lineRule="exact"/>
        <w:ind w:firstLine="640"/>
        <w:rPr>
          <w:rFonts w:ascii="仿宋" w:hAnsi="仿宋" w:eastAsia="仿宋"/>
          <w:b/>
          <w:color w:val="auto"/>
          <w:sz w:val="32"/>
          <w:szCs w:val="32"/>
          <w:highlight w:val="none"/>
        </w:rPr>
      </w:pPr>
    </w:p>
    <w:p w14:paraId="3F8C814D">
      <w:pPr>
        <w:spacing w:line="600" w:lineRule="exact"/>
        <w:ind w:firstLine="640"/>
        <w:outlineLvl w:val="1"/>
        <w:rPr>
          <w:rStyle w:val="31"/>
          <w:rFonts w:ascii="黑体" w:hAnsi="黑体" w:eastAsia="黑体"/>
          <w:b w:val="0"/>
          <w:color w:val="auto"/>
          <w:highlight w:val="none"/>
        </w:rPr>
      </w:pPr>
      <w:bookmarkStart w:id="48" w:name="_Toc15396609"/>
      <w:bookmarkStart w:id="49" w:name="_Toc15377215"/>
      <w:bookmarkStart w:id="50" w:name="_Toc8601"/>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48"/>
      <w:bookmarkEnd w:id="49"/>
      <w:bookmarkEnd w:id="50"/>
    </w:p>
    <w:p w14:paraId="308D204B">
      <w:pPr>
        <w:spacing w:line="600"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14:paraId="0EAC68CC">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282.79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增加3.77万元，增长1.35%。</w:t>
      </w:r>
      <w:r>
        <w:rPr>
          <w:rFonts w:hint="eastAsia" w:ascii="仿宋" w:hAnsi="仿宋" w:eastAsia="仿宋"/>
          <w:color w:val="auto"/>
          <w:sz w:val="32"/>
          <w:szCs w:val="32"/>
          <w:highlight w:val="none"/>
        </w:rPr>
        <w:t>决算数与预算数持平。</w:t>
      </w:r>
    </w:p>
    <w:p w14:paraId="2FF0AD50">
      <w:pPr>
        <w:spacing w:line="600"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14:paraId="5AD90246">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282.79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136938C">
      <w:pPr>
        <w:pStyle w:val="5"/>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65405</wp:posOffset>
            </wp:positionH>
            <wp:positionV relativeFrom="paragraph">
              <wp:posOffset>292100</wp:posOffset>
            </wp:positionV>
            <wp:extent cx="5080000" cy="2380615"/>
            <wp:effectExtent l="5080" t="4445" r="20320"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7CCABDF">
      <w:pPr>
        <w:numPr>
          <w:ilvl w:val="0"/>
          <w:numId w:val="0"/>
        </w:numPr>
        <w:spacing w:line="600" w:lineRule="exact"/>
        <w:ind w:firstLine="643" w:firstLineChars="200"/>
        <w:rPr>
          <w:rFonts w:hint="eastAsia" w:ascii="仿宋_GB2312" w:eastAsia="仿宋_GB2312"/>
          <w:b/>
          <w:color w:val="000000"/>
          <w:sz w:val="32"/>
          <w:szCs w:val="32"/>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000000"/>
          <w:sz w:val="32"/>
          <w:szCs w:val="32"/>
          <w:lang w:val="en-US" w:eastAsia="zh-CN"/>
        </w:rPr>
        <w:t>2023年未安</w:t>
      </w:r>
      <w:r>
        <w:rPr>
          <w:rFonts w:hint="eastAsia" w:ascii="仿宋_GB2312" w:eastAsia="仿宋_GB2312"/>
          <w:b w:val="0"/>
          <w:bCs w:val="0"/>
          <w:color w:val="000000"/>
          <w:sz w:val="32"/>
          <w:szCs w:val="32"/>
          <w:lang w:val="en-US" w:eastAsia="zh-CN"/>
        </w:rPr>
        <w:t>排</w:t>
      </w:r>
      <w:r>
        <w:rPr>
          <w:rFonts w:hint="eastAsia" w:ascii="仿宋_GB2312" w:eastAsia="仿宋_GB2312"/>
          <w:b w:val="0"/>
          <w:bCs w:val="0"/>
          <w:color w:val="000000"/>
          <w:sz w:val="32"/>
          <w:szCs w:val="32"/>
        </w:rPr>
        <w:t>因公出国（境）经费支出</w:t>
      </w:r>
      <w:r>
        <w:rPr>
          <w:rFonts w:hint="eastAsia" w:ascii="仿宋_GB2312" w:eastAsia="仿宋_GB2312"/>
          <w:b/>
          <w:color w:val="000000"/>
          <w:sz w:val="32"/>
          <w:szCs w:val="32"/>
          <w:lang w:val="en-US" w:eastAsia="zh-CN"/>
        </w:rPr>
        <w:t>。</w:t>
      </w:r>
    </w:p>
    <w:p w14:paraId="762B34CF">
      <w:pPr>
        <w:snapToGrid w:val="0"/>
        <w:spacing w:line="520" w:lineRule="exact"/>
        <w:ind w:firstLine="643" w:firstLineChars="200"/>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282.79</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4.39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1.58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s="仿宋"/>
          <w:sz w:val="32"/>
          <w:szCs w:val="32"/>
          <w:highlight w:val="none"/>
          <w:lang w:val="en-US" w:eastAsia="zh-CN"/>
        </w:rPr>
        <w:t>派车次数增多，导致燃油费（过路费）增加、车辆老旧导致维修次数增加。</w:t>
      </w:r>
    </w:p>
    <w:p w14:paraId="10F5AFA9">
      <w:pPr>
        <w:spacing w:line="600" w:lineRule="exact"/>
        <w:ind w:firstLine="640" w:firstLineChars="200"/>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35.98</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新能源</w:t>
      </w:r>
      <w:r>
        <w:rPr>
          <w:rFonts w:hint="eastAsia" w:ascii="仿宋_GB2312" w:eastAsia="仿宋_GB2312"/>
          <w:color w:val="auto"/>
          <w:sz w:val="32"/>
          <w:szCs w:val="32"/>
          <w:highlight w:val="none"/>
        </w:rPr>
        <w:t>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辆、金额35.98万元，越野车0辆、金额0万元，载客汽车0辆、金额0万元。截至202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年12月底，单位共有公务用车</w:t>
      </w:r>
      <w:r>
        <w:rPr>
          <w:rFonts w:hint="eastAsia" w:ascii="仿宋_GB2312" w:eastAsia="仿宋_GB2312"/>
          <w:color w:val="auto"/>
          <w:sz w:val="32"/>
          <w:szCs w:val="32"/>
          <w:highlight w:val="none"/>
          <w:lang w:val="en-US" w:eastAsia="zh-CN"/>
        </w:rPr>
        <w:t>66</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商务车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新能源轿</w:t>
      </w:r>
      <w:r>
        <w:rPr>
          <w:rFonts w:hint="eastAsia" w:ascii="仿宋_GB2312" w:eastAsia="仿宋_GB2312"/>
          <w:color w:val="auto"/>
          <w:sz w:val="32"/>
          <w:szCs w:val="32"/>
          <w:highlight w:val="none"/>
        </w:rPr>
        <w:t>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中型客</w:t>
      </w:r>
      <w:r>
        <w:rPr>
          <w:rFonts w:hint="eastAsia" w:ascii="仿宋_GB2312" w:eastAsia="仿宋_GB2312"/>
          <w:color w:val="auto"/>
          <w:sz w:val="32"/>
          <w:szCs w:val="32"/>
          <w:highlight w:val="none"/>
        </w:rPr>
        <w:t>车1辆。</w:t>
      </w:r>
    </w:p>
    <w:p w14:paraId="5FA88130">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246.81</w:t>
      </w:r>
      <w:r>
        <w:rPr>
          <w:rFonts w:hint="eastAsia" w:ascii="仿宋_GB2312" w:eastAsia="仿宋_GB2312"/>
          <w:color w:val="auto"/>
          <w:sz w:val="32"/>
          <w:szCs w:val="32"/>
          <w:highlight w:val="none"/>
        </w:rPr>
        <w:t>万元。</w:t>
      </w:r>
      <w:r>
        <w:rPr>
          <w:rFonts w:hint="eastAsia" w:ascii="仿宋" w:hAnsi="仿宋" w:eastAsia="仿宋"/>
          <w:color w:val="000000"/>
          <w:sz w:val="32"/>
          <w:szCs w:val="32"/>
          <w:highlight w:val="none"/>
        </w:rPr>
        <w:t>主要用于</w:t>
      </w:r>
      <w:r>
        <w:rPr>
          <w:rFonts w:hint="eastAsia" w:ascii="仿宋_GB2312" w:eastAsia="仿宋_GB2312"/>
          <w:color w:val="auto"/>
          <w:sz w:val="32"/>
          <w:szCs w:val="32"/>
          <w:highlight w:val="none"/>
          <w:lang w:val="en-US" w:eastAsia="zh-CN"/>
        </w:rPr>
        <w:t>66辆车</w:t>
      </w:r>
      <w:r>
        <w:rPr>
          <w:rFonts w:hint="eastAsia" w:ascii="仿宋_GB2312" w:eastAsia="仿宋_GB2312"/>
          <w:color w:val="auto"/>
          <w:sz w:val="32"/>
          <w:szCs w:val="32"/>
          <w:highlight w:val="none"/>
        </w:rPr>
        <w:t>所需的公务用车燃料费、维修费、过路过桥费、保险费等支出。</w:t>
      </w:r>
    </w:p>
    <w:p w14:paraId="057B92DC">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0.62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本年未安排公务接待</w:t>
      </w:r>
      <w:r>
        <w:rPr>
          <w:rFonts w:hint="eastAsia" w:ascii="仿宋_GB2312" w:eastAsia="仿宋_GB2312"/>
          <w:color w:val="auto"/>
          <w:sz w:val="32"/>
          <w:szCs w:val="32"/>
          <w:highlight w:val="none"/>
        </w:rPr>
        <w:t>。其中：</w:t>
      </w:r>
    </w:p>
    <w:p w14:paraId="60B81E13">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F1D0874">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719C538">
      <w:pPr>
        <w:spacing w:line="600" w:lineRule="exact"/>
        <w:ind w:firstLine="640"/>
        <w:outlineLvl w:val="9"/>
        <w:rPr>
          <w:rFonts w:ascii="黑体" w:eastAsia="黑体"/>
          <w:color w:val="auto"/>
          <w:sz w:val="32"/>
          <w:szCs w:val="32"/>
          <w:highlight w:val="none"/>
        </w:rPr>
      </w:pPr>
      <w:bookmarkStart w:id="53" w:name="_Toc15396610"/>
      <w:bookmarkStart w:id="54" w:name="_Toc15377218"/>
    </w:p>
    <w:p w14:paraId="60D1DB0E">
      <w:pPr>
        <w:spacing w:line="600" w:lineRule="exact"/>
        <w:ind w:firstLine="640"/>
        <w:outlineLvl w:val="1"/>
        <w:rPr>
          <w:rStyle w:val="31"/>
          <w:rFonts w:ascii="黑体" w:hAnsi="黑体" w:eastAsia="黑体"/>
          <w:color w:val="auto"/>
          <w:highlight w:val="none"/>
        </w:rPr>
      </w:pPr>
      <w:bookmarkStart w:id="55" w:name="_Toc28736"/>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53"/>
      <w:bookmarkEnd w:id="54"/>
      <w:bookmarkEnd w:id="55"/>
    </w:p>
    <w:p w14:paraId="75413C1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22421AD">
      <w:pPr>
        <w:spacing w:line="600" w:lineRule="exact"/>
        <w:ind w:firstLine="640"/>
        <w:rPr>
          <w:rFonts w:ascii="仿宋_GB2312" w:eastAsia="仿宋_GB2312"/>
          <w:color w:val="auto"/>
          <w:sz w:val="32"/>
          <w:szCs w:val="32"/>
          <w:highlight w:val="none"/>
        </w:rPr>
      </w:pPr>
    </w:p>
    <w:p w14:paraId="7C4D7AB9">
      <w:pPr>
        <w:numPr>
          <w:ilvl w:val="0"/>
          <w:numId w:val="5"/>
        </w:numPr>
        <w:spacing w:line="600" w:lineRule="exact"/>
        <w:ind w:firstLine="640"/>
        <w:outlineLvl w:val="1"/>
        <w:rPr>
          <w:rStyle w:val="31"/>
          <w:rFonts w:ascii="黑体" w:hAnsi="黑体" w:eastAsia="黑体"/>
          <w:b w:val="0"/>
          <w:color w:val="auto"/>
          <w:highlight w:val="none"/>
        </w:rPr>
      </w:pPr>
      <w:bookmarkStart w:id="56" w:name="_Toc15396611"/>
      <w:bookmarkStart w:id="57" w:name="_Toc15377219"/>
      <w:bookmarkStart w:id="58" w:name="_Toc14375"/>
      <w:r>
        <w:rPr>
          <w:rStyle w:val="31"/>
          <w:rFonts w:hint="eastAsia" w:ascii="黑体" w:hAnsi="黑体" w:eastAsia="黑体"/>
          <w:b w:val="0"/>
          <w:color w:val="auto"/>
          <w:highlight w:val="none"/>
        </w:rPr>
        <w:t>国有资本经营预算支出决算情况说明</w:t>
      </w:r>
      <w:bookmarkEnd w:id="56"/>
      <w:bookmarkEnd w:id="57"/>
      <w:bookmarkEnd w:id="58"/>
    </w:p>
    <w:p w14:paraId="54DC9546">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8C97B42">
      <w:pPr>
        <w:spacing w:line="580" w:lineRule="exact"/>
        <w:jc w:val="center"/>
        <w:rPr>
          <w:rFonts w:ascii="方正小标宋简体" w:hAnsi="方正小标宋简体" w:eastAsia="方正小标宋简体" w:cs="方正小标宋简体"/>
          <w:color w:val="auto"/>
          <w:sz w:val="44"/>
          <w:szCs w:val="44"/>
          <w:highlight w:val="none"/>
        </w:rPr>
      </w:pPr>
    </w:p>
    <w:p w14:paraId="58A13191">
      <w:pPr>
        <w:numPr>
          <w:ilvl w:val="0"/>
          <w:numId w:val="5"/>
        </w:numPr>
        <w:spacing w:line="600" w:lineRule="exact"/>
        <w:ind w:firstLine="640"/>
        <w:outlineLvl w:val="1"/>
        <w:rPr>
          <w:rStyle w:val="31"/>
          <w:rFonts w:hint="eastAsia" w:ascii="黑体" w:hAnsi="黑体" w:eastAsia="黑体"/>
          <w:b w:val="0"/>
          <w:color w:val="auto"/>
          <w:highlight w:val="none"/>
        </w:rPr>
      </w:pPr>
      <w:bookmarkStart w:id="59" w:name="_Toc15377221"/>
      <w:bookmarkStart w:id="60" w:name="_Toc15396612"/>
      <w:bookmarkStart w:id="61" w:name="_Toc2830"/>
      <w:r>
        <w:rPr>
          <w:rStyle w:val="31"/>
          <w:rFonts w:hint="eastAsia" w:ascii="黑体" w:hAnsi="黑体" w:eastAsia="黑体"/>
          <w:b w:val="0"/>
          <w:color w:val="auto"/>
          <w:highlight w:val="none"/>
        </w:rPr>
        <w:t>其他重要事项的情况说明</w:t>
      </w:r>
      <w:bookmarkEnd w:id="59"/>
      <w:bookmarkEnd w:id="60"/>
      <w:bookmarkEnd w:id="61"/>
    </w:p>
    <w:p w14:paraId="118CED4E">
      <w:pPr>
        <w:spacing w:line="600" w:lineRule="exact"/>
        <w:ind w:firstLine="643" w:firstLineChars="200"/>
        <w:outlineLvl w:val="2"/>
        <w:rPr>
          <w:rFonts w:ascii="仿宋" w:hAnsi="仿宋" w:eastAsia="仿宋"/>
          <w:color w:val="auto"/>
          <w:sz w:val="32"/>
          <w:szCs w:val="32"/>
          <w:highlight w:val="none"/>
        </w:rPr>
      </w:pPr>
      <w:bookmarkStart w:id="62" w:name="_Toc15377222"/>
      <w:r>
        <w:rPr>
          <w:rFonts w:hint="eastAsia" w:ascii="仿宋" w:hAnsi="仿宋" w:eastAsia="仿宋"/>
          <w:b/>
          <w:color w:val="auto"/>
          <w:sz w:val="32"/>
          <w:szCs w:val="32"/>
          <w:highlight w:val="none"/>
        </w:rPr>
        <w:t>（一）机关运行经费支出情况</w:t>
      </w:r>
      <w:bookmarkEnd w:id="62"/>
    </w:p>
    <w:p w14:paraId="6EEFE8C3">
      <w:pPr>
        <w:spacing w:line="600" w:lineRule="exact"/>
        <w:ind w:firstLine="640" w:firstLineChars="200"/>
        <w:rPr>
          <w:rFonts w:hint="eastAsia" w:ascii="仿宋_GB2312" w:eastAsia="仿宋_GB2312"/>
          <w:color w:val="auto"/>
          <w:sz w:val="32"/>
          <w:szCs w:val="32"/>
          <w:highlight w:val="yellow"/>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船山区机关事务服务中心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eastAsia="仿宋_GB2312"/>
          <w:color w:val="000000"/>
          <w:sz w:val="32"/>
          <w:szCs w:val="32"/>
        </w:rPr>
        <w:t>年决算数持平。</w:t>
      </w:r>
    </w:p>
    <w:p w14:paraId="67D12A4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3" w:name="_Toc15377223"/>
      <w:r>
        <w:rPr>
          <w:rFonts w:hint="eastAsia" w:ascii="仿宋" w:hAnsi="仿宋" w:eastAsia="仿宋"/>
          <w:b/>
          <w:color w:val="auto"/>
          <w:sz w:val="32"/>
          <w:szCs w:val="32"/>
          <w:highlight w:val="none"/>
        </w:rPr>
        <w:t>（二）政府采购支出情况</w:t>
      </w:r>
      <w:bookmarkEnd w:id="63"/>
    </w:p>
    <w:p w14:paraId="0C8D0352">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船山区机关事务服务中心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35.98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35.98</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C87865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4" w:name="_Toc15377224"/>
      <w:r>
        <w:rPr>
          <w:rFonts w:hint="eastAsia" w:ascii="仿宋" w:hAnsi="仿宋" w:eastAsia="仿宋"/>
          <w:b/>
          <w:color w:val="auto"/>
          <w:sz w:val="32"/>
          <w:szCs w:val="32"/>
          <w:highlight w:val="none"/>
        </w:rPr>
        <w:t>（三）国有资产占有使用情况</w:t>
      </w:r>
      <w:bookmarkEnd w:id="64"/>
    </w:p>
    <w:p w14:paraId="3124D4D0">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年12月31日，船山区机关事务服务中心共有车辆6</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辆、机要通信用车0辆、应急保障用车</w:t>
      </w:r>
      <w:r>
        <w:rPr>
          <w:rFonts w:hint="eastAsia" w:ascii="仿宋_GB2312" w:eastAsia="仿宋_GB2312"/>
          <w:color w:val="auto"/>
          <w:sz w:val="32"/>
          <w:szCs w:val="32"/>
          <w:highlight w:val="none"/>
          <w:lang w:val="en-US" w:eastAsia="zh-CN"/>
        </w:rPr>
        <w:t>62</w:t>
      </w:r>
      <w:r>
        <w:rPr>
          <w:rFonts w:hint="eastAsia" w:ascii="仿宋_GB2312" w:eastAsia="仿宋_GB2312"/>
          <w:color w:val="auto"/>
          <w:sz w:val="32"/>
          <w:szCs w:val="32"/>
          <w:highlight w:val="none"/>
        </w:rPr>
        <w:t>辆、特种专业技术用车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辆、离退休干部用车0辆、其他用车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 。单价100万元以上专用设备0台（套）。</w:t>
      </w:r>
    </w:p>
    <w:p w14:paraId="67DA375D">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0D6E72B1">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eastAsia="zh-CN"/>
        </w:rPr>
        <w:t>食堂</w:t>
      </w:r>
      <w:r>
        <w:rPr>
          <w:rFonts w:hint="eastAsia" w:ascii="仿宋_GB2312" w:eastAsia="仿宋_GB2312" w:cs="Times New Roman"/>
          <w:color w:val="auto"/>
          <w:sz w:val="32"/>
          <w:szCs w:val="32"/>
          <w:highlight w:val="none"/>
          <w:lang w:val="en-US" w:eastAsia="zh-CN"/>
        </w:rPr>
        <w:t>执</w:t>
      </w:r>
      <w:r>
        <w:rPr>
          <w:rFonts w:hint="eastAsia" w:ascii="仿宋_GB2312" w:eastAsia="仿宋_GB2312" w:cs="Times New Roman"/>
          <w:color w:val="auto"/>
          <w:sz w:val="32"/>
          <w:szCs w:val="32"/>
          <w:highlight w:val="none"/>
          <w:lang w:eastAsia="zh-CN"/>
        </w:rPr>
        <w:t>行经费、后勤服务保障经费、机关服务工作经费、集中办公区水电费</w:t>
      </w:r>
      <w:r>
        <w:rPr>
          <w:rFonts w:hint="eastAsia" w:ascii="仿宋_GB2312" w:hAnsi="Times New Roman" w:eastAsia="仿宋_GB2312" w:cs="Times New Roman"/>
          <w:color w:val="auto"/>
          <w:sz w:val="32"/>
          <w:szCs w:val="32"/>
          <w:highlight w:val="none"/>
          <w:lang w:eastAsia="zh-CN"/>
        </w:rPr>
        <w:t>等</w:t>
      </w:r>
      <w:r>
        <w:rPr>
          <w:rFonts w:hint="default" w:ascii="仿宋_GB2312" w:eastAsia="仿宋_GB2312" w:cs="Times New Roman"/>
          <w:color w:val="auto"/>
          <w:sz w:val="32"/>
          <w:szCs w:val="32"/>
          <w:highlight w:val="none"/>
          <w:lang w:eastAsia="zh-CN"/>
        </w:rPr>
        <w:t>8</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default" w:ascii="仿宋_GB2312" w:eastAsia="仿宋_GB2312" w:cs="Times New Roman"/>
          <w:color w:val="auto"/>
          <w:sz w:val="32"/>
          <w:szCs w:val="32"/>
          <w:highlight w:val="none"/>
          <w:lang w:eastAsia="zh-CN"/>
        </w:rPr>
        <w:t>8</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7551C3BC">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14:paraId="5AD4B75F">
      <w:pPr>
        <w:numPr>
          <w:ilvl w:val="0"/>
          <w:numId w:val="6"/>
        </w:numPr>
        <w:spacing w:line="600" w:lineRule="exact"/>
        <w:ind w:firstLine="660" w:firstLineChars="150"/>
        <w:jc w:val="center"/>
        <w:outlineLvl w:val="0"/>
        <w:rPr>
          <w:rStyle w:val="30"/>
          <w:rFonts w:ascii="黑体" w:hAnsi="黑体" w:eastAsia="黑体"/>
          <w:b w:val="0"/>
          <w:color w:val="auto"/>
          <w:highlight w:val="none"/>
        </w:rPr>
      </w:pPr>
      <w:bookmarkStart w:id="65" w:name="_Toc15377225"/>
      <w:bookmarkStart w:id="66" w:name="_Toc15396613"/>
      <w:bookmarkStart w:id="67" w:name="_Toc32757"/>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65"/>
      <w:bookmarkEnd w:id="66"/>
      <w:bookmarkEnd w:id="67"/>
    </w:p>
    <w:p w14:paraId="397BDCB5">
      <w:pPr>
        <w:spacing w:line="600" w:lineRule="exact"/>
        <w:jc w:val="left"/>
        <w:rPr>
          <w:rFonts w:ascii="宋体"/>
          <w:b/>
          <w:color w:val="auto"/>
          <w:sz w:val="44"/>
          <w:szCs w:val="44"/>
          <w:highlight w:val="none"/>
        </w:rPr>
      </w:pPr>
    </w:p>
    <w:p w14:paraId="4AD809F1">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14:paraId="7D30F016">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w:t>
      </w:r>
    </w:p>
    <w:p w14:paraId="2C0FE67E">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8485025">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384AE6AF">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81ED6F5">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8EAE616">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68FF815">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14:paraId="5E80AB03">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一般公共服务（201）政府办公厅（室）及相关机构事务（03） 一般行政管理事务（02）: 反映行政单位（包括实行公务员管理的事业单位）的未单独设置项级科目的其他项目支出。</w:t>
      </w:r>
    </w:p>
    <w:p w14:paraId="68133E08">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一般公共服务（201）政府办公厅（室）及相关机构事务（03）事业运行（50）: 指反映事业单位的基本支出，不包括行政单位（包括实行公务员管理的事业单位）后勤服务中心、医务室等附属事业单位。</w:t>
      </w:r>
    </w:p>
    <w:p w14:paraId="20F1CF27">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一般公共服务（201）政府办公厅（室）及相关机构事务（03） 其他政府办公厅（室）及相关机构事务支出（99）: 反映除上述项目以外的其他政府办公厅（室）及相关机构事务支出。</w:t>
      </w:r>
    </w:p>
    <w:p w14:paraId="70B14913">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社会保障和就业支出（208）行政事业单位养老支出（05）  机关事业单位基本养老保险缴费支出项（05）: 反映机关事业单位实施养老保险制度由单位缴纳的基本养老保险费支出。           </w:t>
      </w:r>
    </w:p>
    <w:p w14:paraId="01BC2C04">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社会保障和就业支出（208）残疾人事业（11）  残疾人就业（05）:</w:t>
      </w:r>
      <w:r>
        <w:rPr>
          <w:rFonts w:hint="eastAsia" w:ascii="仿宋_GB2312" w:eastAsia="仿宋_GB2312"/>
          <w:color w:val="auto"/>
          <w:sz w:val="32"/>
          <w:szCs w:val="32"/>
          <w:highlight w:val="none"/>
          <w:lang w:eastAsia="zh-CN"/>
        </w:rPr>
        <w:t>反映残疾人联合会用于残疾人就业方面的支出。</w:t>
      </w:r>
    </w:p>
    <w:p w14:paraId="571188A9">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社会保障和就业支出（208）其他社会保障和就业支出（99）其他社会保障和就业支出（99）: 反映除上述项目以外其他用于社会保障和就业方面的支出。</w:t>
      </w:r>
    </w:p>
    <w:p w14:paraId="11A731DB">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卫生健康支出（210）行政事业单位医疗（11）事业单位医疗（02）:反映财政部门安排的事业单位基本医疗保险缴费经费，未参加医疗保险的事业单位的公费医疗经费，按国家规定享受离休人员待遇的医疗经费。</w:t>
      </w:r>
    </w:p>
    <w:p w14:paraId="4DEB11DD">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 公务员医疗补助（03）:反映财政部门安排的公务员医疗补助经费</w:t>
      </w:r>
      <w:r>
        <w:rPr>
          <w:rFonts w:hint="eastAsia" w:ascii="仿宋_GB2312" w:eastAsia="仿宋_GB2312"/>
          <w:color w:val="auto"/>
          <w:sz w:val="32"/>
          <w:szCs w:val="32"/>
          <w:highlight w:val="none"/>
          <w:lang w:eastAsia="zh-CN"/>
        </w:rPr>
        <w:t>。</w:t>
      </w:r>
    </w:p>
    <w:p w14:paraId="051D9730">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住房保障支出（221）住房改革支出（02） 住房公积金（01）：反映行政事业单位按人力资源和社会保障部、财政部规定的基本工资和津补贴以及规定比例为职工缴纳的住房公积金。</w:t>
      </w:r>
    </w:p>
    <w:p w14:paraId="3B3FCA10">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6A91EC0">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4DA5E05">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54DDC9">
      <w:pPr>
        <w:pStyle w:val="28"/>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CA78A2">
      <w:pPr>
        <w:pStyle w:val="28"/>
        <w:spacing w:line="560" w:lineRule="exact"/>
        <w:rPr>
          <w:rFonts w:ascii="仿宋_GB2312" w:eastAsia="仿宋_GB2312" w:cs="黑体"/>
          <w:color w:val="auto"/>
          <w:sz w:val="32"/>
          <w:szCs w:val="32"/>
          <w:highlight w:val="none"/>
        </w:rPr>
      </w:pPr>
    </w:p>
    <w:p w14:paraId="4F8F3CC0">
      <w:pPr>
        <w:spacing w:line="600" w:lineRule="exact"/>
        <w:jc w:val="center"/>
        <w:outlineLvl w:val="9"/>
        <w:rPr>
          <w:rFonts w:ascii="宋体"/>
          <w:b/>
          <w:color w:val="auto"/>
          <w:sz w:val="44"/>
          <w:szCs w:val="44"/>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68" w:name="_Toc15377226"/>
    </w:p>
    <w:p w14:paraId="4FCB7A0C">
      <w:pPr>
        <w:spacing w:line="600" w:lineRule="exact"/>
        <w:jc w:val="center"/>
        <w:outlineLvl w:val="0"/>
        <w:rPr>
          <w:rStyle w:val="30"/>
          <w:rFonts w:ascii="黑体" w:hAnsi="黑体" w:eastAsia="黑体"/>
          <w:b w:val="0"/>
          <w:color w:val="auto"/>
          <w:highlight w:val="none"/>
        </w:rPr>
      </w:pPr>
      <w:bookmarkStart w:id="69" w:name="_Toc20513"/>
      <w:bookmarkStart w:id="70" w:name="_Toc153966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69"/>
    </w:p>
    <w:p w14:paraId="2287E536">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tbl>
      <w:tblPr>
        <w:tblStyle w:val="15"/>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58"/>
        <w:gridCol w:w="524"/>
        <w:gridCol w:w="1675"/>
        <w:gridCol w:w="524"/>
        <w:gridCol w:w="1094"/>
        <w:gridCol w:w="510"/>
        <w:gridCol w:w="486"/>
        <w:gridCol w:w="2542"/>
      </w:tblGrid>
      <w:tr w14:paraId="05D2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5498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CF9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4E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495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51090322T000000340801-食堂运行经费</w:t>
            </w:r>
          </w:p>
        </w:tc>
      </w:tr>
      <w:tr w14:paraId="0987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40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E5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0A8D969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0B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28C6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FD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9E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73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36D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C9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0D29">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C190">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F2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2023年保障集中办公区</w:t>
            </w: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00人就餐，确保干部职工食品安全、身体健康，以饱满热情投入工作，为全区经济建设服</w:t>
            </w:r>
            <w:r>
              <w:rPr>
                <w:rFonts w:hint="eastAsia" w:ascii="宋体" w:hAnsi="宋体" w:cs="宋体"/>
                <w:i w:val="0"/>
                <w:iCs w:val="0"/>
                <w:color w:val="000000"/>
                <w:kern w:val="0"/>
                <w:sz w:val="18"/>
                <w:szCs w:val="18"/>
                <w:u w:val="none"/>
                <w:lang w:val="en-US" w:eastAsia="zh-CN" w:bidi="ar"/>
              </w:rPr>
              <w:t>好</w:t>
            </w:r>
            <w:bookmarkStart w:id="98" w:name="_GoBack"/>
            <w:bookmarkEnd w:id="98"/>
            <w:r>
              <w:rPr>
                <w:rFonts w:ascii="宋体" w:hAnsi="宋体" w:eastAsia="宋体" w:cs="宋体"/>
                <w:i w:val="0"/>
                <w:iCs w:val="0"/>
                <w:color w:val="000000"/>
                <w:kern w:val="0"/>
                <w:sz w:val="18"/>
                <w:szCs w:val="18"/>
                <w:u w:val="none"/>
                <w:lang w:val="en-US" w:eastAsia="zh-CN" w:bidi="ar"/>
              </w:rPr>
              <w:t>务。完成全区扶贫产品采购任务，支持贫困地区经济。厨具、餐具等设施设备维护，保障食堂正常运转。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6FEAD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充分发挥机关食堂职能作用，提升广大干部职工生活水平，优化机关干部职工就餐环境，确保良好的机关食堂运营秩序。</w:t>
            </w:r>
          </w:p>
          <w:p w14:paraId="2A5BA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2C83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F320">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28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7859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2EE5B2D4">
            <w:pPr>
              <w:rPr>
                <w:rFonts w:hint="eastAsia" w:ascii="宋体" w:hAnsi="宋体" w:eastAsia="宋体" w:cs="宋体"/>
                <w:i w:val="0"/>
                <w:iCs w:val="0"/>
                <w:color w:val="000000"/>
                <w:sz w:val="18"/>
                <w:szCs w:val="18"/>
                <w:u w:val="none"/>
              </w:rPr>
            </w:pPr>
          </w:p>
        </w:tc>
      </w:tr>
      <w:tr w14:paraId="6769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9E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8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0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6C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A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8B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7E6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8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1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8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145.88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4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4E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0763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80F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DCE4">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C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2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F2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145.88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6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5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F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EDA8">
            <w:pPr>
              <w:rPr>
                <w:rFonts w:hint="eastAsia" w:ascii="黑体" w:hAnsi="黑体" w:eastAsia="黑体" w:cs="黑体"/>
                <w:i/>
                <w:iCs/>
                <w:color w:val="000000"/>
                <w:sz w:val="18"/>
                <w:szCs w:val="18"/>
                <w:u w:val="none"/>
              </w:rPr>
            </w:pPr>
          </w:p>
        </w:tc>
      </w:tr>
      <w:tr w14:paraId="0370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4A2C">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D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60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A4EF">
            <w:pPr>
              <w:rPr>
                <w:rFonts w:hint="eastAsia" w:ascii="黑体" w:hAnsi="黑体" w:eastAsia="黑体" w:cs="黑体"/>
                <w:i/>
                <w:iCs/>
                <w:color w:val="000000"/>
                <w:sz w:val="18"/>
                <w:szCs w:val="18"/>
                <w:u w:val="none"/>
              </w:rPr>
            </w:pPr>
          </w:p>
        </w:tc>
      </w:tr>
      <w:tr w14:paraId="450C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E5C0">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27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1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88D0">
            <w:pPr>
              <w:rPr>
                <w:rFonts w:hint="eastAsia" w:ascii="黑体" w:hAnsi="黑体" w:eastAsia="黑体" w:cs="黑体"/>
                <w:i/>
                <w:iCs/>
                <w:color w:val="000000"/>
                <w:sz w:val="18"/>
                <w:szCs w:val="18"/>
                <w:u w:val="none"/>
              </w:rPr>
            </w:pPr>
          </w:p>
        </w:tc>
      </w:tr>
      <w:tr w14:paraId="0132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082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A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D1A">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FA7">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28007">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5D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0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155A">
            <w:pPr>
              <w:rPr>
                <w:rFonts w:hint="eastAsia" w:ascii="黑体" w:hAnsi="黑体" w:eastAsia="黑体" w:cs="黑体"/>
                <w:i/>
                <w:iCs/>
                <w:color w:val="000000"/>
                <w:sz w:val="18"/>
                <w:szCs w:val="18"/>
                <w:u w:val="none"/>
              </w:rPr>
            </w:pPr>
          </w:p>
        </w:tc>
      </w:tr>
      <w:tr w14:paraId="5B00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C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D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B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C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0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A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C6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91BE">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FD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FD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厨具餐具维护更新（按实更新）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4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5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42B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76A">
            <w:pPr>
              <w:jc w:val="center"/>
              <w:rPr>
                <w:rFonts w:hint="eastAsia" w:ascii="微软雅黑" w:hAnsi="微软雅黑" w:eastAsia="微软雅黑" w:cs="微软雅黑"/>
                <w:i/>
                <w:iCs/>
                <w:color w:val="000000"/>
                <w:sz w:val="16"/>
                <w:szCs w:val="16"/>
                <w:u w:val="none"/>
              </w:rPr>
            </w:pPr>
          </w:p>
        </w:tc>
      </w:tr>
      <w:tr w14:paraId="11EE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AF8E">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143C">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50AB">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3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干部职工用餐人数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F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3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5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4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849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B85">
            <w:pPr>
              <w:jc w:val="center"/>
              <w:rPr>
                <w:rFonts w:hint="eastAsia" w:ascii="微软雅黑" w:hAnsi="微软雅黑" w:eastAsia="微软雅黑" w:cs="微软雅黑"/>
                <w:i/>
                <w:iCs/>
                <w:color w:val="000000"/>
                <w:sz w:val="16"/>
                <w:szCs w:val="16"/>
                <w:u w:val="none"/>
              </w:rPr>
            </w:pPr>
          </w:p>
        </w:tc>
      </w:tr>
      <w:tr w14:paraId="01D1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E2DD">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0DA2">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6EE3">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扶贫产品任务采购资金</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1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27D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9FB">
            <w:pPr>
              <w:jc w:val="center"/>
              <w:rPr>
                <w:rFonts w:hint="eastAsia" w:ascii="微软雅黑" w:hAnsi="微软雅黑" w:eastAsia="微软雅黑" w:cs="微软雅黑"/>
                <w:i/>
                <w:iCs/>
                <w:color w:val="000000"/>
                <w:sz w:val="16"/>
                <w:szCs w:val="16"/>
                <w:u w:val="none"/>
              </w:rPr>
            </w:pPr>
          </w:p>
        </w:tc>
      </w:tr>
      <w:tr w14:paraId="1B18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5250">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3222">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厨具、餐具更新合格率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C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2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9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2D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E1E">
            <w:pPr>
              <w:jc w:val="center"/>
              <w:rPr>
                <w:rFonts w:hint="eastAsia" w:ascii="微软雅黑" w:hAnsi="微软雅黑" w:eastAsia="微软雅黑" w:cs="微软雅黑"/>
                <w:i/>
                <w:iCs/>
                <w:color w:val="000000"/>
                <w:sz w:val="16"/>
                <w:szCs w:val="16"/>
                <w:u w:val="none"/>
              </w:rPr>
            </w:pPr>
          </w:p>
        </w:tc>
      </w:tr>
      <w:tr w14:paraId="1290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A781">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CEF0">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C01E">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用餐保障达标率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3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37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37BB">
            <w:pPr>
              <w:jc w:val="center"/>
              <w:rPr>
                <w:rFonts w:hint="eastAsia" w:ascii="微软雅黑" w:hAnsi="微软雅黑" w:eastAsia="微软雅黑" w:cs="微软雅黑"/>
                <w:i/>
                <w:iCs/>
                <w:color w:val="000000"/>
                <w:sz w:val="16"/>
                <w:szCs w:val="16"/>
                <w:u w:val="none"/>
              </w:rPr>
            </w:pPr>
          </w:p>
        </w:tc>
      </w:tr>
      <w:tr w14:paraId="2062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E5BA">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FDB4">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FD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餐具、厨具等损坏及时维修维护率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A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9B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1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A29A">
            <w:pPr>
              <w:jc w:val="center"/>
              <w:rPr>
                <w:rFonts w:hint="eastAsia" w:ascii="微软雅黑" w:hAnsi="微软雅黑" w:eastAsia="微软雅黑" w:cs="微软雅黑"/>
                <w:i/>
                <w:iCs/>
                <w:color w:val="000000"/>
                <w:sz w:val="16"/>
                <w:szCs w:val="16"/>
                <w:u w:val="none"/>
              </w:rPr>
            </w:pPr>
          </w:p>
        </w:tc>
      </w:tr>
      <w:tr w14:paraId="7825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DF87">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961F">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D5D1">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干部职工用餐保障时效</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B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C6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B41">
            <w:pPr>
              <w:jc w:val="center"/>
              <w:rPr>
                <w:rFonts w:hint="eastAsia" w:ascii="微软雅黑" w:hAnsi="微软雅黑" w:eastAsia="微软雅黑" w:cs="微软雅黑"/>
                <w:i/>
                <w:iCs/>
                <w:color w:val="000000"/>
                <w:sz w:val="16"/>
                <w:szCs w:val="16"/>
                <w:u w:val="none"/>
              </w:rPr>
            </w:pPr>
          </w:p>
        </w:tc>
      </w:tr>
      <w:tr w14:paraId="2D48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1D06">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11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单位就餐人员保障率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C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09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65D9">
            <w:pPr>
              <w:jc w:val="center"/>
              <w:rPr>
                <w:rFonts w:hint="eastAsia" w:ascii="微软雅黑" w:hAnsi="微软雅黑" w:eastAsia="微软雅黑" w:cs="微软雅黑"/>
                <w:i/>
                <w:iCs/>
                <w:color w:val="000000"/>
                <w:sz w:val="16"/>
                <w:szCs w:val="16"/>
                <w:u w:val="none"/>
              </w:rPr>
            </w:pPr>
          </w:p>
        </w:tc>
      </w:tr>
      <w:tr w14:paraId="5724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FDDD">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BDA5">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7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D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食堂管理机制健全性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FE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D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01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BF70">
            <w:pPr>
              <w:jc w:val="center"/>
              <w:rPr>
                <w:rFonts w:hint="eastAsia" w:ascii="微软雅黑" w:hAnsi="微软雅黑" w:eastAsia="微软雅黑" w:cs="微软雅黑"/>
                <w:i/>
                <w:iCs/>
                <w:color w:val="000000"/>
                <w:sz w:val="16"/>
                <w:szCs w:val="16"/>
                <w:u w:val="none"/>
              </w:rPr>
            </w:pPr>
          </w:p>
        </w:tc>
      </w:tr>
      <w:tr w14:paraId="17F1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3DD4">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D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6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F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C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9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7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DB3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F5D6">
            <w:pPr>
              <w:jc w:val="center"/>
              <w:rPr>
                <w:rFonts w:hint="eastAsia" w:ascii="微软雅黑" w:hAnsi="微软雅黑" w:eastAsia="微软雅黑" w:cs="微软雅黑"/>
                <w:i/>
                <w:iCs/>
                <w:color w:val="000000"/>
                <w:sz w:val="16"/>
                <w:szCs w:val="16"/>
                <w:u w:val="none"/>
              </w:rPr>
            </w:pPr>
          </w:p>
        </w:tc>
      </w:tr>
      <w:tr w14:paraId="2D6B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B700">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6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D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D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60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A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BC3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B9D">
            <w:pPr>
              <w:jc w:val="center"/>
              <w:rPr>
                <w:rFonts w:hint="eastAsia" w:ascii="微软雅黑" w:hAnsi="微软雅黑" w:eastAsia="微软雅黑" w:cs="微软雅黑"/>
                <w:i/>
                <w:iCs/>
                <w:color w:val="000000"/>
                <w:sz w:val="16"/>
                <w:szCs w:val="16"/>
                <w:u w:val="none"/>
              </w:rPr>
            </w:pPr>
          </w:p>
        </w:tc>
      </w:tr>
      <w:tr w14:paraId="454D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6B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DEF2">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B29">
            <w:pPr>
              <w:rPr>
                <w:rFonts w:hint="eastAsia" w:ascii="宋体" w:hAnsi="宋体" w:eastAsia="宋体" w:cs="宋体"/>
                <w:i w:val="0"/>
                <w:iCs w:val="0"/>
                <w:color w:val="000000"/>
                <w:sz w:val="18"/>
                <w:szCs w:val="18"/>
                <w:u w:val="none"/>
              </w:rPr>
            </w:pPr>
          </w:p>
        </w:tc>
      </w:tr>
      <w:tr w14:paraId="715A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27FD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该项目资金用于</w:t>
            </w:r>
            <w:r>
              <w:rPr>
                <w:rFonts w:hint="eastAsia" w:ascii="宋体" w:hAnsi="宋体" w:eastAsia="宋体" w:cs="宋体"/>
                <w:i w:val="0"/>
                <w:iCs w:val="0"/>
                <w:color w:val="000000"/>
                <w:kern w:val="0"/>
                <w:sz w:val="18"/>
                <w:szCs w:val="18"/>
                <w:u w:val="none"/>
                <w:lang w:val="en-US" w:eastAsia="zh-CN" w:bidi="ar"/>
              </w:rPr>
              <w:t>机关食堂的委托服务方劳务费、委托服务方管理费、食堂设施设备维修维护费、厨具和餐具添置等经费支出，保障机关大院干部职工的就餐。总体目标是充分发挥机关食堂职能作用，提升广大干部职工生活水平，优化机关干部职工就餐环境，确保良好的机关食堂运营秩序。</w:t>
            </w:r>
          </w:p>
        </w:tc>
      </w:tr>
      <w:tr w14:paraId="7B3D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9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A4B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6D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C4D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为进一步提高机关食堂的经济性和效益性，后勤服务股将进一步加强对食堂劳务服务公司考核，以考促管，以管促管，监督其进一步有效控制成本，督促其提高服务质量和水平。</w:t>
            </w:r>
          </w:p>
          <w:p w14:paraId="27F7CF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FDC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DBF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项目负责人：刘春</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0F1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4CE4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5169E4D2">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652AEBF3">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47548D93">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342C6378">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367918C4">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2583A01B">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FA01A14">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11135E01">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076DDC6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4746BC8">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213E0EDB">
            <w:pPr>
              <w:rPr>
                <w:rFonts w:hint="eastAsia" w:ascii="宋体" w:hAnsi="宋体" w:eastAsia="宋体" w:cs="宋体"/>
                <w:i w:val="0"/>
                <w:iCs w:val="0"/>
                <w:color w:val="000000"/>
                <w:sz w:val="18"/>
                <w:szCs w:val="18"/>
                <w:u w:val="none"/>
              </w:rPr>
            </w:pPr>
          </w:p>
        </w:tc>
      </w:tr>
      <w:tr w14:paraId="763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5CBD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4C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0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5B89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51090322T000000340949-集中办公区水电费</w:t>
            </w:r>
          </w:p>
        </w:tc>
      </w:tr>
      <w:tr w14:paraId="2348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85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B6C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097C61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6A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2A22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E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C5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C4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3D8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E9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613C">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F515">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3F7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负责每月及时缴纳嘉禾路55号集中办公区和纪委办公区水电费，确保机关正常运转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B1BB8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总体目标是在坚持节约能源的情况下，保证各办公区水电正常，与上年度相比能够达到节能目的。</w:t>
            </w:r>
          </w:p>
          <w:p w14:paraId="390028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1DEE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8E6F">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0D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35C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3C1EDC80">
            <w:pPr>
              <w:rPr>
                <w:rFonts w:hint="eastAsia" w:ascii="宋体" w:hAnsi="宋体" w:eastAsia="宋体" w:cs="宋体"/>
                <w:i w:val="0"/>
                <w:iCs w:val="0"/>
                <w:color w:val="000000"/>
                <w:sz w:val="18"/>
                <w:szCs w:val="18"/>
                <w:u w:val="none"/>
              </w:rPr>
            </w:pPr>
          </w:p>
        </w:tc>
      </w:tr>
      <w:tr w14:paraId="1FBA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7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E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9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A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A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87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13EE">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5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8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F0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1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D3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3F40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B6B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41F4">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AA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8B4A">
            <w:pPr>
              <w:rPr>
                <w:rFonts w:hint="eastAsia" w:ascii="黑体" w:hAnsi="黑体" w:eastAsia="黑体" w:cs="黑体"/>
                <w:i/>
                <w:iCs/>
                <w:color w:val="000000"/>
                <w:sz w:val="18"/>
                <w:szCs w:val="18"/>
                <w:u w:val="none"/>
              </w:rPr>
            </w:pPr>
          </w:p>
        </w:tc>
      </w:tr>
      <w:tr w14:paraId="37F1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642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0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05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C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0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A4CF">
            <w:pPr>
              <w:rPr>
                <w:rFonts w:hint="eastAsia" w:ascii="黑体" w:hAnsi="黑体" w:eastAsia="黑体" w:cs="黑体"/>
                <w:i/>
                <w:iCs/>
                <w:color w:val="000000"/>
                <w:sz w:val="18"/>
                <w:szCs w:val="18"/>
                <w:u w:val="none"/>
              </w:rPr>
            </w:pPr>
          </w:p>
        </w:tc>
      </w:tr>
      <w:tr w14:paraId="4FA8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6AA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0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B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73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9E53">
            <w:pPr>
              <w:rPr>
                <w:rFonts w:hint="eastAsia" w:ascii="黑体" w:hAnsi="黑体" w:eastAsia="黑体" w:cs="黑体"/>
                <w:i/>
                <w:iCs/>
                <w:color w:val="000000"/>
                <w:sz w:val="18"/>
                <w:szCs w:val="18"/>
                <w:u w:val="none"/>
              </w:rPr>
            </w:pPr>
          </w:p>
        </w:tc>
      </w:tr>
      <w:tr w14:paraId="0B48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3F5D">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5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0D2">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854F">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CFF35">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EBC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2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DD56">
            <w:pPr>
              <w:rPr>
                <w:rFonts w:hint="eastAsia" w:ascii="黑体" w:hAnsi="黑体" w:eastAsia="黑体" w:cs="黑体"/>
                <w:i/>
                <w:iCs/>
                <w:color w:val="000000"/>
                <w:sz w:val="18"/>
                <w:szCs w:val="18"/>
                <w:u w:val="none"/>
              </w:rPr>
            </w:pPr>
          </w:p>
        </w:tc>
      </w:tr>
      <w:tr w14:paraId="68A7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0F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6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A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2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51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F848">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2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6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缴纳水费、电费办公区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8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38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DFB9">
            <w:pPr>
              <w:jc w:val="center"/>
              <w:rPr>
                <w:rFonts w:hint="eastAsia" w:ascii="微软雅黑" w:hAnsi="微软雅黑" w:eastAsia="微软雅黑" w:cs="微软雅黑"/>
                <w:i/>
                <w:iCs/>
                <w:color w:val="000000"/>
                <w:sz w:val="16"/>
                <w:szCs w:val="16"/>
                <w:u w:val="none"/>
              </w:rPr>
            </w:pPr>
          </w:p>
        </w:tc>
      </w:tr>
      <w:tr w14:paraId="74DC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6B02">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889A">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2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缴纳水费、电费准确率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0A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4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73E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F901">
            <w:pPr>
              <w:jc w:val="center"/>
              <w:rPr>
                <w:rFonts w:hint="eastAsia" w:ascii="微软雅黑" w:hAnsi="微软雅黑" w:eastAsia="微软雅黑" w:cs="微软雅黑"/>
                <w:i/>
                <w:iCs/>
                <w:color w:val="000000"/>
                <w:sz w:val="16"/>
                <w:szCs w:val="16"/>
                <w:u w:val="none"/>
              </w:rPr>
            </w:pPr>
          </w:p>
        </w:tc>
      </w:tr>
      <w:tr w14:paraId="613B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9CC0">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71FB">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B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缴纳水费、电费及时率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4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A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7D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4CD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87E">
            <w:pPr>
              <w:jc w:val="center"/>
              <w:rPr>
                <w:rFonts w:hint="eastAsia" w:ascii="微软雅黑" w:hAnsi="微软雅黑" w:eastAsia="微软雅黑" w:cs="微软雅黑"/>
                <w:i/>
                <w:iCs/>
                <w:color w:val="000000"/>
                <w:sz w:val="16"/>
                <w:szCs w:val="16"/>
                <w:u w:val="none"/>
              </w:rPr>
            </w:pPr>
          </w:p>
        </w:tc>
      </w:tr>
      <w:tr w14:paraId="6D2D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D5F0">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C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B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办公区水费、电费保障率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4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B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E4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C06F">
            <w:pPr>
              <w:jc w:val="center"/>
              <w:rPr>
                <w:rFonts w:hint="eastAsia" w:ascii="微软雅黑" w:hAnsi="微软雅黑" w:eastAsia="微软雅黑" w:cs="微软雅黑"/>
                <w:i/>
                <w:iCs/>
                <w:color w:val="000000"/>
                <w:sz w:val="16"/>
                <w:szCs w:val="16"/>
                <w:u w:val="none"/>
              </w:rPr>
            </w:pPr>
          </w:p>
        </w:tc>
      </w:tr>
      <w:tr w14:paraId="12CF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62C6">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D694">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4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资金管理制度健全性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C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6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65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A8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EBD">
            <w:pPr>
              <w:jc w:val="center"/>
              <w:rPr>
                <w:rFonts w:hint="eastAsia" w:ascii="微软雅黑" w:hAnsi="微软雅黑" w:eastAsia="微软雅黑" w:cs="微软雅黑"/>
                <w:i/>
                <w:iCs/>
                <w:color w:val="000000"/>
                <w:sz w:val="16"/>
                <w:szCs w:val="16"/>
                <w:u w:val="none"/>
              </w:rPr>
            </w:pPr>
          </w:p>
        </w:tc>
      </w:tr>
      <w:tr w14:paraId="4F79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630A">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办公区办公人员满意率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F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8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D6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C2E">
            <w:pPr>
              <w:jc w:val="center"/>
              <w:rPr>
                <w:rFonts w:hint="eastAsia" w:ascii="微软雅黑" w:hAnsi="微软雅黑" w:eastAsia="微软雅黑" w:cs="微软雅黑"/>
                <w:i/>
                <w:iCs/>
                <w:color w:val="000000"/>
                <w:sz w:val="16"/>
                <w:szCs w:val="16"/>
                <w:u w:val="none"/>
              </w:rPr>
            </w:pPr>
          </w:p>
        </w:tc>
      </w:tr>
      <w:tr w14:paraId="7E6E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9765">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C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A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E8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EDB">
            <w:pPr>
              <w:jc w:val="center"/>
              <w:rPr>
                <w:rFonts w:hint="eastAsia" w:ascii="微软雅黑" w:hAnsi="微软雅黑" w:eastAsia="微软雅黑" w:cs="微软雅黑"/>
                <w:i/>
                <w:iCs/>
                <w:color w:val="000000"/>
                <w:sz w:val="16"/>
                <w:szCs w:val="16"/>
                <w:u w:val="none"/>
              </w:rPr>
            </w:pPr>
          </w:p>
        </w:tc>
      </w:tr>
      <w:tr w14:paraId="2DE9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0F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CE7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67A1">
            <w:pPr>
              <w:rPr>
                <w:rFonts w:hint="eastAsia" w:ascii="宋体" w:hAnsi="宋体" w:eastAsia="宋体" w:cs="宋体"/>
                <w:i w:val="0"/>
                <w:iCs w:val="0"/>
                <w:color w:val="000000"/>
                <w:sz w:val="18"/>
                <w:szCs w:val="18"/>
                <w:u w:val="none"/>
              </w:rPr>
            </w:pPr>
          </w:p>
        </w:tc>
      </w:tr>
      <w:tr w14:paraId="22FB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A57DBA">
            <w:pPr>
              <w:keepNext w:val="0"/>
              <w:keepLines w:val="0"/>
              <w:widowControl/>
              <w:suppressLineNumbers w:val="0"/>
              <w:jc w:val="left"/>
              <w:textAlignment w:val="center"/>
              <w:rPr>
                <w:rFonts w:hint="default"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在坚持节约能源的情况下，保证各办公区水电正常，与上年度相比能够达到节能目的。</w:t>
            </w:r>
          </w:p>
          <w:p w14:paraId="35DA4A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536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3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1A69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在用电高峰的夏季及冬季，各办公区每月用电根据实际情况费用有上浮，不能实现全年电费支出有所下降。</w:t>
            </w:r>
          </w:p>
        </w:tc>
      </w:tr>
      <w:tr w14:paraId="3A11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C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481A8B">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 xml:space="preserve">将继续加强对各单位节约用电用水的宣传，确保机关办公用水用电费用逐年下降。 </w:t>
            </w:r>
          </w:p>
          <w:p w14:paraId="5ADCE1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F34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0E1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项目负责人：刘春</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BC6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6F22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6AD2FBFF">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6F9918EA">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78334189">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3CCAAB01">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6B973B26">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0923B053">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4DA81E45">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40886D62">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1FA8DC9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65C674F">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1975BA50">
            <w:pPr>
              <w:rPr>
                <w:rFonts w:hint="eastAsia" w:ascii="宋体" w:hAnsi="宋体" w:eastAsia="宋体" w:cs="宋体"/>
                <w:i w:val="0"/>
                <w:iCs w:val="0"/>
                <w:color w:val="000000"/>
                <w:sz w:val="18"/>
                <w:szCs w:val="18"/>
                <w:u w:val="none"/>
              </w:rPr>
            </w:pPr>
          </w:p>
        </w:tc>
      </w:tr>
      <w:tr w14:paraId="5EEA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7E43F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A4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E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021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51090322T000000341104-机关服务工作经费</w:t>
            </w:r>
          </w:p>
        </w:tc>
      </w:tr>
      <w:tr w14:paraId="25F5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B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93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0A9518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1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7B67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FD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2F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78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8E6F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7E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13FD">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0E20">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2D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2023年聘用13名驾驶员，保障机关办公用车需求。按实发放13名临聘驾驶员出差住宿费、生活费、公杂费等</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721A9">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据实发放了驾驶员差旅费，</w:t>
            </w:r>
            <w:r>
              <w:rPr>
                <w:rFonts w:hint="eastAsia" w:ascii="宋体" w:hAnsi="宋体" w:eastAsia="宋体" w:cs="宋体"/>
                <w:i w:val="0"/>
                <w:iCs w:val="0"/>
                <w:color w:val="000000"/>
                <w:sz w:val="18"/>
                <w:szCs w:val="18"/>
                <w:u w:val="none"/>
                <w:lang w:eastAsia="zh-CN"/>
              </w:rPr>
              <w:t>保证全区公务出行的用车需求，为驾驶员出差提供后勤保障。</w:t>
            </w:r>
          </w:p>
          <w:p w14:paraId="45F50A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E06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AB5A">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33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9A59B">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704AC57E">
            <w:pPr>
              <w:rPr>
                <w:rFonts w:hint="eastAsia" w:ascii="宋体" w:hAnsi="宋体" w:eastAsia="宋体" w:cs="宋体"/>
                <w:i w:val="0"/>
                <w:iCs w:val="0"/>
                <w:color w:val="000000"/>
                <w:sz w:val="18"/>
                <w:szCs w:val="18"/>
                <w:u w:val="none"/>
              </w:rPr>
            </w:pPr>
          </w:p>
        </w:tc>
      </w:tr>
      <w:tr w14:paraId="3C2B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B2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6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82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1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E1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2349">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9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0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1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AD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074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813A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0B5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A2AC">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8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E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6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0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3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94C5">
            <w:pPr>
              <w:rPr>
                <w:rFonts w:hint="eastAsia" w:ascii="黑体" w:hAnsi="黑体" w:eastAsia="黑体" w:cs="黑体"/>
                <w:i/>
                <w:iCs/>
                <w:color w:val="000000"/>
                <w:sz w:val="18"/>
                <w:szCs w:val="18"/>
                <w:u w:val="none"/>
              </w:rPr>
            </w:pPr>
          </w:p>
        </w:tc>
      </w:tr>
      <w:tr w14:paraId="64F9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74EE">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1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4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C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93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E440">
            <w:pPr>
              <w:rPr>
                <w:rFonts w:hint="eastAsia" w:ascii="黑体" w:hAnsi="黑体" w:eastAsia="黑体" w:cs="黑体"/>
                <w:i/>
                <w:iCs/>
                <w:color w:val="000000"/>
                <w:sz w:val="18"/>
                <w:szCs w:val="18"/>
                <w:u w:val="none"/>
              </w:rPr>
            </w:pPr>
          </w:p>
        </w:tc>
      </w:tr>
      <w:tr w14:paraId="0241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562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B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E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81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8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BE61">
            <w:pPr>
              <w:rPr>
                <w:rFonts w:hint="eastAsia" w:ascii="黑体" w:hAnsi="黑体" w:eastAsia="黑体" w:cs="黑体"/>
                <w:i/>
                <w:iCs/>
                <w:color w:val="000000"/>
                <w:sz w:val="18"/>
                <w:szCs w:val="18"/>
                <w:u w:val="none"/>
              </w:rPr>
            </w:pPr>
          </w:p>
        </w:tc>
      </w:tr>
      <w:tr w14:paraId="0286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9707">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6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4DB">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222A">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A3F55">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16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A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227C">
            <w:pPr>
              <w:rPr>
                <w:rFonts w:hint="eastAsia" w:ascii="黑体" w:hAnsi="黑体" w:eastAsia="黑体" w:cs="黑体"/>
                <w:i/>
                <w:iCs/>
                <w:color w:val="000000"/>
                <w:sz w:val="18"/>
                <w:szCs w:val="18"/>
                <w:u w:val="none"/>
              </w:rPr>
            </w:pPr>
          </w:p>
        </w:tc>
      </w:tr>
      <w:tr w14:paraId="0D12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DD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10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3A3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1EE3">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6C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E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临聘驾驶员人数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A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3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CA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0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8D1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B7B">
            <w:pPr>
              <w:jc w:val="center"/>
              <w:rPr>
                <w:rFonts w:hint="eastAsia" w:ascii="微软雅黑" w:hAnsi="微软雅黑" w:eastAsia="微软雅黑" w:cs="微软雅黑"/>
                <w:i/>
                <w:iCs/>
                <w:color w:val="000000"/>
                <w:sz w:val="16"/>
                <w:szCs w:val="16"/>
                <w:u w:val="none"/>
              </w:rPr>
            </w:pPr>
          </w:p>
        </w:tc>
      </w:tr>
      <w:tr w14:paraId="2F13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A3A7">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AD51">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9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A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发放准确率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5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E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FB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960">
            <w:pPr>
              <w:jc w:val="center"/>
              <w:rPr>
                <w:rFonts w:hint="eastAsia" w:ascii="微软雅黑" w:hAnsi="微软雅黑" w:eastAsia="微软雅黑" w:cs="微软雅黑"/>
                <w:i/>
                <w:iCs/>
                <w:color w:val="000000"/>
                <w:sz w:val="16"/>
                <w:szCs w:val="16"/>
                <w:u w:val="none"/>
              </w:rPr>
            </w:pPr>
          </w:p>
        </w:tc>
      </w:tr>
      <w:tr w14:paraId="4B9B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16B7">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EF4B">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2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6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临聘驾驶员补助发放及时率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0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6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E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6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DD6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23C">
            <w:pPr>
              <w:jc w:val="center"/>
              <w:rPr>
                <w:rFonts w:hint="eastAsia" w:ascii="微软雅黑" w:hAnsi="微软雅黑" w:eastAsia="微软雅黑" w:cs="微软雅黑"/>
                <w:i/>
                <w:iCs/>
                <w:color w:val="000000"/>
                <w:sz w:val="16"/>
                <w:szCs w:val="16"/>
                <w:u w:val="none"/>
              </w:rPr>
            </w:pPr>
          </w:p>
        </w:tc>
      </w:tr>
      <w:tr w14:paraId="38DC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4C73">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A8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1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机关用车需求保障率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4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0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23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AEB3">
            <w:pPr>
              <w:jc w:val="center"/>
              <w:rPr>
                <w:rFonts w:hint="eastAsia" w:ascii="微软雅黑" w:hAnsi="微软雅黑" w:eastAsia="微软雅黑" w:cs="微软雅黑"/>
                <w:i/>
                <w:iCs/>
                <w:color w:val="000000"/>
                <w:sz w:val="16"/>
                <w:szCs w:val="16"/>
                <w:u w:val="none"/>
              </w:rPr>
            </w:pPr>
          </w:p>
        </w:tc>
      </w:tr>
      <w:tr w14:paraId="6199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C2C7">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46CD">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F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临聘人员管理制度健全性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6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7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2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42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71E">
            <w:pPr>
              <w:jc w:val="center"/>
              <w:rPr>
                <w:rFonts w:hint="eastAsia" w:ascii="微软雅黑" w:hAnsi="微软雅黑" w:eastAsia="微软雅黑" w:cs="微软雅黑"/>
                <w:i/>
                <w:iCs/>
                <w:color w:val="000000"/>
                <w:sz w:val="16"/>
                <w:szCs w:val="16"/>
                <w:u w:val="none"/>
              </w:rPr>
            </w:pPr>
          </w:p>
        </w:tc>
      </w:tr>
      <w:tr w14:paraId="644B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3FAA">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驾驶员满意度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C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3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26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9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59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D44">
            <w:pPr>
              <w:jc w:val="center"/>
              <w:rPr>
                <w:rFonts w:hint="eastAsia" w:ascii="微软雅黑" w:hAnsi="微软雅黑" w:eastAsia="微软雅黑" w:cs="微软雅黑"/>
                <w:i/>
                <w:iCs/>
                <w:color w:val="000000"/>
                <w:sz w:val="16"/>
                <w:szCs w:val="16"/>
                <w:u w:val="none"/>
              </w:rPr>
            </w:pPr>
          </w:p>
        </w:tc>
      </w:tr>
      <w:tr w14:paraId="7962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B7C2">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6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5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0A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9D1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8F1B">
            <w:pPr>
              <w:jc w:val="center"/>
              <w:rPr>
                <w:rFonts w:hint="eastAsia" w:ascii="微软雅黑" w:hAnsi="微软雅黑" w:eastAsia="微软雅黑" w:cs="微软雅黑"/>
                <w:i/>
                <w:iCs/>
                <w:color w:val="000000"/>
                <w:sz w:val="16"/>
                <w:szCs w:val="16"/>
                <w:u w:val="none"/>
              </w:rPr>
            </w:pPr>
          </w:p>
        </w:tc>
      </w:tr>
      <w:tr w14:paraId="738C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B47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9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60A">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03C2">
            <w:pPr>
              <w:rPr>
                <w:rFonts w:hint="eastAsia" w:ascii="宋体" w:hAnsi="宋体" w:eastAsia="宋体" w:cs="宋体"/>
                <w:i w:val="0"/>
                <w:iCs w:val="0"/>
                <w:color w:val="000000"/>
                <w:sz w:val="18"/>
                <w:szCs w:val="18"/>
                <w:u w:val="none"/>
              </w:rPr>
            </w:pPr>
          </w:p>
        </w:tc>
      </w:tr>
      <w:tr w14:paraId="2C38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E1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项目资金管理规范，项目管理到位，政策执行有力，有效发挥了财政资金的使用效率，完成了资金管理和使用规范工作，确保各单位各项工作的正常运转。</w:t>
            </w:r>
          </w:p>
        </w:tc>
      </w:tr>
      <w:tr w14:paraId="48D9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0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CF0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因为这部分驾驶员都是通过劳务公司派遣进入，个别驾驶员服务意识有待加强。</w:t>
            </w:r>
          </w:p>
        </w:tc>
      </w:tr>
      <w:tr w14:paraId="164A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0F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加强驾驶员教育，规范公务用车制度。加强业务培训，不断优化服务。</w:t>
            </w:r>
          </w:p>
        </w:tc>
      </w:tr>
      <w:tr w14:paraId="4FFB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618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项目负责人：杨建成</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160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25BF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89" w:type="dxa"/>
            <w:tcBorders>
              <w:top w:val="nil"/>
              <w:left w:val="nil"/>
              <w:bottom w:val="nil"/>
              <w:right w:val="nil"/>
            </w:tcBorders>
            <w:shd w:val="clear" w:color="auto" w:fill="auto"/>
            <w:vAlign w:val="center"/>
          </w:tcPr>
          <w:p w14:paraId="08FF8330">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0F966CEA">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21EECF4D">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7A6ABDC0">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174E23F6">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18CBC31C">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2099ACF">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5F56F2E6">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7915D4C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6FD6EF8">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408D13A5">
            <w:pPr>
              <w:rPr>
                <w:rFonts w:hint="eastAsia" w:ascii="宋体" w:hAnsi="宋体" w:eastAsia="宋体" w:cs="宋体"/>
                <w:i w:val="0"/>
                <w:iCs w:val="0"/>
                <w:color w:val="000000"/>
                <w:sz w:val="18"/>
                <w:szCs w:val="18"/>
                <w:u w:val="none"/>
              </w:rPr>
            </w:pPr>
          </w:p>
        </w:tc>
      </w:tr>
      <w:tr w14:paraId="006E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A103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729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8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13A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51090322T000000341167-后勤服务保障费</w:t>
            </w:r>
          </w:p>
        </w:tc>
      </w:tr>
      <w:tr w14:paraId="5E52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99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6F349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single" w:color="auto" w:sz="4" w:space="0"/>
              <w:left w:val="nil"/>
              <w:bottom w:val="nil"/>
              <w:right w:val="nil"/>
            </w:tcBorders>
            <w:shd w:val="clear" w:color="auto" w:fill="auto"/>
            <w:vAlign w:val="center"/>
          </w:tcPr>
          <w:p w14:paraId="45E063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06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0550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4A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FD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8B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A871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B8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97A7">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F836">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21A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通过对电梯、消防、水电器材、基础建设 、绿化等基础设施设备维修维护，消除安全隐患，恢复完善功能，改善了办公环境，提升服务质量。及时兑现临聘人员劳务费及保险缴费，及时支付安保服务公司劳务派遣费，保障职工待遇。委托记账公司代理记账业务。</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ECE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有效保障区委、区政府以及各单位日常运转；保障机关院内的后勤服务、安全保障。</w:t>
            </w:r>
          </w:p>
        </w:tc>
      </w:tr>
      <w:tr w14:paraId="5F8A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3A08">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A1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CED9F8">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41B7CD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C39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38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2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B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CC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4C80">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4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39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183.04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888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6ED0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4DCB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D78F">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B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95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183.04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5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446D">
            <w:pPr>
              <w:rPr>
                <w:rFonts w:hint="eastAsia" w:ascii="黑体" w:hAnsi="黑体" w:eastAsia="黑体" w:cs="黑体"/>
                <w:i/>
                <w:iCs/>
                <w:color w:val="000000"/>
                <w:sz w:val="18"/>
                <w:szCs w:val="18"/>
                <w:u w:val="none"/>
              </w:rPr>
            </w:pPr>
          </w:p>
        </w:tc>
      </w:tr>
      <w:tr w14:paraId="71F9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3753">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4C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2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1C21">
            <w:pPr>
              <w:rPr>
                <w:rFonts w:hint="eastAsia" w:ascii="黑体" w:hAnsi="黑体" w:eastAsia="黑体" w:cs="黑体"/>
                <w:i/>
                <w:iCs/>
                <w:color w:val="000000"/>
                <w:sz w:val="18"/>
                <w:szCs w:val="18"/>
                <w:u w:val="none"/>
              </w:rPr>
            </w:pPr>
          </w:p>
        </w:tc>
      </w:tr>
      <w:tr w14:paraId="0AA6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B355">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6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1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6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12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7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838F">
            <w:pPr>
              <w:rPr>
                <w:rFonts w:hint="eastAsia" w:ascii="黑体" w:hAnsi="黑体" w:eastAsia="黑体" w:cs="黑体"/>
                <w:i/>
                <w:iCs/>
                <w:color w:val="000000"/>
                <w:sz w:val="18"/>
                <w:szCs w:val="18"/>
                <w:u w:val="none"/>
              </w:rPr>
            </w:pPr>
          </w:p>
        </w:tc>
      </w:tr>
      <w:tr w14:paraId="0F63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09E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2F40">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C416">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E9DB4">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67B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0A9F">
            <w:pPr>
              <w:rPr>
                <w:rFonts w:hint="eastAsia" w:ascii="黑体" w:hAnsi="黑体" w:eastAsia="黑体" w:cs="黑体"/>
                <w:i/>
                <w:iCs/>
                <w:color w:val="000000"/>
                <w:sz w:val="18"/>
                <w:szCs w:val="18"/>
                <w:u w:val="none"/>
              </w:rPr>
            </w:pPr>
          </w:p>
        </w:tc>
      </w:tr>
      <w:tr w14:paraId="410C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50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2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5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2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2F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BE3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DD6B">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1F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3F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基础设施设备维修维护</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8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F3A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AFFC">
            <w:pPr>
              <w:jc w:val="center"/>
              <w:rPr>
                <w:rFonts w:hint="eastAsia" w:ascii="微软雅黑" w:hAnsi="微软雅黑" w:eastAsia="微软雅黑" w:cs="微软雅黑"/>
                <w:i/>
                <w:iCs/>
                <w:color w:val="000000"/>
                <w:sz w:val="16"/>
                <w:szCs w:val="16"/>
                <w:u w:val="none"/>
              </w:rPr>
            </w:pPr>
          </w:p>
        </w:tc>
      </w:tr>
      <w:tr w14:paraId="7CEA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AA78">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AF89">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714A">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派遣安全保卫人员</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5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1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E3E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943">
            <w:pPr>
              <w:jc w:val="center"/>
              <w:rPr>
                <w:rFonts w:hint="eastAsia" w:ascii="微软雅黑" w:hAnsi="微软雅黑" w:eastAsia="微软雅黑" w:cs="微软雅黑"/>
                <w:i/>
                <w:iCs/>
                <w:color w:val="000000"/>
                <w:sz w:val="16"/>
                <w:szCs w:val="16"/>
                <w:u w:val="none"/>
              </w:rPr>
            </w:pPr>
          </w:p>
        </w:tc>
      </w:tr>
      <w:tr w14:paraId="1A1B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6BDE">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8C5D">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7C31">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委托记账公司数量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C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F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E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A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542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CC8">
            <w:pPr>
              <w:jc w:val="center"/>
              <w:rPr>
                <w:rFonts w:hint="eastAsia" w:ascii="微软雅黑" w:hAnsi="微软雅黑" w:eastAsia="微软雅黑" w:cs="微软雅黑"/>
                <w:i/>
                <w:iCs/>
                <w:color w:val="000000"/>
                <w:sz w:val="16"/>
                <w:szCs w:val="16"/>
                <w:u w:val="none"/>
              </w:rPr>
            </w:pPr>
          </w:p>
        </w:tc>
      </w:tr>
      <w:tr w14:paraId="3682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CDF3">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5D68">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10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基础设施设备维修维护合格率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E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8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DC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06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B3B4">
            <w:pPr>
              <w:jc w:val="center"/>
              <w:rPr>
                <w:rFonts w:hint="eastAsia" w:ascii="微软雅黑" w:hAnsi="微软雅黑" w:eastAsia="微软雅黑" w:cs="微软雅黑"/>
                <w:i/>
                <w:iCs/>
                <w:color w:val="000000"/>
                <w:sz w:val="16"/>
                <w:szCs w:val="16"/>
                <w:u w:val="none"/>
              </w:rPr>
            </w:pPr>
          </w:p>
        </w:tc>
      </w:tr>
      <w:tr w14:paraId="25C2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2A4E">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65DA">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791E">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临聘人员工资发放准确率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83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7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788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948">
            <w:pPr>
              <w:jc w:val="center"/>
              <w:rPr>
                <w:rFonts w:hint="eastAsia" w:ascii="微软雅黑" w:hAnsi="微软雅黑" w:eastAsia="微软雅黑" w:cs="微软雅黑"/>
                <w:i/>
                <w:iCs/>
                <w:color w:val="000000"/>
                <w:sz w:val="16"/>
                <w:szCs w:val="16"/>
                <w:u w:val="none"/>
              </w:rPr>
            </w:pPr>
          </w:p>
        </w:tc>
      </w:tr>
      <w:tr w14:paraId="2B44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5CD8">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AF07">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A470">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A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委托公司资质达标率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6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BB2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81F0">
            <w:pPr>
              <w:jc w:val="center"/>
              <w:rPr>
                <w:rFonts w:hint="eastAsia" w:ascii="微软雅黑" w:hAnsi="微软雅黑" w:eastAsia="微软雅黑" w:cs="微软雅黑"/>
                <w:i/>
                <w:iCs/>
                <w:color w:val="000000"/>
                <w:sz w:val="16"/>
                <w:szCs w:val="16"/>
                <w:u w:val="none"/>
              </w:rPr>
            </w:pPr>
          </w:p>
        </w:tc>
      </w:tr>
      <w:tr w14:paraId="3349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25ED">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A3A8">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8C62">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安全保卫人员合格率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3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F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C9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DF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D03">
            <w:pPr>
              <w:jc w:val="center"/>
              <w:rPr>
                <w:rFonts w:hint="eastAsia" w:ascii="微软雅黑" w:hAnsi="微软雅黑" w:eastAsia="微软雅黑" w:cs="微软雅黑"/>
                <w:i/>
                <w:iCs/>
                <w:color w:val="000000"/>
                <w:sz w:val="16"/>
                <w:szCs w:val="16"/>
                <w:u w:val="none"/>
              </w:rPr>
            </w:pPr>
          </w:p>
        </w:tc>
      </w:tr>
      <w:tr w14:paraId="212D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0776">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328D">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E1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委托公司代理记账及时率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E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E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3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24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C18">
            <w:pPr>
              <w:jc w:val="center"/>
              <w:rPr>
                <w:rFonts w:hint="eastAsia" w:ascii="微软雅黑" w:hAnsi="微软雅黑" w:eastAsia="微软雅黑" w:cs="微软雅黑"/>
                <w:i/>
                <w:iCs/>
                <w:color w:val="000000"/>
                <w:sz w:val="16"/>
                <w:szCs w:val="16"/>
                <w:u w:val="none"/>
              </w:rPr>
            </w:pPr>
          </w:p>
        </w:tc>
      </w:tr>
      <w:tr w14:paraId="1E22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5F6C">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CEA4">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A69B">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基础设施设备维修维护及时率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0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E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C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9F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3D1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F41F">
            <w:pPr>
              <w:jc w:val="center"/>
              <w:rPr>
                <w:rFonts w:hint="eastAsia" w:ascii="微软雅黑" w:hAnsi="微软雅黑" w:eastAsia="微软雅黑" w:cs="微软雅黑"/>
                <w:i/>
                <w:iCs/>
                <w:color w:val="000000"/>
                <w:sz w:val="16"/>
                <w:szCs w:val="16"/>
                <w:u w:val="none"/>
              </w:rPr>
            </w:pPr>
          </w:p>
        </w:tc>
      </w:tr>
      <w:tr w14:paraId="0501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C17C">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A49E">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B833">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安全保卫人员到位及时率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9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0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A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0D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FE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0768">
            <w:pPr>
              <w:jc w:val="center"/>
              <w:rPr>
                <w:rFonts w:hint="eastAsia" w:ascii="微软雅黑" w:hAnsi="微软雅黑" w:eastAsia="微软雅黑" w:cs="微软雅黑"/>
                <w:i/>
                <w:iCs/>
                <w:color w:val="000000"/>
                <w:sz w:val="16"/>
                <w:szCs w:val="16"/>
                <w:u w:val="none"/>
              </w:rPr>
            </w:pPr>
          </w:p>
        </w:tc>
      </w:tr>
      <w:tr w14:paraId="65E7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930B">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26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94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5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代理记账覆盖率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7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2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4F1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9A42">
            <w:pPr>
              <w:jc w:val="center"/>
              <w:rPr>
                <w:rFonts w:hint="eastAsia" w:ascii="微软雅黑" w:hAnsi="微软雅黑" w:eastAsia="微软雅黑" w:cs="微软雅黑"/>
                <w:i/>
                <w:iCs/>
                <w:color w:val="000000"/>
                <w:sz w:val="16"/>
                <w:szCs w:val="16"/>
                <w:u w:val="none"/>
              </w:rPr>
            </w:pPr>
          </w:p>
        </w:tc>
      </w:tr>
      <w:tr w14:paraId="2F40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7312">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7E7">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A1B2">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4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后勤保障工作正常开展率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5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0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9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1C1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EA2">
            <w:pPr>
              <w:jc w:val="center"/>
              <w:rPr>
                <w:rFonts w:hint="eastAsia" w:ascii="微软雅黑" w:hAnsi="微软雅黑" w:eastAsia="微软雅黑" w:cs="微软雅黑"/>
                <w:i/>
                <w:iCs/>
                <w:color w:val="000000"/>
                <w:sz w:val="16"/>
                <w:szCs w:val="16"/>
                <w:u w:val="none"/>
              </w:rPr>
            </w:pPr>
          </w:p>
        </w:tc>
      </w:tr>
      <w:tr w14:paraId="60FE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CDF1">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1FC7">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后勤管理制度健全性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3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2D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57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208">
            <w:pPr>
              <w:jc w:val="center"/>
              <w:rPr>
                <w:rFonts w:hint="eastAsia" w:ascii="微软雅黑" w:hAnsi="微软雅黑" w:eastAsia="微软雅黑" w:cs="微软雅黑"/>
                <w:i/>
                <w:iCs/>
                <w:color w:val="000000"/>
                <w:sz w:val="16"/>
                <w:szCs w:val="16"/>
                <w:u w:val="none"/>
              </w:rPr>
            </w:pPr>
          </w:p>
        </w:tc>
      </w:tr>
      <w:tr w14:paraId="1E58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35A6">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8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C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5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0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58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DF29">
            <w:pPr>
              <w:jc w:val="center"/>
              <w:rPr>
                <w:rFonts w:hint="eastAsia" w:ascii="微软雅黑" w:hAnsi="微软雅黑" w:eastAsia="微软雅黑" w:cs="微软雅黑"/>
                <w:i/>
                <w:iCs/>
                <w:color w:val="000000"/>
                <w:sz w:val="16"/>
                <w:szCs w:val="16"/>
                <w:u w:val="none"/>
              </w:rPr>
            </w:pPr>
          </w:p>
        </w:tc>
      </w:tr>
      <w:tr w14:paraId="2DD3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08E2">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E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5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1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8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E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DB4">
            <w:pPr>
              <w:jc w:val="center"/>
              <w:rPr>
                <w:rFonts w:hint="eastAsia" w:ascii="微软雅黑" w:hAnsi="微软雅黑" w:eastAsia="微软雅黑" w:cs="微软雅黑"/>
                <w:i/>
                <w:iCs/>
                <w:color w:val="000000"/>
                <w:sz w:val="16"/>
                <w:szCs w:val="16"/>
                <w:u w:val="none"/>
              </w:rPr>
            </w:pPr>
          </w:p>
        </w:tc>
      </w:tr>
      <w:tr w14:paraId="74E9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43D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CE5">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EB57">
            <w:pPr>
              <w:rPr>
                <w:rFonts w:hint="eastAsia" w:ascii="宋体" w:hAnsi="宋体" w:eastAsia="宋体" w:cs="宋体"/>
                <w:i w:val="0"/>
                <w:iCs w:val="0"/>
                <w:color w:val="000000"/>
                <w:sz w:val="18"/>
                <w:szCs w:val="18"/>
                <w:u w:val="none"/>
              </w:rPr>
            </w:pPr>
          </w:p>
        </w:tc>
      </w:tr>
      <w:tr w14:paraId="5F89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FEA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目资金管理规范，项目管理到位，政策执行有力，有效发挥了财政资金的使用效率，完成了资金管理和使用规范工作，确保各单位各项工作的正常运转。</w:t>
            </w:r>
          </w:p>
        </w:tc>
      </w:tr>
      <w:tr w14:paraId="7A82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5A12B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聘请维保公司维修维护不及时，个别技术人员业务知识有待加强。</w:t>
            </w:r>
          </w:p>
          <w:p w14:paraId="4635B4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9A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1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8372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进一步加强与维保公司沟通，让其加强技术人员业务培训，熟练掌握岗位操作规程。严格按照厉行节约的要求，精打细算，规范机关后勤服务工作，不断提高服务质量，降低运行成本，合理配置，提高保障能力。</w:t>
            </w:r>
          </w:p>
          <w:p w14:paraId="75A82B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834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19A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项目负责人：刘春</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34BC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1AA2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57C98E82">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01852FC4">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29980876">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116D92AF">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692DABE8">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05000E6B">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5B031F7">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47E9904E">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5D1E8BC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ED6BC68">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0954A5EE">
            <w:pPr>
              <w:rPr>
                <w:rFonts w:hint="eastAsia" w:ascii="宋体" w:hAnsi="宋体" w:eastAsia="宋体" w:cs="宋体"/>
                <w:i w:val="0"/>
                <w:iCs w:val="0"/>
                <w:color w:val="000000"/>
                <w:sz w:val="18"/>
                <w:szCs w:val="18"/>
                <w:u w:val="none"/>
              </w:rPr>
            </w:pPr>
          </w:p>
        </w:tc>
      </w:tr>
      <w:tr w14:paraId="29E8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74D7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482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E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36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51090322T000000341195-公共机构节能工作经费</w:t>
            </w:r>
          </w:p>
        </w:tc>
      </w:tr>
      <w:tr w14:paraId="601C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FB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BB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442071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40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0F52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F1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06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C5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696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01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4F1F">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E4E7">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68DA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2023年度，在全区范围内开展节能创建、节能设施设备的改造、开展节能宣传和节能培训，使全区区直部门、事业单位能够直接降低资源消耗，降低机关运行成本。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33B9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通过实施一系列节能措施，有效节约了公共机构等下成本，降低了能耗。</w:t>
            </w:r>
          </w:p>
          <w:p w14:paraId="64BA93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97A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07AA">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4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8471A">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110416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6B8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13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8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4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1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8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02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1A35">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5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A0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2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8E3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4056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C43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FF24">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B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3497">
            <w:pPr>
              <w:rPr>
                <w:rFonts w:hint="eastAsia" w:ascii="黑体" w:hAnsi="黑体" w:eastAsia="黑体" w:cs="黑体"/>
                <w:i/>
                <w:iCs/>
                <w:color w:val="000000"/>
                <w:sz w:val="18"/>
                <w:szCs w:val="18"/>
                <w:u w:val="none"/>
              </w:rPr>
            </w:pPr>
          </w:p>
        </w:tc>
      </w:tr>
      <w:tr w14:paraId="2831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53C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4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41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4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B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4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2DAE">
            <w:pPr>
              <w:rPr>
                <w:rFonts w:hint="eastAsia" w:ascii="黑体" w:hAnsi="黑体" w:eastAsia="黑体" w:cs="黑体"/>
                <w:i/>
                <w:iCs/>
                <w:color w:val="000000"/>
                <w:sz w:val="18"/>
                <w:szCs w:val="18"/>
                <w:u w:val="none"/>
              </w:rPr>
            </w:pPr>
          </w:p>
        </w:tc>
      </w:tr>
      <w:tr w14:paraId="2396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2C79">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C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E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80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F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3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0589">
            <w:pPr>
              <w:rPr>
                <w:rFonts w:hint="eastAsia" w:ascii="黑体" w:hAnsi="黑体" w:eastAsia="黑体" w:cs="黑体"/>
                <w:i/>
                <w:iCs/>
                <w:color w:val="000000"/>
                <w:sz w:val="18"/>
                <w:szCs w:val="18"/>
                <w:u w:val="none"/>
              </w:rPr>
            </w:pPr>
          </w:p>
        </w:tc>
      </w:tr>
      <w:tr w14:paraId="6DC6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6023">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81A">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D6C">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3E224">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E66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793B">
            <w:pPr>
              <w:rPr>
                <w:rFonts w:hint="eastAsia" w:ascii="黑体" w:hAnsi="黑体" w:eastAsia="黑体" w:cs="黑体"/>
                <w:i/>
                <w:iCs/>
                <w:color w:val="000000"/>
                <w:sz w:val="18"/>
                <w:szCs w:val="18"/>
                <w:u w:val="none"/>
              </w:rPr>
            </w:pPr>
          </w:p>
        </w:tc>
      </w:tr>
      <w:tr w14:paraId="4DDE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DF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0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310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2D6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E313">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9A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8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举办公共机构节能工作人员培训会次数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FA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58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661">
            <w:pPr>
              <w:jc w:val="center"/>
              <w:rPr>
                <w:rFonts w:hint="eastAsia" w:ascii="微软雅黑" w:hAnsi="微软雅黑" w:eastAsia="微软雅黑" w:cs="微软雅黑"/>
                <w:i/>
                <w:iCs/>
                <w:color w:val="000000"/>
                <w:sz w:val="16"/>
                <w:szCs w:val="16"/>
                <w:u w:val="none"/>
              </w:rPr>
            </w:pPr>
          </w:p>
        </w:tc>
      </w:tr>
      <w:tr w14:paraId="090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B7C6">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1974">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D527">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聘请提供技术服务指导三方公司数量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2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E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8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3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47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63F">
            <w:pPr>
              <w:jc w:val="center"/>
              <w:rPr>
                <w:rFonts w:hint="eastAsia" w:ascii="微软雅黑" w:hAnsi="微软雅黑" w:eastAsia="微软雅黑" w:cs="微软雅黑"/>
                <w:i/>
                <w:iCs/>
                <w:color w:val="000000"/>
                <w:sz w:val="16"/>
                <w:szCs w:val="16"/>
                <w:u w:val="none"/>
              </w:rPr>
            </w:pPr>
          </w:p>
        </w:tc>
      </w:tr>
      <w:tr w14:paraId="39AF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38FC">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CD28">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077C">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3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印发宣传资料份数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F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7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B7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C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DE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2442">
            <w:pPr>
              <w:jc w:val="center"/>
              <w:rPr>
                <w:rFonts w:hint="eastAsia" w:ascii="微软雅黑" w:hAnsi="微软雅黑" w:eastAsia="微软雅黑" w:cs="微软雅黑"/>
                <w:i/>
                <w:iCs/>
                <w:color w:val="000000"/>
                <w:sz w:val="16"/>
                <w:szCs w:val="16"/>
                <w:u w:val="none"/>
              </w:rPr>
            </w:pPr>
          </w:p>
        </w:tc>
      </w:tr>
      <w:tr w14:paraId="40A0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B67C">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202E">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4A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三方公司资质达标率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BC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3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7AF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0F55">
            <w:pPr>
              <w:jc w:val="center"/>
              <w:rPr>
                <w:rFonts w:hint="eastAsia" w:ascii="微软雅黑" w:hAnsi="微软雅黑" w:eastAsia="微软雅黑" w:cs="微软雅黑"/>
                <w:i/>
                <w:iCs/>
                <w:color w:val="000000"/>
                <w:sz w:val="16"/>
                <w:szCs w:val="16"/>
                <w:u w:val="none"/>
              </w:rPr>
            </w:pPr>
          </w:p>
        </w:tc>
      </w:tr>
      <w:tr w14:paraId="0ABF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0A95">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8312">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F77D">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B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AB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E9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881E">
            <w:pPr>
              <w:jc w:val="center"/>
              <w:rPr>
                <w:rFonts w:hint="eastAsia" w:ascii="微软雅黑" w:hAnsi="微软雅黑" w:eastAsia="微软雅黑" w:cs="微软雅黑"/>
                <w:i/>
                <w:iCs/>
                <w:color w:val="000000"/>
                <w:sz w:val="16"/>
                <w:szCs w:val="16"/>
                <w:u w:val="none"/>
              </w:rPr>
            </w:pPr>
          </w:p>
        </w:tc>
      </w:tr>
      <w:tr w14:paraId="41C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CB67">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A4E3">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33CC">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3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公共节能培训会人员参与率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9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9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57B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3AF">
            <w:pPr>
              <w:jc w:val="center"/>
              <w:rPr>
                <w:rFonts w:hint="eastAsia" w:ascii="微软雅黑" w:hAnsi="微软雅黑" w:eastAsia="微软雅黑" w:cs="微软雅黑"/>
                <w:i/>
                <w:iCs/>
                <w:color w:val="000000"/>
                <w:sz w:val="16"/>
                <w:szCs w:val="16"/>
                <w:u w:val="none"/>
              </w:rPr>
            </w:pPr>
          </w:p>
        </w:tc>
      </w:tr>
      <w:tr w14:paraId="3C13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9E12">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CCB4">
            <w:pPr>
              <w:jc w:val="center"/>
              <w:rPr>
                <w:rFonts w:hint="eastAsia" w:ascii="宋体" w:hAnsi="宋体" w:eastAsia="宋体" w:cs="宋体"/>
                <w:i w:val="0"/>
                <w:iCs w:val="0"/>
                <w:color w:val="000000"/>
                <w:sz w:val="18"/>
                <w:szCs w:val="18"/>
                <w:u w:val="none"/>
              </w:rPr>
            </w:pP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AF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E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三方公司聘用及时率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2B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C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26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E4DD">
            <w:pPr>
              <w:jc w:val="center"/>
              <w:rPr>
                <w:rFonts w:hint="eastAsia" w:ascii="微软雅黑" w:hAnsi="微软雅黑" w:eastAsia="微软雅黑" w:cs="微软雅黑"/>
                <w:i/>
                <w:iCs/>
                <w:color w:val="000000"/>
                <w:sz w:val="16"/>
                <w:szCs w:val="16"/>
                <w:u w:val="none"/>
              </w:rPr>
            </w:pPr>
          </w:p>
        </w:tc>
      </w:tr>
      <w:tr w14:paraId="3AA4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D2FA">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5359">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E60B">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公共节能工作人员培训会开展及时率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1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0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E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1EF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8478">
            <w:pPr>
              <w:jc w:val="center"/>
              <w:rPr>
                <w:rFonts w:hint="eastAsia" w:ascii="微软雅黑" w:hAnsi="微软雅黑" w:eastAsia="微软雅黑" w:cs="微软雅黑"/>
                <w:i/>
                <w:iCs/>
                <w:color w:val="000000"/>
                <w:sz w:val="16"/>
                <w:szCs w:val="16"/>
                <w:u w:val="none"/>
              </w:rPr>
            </w:pPr>
          </w:p>
        </w:tc>
      </w:tr>
      <w:tr w14:paraId="1F5F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75ED">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D338">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275D">
            <w:pPr>
              <w:jc w:val="center"/>
              <w:rPr>
                <w:rFonts w:hint="eastAsia" w:ascii="宋体" w:hAnsi="宋体" w:eastAsia="宋体" w:cs="宋体"/>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宣传资料发放及时率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DC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A0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8451">
            <w:pPr>
              <w:jc w:val="center"/>
              <w:rPr>
                <w:rFonts w:hint="eastAsia" w:ascii="微软雅黑" w:hAnsi="微软雅黑" w:eastAsia="微软雅黑" w:cs="微软雅黑"/>
                <w:i/>
                <w:iCs/>
                <w:color w:val="000000"/>
                <w:sz w:val="16"/>
                <w:szCs w:val="16"/>
                <w:u w:val="none"/>
              </w:rPr>
            </w:pPr>
          </w:p>
        </w:tc>
      </w:tr>
      <w:tr w14:paraId="1BC5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72F6">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46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公共节能宣传群众知晓率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9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1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DE9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2C1">
            <w:pPr>
              <w:jc w:val="center"/>
              <w:rPr>
                <w:rFonts w:hint="eastAsia" w:ascii="微软雅黑" w:hAnsi="微软雅黑" w:eastAsia="微软雅黑" w:cs="微软雅黑"/>
                <w:i/>
                <w:iCs/>
                <w:color w:val="000000"/>
                <w:sz w:val="16"/>
                <w:szCs w:val="16"/>
                <w:u w:val="none"/>
              </w:rPr>
            </w:pPr>
          </w:p>
        </w:tc>
      </w:tr>
      <w:tr w14:paraId="44AD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1702">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7DB3">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D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信息共享机制健全性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2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F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DAC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F49">
            <w:pPr>
              <w:jc w:val="center"/>
              <w:rPr>
                <w:rFonts w:hint="eastAsia" w:ascii="微软雅黑" w:hAnsi="微软雅黑" w:eastAsia="微软雅黑" w:cs="微软雅黑"/>
                <w:i/>
                <w:iCs/>
                <w:color w:val="000000"/>
                <w:sz w:val="16"/>
                <w:szCs w:val="16"/>
                <w:u w:val="none"/>
              </w:rPr>
            </w:pPr>
          </w:p>
        </w:tc>
      </w:tr>
      <w:tr w14:paraId="00A5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7CA7">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5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2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89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C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AAC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5F4">
            <w:pPr>
              <w:jc w:val="center"/>
              <w:rPr>
                <w:rFonts w:hint="eastAsia" w:ascii="微软雅黑" w:hAnsi="微软雅黑" w:eastAsia="微软雅黑" w:cs="微软雅黑"/>
                <w:i/>
                <w:iCs/>
                <w:color w:val="000000"/>
                <w:sz w:val="16"/>
                <w:szCs w:val="16"/>
                <w:u w:val="none"/>
              </w:rPr>
            </w:pPr>
          </w:p>
        </w:tc>
      </w:tr>
      <w:tr w14:paraId="7662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A42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3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0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15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B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F74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E46C">
            <w:pPr>
              <w:jc w:val="center"/>
              <w:rPr>
                <w:rFonts w:hint="eastAsia" w:ascii="微软雅黑" w:hAnsi="微软雅黑" w:eastAsia="微软雅黑" w:cs="微软雅黑"/>
                <w:i/>
                <w:iCs/>
                <w:color w:val="000000"/>
                <w:sz w:val="16"/>
                <w:szCs w:val="16"/>
                <w:u w:val="none"/>
              </w:rPr>
            </w:pPr>
          </w:p>
        </w:tc>
      </w:tr>
      <w:tr w14:paraId="6422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216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C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37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94</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F06">
            <w:pPr>
              <w:rPr>
                <w:rFonts w:hint="eastAsia" w:ascii="宋体" w:hAnsi="宋体" w:eastAsia="宋体" w:cs="宋体"/>
                <w:i w:val="0"/>
                <w:iCs w:val="0"/>
                <w:color w:val="000000"/>
                <w:sz w:val="18"/>
                <w:szCs w:val="18"/>
                <w:u w:val="none"/>
              </w:rPr>
            </w:pPr>
          </w:p>
        </w:tc>
      </w:tr>
      <w:tr w14:paraId="171C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D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EF5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目资金管理规范，项目管理到位，政策执行有力，有效发挥了财政资金的使用效率，完成了资金管理和使用规范工作，确保各单位各项工作的正常运转。</w:t>
            </w:r>
          </w:p>
        </w:tc>
      </w:tr>
      <w:tr w14:paraId="236A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4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2F6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是节能激励约束机制不健全，在节能管理、节能改造、节能应用等方面尚未建立有效的激励约束机制，节约没有奖励，超耗没有处罚，难以调动节能工作积极性和创造性。二是对节能规划不周全，导致预算不精准。</w:t>
            </w:r>
          </w:p>
          <w:p w14:paraId="2BEC54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026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F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BB8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建立健全政策法规体系，加强监督，督促检查，切实推进全区公共机构节能技术改造。充分运用市场机制，积极探索财政激励机制，推行合同能源管理，有效降低投入成本，提高节能效益。 </w:t>
            </w:r>
          </w:p>
          <w:p w14:paraId="2048A3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F74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ADC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项目负责人：杨建成</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FB2A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2938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2ACA5E89">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34B022FB">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72CAC58F">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4C9904B2">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3E4DB63">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58F3A9C7">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7D07D94">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50F5807E">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366B6FB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5A6B03">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26256C57">
            <w:pPr>
              <w:rPr>
                <w:rFonts w:hint="eastAsia" w:ascii="宋体" w:hAnsi="宋体" w:eastAsia="宋体" w:cs="宋体"/>
                <w:i w:val="0"/>
                <w:iCs w:val="0"/>
                <w:color w:val="000000"/>
                <w:sz w:val="18"/>
                <w:szCs w:val="18"/>
                <w:u w:val="none"/>
              </w:rPr>
            </w:pPr>
          </w:p>
        </w:tc>
      </w:tr>
      <w:tr w14:paraId="7D2D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0FCB0107">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4440A62E">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04CA7B75">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722DADDA">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530D56F5">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56D78CFC">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3CBE0CA1">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37A760CB">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1795721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86885B4">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09B6E16D">
            <w:pPr>
              <w:rPr>
                <w:rFonts w:hint="eastAsia" w:ascii="宋体" w:hAnsi="宋体" w:eastAsia="宋体" w:cs="宋体"/>
                <w:i w:val="0"/>
                <w:iCs w:val="0"/>
                <w:color w:val="000000"/>
                <w:sz w:val="18"/>
                <w:szCs w:val="18"/>
                <w:u w:val="none"/>
              </w:rPr>
            </w:pPr>
          </w:p>
        </w:tc>
      </w:tr>
      <w:tr w14:paraId="03CD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6800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53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E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E64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51090323T000009009922-春节慰问金</w:t>
            </w:r>
          </w:p>
        </w:tc>
      </w:tr>
      <w:tr w14:paraId="7493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B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2D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305D90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8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5863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64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05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2E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DE9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94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BF99">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2518">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65B96">
            <w:pPr>
              <w:rPr>
                <w:rFonts w:hint="eastAsia" w:ascii="宋体" w:hAnsi="宋体" w:eastAsia="宋体" w:cs="宋体"/>
                <w:i w:val="0"/>
                <w:iCs w:val="0"/>
                <w:color w:val="000000"/>
                <w:sz w:val="18"/>
                <w:szCs w:val="18"/>
                <w:u w:val="none"/>
              </w:rPr>
            </w:pP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F7F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158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192C">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2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12AC21">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55F615D5">
            <w:pPr>
              <w:rPr>
                <w:rFonts w:hint="eastAsia" w:ascii="宋体" w:hAnsi="宋体" w:eastAsia="宋体" w:cs="宋体"/>
                <w:i w:val="0"/>
                <w:iCs w:val="0"/>
                <w:color w:val="000000"/>
                <w:sz w:val="18"/>
                <w:szCs w:val="18"/>
                <w:u w:val="none"/>
              </w:rPr>
            </w:pPr>
          </w:p>
        </w:tc>
      </w:tr>
      <w:tr w14:paraId="3549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3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5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B5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6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B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D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C9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829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C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C7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F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33D7">
            <w:pPr>
              <w:jc w:val="center"/>
              <w:rPr>
                <w:rFonts w:hint="eastAsia" w:ascii="宋体" w:hAnsi="宋体" w:eastAsia="宋体" w:cs="宋体"/>
                <w:i w:val="0"/>
                <w:iCs w:val="0"/>
                <w:color w:val="000000"/>
                <w:sz w:val="18"/>
                <w:szCs w:val="18"/>
                <w:u w:val="none"/>
              </w:rPr>
            </w:pP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5610">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04F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2F3F">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56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B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75D4">
            <w:pPr>
              <w:rPr>
                <w:rFonts w:hint="eastAsia" w:ascii="黑体" w:hAnsi="黑体" w:eastAsia="黑体" w:cs="黑体"/>
                <w:i/>
                <w:iCs/>
                <w:color w:val="000000"/>
                <w:sz w:val="18"/>
                <w:szCs w:val="18"/>
                <w:u w:val="none"/>
              </w:rPr>
            </w:pPr>
          </w:p>
        </w:tc>
      </w:tr>
      <w:tr w14:paraId="4B17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E472">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9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B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38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2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FCFA">
            <w:pPr>
              <w:rPr>
                <w:rFonts w:hint="eastAsia" w:ascii="黑体" w:hAnsi="黑体" w:eastAsia="黑体" w:cs="黑体"/>
                <w:i/>
                <w:iCs/>
                <w:color w:val="000000"/>
                <w:sz w:val="18"/>
                <w:szCs w:val="18"/>
                <w:u w:val="none"/>
              </w:rPr>
            </w:pPr>
          </w:p>
        </w:tc>
      </w:tr>
      <w:tr w14:paraId="1F92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EBB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D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D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DE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8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5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9CEB">
            <w:pPr>
              <w:rPr>
                <w:rFonts w:hint="eastAsia" w:ascii="黑体" w:hAnsi="黑体" w:eastAsia="黑体" w:cs="黑体"/>
                <w:i/>
                <w:iCs/>
                <w:color w:val="000000"/>
                <w:sz w:val="18"/>
                <w:szCs w:val="18"/>
                <w:u w:val="none"/>
              </w:rPr>
            </w:pPr>
          </w:p>
        </w:tc>
      </w:tr>
      <w:tr w14:paraId="2146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6EFE">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C77">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C2DF">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F767">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7C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B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FE44">
            <w:pPr>
              <w:rPr>
                <w:rFonts w:hint="eastAsia" w:ascii="黑体" w:hAnsi="黑体" w:eastAsia="黑体" w:cs="黑体"/>
                <w:i/>
                <w:iCs/>
                <w:color w:val="000000"/>
                <w:sz w:val="18"/>
                <w:szCs w:val="18"/>
                <w:u w:val="none"/>
              </w:rPr>
            </w:pPr>
          </w:p>
        </w:tc>
      </w:tr>
      <w:tr w14:paraId="58FD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right w:val="single" w:color="000000" w:sz="4" w:space="0"/>
            </w:tcBorders>
            <w:shd w:val="clear" w:color="auto" w:fill="auto"/>
            <w:vAlign w:val="center"/>
          </w:tcPr>
          <w:p w14:paraId="10F7B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5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3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C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C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B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0ED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9E0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2BE237E8">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right w:val="single" w:color="000000" w:sz="4" w:space="0"/>
            </w:tcBorders>
            <w:shd w:val="clear" w:color="auto" w:fill="auto"/>
            <w:vAlign w:val="top"/>
          </w:tcPr>
          <w:p w14:paraId="1B219B33">
            <w:pPr>
              <w:spacing w:beforeLines="0" w:afterLines="0"/>
              <w:jc w:val="left"/>
              <w:rPr>
                <w:rFonts w:hint="eastAsia" w:ascii="等线" w:hAnsi="等线" w:eastAsia="等线"/>
                <w:color w:val="000000"/>
                <w:sz w:val="18"/>
                <w:szCs w:val="24"/>
              </w:rPr>
            </w:pPr>
            <w:r>
              <w:rPr>
                <w:rFonts w:hint="eastAsia" w:ascii="等线" w:hAnsi="等线" w:eastAsia="等线"/>
                <w:color w:val="000000"/>
                <w:sz w:val="18"/>
                <w:szCs w:val="24"/>
              </w:rPr>
              <w:t>产出指标</w:t>
            </w:r>
          </w:p>
          <w:p w14:paraId="3ACC9205">
            <w:pPr>
              <w:spacing w:beforeLines="0" w:afterLines="0"/>
              <w:jc w:val="left"/>
              <w:rPr>
                <w:rFonts w:hint="eastAsia" w:ascii="等线" w:hAnsi="等线" w:eastAsia="等线" w:cs="Times New Roman"/>
                <w:color w:val="000000"/>
                <w:kern w:val="2"/>
                <w:sz w:val="18"/>
                <w:szCs w:val="24"/>
                <w:lang w:val="en-US" w:eastAsia="zh-CN" w:bidi="ar-SA"/>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D039A94">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50FF171F">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保障职工度过祥和的春节</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7EB3FEA5">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980B79">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03F879C6">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571BCB8">
            <w:pPr>
              <w:spacing w:beforeLines="0" w:afterLines="0"/>
              <w:jc w:val="center"/>
              <w:rPr>
                <w:rFonts w:hint="default" w:ascii="等线" w:hAnsi="等线" w:eastAsia="等线"/>
                <w:color w:val="000000"/>
                <w:sz w:val="18"/>
                <w:szCs w:val="24"/>
                <w:lang w:val="en-US" w:eastAsia="zh-CN"/>
              </w:rPr>
            </w:pPr>
            <w:r>
              <w:rPr>
                <w:rFonts w:hint="eastAsia" w:ascii="等线" w:hAnsi="等线" w:eastAsia="等线"/>
                <w:color w:val="000000"/>
                <w:sz w:val="18"/>
                <w:szCs w:val="24"/>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355A05">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496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717">
            <w:pPr>
              <w:jc w:val="center"/>
              <w:rPr>
                <w:rFonts w:hint="eastAsia" w:ascii="微软雅黑" w:hAnsi="微软雅黑" w:eastAsia="微软雅黑" w:cs="微软雅黑"/>
                <w:i/>
                <w:iCs/>
                <w:color w:val="000000"/>
                <w:sz w:val="16"/>
                <w:szCs w:val="16"/>
                <w:u w:val="none"/>
              </w:rPr>
            </w:pPr>
          </w:p>
        </w:tc>
      </w:tr>
      <w:tr w14:paraId="3014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4FDCB376">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right w:val="single" w:color="000000" w:sz="4" w:space="0"/>
            </w:tcBorders>
            <w:shd w:val="clear" w:color="auto" w:fill="auto"/>
            <w:vAlign w:val="top"/>
          </w:tcPr>
          <w:p w14:paraId="6554F3B5">
            <w:pPr>
              <w:spacing w:beforeLines="0" w:afterLines="0"/>
              <w:jc w:val="left"/>
              <w:rPr>
                <w:rFonts w:hint="eastAsia" w:ascii="等线" w:hAnsi="等线" w:eastAsia="等线" w:cs="Times New Roman"/>
                <w:color w:val="000000"/>
                <w:kern w:val="2"/>
                <w:sz w:val="18"/>
                <w:szCs w:val="24"/>
                <w:lang w:val="en-US" w:eastAsia="zh-CN" w:bidi="ar-SA"/>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0A1E5">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511880AB">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慰问金发放及时率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273A0BB6">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36239F">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4EE0032E">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57658">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666AE55">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80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D05">
            <w:pPr>
              <w:jc w:val="center"/>
              <w:rPr>
                <w:rFonts w:hint="eastAsia" w:ascii="微软雅黑" w:hAnsi="微软雅黑" w:eastAsia="微软雅黑" w:cs="微软雅黑"/>
                <w:i/>
                <w:iCs/>
                <w:color w:val="000000"/>
                <w:sz w:val="16"/>
                <w:szCs w:val="16"/>
                <w:u w:val="none"/>
              </w:rPr>
            </w:pPr>
          </w:p>
        </w:tc>
      </w:tr>
      <w:tr w14:paraId="750B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0B269C50">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bottom w:val="single" w:color="000000" w:sz="4" w:space="0"/>
              <w:right w:val="single" w:color="000000" w:sz="4" w:space="0"/>
            </w:tcBorders>
            <w:shd w:val="clear" w:color="auto" w:fill="auto"/>
            <w:vAlign w:val="top"/>
          </w:tcPr>
          <w:p w14:paraId="3521CA48">
            <w:pPr>
              <w:spacing w:beforeLines="0" w:afterLines="0"/>
              <w:jc w:val="left"/>
              <w:rPr>
                <w:rFonts w:hint="eastAsia" w:ascii="等线" w:hAnsi="等线" w:eastAsia="等线" w:cs="Times New Roman"/>
                <w:color w:val="000000"/>
                <w:kern w:val="2"/>
                <w:sz w:val="18"/>
                <w:szCs w:val="24"/>
                <w:lang w:val="en-US" w:eastAsia="zh-CN" w:bidi="ar-SA"/>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50736F">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48040DCD">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慰问职工人数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211F3">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0D2999E9">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73D6E1A7">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E066EAD">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9A2A00">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06C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3C6D">
            <w:pPr>
              <w:jc w:val="center"/>
              <w:rPr>
                <w:rFonts w:hint="eastAsia" w:ascii="微软雅黑" w:hAnsi="微软雅黑" w:eastAsia="微软雅黑" w:cs="微软雅黑"/>
                <w:i/>
                <w:iCs/>
                <w:color w:val="000000"/>
                <w:sz w:val="16"/>
                <w:szCs w:val="16"/>
                <w:u w:val="none"/>
              </w:rPr>
            </w:pPr>
          </w:p>
        </w:tc>
      </w:tr>
      <w:tr w14:paraId="29CB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17E75660">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right w:val="single" w:color="000000" w:sz="4" w:space="0"/>
            </w:tcBorders>
            <w:shd w:val="clear" w:color="auto" w:fill="auto"/>
            <w:vAlign w:val="top"/>
          </w:tcPr>
          <w:p w14:paraId="1B9296CC">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E60E9A">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5A2230A2">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建立长期慰问机制</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920731">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655229">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E4ED7A">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5C5ACDE">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1E14B7">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1F7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5C91">
            <w:pPr>
              <w:jc w:val="center"/>
              <w:rPr>
                <w:rFonts w:hint="eastAsia" w:ascii="微软雅黑" w:hAnsi="微软雅黑" w:eastAsia="微软雅黑" w:cs="微软雅黑"/>
                <w:i/>
                <w:iCs/>
                <w:color w:val="000000"/>
                <w:sz w:val="16"/>
                <w:szCs w:val="16"/>
                <w:u w:val="none"/>
              </w:rPr>
            </w:pPr>
          </w:p>
        </w:tc>
      </w:tr>
      <w:tr w14:paraId="6A85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2E3CD431">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bottom w:val="single" w:color="000000" w:sz="4" w:space="0"/>
              <w:right w:val="single" w:color="000000" w:sz="4" w:space="0"/>
            </w:tcBorders>
            <w:shd w:val="clear" w:color="auto" w:fill="auto"/>
            <w:vAlign w:val="top"/>
          </w:tcPr>
          <w:p w14:paraId="409BDD46">
            <w:pPr>
              <w:spacing w:beforeLines="0" w:afterLines="0"/>
              <w:jc w:val="left"/>
              <w:rPr>
                <w:rFonts w:hint="eastAsia" w:ascii="等线" w:hAnsi="等线" w:eastAsia="等线" w:cs="Times New Roman"/>
                <w:color w:val="000000"/>
                <w:kern w:val="2"/>
                <w:sz w:val="18"/>
                <w:szCs w:val="24"/>
                <w:lang w:val="en-US" w:eastAsia="zh-CN" w:bidi="ar-SA"/>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5A89770">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007764D0">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促进中心和谐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3E45">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08F03B">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98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907DDD">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C85E291">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05B619">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EAE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9032">
            <w:pPr>
              <w:jc w:val="center"/>
              <w:rPr>
                <w:rFonts w:hint="eastAsia" w:ascii="微软雅黑" w:hAnsi="微软雅黑" w:eastAsia="微软雅黑" w:cs="微软雅黑"/>
                <w:i/>
                <w:iCs/>
                <w:color w:val="000000"/>
                <w:sz w:val="16"/>
                <w:szCs w:val="16"/>
                <w:u w:val="none"/>
              </w:rPr>
            </w:pPr>
          </w:p>
        </w:tc>
      </w:tr>
      <w:tr w14:paraId="2696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0BDC9B9A">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A8F941">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B6DE">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55F967BF">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职工满意率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48318C0D">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9E376B">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996EEE">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36C4FC">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68E3E9">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3D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DE42">
            <w:pPr>
              <w:jc w:val="center"/>
              <w:rPr>
                <w:rFonts w:hint="eastAsia" w:ascii="微软雅黑" w:hAnsi="微软雅黑" w:eastAsia="微软雅黑" w:cs="微软雅黑"/>
                <w:i/>
                <w:iCs/>
                <w:color w:val="000000"/>
                <w:sz w:val="16"/>
                <w:szCs w:val="16"/>
                <w:u w:val="none"/>
              </w:rPr>
            </w:pPr>
          </w:p>
        </w:tc>
      </w:tr>
      <w:tr w14:paraId="45BE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bottom w:val="single" w:color="000000" w:sz="4" w:space="0"/>
              <w:right w:val="single" w:color="000000" w:sz="4" w:space="0"/>
            </w:tcBorders>
            <w:shd w:val="clear" w:color="auto" w:fill="auto"/>
            <w:vAlign w:val="center"/>
          </w:tcPr>
          <w:p w14:paraId="40750D0F">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E2707">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2A4D56">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top"/>
          </w:tcPr>
          <w:p w14:paraId="66980A80">
            <w:pPr>
              <w:spacing w:beforeLines="0" w:afterLines="0"/>
              <w:jc w:val="center"/>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58B193A4">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C0F6DE">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4</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top"/>
          </w:tcPr>
          <w:p w14:paraId="06A83AA1">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BBCEE1">
            <w:pPr>
              <w:spacing w:beforeLines="0" w:afterLines="0"/>
              <w:jc w:val="center"/>
              <w:rPr>
                <w:rFonts w:hint="eastAsia" w:ascii="等线" w:hAnsi="等线" w:eastAsia="等线"/>
                <w:color w:val="000000"/>
                <w:sz w:val="18"/>
                <w:szCs w:val="24"/>
                <w:lang w:val="en-US" w:eastAsia="zh-CN"/>
              </w:rPr>
            </w:pPr>
            <w:r>
              <w:rPr>
                <w:rFonts w:hint="eastAsia" w:ascii="等线" w:hAnsi="等线" w:eastAsia="等线"/>
                <w:color w:val="000000"/>
                <w:sz w:val="18"/>
                <w:szCs w:val="24"/>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8E72F1">
            <w:pPr>
              <w:spacing w:beforeLines="0" w:afterLines="0"/>
              <w:jc w:val="left"/>
              <w:rPr>
                <w:rFonts w:hint="eastAsia" w:ascii="等线" w:hAnsi="等线" w:eastAsia="等线" w:cs="Times New Roman"/>
                <w:color w:val="000000"/>
                <w:kern w:val="2"/>
                <w:sz w:val="18"/>
                <w:szCs w:val="24"/>
                <w:lang w:val="en-US" w:eastAsia="zh-CN" w:bidi="ar-SA"/>
              </w:rPr>
            </w:pPr>
            <w:r>
              <w:rPr>
                <w:rFonts w:hint="eastAsia" w:ascii="等线" w:hAnsi="等线" w:eastAsia="等线"/>
                <w:color w:val="000000"/>
                <w:sz w:val="18"/>
                <w:szCs w:val="24"/>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9B1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268">
            <w:pPr>
              <w:jc w:val="center"/>
              <w:rPr>
                <w:rFonts w:hint="eastAsia" w:ascii="微软雅黑" w:hAnsi="微软雅黑" w:eastAsia="微软雅黑" w:cs="微软雅黑"/>
                <w:i/>
                <w:iCs/>
                <w:color w:val="000000"/>
                <w:sz w:val="16"/>
                <w:szCs w:val="16"/>
                <w:u w:val="none"/>
              </w:rPr>
            </w:pPr>
          </w:p>
        </w:tc>
      </w:tr>
      <w:tr w14:paraId="3D37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3CB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1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246">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5F46">
            <w:pPr>
              <w:rPr>
                <w:rFonts w:hint="eastAsia" w:ascii="宋体" w:hAnsi="宋体" w:eastAsia="宋体" w:cs="宋体"/>
                <w:i w:val="0"/>
                <w:iCs w:val="0"/>
                <w:color w:val="000000"/>
                <w:sz w:val="18"/>
                <w:szCs w:val="18"/>
                <w:u w:val="none"/>
              </w:rPr>
            </w:pPr>
          </w:p>
        </w:tc>
      </w:tr>
      <w:tr w14:paraId="18D1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8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F13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目资金管理规范，项目管理到位，政策执行有力，有效发挥了财政资金的使用效率，完成了资金管理和使用规范工作，确保各单位各项工作的正常运转。</w:t>
            </w:r>
          </w:p>
        </w:tc>
      </w:tr>
      <w:tr w14:paraId="34E0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D7C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9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11A0E">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进一步建立健全资金管理及使用制度。</w:t>
            </w:r>
          </w:p>
        </w:tc>
      </w:tr>
      <w:tr w14:paraId="7240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7DD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项目负责人：刘全能</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7768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11D2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3463A3FB">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7213EC1A">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42ADE4CF">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201FD90F">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1509A8F5">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5C658242">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735280A5">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7C9FBD9A">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299920E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48687BA">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1AF8BA21">
            <w:pPr>
              <w:rPr>
                <w:rFonts w:hint="eastAsia" w:ascii="宋体" w:hAnsi="宋体" w:eastAsia="宋体" w:cs="宋体"/>
                <w:i w:val="0"/>
                <w:iCs w:val="0"/>
                <w:color w:val="000000"/>
                <w:sz w:val="18"/>
                <w:szCs w:val="18"/>
                <w:u w:val="none"/>
              </w:rPr>
            </w:pPr>
          </w:p>
        </w:tc>
      </w:tr>
      <w:tr w14:paraId="674B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A876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83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8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F02F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51090323T000009749841-公务用车更新购置经费</w:t>
            </w:r>
          </w:p>
        </w:tc>
      </w:tr>
      <w:tr w14:paraId="00B3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13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2D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四川省遂宁市船山区人民政府办公室部门</w:t>
            </w:r>
          </w:p>
        </w:tc>
        <w:tc>
          <w:tcPr>
            <w:tcW w:w="1094" w:type="dxa"/>
            <w:tcBorders>
              <w:top w:val="nil"/>
              <w:left w:val="nil"/>
              <w:bottom w:val="nil"/>
              <w:right w:val="nil"/>
            </w:tcBorders>
            <w:shd w:val="clear" w:color="auto" w:fill="auto"/>
            <w:vAlign w:val="center"/>
          </w:tcPr>
          <w:p w14:paraId="3EB0E9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35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四川省遂宁市船山区机关事务服务中心</w:t>
            </w:r>
          </w:p>
        </w:tc>
      </w:tr>
      <w:tr w14:paraId="4D75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F6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84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54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C7D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37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EBF9">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E579">
            <w:pPr>
              <w:rPr>
                <w:rFonts w:hint="eastAsia" w:ascii="宋体" w:hAnsi="宋体" w:eastAsia="宋体" w:cs="宋体"/>
                <w:i w:val="0"/>
                <w:iCs w:val="0"/>
                <w:color w:val="000000"/>
                <w:sz w:val="18"/>
                <w:szCs w:val="18"/>
                <w:u w:val="none"/>
              </w:rPr>
            </w:pPr>
          </w:p>
        </w:tc>
        <w:tc>
          <w:tcPr>
            <w:tcW w:w="6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D9D0B">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将达到报废年限车辆予以报废后，购置公务用车2辆，购车经费纳入区财政预算，金额为35.98万元。</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B1A99">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购置新能源轿车2辆</w:t>
            </w:r>
          </w:p>
        </w:tc>
      </w:tr>
      <w:tr w14:paraId="430F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722A">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C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C0EB7">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在实施过程中，遵守相关法律法规和规定，项目支出符合国家经济法规和财务管理制度，资金到位及时，预算执行率高。有专人负责，项目进行前进行集体研究讨论，项目进行时有负责人及时跟踪项目实施情况，并及时提出意见和建议。</w:t>
            </w:r>
          </w:p>
          <w:p w14:paraId="40A76826">
            <w:pPr>
              <w:rPr>
                <w:rFonts w:hint="eastAsia" w:ascii="宋体" w:hAnsi="宋体" w:eastAsia="宋体" w:cs="宋体"/>
                <w:i w:val="0"/>
                <w:iCs w:val="0"/>
                <w:color w:val="000000"/>
                <w:sz w:val="18"/>
                <w:szCs w:val="18"/>
                <w:u w:val="none"/>
              </w:rPr>
            </w:pPr>
          </w:p>
        </w:tc>
      </w:tr>
      <w:tr w14:paraId="2314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5F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4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C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A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10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440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4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0F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F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597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868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F5D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AEAE">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7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D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49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1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B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B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DE8C">
            <w:pPr>
              <w:rPr>
                <w:rFonts w:hint="eastAsia" w:ascii="黑体" w:hAnsi="黑体" w:eastAsia="黑体" w:cs="黑体"/>
                <w:i/>
                <w:iCs/>
                <w:color w:val="000000"/>
                <w:sz w:val="18"/>
                <w:szCs w:val="18"/>
                <w:u w:val="none"/>
              </w:rPr>
            </w:pPr>
          </w:p>
        </w:tc>
      </w:tr>
      <w:tr w14:paraId="0064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D739">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0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7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37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3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DF9F">
            <w:pPr>
              <w:rPr>
                <w:rFonts w:hint="eastAsia" w:ascii="黑体" w:hAnsi="黑体" w:eastAsia="黑体" w:cs="黑体"/>
                <w:i/>
                <w:iCs/>
                <w:color w:val="000000"/>
                <w:sz w:val="18"/>
                <w:szCs w:val="18"/>
                <w:u w:val="none"/>
              </w:rPr>
            </w:pPr>
          </w:p>
        </w:tc>
      </w:tr>
      <w:tr w14:paraId="7457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F198">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9C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B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B648">
            <w:pPr>
              <w:rPr>
                <w:rFonts w:hint="eastAsia" w:ascii="黑体" w:hAnsi="黑体" w:eastAsia="黑体" w:cs="黑体"/>
                <w:i/>
                <w:iCs/>
                <w:color w:val="000000"/>
                <w:sz w:val="18"/>
                <w:szCs w:val="18"/>
                <w:u w:val="none"/>
              </w:rPr>
            </w:pPr>
          </w:p>
        </w:tc>
      </w:tr>
      <w:tr w14:paraId="18B3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536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6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82B5">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E29">
            <w:pPr>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C6A13">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282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9920">
            <w:pPr>
              <w:rPr>
                <w:rFonts w:hint="eastAsia" w:ascii="黑体" w:hAnsi="黑体" w:eastAsia="黑体" w:cs="黑体"/>
                <w:i/>
                <w:iCs/>
                <w:color w:val="000000"/>
                <w:sz w:val="18"/>
                <w:szCs w:val="18"/>
                <w:u w:val="none"/>
              </w:rPr>
            </w:pPr>
          </w:p>
        </w:tc>
      </w:tr>
      <w:tr w14:paraId="0C12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right w:val="single" w:color="000000" w:sz="4" w:space="0"/>
            </w:tcBorders>
            <w:shd w:val="clear" w:color="auto" w:fill="auto"/>
            <w:vAlign w:val="center"/>
          </w:tcPr>
          <w:p w14:paraId="234D6B2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绩效指标（90分）</w:t>
            </w:r>
          </w:p>
          <w:p w14:paraId="4C97A714">
            <w:pPr>
              <w:jc w:val="center"/>
              <w:rPr>
                <w:rFonts w:hint="eastAsia" w:ascii="宋体" w:hAnsi="宋体" w:eastAsia="宋体" w:cs="宋体"/>
                <w:i w:val="0"/>
                <w:iCs w:val="0"/>
                <w:color w:val="000000"/>
                <w:sz w:val="18"/>
                <w:szCs w:val="18"/>
                <w:u w:val="none"/>
              </w:rPr>
            </w:pPr>
          </w:p>
          <w:p w14:paraId="40A3825F">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1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F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4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F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6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D9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FDC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6BBDA705">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right w:val="single" w:color="000000" w:sz="4" w:space="0"/>
            </w:tcBorders>
            <w:shd w:val="clear" w:color="auto" w:fill="auto"/>
            <w:vAlign w:val="center"/>
          </w:tcPr>
          <w:p w14:paraId="6873FF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A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B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购车数量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20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42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6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6B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14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818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011">
            <w:pPr>
              <w:jc w:val="center"/>
              <w:rPr>
                <w:rFonts w:hint="eastAsia" w:ascii="微软雅黑" w:hAnsi="微软雅黑" w:eastAsia="微软雅黑" w:cs="微软雅黑"/>
                <w:i/>
                <w:iCs/>
                <w:color w:val="000000"/>
                <w:sz w:val="16"/>
                <w:szCs w:val="16"/>
                <w:u w:val="none"/>
              </w:rPr>
            </w:pPr>
          </w:p>
        </w:tc>
      </w:tr>
      <w:tr w14:paraId="7BB3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4E48264B">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right w:val="single" w:color="000000" w:sz="4" w:space="0"/>
            </w:tcBorders>
            <w:shd w:val="clear" w:color="auto" w:fill="auto"/>
            <w:vAlign w:val="center"/>
          </w:tcPr>
          <w:p w14:paraId="423E5001">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5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3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95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6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25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5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C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D5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163">
            <w:pPr>
              <w:jc w:val="center"/>
              <w:rPr>
                <w:rFonts w:hint="eastAsia" w:ascii="微软雅黑" w:hAnsi="微软雅黑" w:eastAsia="微软雅黑" w:cs="微软雅黑"/>
                <w:i/>
                <w:iCs/>
                <w:color w:val="000000"/>
                <w:sz w:val="16"/>
                <w:szCs w:val="16"/>
                <w:u w:val="none"/>
              </w:rPr>
            </w:pPr>
          </w:p>
        </w:tc>
      </w:tr>
      <w:tr w14:paraId="266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56D9C89A">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bottom w:val="single" w:color="000000" w:sz="4" w:space="0"/>
              <w:right w:val="single" w:color="000000" w:sz="4" w:space="0"/>
            </w:tcBorders>
            <w:shd w:val="clear" w:color="auto" w:fill="auto"/>
            <w:vAlign w:val="center"/>
          </w:tcPr>
          <w:p w14:paraId="774621AC">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99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6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购置时限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8B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82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F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D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4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5E0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5DD">
            <w:pPr>
              <w:jc w:val="center"/>
              <w:rPr>
                <w:rFonts w:hint="eastAsia" w:ascii="微软雅黑" w:hAnsi="微软雅黑" w:eastAsia="微软雅黑" w:cs="微软雅黑"/>
                <w:i/>
                <w:iCs/>
                <w:color w:val="000000"/>
                <w:sz w:val="16"/>
                <w:szCs w:val="16"/>
                <w:u w:val="none"/>
              </w:rPr>
            </w:pPr>
          </w:p>
        </w:tc>
      </w:tr>
      <w:tr w14:paraId="3B93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33FC4D1C">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right w:val="single" w:color="000000" w:sz="4" w:space="0"/>
            </w:tcBorders>
            <w:shd w:val="clear" w:color="auto" w:fill="auto"/>
            <w:vAlign w:val="center"/>
          </w:tcPr>
          <w:p w14:paraId="3522C2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FA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6A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职工受益</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0F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4C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CF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F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B5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FE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E53D">
            <w:pPr>
              <w:jc w:val="center"/>
              <w:rPr>
                <w:rFonts w:hint="eastAsia" w:ascii="微软雅黑" w:hAnsi="微软雅黑" w:eastAsia="微软雅黑" w:cs="微软雅黑"/>
                <w:i/>
                <w:iCs/>
                <w:color w:val="000000"/>
                <w:sz w:val="16"/>
                <w:szCs w:val="16"/>
                <w:u w:val="none"/>
              </w:rPr>
            </w:pPr>
          </w:p>
        </w:tc>
      </w:tr>
      <w:tr w14:paraId="7D9A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left w:val="single" w:color="000000" w:sz="4" w:space="0"/>
              <w:right w:val="single" w:color="000000" w:sz="4" w:space="0"/>
            </w:tcBorders>
            <w:shd w:val="clear" w:color="auto" w:fill="auto"/>
            <w:vAlign w:val="center"/>
          </w:tcPr>
          <w:p w14:paraId="5E0BF0C0">
            <w:pPr>
              <w:jc w:val="center"/>
              <w:rPr>
                <w:rFonts w:hint="eastAsia" w:ascii="宋体" w:hAnsi="宋体" w:eastAsia="宋体" w:cs="宋体"/>
                <w:i w:val="0"/>
                <w:iCs w:val="0"/>
                <w:color w:val="000000"/>
                <w:sz w:val="18"/>
                <w:szCs w:val="18"/>
                <w:u w:val="none"/>
              </w:rPr>
            </w:pPr>
          </w:p>
        </w:tc>
        <w:tc>
          <w:tcPr>
            <w:tcW w:w="2048" w:type="dxa"/>
            <w:vMerge w:val="continue"/>
            <w:tcBorders>
              <w:left w:val="single" w:color="000000" w:sz="4" w:space="0"/>
              <w:bottom w:val="single" w:color="000000" w:sz="4" w:space="0"/>
              <w:right w:val="single" w:color="000000" w:sz="4" w:space="0"/>
            </w:tcBorders>
            <w:shd w:val="clear" w:color="auto" w:fill="auto"/>
            <w:vAlign w:val="center"/>
          </w:tcPr>
          <w:p w14:paraId="534D19E6">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4A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09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健全管理机制</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47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9B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5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E0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1A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F8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A90B">
            <w:pPr>
              <w:jc w:val="center"/>
              <w:rPr>
                <w:rFonts w:hint="eastAsia" w:ascii="微软雅黑" w:hAnsi="微软雅黑" w:eastAsia="微软雅黑" w:cs="微软雅黑"/>
                <w:i/>
                <w:iCs/>
                <w:color w:val="000000"/>
                <w:sz w:val="16"/>
                <w:szCs w:val="16"/>
                <w:u w:val="none"/>
              </w:rPr>
            </w:pPr>
          </w:p>
        </w:tc>
      </w:tr>
      <w:tr w14:paraId="57C8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89" w:type="dxa"/>
            <w:vMerge w:val="continue"/>
            <w:tcBorders>
              <w:left w:val="single" w:color="000000" w:sz="4" w:space="0"/>
              <w:right w:val="single" w:color="000000" w:sz="4" w:space="0"/>
            </w:tcBorders>
            <w:shd w:val="clear" w:color="auto" w:fill="auto"/>
            <w:vAlign w:val="center"/>
          </w:tcPr>
          <w:p w14:paraId="775B7F0F">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DE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B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9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干部满意度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2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1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F9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C1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4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A3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3F7E">
            <w:pPr>
              <w:jc w:val="center"/>
              <w:rPr>
                <w:rFonts w:hint="eastAsia" w:ascii="微软雅黑" w:hAnsi="微软雅黑" w:eastAsia="微软雅黑" w:cs="微软雅黑"/>
                <w:i/>
                <w:iCs/>
                <w:color w:val="000000"/>
                <w:sz w:val="16"/>
                <w:szCs w:val="16"/>
                <w:u w:val="none"/>
              </w:rPr>
            </w:pPr>
          </w:p>
        </w:tc>
      </w:tr>
      <w:tr w14:paraId="1B09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9" w:type="dxa"/>
            <w:vMerge w:val="continue"/>
            <w:tcBorders>
              <w:left w:val="single" w:color="000000" w:sz="4" w:space="0"/>
              <w:bottom w:val="single" w:color="000000" w:sz="4" w:space="0"/>
              <w:right w:val="single" w:color="000000" w:sz="4" w:space="0"/>
            </w:tcBorders>
            <w:shd w:val="clear" w:color="auto" w:fill="auto"/>
            <w:vAlign w:val="center"/>
          </w:tcPr>
          <w:p w14:paraId="5556044C">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37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成本指标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CC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BF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项目总成本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F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4D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35.98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9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7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35.98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A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08B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2753">
            <w:pPr>
              <w:jc w:val="center"/>
              <w:rPr>
                <w:rFonts w:hint="eastAsia" w:ascii="微软雅黑" w:hAnsi="微软雅黑" w:eastAsia="微软雅黑" w:cs="微软雅黑"/>
                <w:i/>
                <w:iCs/>
                <w:color w:val="000000"/>
                <w:sz w:val="16"/>
                <w:szCs w:val="16"/>
                <w:u w:val="none"/>
              </w:rPr>
            </w:pPr>
          </w:p>
        </w:tc>
      </w:tr>
      <w:tr w14:paraId="2349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30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0140">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9C9">
            <w:pPr>
              <w:rPr>
                <w:rFonts w:hint="eastAsia" w:ascii="宋体" w:hAnsi="宋体" w:eastAsia="宋体" w:cs="宋体"/>
                <w:i w:val="0"/>
                <w:iCs w:val="0"/>
                <w:color w:val="000000"/>
                <w:sz w:val="18"/>
                <w:szCs w:val="18"/>
                <w:u w:val="none"/>
              </w:rPr>
            </w:pPr>
          </w:p>
        </w:tc>
      </w:tr>
      <w:tr w14:paraId="7C1A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115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目资金管理规范，项目管理到位，政策执行有力，有效发挥了财政资金的使用效率，完成了资金管理和使用规范工作，确保各单位各项工作的正常运转。</w:t>
            </w:r>
          </w:p>
        </w:tc>
      </w:tr>
      <w:tr w14:paraId="7A65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E10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51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FAB7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严格落实公务用车管理制度，进一步完善相关内控制度，加强车辆管理。围绕“安全、规范、高效”的原则，依法依规，及时更新达到更新年限的车辆。</w:t>
            </w:r>
          </w:p>
        </w:tc>
      </w:tr>
      <w:tr w14:paraId="2717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5E5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项目负责人：杨建成</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5E5B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财务负责人：何焱</w:t>
            </w:r>
          </w:p>
        </w:tc>
      </w:tr>
      <w:tr w14:paraId="57C9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4C5EBF67">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30ABB22C">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22878C3D">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4CB9EEED">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4E8765A4">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0B19505F">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7639D2B6">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799F25CB">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3C63959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5B9D10D">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52B36EAF">
            <w:pPr>
              <w:rPr>
                <w:rFonts w:hint="eastAsia" w:ascii="宋体" w:hAnsi="宋体" w:eastAsia="宋体" w:cs="宋体"/>
                <w:i w:val="0"/>
                <w:iCs w:val="0"/>
                <w:color w:val="000000"/>
                <w:sz w:val="18"/>
                <w:szCs w:val="18"/>
                <w:u w:val="none"/>
              </w:rPr>
            </w:pPr>
          </w:p>
        </w:tc>
      </w:tr>
      <w:tr w14:paraId="556F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14:paraId="12297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0F42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14:paraId="47291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14DE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14:paraId="01C4A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2CCA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14:paraId="577901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2F79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7CE475ED">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086BC51F">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51620D65">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21E8B7F3">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659DC32D">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43C54F78">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0FE27171">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26876668">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623D39E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5296D5E">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70EBB221">
            <w:pPr>
              <w:rPr>
                <w:rFonts w:hint="eastAsia" w:ascii="宋体" w:hAnsi="宋体" w:eastAsia="宋体" w:cs="宋体"/>
                <w:i w:val="0"/>
                <w:iCs w:val="0"/>
                <w:color w:val="000000"/>
                <w:sz w:val="18"/>
                <w:szCs w:val="18"/>
                <w:u w:val="none"/>
              </w:rPr>
            </w:pPr>
          </w:p>
        </w:tc>
      </w:tr>
      <w:tr w14:paraId="557A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05F89E7A">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2F3BDFA3">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4AA17AC3">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40C4C62B">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72FA864B">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0FAFB32F">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5FD6EA04">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15AD668A">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67AB844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89BD92">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5B90FFED">
            <w:pPr>
              <w:rPr>
                <w:rFonts w:hint="eastAsia" w:ascii="宋体" w:hAnsi="宋体" w:eastAsia="宋体" w:cs="宋体"/>
                <w:i w:val="0"/>
                <w:iCs w:val="0"/>
                <w:color w:val="000000"/>
                <w:sz w:val="18"/>
                <w:szCs w:val="18"/>
                <w:u w:val="none"/>
              </w:rPr>
            </w:pPr>
          </w:p>
        </w:tc>
      </w:tr>
      <w:tr w14:paraId="22EB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14:paraId="6EBFACD6">
            <w:pPr>
              <w:rPr>
                <w:rFonts w:hint="eastAsia" w:ascii="宋体" w:hAnsi="宋体" w:eastAsia="宋体" w:cs="宋体"/>
                <w:i w:val="0"/>
                <w:iCs w:val="0"/>
                <w:color w:val="000000"/>
                <w:sz w:val="18"/>
                <w:szCs w:val="18"/>
                <w:u w:val="none"/>
              </w:rPr>
            </w:pPr>
          </w:p>
        </w:tc>
        <w:tc>
          <w:tcPr>
            <w:tcW w:w="2048" w:type="dxa"/>
            <w:tcBorders>
              <w:top w:val="nil"/>
              <w:left w:val="nil"/>
              <w:bottom w:val="nil"/>
              <w:right w:val="nil"/>
            </w:tcBorders>
            <w:shd w:val="clear" w:color="auto" w:fill="auto"/>
            <w:vAlign w:val="center"/>
          </w:tcPr>
          <w:p w14:paraId="05B0F728">
            <w:pPr>
              <w:rPr>
                <w:rFonts w:hint="eastAsia" w:ascii="宋体" w:hAnsi="宋体" w:eastAsia="宋体" w:cs="宋体"/>
                <w:i w:val="0"/>
                <w:iCs w:val="0"/>
                <w:color w:val="000000"/>
                <w:sz w:val="18"/>
                <w:szCs w:val="18"/>
                <w:u w:val="none"/>
              </w:rPr>
            </w:pPr>
          </w:p>
        </w:tc>
        <w:tc>
          <w:tcPr>
            <w:tcW w:w="1765" w:type="dxa"/>
            <w:tcBorders>
              <w:top w:val="nil"/>
              <w:left w:val="nil"/>
              <w:bottom w:val="nil"/>
              <w:right w:val="nil"/>
            </w:tcBorders>
            <w:shd w:val="clear" w:color="auto" w:fill="auto"/>
            <w:vAlign w:val="center"/>
          </w:tcPr>
          <w:p w14:paraId="667B4A47">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14:paraId="255EABF0">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0AEA6406">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14:paraId="7E4B616B">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56AC86C4">
            <w:pPr>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14:paraId="6AF36A42">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709ADA9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DEE8CCF">
            <w:pPr>
              <w:rPr>
                <w:rFonts w:hint="eastAsia" w:ascii="宋体" w:hAnsi="宋体" w:eastAsia="宋体" w:cs="宋体"/>
                <w:i w:val="0"/>
                <w:iCs w:val="0"/>
                <w:color w:val="000000"/>
                <w:sz w:val="18"/>
                <w:szCs w:val="18"/>
                <w:u w:val="none"/>
              </w:rPr>
            </w:pPr>
          </w:p>
        </w:tc>
        <w:tc>
          <w:tcPr>
            <w:tcW w:w="2542" w:type="dxa"/>
            <w:tcBorders>
              <w:top w:val="nil"/>
              <w:left w:val="nil"/>
              <w:bottom w:val="nil"/>
              <w:right w:val="nil"/>
            </w:tcBorders>
            <w:shd w:val="clear" w:color="auto" w:fill="auto"/>
            <w:vAlign w:val="center"/>
          </w:tcPr>
          <w:p w14:paraId="16006AD3">
            <w:pPr>
              <w:rPr>
                <w:rFonts w:hint="eastAsia" w:ascii="宋体" w:hAnsi="宋体" w:eastAsia="宋体" w:cs="宋体"/>
                <w:i w:val="0"/>
                <w:iCs w:val="0"/>
                <w:color w:val="000000"/>
                <w:sz w:val="18"/>
                <w:szCs w:val="18"/>
                <w:u w:val="none"/>
              </w:rPr>
            </w:pPr>
          </w:p>
        </w:tc>
      </w:tr>
    </w:tbl>
    <w:p w14:paraId="409252B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yellow"/>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14:paraId="352652B6">
      <w:pPr>
        <w:spacing w:line="600" w:lineRule="exact"/>
        <w:jc w:val="center"/>
        <w:outlineLvl w:val="0"/>
        <w:rPr>
          <w:rFonts w:hint="eastAsia" w:ascii="仿宋" w:hAnsi="仿宋" w:eastAsia="仿宋"/>
          <w:b w:val="0"/>
          <w:color w:val="auto"/>
          <w:highlight w:val="none"/>
        </w:rPr>
      </w:pPr>
      <w:bookmarkStart w:id="71" w:name="_Toc11239"/>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68"/>
      <w:bookmarkEnd w:id="70"/>
      <w:bookmarkEnd w:id="71"/>
      <w:bookmarkStart w:id="72" w:name="_Toc15396619"/>
    </w:p>
    <w:p w14:paraId="3368DF30">
      <w:pPr>
        <w:pStyle w:val="3"/>
        <w:rPr>
          <w:rFonts w:ascii="仿宋" w:hAnsi="仿宋" w:eastAsia="仿宋"/>
          <w:color w:val="auto"/>
          <w:highlight w:val="none"/>
        </w:rPr>
      </w:pPr>
      <w:bookmarkStart w:id="73" w:name="_Toc26851"/>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72"/>
      <w:bookmarkEnd w:id="73"/>
    </w:p>
    <w:p w14:paraId="07AA2F27">
      <w:pPr>
        <w:pStyle w:val="3"/>
        <w:rPr>
          <w:rFonts w:ascii="仿宋" w:hAnsi="仿宋" w:eastAsia="仿宋"/>
          <w:color w:val="auto"/>
          <w:highlight w:val="none"/>
        </w:rPr>
      </w:pPr>
      <w:bookmarkStart w:id="74" w:name="_Toc15396620"/>
      <w:bookmarkStart w:id="75" w:name="_Toc2495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74"/>
      <w:bookmarkEnd w:id="75"/>
    </w:p>
    <w:p w14:paraId="17B3BB90">
      <w:pPr>
        <w:pStyle w:val="3"/>
        <w:rPr>
          <w:rFonts w:ascii="仿宋" w:hAnsi="仿宋" w:eastAsia="仿宋"/>
          <w:color w:val="auto"/>
          <w:highlight w:val="none"/>
        </w:rPr>
      </w:pPr>
      <w:bookmarkStart w:id="76" w:name="_Toc15396621"/>
      <w:bookmarkStart w:id="77" w:name="_Toc1839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76"/>
      <w:bookmarkEnd w:id="77"/>
    </w:p>
    <w:p w14:paraId="661CE2E5">
      <w:pPr>
        <w:pStyle w:val="3"/>
        <w:rPr>
          <w:rFonts w:ascii="仿宋" w:hAnsi="仿宋" w:eastAsia="仿宋"/>
          <w:b w:val="0"/>
          <w:color w:val="auto"/>
          <w:highlight w:val="none"/>
        </w:rPr>
      </w:pPr>
      <w:bookmarkStart w:id="78" w:name="_Toc15396622"/>
      <w:bookmarkStart w:id="79" w:name="_Toc185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78"/>
      <w:bookmarkEnd w:id="79"/>
    </w:p>
    <w:p w14:paraId="048FF3D9">
      <w:pPr>
        <w:pStyle w:val="3"/>
        <w:rPr>
          <w:rStyle w:val="31"/>
          <w:rFonts w:ascii="仿宋" w:hAnsi="仿宋" w:eastAsia="仿宋"/>
          <w:b w:val="0"/>
          <w:bCs w:val="0"/>
          <w:color w:val="auto"/>
          <w:highlight w:val="none"/>
        </w:rPr>
      </w:pPr>
      <w:bookmarkStart w:id="80" w:name="_Toc15396623"/>
      <w:bookmarkStart w:id="81" w:name="_Toc10"/>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80"/>
      <w:bookmarkEnd w:id="81"/>
      <w:bookmarkStart w:id="82" w:name="_Toc15396624"/>
    </w:p>
    <w:p w14:paraId="086B494C">
      <w:pPr>
        <w:pStyle w:val="3"/>
        <w:rPr>
          <w:rFonts w:ascii="仿宋" w:hAnsi="仿宋" w:eastAsia="仿宋"/>
          <w:color w:val="auto"/>
          <w:highlight w:val="none"/>
        </w:rPr>
      </w:pPr>
      <w:bookmarkStart w:id="83" w:name="_Toc28860"/>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82"/>
      <w:bookmarkEnd w:id="83"/>
    </w:p>
    <w:p w14:paraId="6AF79D83">
      <w:pPr>
        <w:pStyle w:val="3"/>
        <w:rPr>
          <w:rFonts w:ascii="仿宋" w:hAnsi="仿宋" w:eastAsia="仿宋"/>
          <w:color w:val="auto"/>
          <w:highlight w:val="none"/>
        </w:rPr>
      </w:pPr>
      <w:bookmarkStart w:id="84" w:name="_Toc15396625"/>
      <w:bookmarkStart w:id="85" w:name="_Toc19729"/>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84"/>
      <w:bookmarkEnd w:id="85"/>
    </w:p>
    <w:p w14:paraId="329990A8">
      <w:pPr>
        <w:pStyle w:val="3"/>
        <w:rPr>
          <w:rFonts w:ascii="仿宋" w:hAnsi="仿宋" w:eastAsia="仿宋"/>
          <w:color w:val="auto"/>
          <w:highlight w:val="none"/>
        </w:rPr>
      </w:pPr>
      <w:bookmarkStart w:id="86" w:name="_Toc15396626"/>
      <w:bookmarkStart w:id="87" w:name="_Toc3011"/>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86"/>
      <w:bookmarkEnd w:id="87"/>
    </w:p>
    <w:p w14:paraId="00F6D67C">
      <w:pPr>
        <w:pStyle w:val="3"/>
        <w:rPr>
          <w:rFonts w:ascii="仿宋" w:hAnsi="仿宋" w:eastAsia="仿宋"/>
          <w:color w:val="auto"/>
          <w:highlight w:val="none"/>
        </w:rPr>
      </w:pPr>
      <w:bookmarkStart w:id="88" w:name="_Toc15396627"/>
      <w:bookmarkStart w:id="89" w:name="_Toc30670"/>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88"/>
      <w:bookmarkEnd w:id="89"/>
    </w:p>
    <w:p w14:paraId="7ACF466D">
      <w:pPr>
        <w:pStyle w:val="3"/>
        <w:rPr>
          <w:rFonts w:ascii="仿宋" w:hAnsi="仿宋" w:eastAsia="仿宋"/>
          <w:color w:val="auto"/>
          <w:highlight w:val="none"/>
        </w:rPr>
      </w:pPr>
      <w:bookmarkStart w:id="90" w:name="_Toc15396628"/>
      <w:bookmarkStart w:id="91" w:name="_Toc4532"/>
      <w:r>
        <w:rPr>
          <w:rStyle w:val="31"/>
          <w:rFonts w:hint="eastAsia" w:ascii="仿宋" w:hAnsi="仿宋" w:eastAsia="仿宋"/>
          <w:b w:val="0"/>
          <w:bCs w:val="0"/>
          <w:color w:val="auto"/>
          <w:highlight w:val="none"/>
        </w:rPr>
        <w:t>十、</w:t>
      </w:r>
      <w:bookmarkEnd w:id="90"/>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91"/>
    </w:p>
    <w:p w14:paraId="0D07947A">
      <w:pPr>
        <w:pStyle w:val="3"/>
        <w:rPr>
          <w:rFonts w:ascii="仿宋" w:hAnsi="仿宋" w:eastAsia="仿宋"/>
          <w:color w:val="auto"/>
          <w:highlight w:val="none"/>
        </w:rPr>
      </w:pPr>
      <w:bookmarkStart w:id="92" w:name="_Toc15396629"/>
      <w:bookmarkStart w:id="93" w:name="_Toc26268"/>
      <w:r>
        <w:rPr>
          <w:rStyle w:val="31"/>
          <w:rFonts w:hint="eastAsia" w:ascii="仿宋" w:hAnsi="仿宋" w:eastAsia="仿宋"/>
          <w:b w:val="0"/>
          <w:bCs w:val="0"/>
          <w:color w:val="auto"/>
          <w:highlight w:val="none"/>
        </w:rPr>
        <w:t>十一、</w:t>
      </w:r>
      <w:bookmarkEnd w:id="92"/>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93"/>
    </w:p>
    <w:p w14:paraId="5F480062">
      <w:pPr>
        <w:pStyle w:val="3"/>
        <w:rPr>
          <w:rFonts w:ascii="仿宋" w:hAnsi="仿宋" w:eastAsia="仿宋"/>
          <w:color w:val="auto"/>
          <w:highlight w:val="none"/>
        </w:rPr>
      </w:pPr>
      <w:bookmarkStart w:id="94" w:name="_Toc15396630"/>
      <w:bookmarkStart w:id="95" w:name="_Toc2568"/>
      <w:r>
        <w:rPr>
          <w:rStyle w:val="31"/>
          <w:rFonts w:hint="eastAsia" w:ascii="仿宋" w:hAnsi="仿宋" w:eastAsia="仿宋"/>
          <w:b w:val="0"/>
          <w:bCs w:val="0"/>
          <w:color w:val="auto"/>
          <w:highlight w:val="none"/>
        </w:rPr>
        <w:t>十二、</w:t>
      </w:r>
      <w:bookmarkEnd w:id="94"/>
      <w:r>
        <w:rPr>
          <w:rStyle w:val="31"/>
          <w:rFonts w:hint="eastAsia" w:ascii="仿宋" w:hAnsi="仿宋" w:eastAsia="仿宋"/>
          <w:b w:val="0"/>
          <w:bCs w:val="0"/>
          <w:color w:val="auto"/>
          <w:highlight w:val="none"/>
          <w:lang w:eastAsia="zh-CN"/>
        </w:rPr>
        <w:t>国有资本经营预算财政拨款支出决算表</w:t>
      </w:r>
      <w:bookmarkEnd w:id="95"/>
    </w:p>
    <w:p w14:paraId="2A1392D8">
      <w:pPr>
        <w:pStyle w:val="3"/>
        <w:rPr>
          <w:rFonts w:hint="eastAsia" w:eastAsia="仿宋"/>
          <w:color w:val="auto"/>
          <w:highlight w:val="none"/>
          <w:lang w:eastAsia="zh-CN"/>
        </w:rPr>
      </w:pPr>
      <w:bookmarkStart w:id="96" w:name="_Toc15396631"/>
      <w:bookmarkStart w:id="97" w:name="_Toc23436"/>
      <w:r>
        <w:rPr>
          <w:rStyle w:val="31"/>
          <w:rFonts w:hint="eastAsia" w:ascii="仿宋" w:hAnsi="仿宋" w:eastAsia="仿宋"/>
          <w:b w:val="0"/>
          <w:bCs w:val="0"/>
          <w:color w:val="auto"/>
          <w:highlight w:val="none"/>
        </w:rPr>
        <w:t>十三、</w:t>
      </w:r>
      <w:bookmarkEnd w:id="96"/>
      <w:r>
        <w:rPr>
          <w:rStyle w:val="31"/>
          <w:rFonts w:hint="eastAsia" w:ascii="仿宋" w:hAnsi="仿宋" w:eastAsia="仿宋"/>
          <w:b w:val="0"/>
          <w:bCs w:val="0"/>
          <w:color w:val="auto"/>
          <w:highlight w:val="none"/>
          <w:lang w:eastAsia="zh-CN"/>
        </w:rPr>
        <w:t>财政拨款“三公”经费支出决算表</w:t>
      </w:r>
      <w:bookmarkEnd w:id="97"/>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57E0">
    <w:pPr>
      <w:pStyle w:val="10"/>
      <w:jc w:val="center"/>
    </w:pPr>
  </w:p>
  <w:p w14:paraId="6ED9378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2B7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832"/>
                          </w:sdtPr>
                          <w:sdtContent>
                            <w:p w14:paraId="08900B32">
                              <w:pPr>
                                <w:pStyle w:val="10"/>
                                <w:jc w:val="center"/>
                              </w:pPr>
                              <w:r>
                                <w:fldChar w:fldCharType="begin"/>
                              </w:r>
                              <w:r>
                                <w:instrText xml:space="preserve">PAGE   \* MERGEFORMAT</w:instrText>
                              </w:r>
                              <w:r>
                                <w:fldChar w:fldCharType="separate"/>
                              </w:r>
                              <w:r>
                                <w:rPr>
                                  <w:lang w:val="zh-CN"/>
                                </w:rPr>
                                <w:t>8</w:t>
                              </w:r>
                              <w:r>
                                <w:fldChar w:fldCharType="end"/>
                              </w:r>
                            </w:p>
                          </w:sdtContent>
                        </w:sdt>
                        <w:p w14:paraId="3090CE3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2832"/>
                    </w:sdtPr>
                    <w:sdtContent>
                      <w:p w14:paraId="08900B32">
                        <w:pPr>
                          <w:pStyle w:val="10"/>
                          <w:jc w:val="center"/>
                        </w:pPr>
                        <w:r>
                          <w:fldChar w:fldCharType="begin"/>
                        </w:r>
                        <w:r>
                          <w:instrText xml:space="preserve">PAGE   \* MERGEFORMAT</w:instrText>
                        </w:r>
                        <w:r>
                          <w:fldChar w:fldCharType="separate"/>
                        </w:r>
                        <w:r>
                          <w:rPr>
                            <w:lang w:val="zh-CN"/>
                          </w:rPr>
                          <w:t>8</w:t>
                        </w:r>
                        <w:r>
                          <w:fldChar w:fldCharType="end"/>
                        </w:r>
                      </w:p>
                    </w:sdtContent>
                  </w:sdt>
                  <w:p w14:paraId="3090CE3E">
                    <w:pPr>
                      <w:pStyle w:val="5"/>
                    </w:pPr>
                  </w:p>
                </w:txbxContent>
              </v:textbox>
            </v:shape>
          </w:pict>
        </mc:Fallback>
      </mc:AlternateContent>
    </w:r>
  </w:p>
  <w:p w14:paraId="7A6F734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0C8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7697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47697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C91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74F3362"/>
    <w:multiLevelType w:val="singleLevel"/>
    <w:tmpl w:val="F74F3362"/>
    <w:lvl w:ilvl="0" w:tentative="0">
      <w:start w:val="3"/>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6BD0A6F"/>
    <w:multiLevelType w:val="singleLevel"/>
    <w:tmpl w:val="26BD0A6F"/>
    <w:lvl w:ilvl="0" w:tentative="0">
      <w:start w:val="1"/>
      <w:numFmt w:val="decimal"/>
      <w:suff w:val="nothing"/>
      <w:lvlText w:val="%1．"/>
      <w:lvlJc w:val="left"/>
      <w:pPr>
        <w:ind w:left="0" w:firstLine="400"/>
      </w:pPr>
      <w:rPr>
        <w:rFonts w:hint="default"/>
      </w:r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abstractNum w:abstractNumId="6">
    <w:nsid w:val="7FC9C74F"/>
    <w:multiLevelType w:val="singleLevel"/>
    <w:tmpl w:val="7FC9C74F"/>
    <w:lvl w:ilvl="0" w:tentative="0">
      <w:start w:val="1"/>
      <w:numFmt w:val="decimal"/>
      <w:suff w:val="nothing"/>
      <w:lvlText w:val="%1．"/>
      <w:lvlJc w:val="left"/>
      <w:pPr>
        <w:ind w:left="0" w:firstLine="397"/>
      </w:pPr>
      <w:rPr>
        <w:rFonts w:hint="default" w:eastAsia="仿宋"/>
        <w:b/>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3011"/>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C75F0"/>
    <w:rsid w:val="01D94F0E"/>
    <w:rsid w:val="020310CE"/>
    <w:rsid w:val="039B5867"/>
    <w:rsid w:val="049C7DEF"/>
    <w:rsid w:val="053A62B5"/>
    <w:rsid w:val="077324C8"/>
    <w:rsid w:val="0A2032A3"/>
    <w:rsid w:val="0B8A37D8"/>
    <w:rsid w:val="0C6C2BF0"/>
    <w:rsid w:val="0DBE0DD6"/>
    <w:rsid w:val="0E8B4CAB"/>
    <w:rsid w:val="0F7D4865"/>
    <w:rsid w:val="10C055FF"/>
    <w:rsid w:val="10E33BB6"/>
    <w:rsid w:val="10ED1AD6"/>
    <w:rsid w:val="118107EC"/>
    <w:rsid w:val="11DD6519"/>
    <w:rsid w:val="1244029A"/>
    <w:rsid w:val="130C4392"/>
    <w:rsid w:val="14AC0BBA"/>
    <w:rsid w:val="16BB723D"/>
    <w:rsid w:val="16F55A77"/>
    <w:rsid w:val="18015F3F"/>
    <w:rsid w:val="19301913"/>
    <w:rsid w:val="193B2D54"/>
    <w:rsid w:val="1A2E7B57"/>
    <w:rsid w:val="1B14060B"/>
    <w:rsid w:val="1BE8440E"/>
    <w:rsid w:val="1C635C62"/>
    <w:rsid w:val="1CEF0601"/>
    <w:rsid w:val="1D155CEE"/>
    <w:rsid w:val="1F3953BD"/>
    <w:rsid w:val="20F57F95"/>
    <w:rsid w:val="22857CBD"/>
    <w:rsid w:val="240371BF"/>
    <w:rsid w:val="24F125B8"/>
    <w:rsid w:val="25711CC6"/>
    <w:rsid w:val="25C741E6"/>
    <w:rsid w:val="26824C1E"/>
    <w:rsid w:val="276B4885"/>
    <w:rsid w:val="27842671"/>
    <w:rsid w:val="29A80B35"/>
    <w:rsid w:val="29FD04D3"/>
    <w:rsid w:val="2ABE7A3E"/>
    <w:rsid w:val="2B3AB931"/>
    <w:rsid w:val="2CA234A8"/>
    <w:rsid w:val="2EFA178C"/>
    <w:rsid w:val="2FCD4A51"/>
    <w:rsid w:val="3089721A"/>
    <w:rsid w:val="3097313E"/>
    <w:rsid w:val="30B46D73"/>
    <w:rsid w:val="30C140D2"/>
    <w:rsid w:val="319F7F4E"/>
    <w:rsid w:val="32B21E2A"/>
    <w:rsid w:val="32B37750"/>
    <w:rsid w:val="337D1E52"/>
    <w:rsid w:val="338410BB"/>
    <w:rsid w:val="346C7B0F"/>
    <w:rsid w:val="36527F76"/>
    <w:rsid w:val="36C93588"/>
    <w:rsid w:val="383D272C"/>
    <w:rsid w:val="38E21F36"/>
    <w:rsid w:val="39AE70AB"/>
    <w:rsid w:val="3B09775D"/>
    <w:rsid w:val="3B6F6980"/>
    <w:rsid w:val="3BFF1DF7"/>
    <w:rsid w:val="3C0C0783"/>
    <w:rsid w:val="3D593CDA"/>
    <w:rsid w:val="3DD46FC0"/>
    <w:rsid w:val="3E492211"/>
    <w:rsid w:val="3ED333DE"/>
    <w:rsid w:val="3EFD156E"/>
    <w:rsid w:val="3F2473AB"/>
    <w:rsid w:val="3F9F3A96"/>
    <w:rsid w:val="3FD55A5C"/>
    <w:rsid w:val="428169A1"/>
    <w:rsid w:val="42E3660E"/>
    <w:rsid w:val="447B4624"/>
    <w:rsid w:val="466D54D7"/>
    <w:rsid w:val="48BF60AB"/>
    <w:rsid w:val="493C27E9"/>
    <w:rsid w:val="496F39ED"/>
    <w:rsid w:val="49FF41D3"/>
    <w:rsid w:val="4B3C4422"/>
    <w:rsid w:val="4B4346F3"/>
    <w:rsid w:val="4BE068DB"/>
    <w:rsid w:val="4BF6002B"/>
    <w:rsid w:val="4ECA3C30"/>
    <w:rsid w:val="4ECE2238"/>
    <w:rsid w:val="4F29579E"/>
    <w:rsid w:val="51DB4B86"/>
    <w:rsid w:val="52500E9E"/>
    <w:rsid w:val="54852473"/>
    <w:rsid w:val="55333C3E"/>
    <w:rsid w:val="558772CD"/>
    <w:rsid w:val="563A17D2"/>
    <w:rsid w:val="57B3469E"/>
    <w:rsid w:val="57BB325E"/>
    <w:rsid w:val="585E64D1"/>
    <w:rsid w:val="59702E94"/>
    <w:rsid w:val="5BFD4710"/>
    <w:rsid w:val="5D55086B"/>
    <w:rsid w:val="5FE61A1F"/>
    <w:rsid w:val="6198022C"/>
    <w:rsid w:val="63EC7EFD"/>
    <w:rsid w:val="64CA39A1"/>
    <w:rsid w:val="662C706B"/>
    <w:rsid w:val="69630ADE"/>
    <w:rsid w:val="696370F4"/>
    <w:rsid w:val="6A2D4552"/>
    <w:rsid w:val="6AC124E1"/>
    <w:rsid w:val="6ACB3A42"/>
    <w:rsid w:val="6C4A05C8"/>
    <w:rsid w:val="6D3B1A89"/>
    <w:rsid w:val="6E427267"/>
    <w:rsid w:val="6ECD4090"/>
    <w:rsid w:val="6FE4B977"/>
    <w:rsid w:val="71BF4EC2"/>
    <w:rsid w:val="71E48E71"/>
    <w:rsid w:val="72734D90"/>
    <w:rsid w:val="73012015"/>
    <w:rsid w:val="73872411"/>
    <w:rsid w:val="7412278C"/>
    <w:rsid w:val="755E374E"/>
    <w:rsid w:val="760E2290"/>
    <w:rsid w:val="764D79E1"/>
    <w:rsid w:val="777524B3"/>
    <w:rsid w:val="79A74A6D"/>
    <w:rsid w:val="79E7B28D"/>
    <w:rsid w:val="7AEC382A"/>
    <w:rsid w:val="7BA726A4"/>
    <w:rsid w:val="7C7254F7"/>
    <w:rsid w:val="7D617327"/>
    <w:rsid w:val="7EEE645D"/>
    <w:rsid w:val="7F5A78C7"/>
    <w:rsid w:val="7F7F65AB"/>
    <w:rsid w:val="7F9F20EE"/>
    <w:rsid w:val="7FB6B60B"/>
    <w:rsid w:val="9E3A10E2"/>
    <w:rsid w:val="9EF795FF"/>
    <w:rsid w:val="BEF59DE0"/>
    <w:rsid w:val="D3FF7EDB"/>
    <w:rsid w:val="D65E1CC2"/>
    <w:rsid w:val="D6842F4F"/>
    <w:rsid w:val="DADD6818"/>
    <w:rsid w:val="DE9E5953"/>
    <w:rsid w:val="DFE95BD3"/>
    <w:rsid w:val="EC269AAA"/>
    <w:rsid w:val="F2E1F9D4"/>
    <w:rsid w:val="F6EF9648"/>
    <w:rsid w:val="F7880819"/>
    <w:rsid w:val="F9F7EF93"/>
    <w:rsid w:val="FBD73200"/>
    <w:rsid w:val="FBFF272C"/>
    <w:rsid w:val="FD7BA224"/>
    <w:rsid w:val="FF9C51D1"/>
    <w:rsid w:val="FFB7311F"/>
    <w:rsid w:val="FFDF2023"/>
    <w:rsid w:val="FFEF40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UserStyle_0"/>
    <w:basedOn w:val="21"/>
    <w:next w:val="1"/>
    <w:qFormat/>
    <w:uiPriority w:val="0"/>
    <w:pPr>
      <w:widowControl/>
      <w:spacing w:after="120"/>
      <w:ind w:left="420" w:leftChars="200" w:firstLine="420" w:firstLineChars="200"/>
      <w:textAlignment w:val="baseline"/>
    </w:pPr>
    <w:rPr>
      <w:rFonts w:ascii="Times New Roman" w:hAnsi="Times New Roman"/>
    </w:rPr>
  </w:style>
  <w:style w:type="paragraph" w:customStyle="1" w:styleId="21">
    <w:name w:val="UserStyle_1"/>
    <w:basedOn w:val="1"/>
    <w:qFormat/>
    <w:uiPriority w:val="0"/>
    <w:pPr>
      <w:spacing w:after="120"/>
      <w:ind w:left="420" w:leftChars="200"/>
      <w:jc w:val="both"/>
      <w:textAlignment w:val="baseline"/>
    </w:p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章标题"/>
    <w:basedOn w:val="1"/>
    <w:next w:val="39"/>
    <w:qFormat/>
    <w:uiPriority w:val="0"/>
    <w:pPr>
      <w:spacing w:before="158" w:after="153" w:line="323" w:lineRule="atLeast"/>
      <w:ind w:right="-120"/>
      <w:jc w:val="center"/>
      <w:textAlignment w:val="baseline"/>
    </w:pPr>
    <w:rPr>
      <w:rFonts w:ascii="Times New Roman" w:hAnsi="Times New Roman"/>
      <w:color w:val="FF0000"/>
      <w:sz w:val="18"/>
      <w:szCs w:val="18"/>
    </w:rPr>
  </w:style>
  <w:style w:type="paragraph" w:customStyle="1" w:styleId="39">
    <w:name w:val="节标题"/>
    <w:basedOn w:val="1"/>
    <w:next w:val="1"/>
    <w:qFormat/>
    <w:uiPriority w:val="0"/>
    <w:pPr>
      <w:spacing w:line="289" w:lineRule="atLeast"/>
      <w:jc w:val="center"/>
      <w:textAlignment w:val="baseline"/>
    </w:pPr>
    <w:rPr>
      <w:rFonts w:ascii="Times New Roman" w:hAnsi="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565668759053597"/>
          <c:y val="0.0344395742016281"/>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1614.34</c:v>
                </c:pt>
                <c:pt idx="1">
                  <c:v>1597.2</c:v>
                </c:pt>
              </c:numCache>
            </c:numRef>
          </c:val>
        </c:ser>
        <c:dLbls>
          <c:showLegendKey val="0"/>
          <c:showVal val="0"/>
          <c:showCatName val="0"/>
          <c:showSerName val="0"/>
          <c:showPercent val="0"/>
          <c:showBubbleSize val="0"/>
        </c:dLbls>
        <c:gapWidth val="219"/>
        <c:overlap val="-27"/>
        <c:axId val="874904910"/>
        <c:axId val="865983265"/>
      </c:barChart>
      <c:catAx>
        <c:axId val="874904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83265"/>
        <c:crosses val="autoZero"/>
        <c:auto val="1"/>
        <c:lblAlgn val="ctr"/>
        <c:lblOffset val="100"/>
        <c:noMultiLvlLbl val="0"/>
      </c:catAx>
      <c:valAx>
        <c:axId val="86598326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9049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1261.67</c:v>
                </c:pt>
                <c:pt idx="1" c:formatCode="General">
                  <c:v>107.86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418.3</c:v>
                </c:pt>
                <c:pt idx="1">
                  <c:v>843.37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1347.86</c:v>
                </c:pt>
                <c:pt idx="1">
                  <c:v>1261.67</c:v>
                </c:pt>
              </c:numCache>
            </c:numRef>
          </c:val>
        </c:ser>
        <c:dLbls>
          <c:showLegendKey val="0"/>
          <c:showVal val="1"/>
          <c:showCatName val="0"/>
          <c:showSerName val="0"/>
          <c:showPercent val="0"/>
          <c:showBubbleSize val="0"/>
        </c:dLbls>
        <c:gapWidth val="219"/>
        <c:overlap val="-27"/>
        <c:axId val="845387433"/>
        <c:axId val="722054354"/>
      </c:barChart>
      <c:catAx>
        <c:axId val="845387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54354"/>
        <c:crosses val="autoZero"/>
        <c:auto val="1"/>
        <c:lblAlgn val="ctr"/>
        <c:lblOffset val="100"/>
        <c:noMultiLvlLbl val="0"/>
      </c:catAx>
      <c:valAx>
        <c:axId val="722054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387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16867469879518"/>
          <c:y val="0.0683168316831683"/>
        </c:manualLayout>
      </c:layout>
      <c:overlay val="0"/>
      <c:spPr>
        <a:noFill/>
        <a:ln>
          <a:noFill/>
        </a:ln>
        <a:effectLst/>
      </c:spPr>
    </c:title>
    <c:autoTitleDeleted val="0"/>
    <c:plotArea>
      <c:layout>
        <c:manualLayout>
          <c:layoutTarget val="inner"/>
          <c:xMode val="edge"/>
          <c:yMode val="edge"/>
          <c:x val="0.0685060240963855"/>
          <c:y val="0.274587458745874"/>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2022年</c:v>
                </c:pt>
              </c:strCache>
            </c:strRef>
          </c:cat>
          <c:val>
            <c:numRef>
              <c:f>Sheet1!$B$2:$B$3</c:f>
              <c:numCache>
                <c:formatCode>General</c:formatCode>
                <c:ptCount val="2"/>
                <c:pt idx="0">
                  <c:v>1347.86</c:v>
                </c:pt>
                <c:pt idx="1">
                  <c:v>1261.67</c:v>
                </c:pt>
              </c:numCache>
            </c:numRef>
          </c:val>
        </c:ser>
        <c:dLbls>
          <c:showLegendKey val="0"/>
          <c:showVal val="1"/>
          <c:showCatName val="0"/>
          <c:showSerName val="0"/>
          <c:showPercent val="0"/>
          <c:showBubbleSize val="0"/>
        </c:dLbls>
        <c:gapWidth val="219"/>
        <c:overlap val="-27"/>
        <c:axId val="870633783"/>
        <c:axId val="962709569"/>
      </c:barChart>
      <c:catAx>
        <c:axId val="870633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709569"/>
        <c:crosses val="autoZero"/>
        <c:auto val="1"/>
        <c:lblAlgn val="ctr"/>
        <c:lblOffset val="100"/>
        <c:noMultiLvlLbl val="0"/>
      </c:catAx>
      <c:valAx>
        <c:axId val="962709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633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137387933123334"/>
          <c:y val="0.01007416760086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793554640174461"/>
                  <c:y val="0.0382762991128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666343590986189"/>
                  <c:y val="-0.02063512930453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59631693724255"/>
                  <c:y val="0"/>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0.82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1320.65</c:v>
                </c:pt>
                <c:pt idx="1">
                  <c:v>11.25</c:v>
                </c:pt>
                <c:pt idx="2">
                  <c:v>4.95</c:v>
                </c:pt>
                <c:pt idx="3">
                  <c:v>11.01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100</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0.00_ </c:formatCode>
                <c:ptCount val="3"/>
                <c:pt idx="0">
                  <c:v>0</c:v>
                </c:pt>
                <c:pt idx="1">
                  <c:v>282.79</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10988</Words>
  <Characters>12423</Characters>
  <Lines>61</Lines>
  <Paragraphs>17</Paragraphs>
  <TotalTime>14</TotalTime>
  <ScaleCrop>false</ScaleCrop>
  <LinksUpToDate>false</LinksUpToDate>
  <CharactersWithSpaces>12600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Administrator</cp:lastModifiedBy>
  <cp:lastPrinted>2023-08-02T02:35:00Z</cp:lastPrinted>
  <dcterms:modified xsi:type="dcterms:W3CDTF">2024-09-13T03:04:18Z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FEAABFB333DD4E11B376A010E2C7FC36_13</vt:lpwstr>
  </property>
</Properties>
</file>