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C765D">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77193"/>
      <w:bookmarkStart w:id="2" w:name="_Toc15396597"/>
      <w:bookmarkStart w:id="3" w:name="_Toc15377425"/>
      <w:bookmarkStart w:id="4" w:name="_Toc15396475"/>
      <w:bookmarkStart w:id="5" w:name="_Toc15306267"/>
    </w:p>
    <w:p w14:paraId="3E340F1B">
      <w:pPr>
        <w:spacing w:line="600" w:lineRule="exact"/>
        <w:jc w:val="center"/>
        <w:outlineLvl w:val="9"/>
        <w:rPr>
          <w:rFonts w:ascii="方正小标宋简体" w:hAnsi="宋体" w:eastAsia="方正小标宋简体"/>
          <w:color w:val="auto"/>
          <w:sz w:val="72"/>
          <w:szCs w:val="72"/>
          <w:highlight w:val="none"/>
        </w:rPr>
      </w:pPr>
    </w:p>
    <w:p w14:paraId="64268C21">
      <w:pPr>
        <w:spacing w:line="600" w:lineRule="exact"/>
        <w:jc w:val="center"/>
        <w:outlineLvl w:val="9"/>
        <w:rPr>
          <w:rFonts w:hint="eastAsia" w:ascii="仿宋" w:hAnsi="仿宋" w:eastAsia="仿宋" w:cs="仿宋"/>
          <w:color w:val="auto"/>
          <w:sz w:val="72"/>
          <w:szCs w:val="72"/>
          <w:highlight w:val="none"/>
        </w:rPr>
      </w:pPr>
    </w:p>
    <w:p w14:paraId="79DF746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2193"/>
      <w:bookmarkStart w:id="7" w:name="_Toc6477"/>
      <w:bookmarkStart w:id="8" w:name="_Toc1551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p>
    <w:bookmarkEnd w:id="5"/>
    <w:p w14:paraId="0598A07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9" w:name="_Toc7882"/>
      <w:bookmarkStart w:id="10" w:name="_Toc11554"/>
      <w:bookmarkStart w:id="11" w:name="_Toc18062"/>
      <w:bookmarkStart w:id="12" w:name="_Toc15378442"/>
      <w:bookmarkStart w:id="13" w:name="_Toc15306268"/>
      <w:bookmarkStart w:id="14" w:name="_Toc15377426"/>
      <w:bookmarkStart w:id="15" w:name="_Toc15377194"/>
      <w:bookmarkStart w:id="16" w:name="_Toc15396598"/>
      <w:bookmarkStart w:id="17" w:name="_Toc15396476"/>
      <w:r>
        <w:rPr>
          <w:rFonts w:hint="eastAsia" w:ascii="方正小标宋简体" w:hAnsi="方正小标宋简体" w:eastAsia="方正小标宋简体" w:cs="方正小标宋简体"/>
          <w:color w:val="auto"/>
          <w:sz w:val="72"/>
          <w:szCs w:val="72"/>
          <w:highlight w:val="none"/>
          <w:lang w:eastAsia="zh-CN"/>
        </w:rPr>
        <w:t>四川省中共遂宁市船山区委目标绩效管理办公室</w:t>
      </w:r>
      <w:bookmarkEnd w:id="9"/>
      <w:bookmarkEnd w:id="10"/>
      <w:bookmarkEnd w:id="11"/>
    </w:p>
    <w:p w14:paraId="6609084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8" w:name="_Toc14173"/>
      <w:bookmarkStart w:id="19" w:name="_Toc5161"/>
      <w:bookmarkStart w:id="20" w:name="_Toc20289"/>
      <w:r>
        <w:rPr>
          <w:rFonts w:hint="eastAsia" w:ascii="方正小标宋简体" w:hAnsi="方正小标宋简体" w:eastAsia="方正小标宋简体" w:cs="方正小标宋简体"/>
          <w:color w:val="auto"/>
          <w:sz w:val="72"/>
          <w:szCs w:val="72"/>
          <w:highlight w:val="none"/>
          <w:lang w:val="en-US" w:eastAsia="zh-CN"/>
        </w:rPr>
        <w:t>单位</w:t>
      </w:r>
      <w:r>
        <w:rPr>
          <w:rFonts w:hint="eastAsia" w:ascii="方正小标宋简体" w:hAnsi="方正小标宋简体" w:eastAsia="方正小标宋简体" w:cs="方正小标宋简体"/>
          <w:color w:val="auto"/>
          <w:sz w:val="72"/>
          <w:szCs w:val="72"/>
          <w:highlight w:val="none"/>
        </w:rPr>
        <w:t>决算</w:t>
      </w:r>
      <w:bookmarkEnd w:id="12"/>
      <w:bookmarkEnd w:id="13"/>
      <w:bookmarkEnd w:id="14"/>
      <w:bookmarkEnd w:id="15"/>
      <w:bookmarkEnd w:id="16"/>
      <w:bookmarkEnd w:id="17"/>
      <w:bookmarkEnd w:id="18"/>
      <w:bookmarkEnd w:id="19"/>
      <w:bookmarkEnd w:id="20"/>
    </w:p>
    <w:p w14:paraId="2A344CFF">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976AB42">
      <w:pPr>
        <w:pStyle w:val="14"/>
        <w:shd w:val="clear" w:fill="FFFFFF" w:themeFill="background1"/>
        <w:rPr>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kern w:val="2"/>
          <w:sz w:val="21"/>
          <w:szCs w:val="24"/>
          <w:lang w:val="en-US" w:eastAsia="zh-CN" w:bidi="ar-SA"/>
        </w:rPr>
        <w:id w:val="14745249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E9309EE">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39636967">
          <w:pPr>
            <w:pStyle w:val="40"/>
            <w:tabs>
              <w:tab w:val="right" w:leader="dot" w:pos="8845"/>
            </w:tabs>
            <w:rPr>
              <w:b/>
            </w:rPr>
          </w:pPr>
          <w:r>
            <w:rPr>
              <w:b/>
            </w:rPr>
            <w:fldChar w:fldCharType="begin"/>
          </w:r>
          <w:r>
            <w:rPr>
              <w:b/>
            </w:rPr>
            <w:instrText xml:space="preserve"> HYPERLINK \l _Toc18977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_Toc18977 \h </w:instrText>
          </w:r>
          <w:r>
            <w:rPr>
              <w:b/>
            </w:rPr>
            <w:fldChar w:fldCharType="separate"/>
          </w:r>
          <w:r>
            <w:rPr>
              <w:b/>
            </w:rPr>
            <w:t>1</w:t>
          </w:r>
          <w:r>
            <w:rPr>
              <w:b/>
            </w:rPr>
            <w:fldChar w:fldCharType="end"/>
          </w:r>
          <w:r>
            <w:rPr>
              <w:b/>
            </w:rPr>
            <w:fldChar w:fldCharType="end"/>
          </w:r>
        </w:p>
        <w:p w14:paraId="3DD22E11">
          <w:pPr>
            <w:pStyle w:val="41"/>
            <w:tabs>
              <w:tab w:val="right" w:leader="dot" w:pos="8845"/>
            </w:tabs>
            <w:rPr>
              <w:highlight w:val="none"/>
            </w:rPr>
          </w:pPr>
          <w:r>
            <w:rPr>
              <w:highlight w:val="none"/>
            </w:rPr>
            <w:fldChar w:fldCharType="begin"/>
          </w:r>
          <w:r>
            <w:rPr>
              <w:highlight w:val="none"/>
            </w:rPr>
            <w:instrText xml:space="preserve"> HYPERLINK \l _Toc26685 </w:instrText>
          </w:r>
          <w:r>
            <w:rPr>
              <w:highlight w:val="none"/>
            </w:rPr>
            <w:fldChar w:fldCharType="separate"/>
          </w:r>
          <w:r>
            <w:rPr>
              <w:rFonts w:hint="eastAsia" w:ascii="黑体" w:hAnsi="黑体" w:eastAsia="黑体"/>
              <w:bCs w:val="0"/>
              <w:highlight w:val="none"/>
              <w:lang w:val="en-US" w:eastAsia="zh-CN"/>
            </w:rPr>
            <w:t>一、主要职责</w:t>
          </w:r>
          <w:r>
            <w:rPr>
              <w:highlight w:val="none"/>
            </w:rPr>
            <w:tab/>
          </w:r>
          <w:r>
            <w:rPr>
              <w:highlight w:val="none"/>
            </w:rPr>
            <w:fldChar w:fldCharType="begin"/>
          </w:r>
          <w:r>
            <w:rPr>
              <w:highlight w:val="none"/>
            </w:rPr>
            <w:instrText xml:space="preserve"> PAGEREF _Toc26685 \h </w:instrText>
          </w:r>
          <w:r>
            <w:rPr>
              <w:highlight w:val="none"/>
            </w:rPr>
            <w:fldChar w:fldCharType="separate"/>
          </w:r>
          <w:r>
            <w:rPr>
              <w:highlight w:val="none"/>
            </w:rPr>
            <w:t>1</w:t>
          </w:r>
          <w:r>
            <w:rPr>
              <w:highlight w:val="none"/>
            </w:rPr>
            <w:fldChar w:fldCharType="end"/>
          </w:r>
          <w:r>
            <w:rPr>
              <w:highlight w:val="none"/>
            </w:rPr>
            <w:fldChar w:fldCharType="end"/>
          </w:r>
        </w:p>
        <w:p w14:paraId="4D51BE2B">
          <w:pPr>
            <w:pStyle w:val="41"/>
            <w:tabs>
              <w:tab w:val="right" w:leader="dot" w:pos="8845"/>
            </w:tabs>
            <w:rPr>
              <w:highlight w:val="none"/>
            </w:rPr>
          </w:pPr>
          <w:r>
            <w:rPr>
              <w:highlight w:val="none"/>
            </w:rPr>
            <w:fldChar w:fldCharType="begin"/>
          </w:r>
          <w:r>
            <w:rPr>
              <w:highlight w:val="none"/>
            </w:rPr>
            <w:instrText xml:space="preserve"> HYPERLINK \l _Toc2636 </w:instrText>
          </w:r>
          <w:r>
            <w:rPr>
              <w:highlight w:val="none"/>
            </w:rPr>
            <w:fldChar w:fldCharType="separate"/>
          </w:r>
          <w:r>
            <w:rPr>
              <w:rFonts w:hint="eastAsia" w:ascii="黑体" w:hAnsi="黑体" w:eastAsia="黑体"/>
              <w:bCs w:val="0"/>
              <w:highlight w:val="none"/>
            </w:rPr>
            <w:t>二、机构设置</w:t>
          </w:r>
          <w:r>
            <w:rPr>
              <w:highlight w:val="none"/>
            </w:rPr>
            <w:tab/>
          </w:r>
          <w:r>
            <w:rPr>
              <w:highlight w:val="none"/>
            </w:rPr>
            <w:fldChar w:fldCharType="begin"/>
          </w:r>
          <w:r>
            <w:rPr>
              <w:highlight w:val="none"/>
            </w:rPr>
            <w:instrText xml:space="preserve"> PAGEREF _Toc2636 \h </w:instrText>
          </w:r>
          <w:r>
            <w:rPr>
              <w:highlight w:val="none"/>
            </w:rPr>
            <w:fldChar w:fldCharType="separate"/>
          </w:r>
          <w:r>
            <w:rPr>
              <w:highlight w:val="none"/>
            </w:rPr>
            <w:t>2</w:t>
          </w:r>
          <w:r>
            <w:rPr>
              <w:highlight w:val="none"/>
            </w:rPr>
            <w:fldChar w:fldCharType="end"/>
          </w:r>
          <w:r>
            <w:rPr>
              <w:highlight w:val="none"/>
            </w:rPr>
            <w:fldChar w:fldCharType="end"/>
          </w:r>
        </w:p>
        <w:p w14:paraId="62B774D7">
          <w:pPr>
            <w:pStyle w:val="40"/>
            <w:tabs>
              <w:tab w:val="right" w:leader="dot" w:pos="8845"/>
            </w:tabs>
            <w:rPr>
              <w:b/>
              <w:highlight w:val="none"/>
            </w:rPr>
          </w:pPr>
          <w:r>
            <w:rPr>
              <w:b/>
              <w:highlight w:val="none"/>
            </w:rPr>
            <w:fldChar w:fldCharType="begin"/>
          </w:r>
          <w:r>
            <w:rPr>
              <w:b/>
              <w:highlight w:val="none"/>
            </w:rPr>
            <w:instrText xml:space="preserve"> HYPERLINK \l _Toc14759 </w:instrText>
          </w:r>
          <w:r>
            <w:rPr>
              <w:b/>
              <w:highlight w:val="none"/>
            </w:rPr>
            <w:fldChar w:fldCharType="separate"/>
          </w:r>
          <w:r>
            <w:rPr>
              <w:rFonts w:hint="eastAsia" w:ascii="黑体" w:hAnsi="黑体" w:eastAsia="黑体"/>
              <w:b/>
              <w:bCs/>
              <w:szCs w:val="44"/>
              <w:highlight w:val="none"/>
            </w:rPr>
            <w:t xml:space="preserve">第二部分 </w:t>
          </w:r>
          <w:r>
            <w:rPr>
              <w:rFonts w:hint="eastAsia" w:ascii="黑体" w:hAnsi="黑体" w:eastAsia="黑体"/>
              <w:b/>
              <w:bCs/>
              <w:szCs w:val="44"/>
              <w:highlight w:val="none"/>
              <w:lang w:val="en-US" w:eastAsia="zh-CN"/>
            </w:rPr>
            <w:t>2023年度单位</w:t>
          </w:r>
          <w:r>
            <w:rPr>
              <w:rFonts w:hint="eastAsia" w:ascii="黑体" w:hAnsi="黑体" w:eastAsia="黑体"/>
              <w:b/>
              <w:bCs/>
              <w:szCs w:val="44"/>
              <w:highlight w:val="none"/>
            </w:rPr>
            <w:t>决算情况说明</w:t>
          </w:r>
          <w:r>
            <w:rPr>
              <w:b/>
              <w:highlight w:val="none"/>
            </w:rPr>
            <w:tab/>
          </w:r>
          <w:r>
            <w:rPr>
              <w:b/>
              <w:highlight w:val="none"/>
            </w:rPr>
            <w:fldChar w:fldCharType="begin"/>
          </w:r>
          <w:r>
            <w:rPr>
              <w:b/>
              <w:highlight w:val="none"/>
            </w:rPr>
            <w:instrText xml:space="preserve"> PAGEREF _Toc14759 \h </w:instrText>
          </w:r>
          <w:r>
            <w:rPr>
              <w:b/>
              <w:highlight w:val="none"/>
            </w:rPr>
            <w:fldChar w:fldCharType="separate"/>
          </w:r>
          <w:r>
            <w:rPr>
              <w:b/>
              <w:highlight w:val="none"/>
            </w:rPr>
            <w:t>3</w:t>
          </w:r>
          <w:r>
            <w:rPr>
              <w:b/>
              <w:highlight w:val="none"/>
            </w:rPr>
            <w:fldChar w:fldCharType="end"/>
          </w:r>
          <w:r>
            <w:rPr>
              <w:b/>
              <w:highlight w:val="none"/>
            </w:rPr>
            <w:fldChar w:fldCharType="end"/>
          </w:r>
        </w:p>
        <w:p w14:paraId="4C1A2B50">
          <w:pPr>
            <w:pStyle w:val="41"/>
            <w:tabs>
              <w:tab w:val="right" w:leader="dot" w:pos="8845"/>
            </w:tabs>
            <w:rPr>
              <w:highlight w:val="none"/>
            </w:rPr>
          </w:pPr>
          <w:r>
            <w:rPr>
              <w:highlight w:val="none"/>
            </w:rPr>
            <w:fldChar w:fldCharType="begin"/>
          </w:r>
          <w:r>
            <w:rPr>
              <w:highlight w:val="none"/>
            </w:rPr>
            <w:instrText xml:space="preserve"> HYPERLINK \l _Toc2801 </w:instrText>
          </w:r>
          <w:r>
            <w:rPr>
              <w:highlight w:val="none"/>
            </w:rPr>
            <w:fldChar w:fldCharType="separate"/>
          </w:r>
          <w:r>
            <w:rPr>
              <w:rFonts w:hint="default" w:ascii="黑体" w:hAnsi="黑体" w:eastAsia="黑体"/>
              <w:highlight w:val="none"/>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rPr>
              <w:highlight w:val="none"/>
            </w:rPr>
            <w:tab/>
          </w:r>
          <w:r>
            <w:rPr>
              <w:highlight w:val="none"/>
            </w:rPr>
            <w:fldChar w:fldCharType="begin"/>
          </w:r>
          <w:r>
            <w:rPr>
              <w:highlight w:val="none"/>
            </w:rPr>
            <w:instrText xml:space="preserve"> PAGEREF _Toc2801 \h </w:instrText>
          </w:r>
          <w:r>
            <w:rPr>
              <w:highlight w:val="none"/>
            </w:rPr>
            <w:fldChar w:fldCharType="separate"/>
          </w:r>
          <w:r>
            <w:rPr>
              <w:highlight w:val="none"/>
            </w:rPr>
            <w:t>3</w:t>
          </w:r>
          <w:r>
            <w:rPr>
              <w:highlight w:val="none"/>
            </w:rPr>
            <w:fldChar w:fldCharType="end"/>
          </w:r>
          <w:r>
            <w:rPr>
              <w:highlight w:val="none"/>
            </w:rPr>
            <w:fldChar w:fldCharType="end"/>
          </w:r>
        </w:p>
        <w:p w14:paraId="09938B0D">
          <w:pPr>
            <w:pStyle w:val="41"/>
            <w:tabs>
              <w:tab w:val="right" w:leader="dot" w:pos="8845"/>
            </w:tabs>
            <w:rPr>
              <w:highlight w:val="none"/>
            </w:rPr>
          </w:pPr>
          <w:r>
            <w:rPr>
              <w:highlight w:val="none"/>
            </w:rPr>
            <w:fldChar w:fldCharType="begin"/>
          </w:r>
          <w:r>
            <w:rPr>
              <w:highlight w:val="none"/>
            </w:rPr>
            <w:instrText xml:space="preserve"> HYPERLINK \l _Toc22835 </w:instrText>
          </w:r>
          <w:r>
            <w:rPr>
              <w:highlight w:val="none"/>
            </w:rPr>
            <w:fldChar w:fldCharType="separate"/>
          </w:r>
          <w:r>
            <w:rPr>
              <w:rFonts w:hint="default" w:ascii="黑体" w:hAnsi="黑体" w:eastAsia="黑体"/>
              <w:highlight w:val="none"/>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rPr>
              <w:highlight w:val="none"/>
            </w:rPr>
            <w:tab/>
          </w:r>
          <w:r>
            <w:rPr>
              <w:highlight w:val="none"/>
            </w:rPr>
            <w:fldChar w:fldCharType="begin"/>
          </w:r>
          <w:r>
            <w:rPr>
              <w:highlight w:val="none"/>
            </w:rPr>
            <w:instrText xml:space="preserve"> PAGEREF _Toc22835 \h </w:instrText>
          </w:r>
          <w:r>
            <w:rPr>
              <w:highlight w:val="none"/>
            </w:rPr>
            <w:fldChar w:fldCharType="separate"/>
          </w:r>
          <w:r>
            <w:rPr>
              <w:highlight w:val="none"/>
            </w:rPr>
            <w:t>3</w:t>
          </w:r>
          <w:r>
            <w:rPr>
              <w:highlight w:val="none"/>
            </w:rPr>
            <w:fldChar w:fldCharType="end"/>
          </w:r>
          <w:r>
            <w:rPr>
              <w:highlight w:val="none"/>
            </w:rPr>
            <w:fldChar w:fldCharType="end"/>
          </w:r>
        </w:p>
        <w:p w14:paraId="5D807B73">
          <w:pPr>
            <w:pStyle w:val="41"/>
            <w:tabs>
              <w:tab w:val="right" w:leader="dot" w:pos="8845"/>
            </w:tabs>
            <w:rPr>
              <w:highlight w:val="none"/>
            </w:rPr>
          </w:pPr>
          <w:r>
            <w:rPr>
              <w:highlight w:val="none"/>
            </w:rPr>
            <w:fldChar w:fldCharType="begin"/>
          </w:r>
          <w:r>
            <w:rPr>
              <w:highlight w:val="none"/>
            </w:rPr>
            <w:instrText xml:space="preserve"> HYPERLINK \l _Toc21293 </w:instrText>
          </w:r>
          <w:r>
            <w:rPr>
              <w:highlight w:val="none"/>
            </w:rPr>
            <w:fldChar w:fldCharType="separate"/>
          </w:r>
          <w:r>
            <w:rPr>
              <w:rFonts w:hint="default" w:ascii="黑体" w:hAnsi="黑体" w:eastAsia="黑体"/>
              <w:highlight w:val="none"/>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rPr>
              <w:highlight w:val="none"/>
            </w:rPr>
            <w:tab/>
          </w:r>
          <w:r>
            <w:rPr>
              <w:highlight w:val="none"/>
            </w:rPr>
            <w:fldChar w:fldCharType="begin"/>
          </w:r>
          <w:r>
            <w:rPr>
              <w:highlight w:val="none"/>
            </w:rPr>
            <w:instrText xml:space="preserve"> PAGEREF _Toc21293 \h </w:instrText>
          </w:r>
          <w:r>
            <w:rPr>
              <w:highlight w:val="none"/>
            </w:rPr>
            <w:fldChar w:fldCharType="separate"/>
          </w:r>
          <w:r>
            <w:rPr>
              <w:highlight w:val="none"/>
            </w:rPr>
            <w:t>4</w:t>
          </w:r>
          <w:r>
            <w:rPr>
              <w:highlight w:val="none"/>
            </w:rPr>
            <w:fldChar w:fldCharType="end"/>
          </w:r>
          <w:r>
            <w:rPr>
              <w:highlight w:val="none"/>
            </w:rPr>
            <w:fldChar w:fldCharType="end"/>
          </w:r>
        </w:p>
        <w:p w14:paraId="06BD3B96">
          <w:pPr>
            <w:pStyle w:val="41"/>
            <w:tabs>
              <w:tab w:val="right" w:leader="dot" w:pos="8845"/>
            </w:tabs>
            <w:rPr>
              <w:highlight w:val="none"/>
            </w:rPr>
          </w:pPr>
          <w:r>
            <w:rPr>
              <w:highlight w:val="none"/>
            </w:rPr>
            <w:fldChar w:fldCharType="begin"/>
          </w:r>
          <w:r>
            <w:rPr>
              <w:highlight w:val="none"/>
            </w:rPr>
            <w:instrText xml:space="preserve"> HYPERLINK \l _Toc5107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rPr>
              <w:highlight w:val="none"/>
            </w:rPr>
            <w:tab/>
          </w:r>
          <w:r>
            <w:rPr>
              <w:highlight w:val="none"/>
            </w:rPr>
            <w:fldChar w:fldCharType="begin"/>
          </w:r>
          <w:r>
            <w:rPr>
              <w:highlight w:val="none"/>
            </w:rPr>
            <w:instrText xml:space="preserve"> PAGEREF _Toc5107 \h </w:instrText>
          </w:r>
          <w:r>
            <w:rPr>
              <w:highlight w:val="none"/>
            </w:rPr>
            <w:fldChar w:fldCharType="separate"/>
          </w:r>
          <w:r>
            <w:rPr>
              <w:highlight w:val="none"/>
            </w:rPr>
            <w:t>5</w:t>
          </w:r>
          <w:r>
            <w:rPr>
              <w:highlight w:val="none"/>
            </w:rPr>
            <w:fldChar w:fldCharType="end"/>
          </w:r>
          <w:r>
            <w:rPr>
              <w:highlight w:val="none"/>
            </w:rPr>
            <w:fldChar w:fldCharType="end"/>
          </w:r>
        </w:p>
        <w:p w14:paraId="5564BCAD">
          <w:pPr>
            <w:pStyle w:val="41"/>
            <w:tabs>
              <w:tab w:val="right" w:leader="dot" w:pos="8845"/>
            </w:tabs>
            <w:rPr>
              <w:highlight w:val="none"/>
            </w:rPr>
          </w:pPr>
          <w:r>
            <w:rPr>
              <w:highlight w:val="none"/>
            </w:rPr>
            <w:fldChar w:fldCharType="begin"/>
          </w:r>
          <w:r>
            <w:rPr>
              <w:highlight w:val="none"/>
            </w:rPr>
            <w:instrText xml:space="preserve"> HYPERLINK \l _Toc9490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rPr>
              <w:highlight w:val="none"/>
            </w:rPr>
            <w:tab/>
          </w:r>
          <w:r>
            <w:rPr>
              <w:highlight w:val="none"/>
            </w:rPr>
            <w:fldChar w:fldCharType="begin"/>
          </w:r>
          <w:r>
            <w:rPr>
              <w:highlight w:val="none"/>
            </w:rPr>
            <w:instrText xml:space="preserve"> PAGEREF _Toc9490 \h </w:instrText>
          </w:r>
          <w:r>
            <w:rPr>
              <w:highlight w:val="none"/>
            </w:rPr>
            <w:fldChar w:fldCharType="separate"/>
          </w:r>
          <w:r>
            <w:rPr>
              <w:highlight w:val="none"/>
            </w:rPr>
            <w:t>5</w:t>
          </w:r>
          <w:r>
            <w:rPr>
              <w:highlight w:val="none"/>
            </w:rPr>
            <w:fldChar w:fldCharType="end"/>
          </w:r>
          <w:r>
            <w:rPr>
              <w:highlight w:val="none"/>
            </w:rPr>
            <w:fldChar w:fldCharType="end"/>
          </w:r>
        </w:p>
        <w:p w14:paraId="50C4E9BB">
          <w:pPr>
            <w:pStyle w:val="41"/>
            <w:tabs>
              <w:tab w:val="right" w:leader="dot" w:pos="8845"/>
            </w:tabs>
            <w:rPr>
              <w:highlight w:val="none"/>
            </w:rPr>
          </w:pPr>
          <w:r>
            <w:rPr>
              <w:highlight w:val="none"/>
            </w:rPr>
            <w:fldChar w:fldCharType="begin"/>
          </w:r>
          <w:r>
            <w:rPr>
              <w:highlight w:val="none"/>
            </w:rPr>
            <w:instrText xml:space="preserve"> HYPERLINK \l _Toc31659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rPr>
              <w:highlight w:val="none"/>
            </w:rPr>
            <w:tab/>
          </w:r>
          <w:r>
            <w:rPr>
              <w:highlight w:val="none"/>
            </w:rPr>
            <w:fldChar w:fldCharType="begin"/>
          </w:r>
          <w:r>
            <w:rPr>
              <w:highlight w:val="none"/>
            </w:rPr>
            <w:instrText xml:space="preserve"> PAGEREF _Toc31659 \h </w:instrText>
          </w:r>
          <w:r>
            <w:rPr>
              <w:highlight w:val="none"/>
            </w:rPr>
            <w:fldChar w:fldCharType="separate"/>
          </w:r>
          <w:r>
            <w:rPr>
              <w:highlight w:val="none"/>
            </w:rPr>
            <w:t>8</w:t>
          </w:r>
          <w:r>
            <w:rPr>
              <w:highlight w:val="none"/>
            </w:rPr>
            <w:fldChar w:fldCharType="end"/>
          </w:r>
          <w:r>
            <w:rPr>
              <w:highlight w:val="none"/>
            </w:rPr>
            <w:fldChar w:fldCharType="end"/>
          </w:r>
        </w:p>
        <w:p w14:paraId="44E580C8">
          <w:pPr>
            <w:pStyle w:val="41"/>
            <w:tabs>
              <w:tab w:val="right" w:leader="dot" w:pos="8845"/>
            </w:tabs>
            <w:rPr>
              <w:highlight w:val="none"/>
            </w:rPr>
          </w:pPr>
          <w:r>
            <w:rPr>
              <w:highlight w:val="none"/>
            </w:rPr>
            <w:fldChar w:fldCharType="begin"/>
          </w:r>
          <w:r>
            <w:rPr>
              <w:highlight w:val="none"/>
            </w:rPr>
            <w:instrText xml:space="preserve"> HYPERLINK \l _Toc12056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rPr>
              <w:highlight w:val="none"/>
            </w:rPr>
            <w:tab/>
          </w:r>
          <w:r>
            <w:rPr>
              <w:highlight w:val="none"/>
            </w:rPr>
            <w:fldChar w:fldCharType="begin"/>
          </w:r>
          <w:r>
            <w:rPr>
              <w:highlight w:val="none"/>
            </w:rPr>
            <w:instrText xml:space="preserve"> PAGEREF _Toc12056 \h </w:instrText>
          </w:r>
          <w:r>
            <w:rPr>
              <w:highlight w:val="none"/>
            </w:rPr>
            <w:fldChar w:fldCharType="separate"/>
          </w:r>
          <w:r>
            <w:rPr>
              <w:highlight w:val="none"/>
            </w:rPr>
            <w:t>8</w:t>
          </w:r>
          <w:r>
            <w:rPr>
              <w:highlight w:val="none"/>
            </w:rPr>
            <w:fldChar w:fldCharType="end"/>
          </w:r>
          <w:r>
            <w:rPr>
              <w:highlight w:val="none"/>
            </w:rPr>
            <w:fldChar w:fldCharType="end"/>
          </w:r>
        </w:p>
        <w:p w14:paraId="427FE617">
          <w:pPr>
            <w:pStyle w:val="41"/>
            <w:tabs>
              <w:tab w:val="right" w:leader="dot" w:pos="8845"/>
            </w:tabs>
            <w:rPr>
              <w:highlight w:val="none"/>
            </w:rPr>
          </w:pPr>
          <w:r>
            <w:rPr>
              <w:highlight w:val="none"/>
            </w:rPr>
            <w:fldChar w:fldCharType="begin"/>
          </w:r>
          <w:r>
            <w:rPr>
              <w:highlight w:val="none"/>
            </w:rPr>
            <w:instrText xml:space="preserve"> HYPERLINK \l _Toc32276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rPr>
              <w:highlight w:val="none"/>
            </w:rPr>
            <w:tab/>
          </w:r>
          <w:r>
            <w:rPr>
              <w:highlight w:val="none"/>
            </w:rPr>
            <w:fldChar w:fldCharType="begin"/>
          </w:r>
          <w:r>
            <w:rPr>
              <w:highlight w:val="none"/>
            </w:rPr>
            <w:instrText xml:space="preserve"> PAGEREF _Toc32276 \h </w:instrText>
          </w:r>
          <w:r>
            <w:rPr>
              <w:highlight w:val="none"/>
            </w:rPr>
            <w:fldChar w:fldCharType="separate"/>
          </w:r>
          <w:r>
            <w:rPr>
              <w:highlight w:val="none"/>
            </w:rPr>
            <w:t>10</w:t>
          </w:r>
          <w:r>
            <w:rPr>
              <w:highlight w:val="none"/>
            </w:rPr>
            <w:fldChar w:fldCharType="end"/>
          </w:r>
          <w:r>
            <w:rPr>
              <w:highlight w:val="none"/>
            </w:rPr>
            <w:fldChar w:fldCharType="end"/>
          </w:r>
        </w:p>
        <w:p w14:paraId="24866CDD">
          <w:pPr>
            <w:pStyle w:val="41"/>
            <w:tabs>
              <w:tab w:val="right" w:leader="dot" w:pos="8845"/>
            </w:tabs>
            <w:rPr>
              <w:highlight w:val="none"/>
            </w:rPr>
          </w:pPr>
          <w:r>
            <w:rPr>
              <w:highlight w:val="none"/>
            </w:rPr>
            <w:fldChar w:fldCharType="begin"/>
          </w:r>
          <w:r>
            <w:rPr>
              <w:highlight w:val="none"/>
            </w:rPr>
            <w:instrText xml:space="preserve"> HYPERLINK \l _Toc29955 </w:instrText>
          </w:r>
          <w:r>
            <w:rPr>
              <w:highlight w:val="none"/>
            </w:rPr>
            <w:fldChar w:fldCharType="separate"/>
          </w:r>
          <w:r>
            <w:rPr>
              <w:rFonts w:hint="eastAsia" w:ascii="黑体" w:hAnsi="黑体" w:eastAsia="黑体"/>
              <w:highlight w:val="none"/>
            </w:rPr>
            <w:t>九、 国有资本经营预算支出决算情况说明</w:t>
          </w:r>
          <w:r>
            <w:rPr>
              <w:highlight w:val="none"/>
            </w:rPr>
            <w:tab/>
          </w:r>
          <w:r>
            <w:rPr>
              <w:highlight w:val="none"/>
            </w:rPr>
            <w:fldChar w:fldCharType="begin"/>
          </w:r>
          <w:r>
            <w:rPr>
              <w:highlight w:val="none"/>
            </w:rPr>
            <w:instrText xml:space="preserve"> PAGEREF _Toc29955 \h </w:instrText>
          </w:r>
          <w:r>
            <w:rPr>
              <w:highlight w:val="none"/>
            </w:rPr>
            <w:fldChar w:fldCharType="separate"/>
          </w:r>
          <w:r>
            <w:rPr>
              <w:highlight w:val="none"/>
            </w:rPr>
            <w:t>10</w:t>
          </w:r>
          <w:r>
            <w:rPr>
              <w:highlight w:val="none"/>
            </w:rPr>
            <w:fldChar w:fldCharType="end"/>
          </w:r>
          <w:r>
            <w:rPr>
              <w:highlight w:val="none"/>
            </w:rPr>
            <w:fldChar w:fldCharType="end"/>
          </w:r>
        </w:p>
        <w:p w14:paraId="6F0AABFB">
          <w:pPr>
            <w:pStyle w:val="41"/>
            <w:tabs>
              <w:tab w:val="right" w:leader="dot" w:pos="8845"/>
            </w:tabs>
            <w:rPr>
              <w:highlight w:val="none"/>
            </w:rPr>
          </w:pPr>
          <w:r>
            <w:rPr>
              <w:highlight w:val="none"/>
            </w:rPr>
            <w:fldChar w:fldCharType="begin"/>
          </w:r>
          <w:r>
            <w:rPr>
              <w:highlight w:val="none"/>
            </w:rPr>
            <w:instrText xml:space="preserve"> HYPERLINK \l _Toc17789 </w:instrText>
          </w:r>
          <w:r>
            <w:rPr>
              <w:highlight w:val="none"/>
            </w:rPr>
            <w:fldChar w:fldCharType="separate"/>
          </w:r>
          <w:r>
            <w:rPr>
              <w:rFonts w:hint="eastAsia" w:ascii="黑体" w:hAnsi="黑体" w:eastAsia="黑体"/>
              <w:highlight w:val="none"/>
            </w:rPr>
            <w:t>十、 其他重要事项的情况说明</w:t>
          </w:r>
          <w:r>
            <w:rPr>
              <w:highlight w:val="none"/>
            </w:rPr>
            <w:tab/>
          </w:r>
          <w:r>
            <w:rPr>
              <w:highlight w:val="none"/>
            </w:rPr>
            <w:fldChar w:fldCharType="begin"/>
          </w:r>
          <w:r>
            <w:rPr>
              <w:highlight w:val="none"/>
            </w:rPr>
            <w:instrText xml:space="preserve"> PAGEREF _Toc17789 \h </w:instrText>
          </w:r>
          <w:r>
            <w:rPr>
              <w:highlight w:val="none"/>
            </w:rPr>
            <w:fldChar w:fldCharType="separate"/>
          </w:r>
          <w:r>
            <w:rPr>
              <w:highlight w:val="none"/>
            </w:rPr>
            <w:t>11</w:t>
          </w:r>
          <w:r>
            <w:rPr>
              <w:highlight w:val="none"/>
            </w:rPr>
            <w:fldChar w:fldCharType="end"/>
          </w:r>
          <w:r>
            <w:rPr>
              <w:highlight w:val="none"/>
            </w:rPr>
            <w:fldChar w:fldCharType="end"/>
          </w:r>
        </w:p>
        <w:p w14:paraId="3DA71D77">
          <w:pPr>
            <w:pStyle w:val="40"/>
            <w:tabs>
              <w:tab w:val="right" w:leader="dot" w:pos="8845"/>
            </w:tabs>
            <w:rPr>
              <w:highlight w:val="none"/>
            </w:rPr>
          </w:pPr>
          <w:r>
            <w:rPr>
              <w:b/>
              <w:highlight w:val="none"/>
            </w:rPr>
            <w:fldChar w:fldCharType="begin"/>
          </w:r>
          <w:r>
            <w:rPr>
              <w:b/>
              <w:highlight w:val="none"/>
            </w:rPr>
            <w:instrText xml:space="preserve"> HYPERLINK \l _Toc20847 </w:instrText>
          </w:r>
          <w:r>
            <w:rPr>
              <w:b/>
              <w:highlight w:val="none"/>
            </w:rPr>
            <w:fldChar w:fldCharType="separate"/>
          </w:r>
          <w:r>
            <w:rPr>
              <w:rFonts w:hint="eastAsia" w:ascii="黑体" w:hAnsi="黑体" w:eastAsia="黑体"/>
              <w:b/>
              <w:highlight w:val="none"/>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highlight w:val="none"/>
            </w:rPr>
            <w:tab/>
          </w:r>
          <w:r>
            <w:rPr>
              <w:b/>
              <w:highlight w:val="none"/>
            </w:rPr>
            <w:fldChar w:fldCharType="begin"/>
          </w:r>
          <w:r>
            <w:rPr>
              <w:b/>
              <w:highlight w:val="none"/>
            </w:rPr>
            <w:instrText xml:space="preserve"> PAGEREF _Toc20847 \h </w:instrText>
          </w:r>
          <w:r>
            <w:rPr>
              <w:b/>
              <w:highlight w:val="none"/>
            </w:rPr>
            <w:fldChar w:fldCharType="separate"/>
          </w:r>
          <w:r>
            <w:rPr>
              <w:b/>
              <w:highlight w:val="none"/>
            </w:rPr>
            <w:t>12</w:t>
          </w:r>
          <w:r>
            <w:rPr>
              <w:b/>
              <w:highlight w:val="none"/>
            </w:rPr>
            <w:fldChar w:fldCharType="end"/>
          </w:r>
          <w:r>
            <w:rPr>
              <w:b/>
              <w:highlight w:val="none"/>
            </w:rPr>
            <w:fldChar w:fldCharType="end"/>
          </w:r>
        </w:p>
        <w:p w14:paraId="32C36AD7">
          <w:pPr>
            <w:pStyle w:val="40"/>
            <w:tabs>
              <w:tab w:val="right" w:leader="dot" w:pos="8845"/>
            </w:tabs>
            <w:rPr>
              <w:b/>
              <w:highlight w:val="none"/>
            </w:rPr>
          </w:pPr>
          <w:r>
            <w:rPr>
              <w:b/>
              <w:highlight w:val="none"/>
            </w:rPr>
            <w:fldChar w:fldCharType="begin"/>
          </w:r>
          <w:r>
            <w:rPr>
              <w:b/>
              <w:highlight w:val="none"/>
            </w:rPr>
            <w:instrText xml:space="preserve"> HYPERLINK \l _Toc2075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highlight w:val="none"/>
            </w:rPr>
            <w:tab/>
          </w:r>
          <w:r>
            <w:rPr>
              <w:b/>
              <w:highlight w:val="none"/>
            </w:rPr>
            <w:fldChar w:fldCharType="begin"/>
          </w:r>
          <w:r>
            <w:rPr>
              <w:b/>
              <w:highlight w:val="none"/>
            </w:rPr>
            <w:instrText xml:space="preserve"> PAGEREF _Toc2075 \h </w:instrText>
          </w:r>
          <w:r>
            <w:rPr>
              <w:b/>
              <w:highlight w:val="none"/>
            </w:rPr>
            <w:fldChar w:fldCharType="separate"/>
          </w:r>
          <w:r>
            <w:rPr>
              <w:b/>
              <w:highlight w:val="none"/>
            </w:rPr>
            <w:t>16</w:t>
          </w:r>
          <w:r>
            <w:rPr>
              <w:b/>
              <w:highlight w:val="none"/>
            </w:rPr>
            <w:fldChar w:fldCharType="end"/>
          </w:r>
          <w:r>
            <w:rPr>
              <w:b/>
              <w:highlight w:val="none"/>
            </w:rPr>
            <w:fldChar w:fldCharType="end"/>
          </w:r>
        </w:p>
        <w:p w14:paraId="787FFC52">
          <w:pPr>
            <w:pStyle w:val="41"/>
            <w:tabs>
              <w:tab w:val="right" w:leader="dot" w:pos="8845"/>
            </w:tabs>
            <w:rPr>
              <w:highlight w:val="none"/>
            </w:rPr>
          </w:pPr>
          <w:r>
            <w:rPr>
              <w:highlight w:val="none"/>
            </w:rPr>
            <w:fldChar w:fldCharType="begin"/>
          </w:r>
          <w:r>
            <w:rPr>
              <w:highlight w:val="none"/>
            </w:rPr>
            <w:instrText xml:space="preserve"> HYPERLINK \l _Toc22094 </w:instrText>
          </w:r>
          <w:r>
            <w:rPr>
              <w:highlight w:val="none"/>
            </w:rPr>
            <w:fldChar w:fldCharType="separate"/>
          </w:r>
          <w:r>
            <w:rPr>
              <w:rFonts w:hint="eastAsia" w:hAnsi="Times New Roman" w:cs="Times New Roman"/>
              <w:szCs w:val="32"/>
              <w:highlight w:val="none"/>
              <w:lang w:val="en-US" w:eastAsia="zh-CN"/>
            </w:rPr>
            <w:t>部门预算项目支出绩效自评表（202</w:t>
          </w:r>
          <w:r>
            <w:rPr>
              <w:rFonts w:hint="eastAsia" w:cs="Times New Roman"/>
              <w:szCs w:val="32"/>
              <w:highlight w:val="none"/>
              <w:lang w:val="en-US" w:eastAsia="zh-CN"/>
            </w:rPr>
            <w:t>3</w:t>
          </w:r>
          <w:r>
            <w:rPr>
              <w:rFonts w:hint="eastAsia" w:hAnsi="Times New Roman" w:cs="Times New Roman"/>
              <w:szCs w:val="32"/>
              <w:highlight w:val="none"/>
              <w:lang w:val="en-US" w:eastAsia="zh-CN"/>
            </w:rPr>
            <w:t>年度）</w:t>
          </w:r>
          <w:r>
            <w:rPr>
              <w:highlight w:val="none"/>
            </w:rPr>
            <w:tab/>
          </w:r>
          <w:r>
            <w:rPr>
              <w:highlight w:val="none"/>
            </w:rPr>
            <w:fldChar w:fldCharType="begin"/>
          </w:r>
          <w:r>
            <w:rPr>
              <w:highlight w:val="none"/>
            </w:rPr>
            <w:instrText xml:space="preserve"> PAGEREF _Toc22094 \h </w:instrText>
          </w:r>
          <w:r>
            <w:rPr>
              <w:highlight w:val="none"/>
            </w:rPr>
            <w:fldChar w:fldCharType="separate"/>
          </w:r>
          <w:r>
            <w:rPr>
              <w:highlight w:val="none"/>
            </w:rPr>
            <w:t>16</w:t>
          </w:r>
          <w:r>
            <w:rPr>
              <w:highlight w:val="none"/>
            </w:rPr>
            <w:fldChar w:fldCharType="end"/>
          </w:r>
          <w:r>
            <w:rPr>
              <w:highlight w:val="none"/>
            </w:rPr>
            <w:fldChar w:fldCharType="end"/>
          </w:r>
        </w:p>
        <w:p w14:paraId="2DF449FA">
          <w:pPr>
            <w:pStyle w:val="40"/>
            <w:tabs>
              <w:tab w:val="right" w:leader="dot" w:pos="8845"/>
            </w:tabs>
            <w:rPr>
              <w:b/>
              <w:highlight w:val="none"/>
            </w:rPr>
          </w:pPr>
          <w:r>
            <w:rPr>
              <w:b/>
              <w:highlight w:val="none"/>
            </w:rPr>
            <w:fldChar w:fldCharType="begin"/>
          </w:r>
          <w:r>
            <w:rPr>
              <w:b/>
              <w:highlight w:val="none"/>
            </w:rPr>
            <w:instrText xml:space="preserve"> HYPERLINK \l _Toc9057 </w:instrText>
          </w:r>
          <w:r>
            <w:rPr>
              <w:b/>
              <w:highlight w:val="none"/>
            </w:rPr>
            <w:fldChar w:fldCharType="separate"/>
          </w:r>
          <w:r>
            <w:rPr>
              <w:rFonts w:hint="eastAsia" w:ascii="黑体" w:hAnsi="黑体" w:eastAsia="黑体" w:cs="黑体"/>
              <w:b/>
              <w:bCs/>
              <w:szCs w:val="44"/>
              <w:highlight w:val="none"/>
              <w:lang w:val="en-US" w:eastAsia="zh-CN"/>
            </w:rPr>
            <w:t>第五部分 附表</w:t>
          </w:r>
          <w:r>
            <w:rPr>
              <w:b/>
              <w:highlight w:val="none"/>
            </w:rPr>
            <w:tab/>
          </w:r>
          <w:r>
            <w:rPr>
              <w:b/>
              <w:highlight w:val="none"/>
            </w:rPr>
            <w:fldChar w:fldCharType="begin"/>
          </w:r>
          <w:r>
            <w:rPr>
              <w:b/>
              <w:highlight w:val="none"/>
            </w:rPr>
            <w:instrText xml:space="preserve"> PAGEREF _Toc9057 \h </w:instrText>
          </w:r>
          <w:r>
            <w:rPr>
              <w:b/>
              <w:highlight w:val="none"/>
            </w:rPr>
            <w:fldChar w:fldCharType="separate"/>
          </w:r>
          <w:r>
            <w:rPr>
              <w:b/>
              <w:highlight w:val="none"/>
            </w:rPr>
            <w:t>21</w:t>
          </w:r>
          <w:r>
            <w:rPr>
              <w:b/>
              <w:highlight w:val="none"/>
            </w:rPr>
            <w:fldChar w:fldCharType="end"/>
          </w:r>
          <w:r>
            <w:rPr>
              <w:b/>
              <w:highlight w:val="none"/>
            </w:rPr>
            <w:fldChar w:fldCharType="end"/>
          </w:r>
        </w:p>
        <w:p w14:paraId="45C913CC">
          <w:pPr>
            <w:rPr>
              <w:b/>
            </w:rPr>
          </w:pPr>
          <w:r>
            <w:rPr>
              <w:b/>
            </w:rPr>
            <w:fldChar w:fldCharType="end"/>
          </w:r>
        </w:p>
      </w:sdtContent>
    </w:sdt>
    <w:p w14:paraId="5E88644F">
      <w:pPr>
        <w:rPr>
          <w:b/>
        </w:rPr>
      </w:pPr>
    </w:p>
    <w:p w14:paraId="10F863B8">
      <w:pPr>
        <w:rPr>
          <w:b/>
        </w:rPr>
      </w:pPr>
    </w:p>
    <w:p w14:paraId="1AD04575">
      <w:pPr>
        <w:rPr>
          <w:b/>
        </w:rPr>
      </w:pPr>
    </w:p>
    <w:p w14:paraId="7986A5B1">
      <w:pPr>
        <w:rPr>
          <w:b/>
        </w:rPr>
      </w:pPr>
    </w:p>
    <w:p w14:paraId="689E57C6">
      <w:pPr>
        <w:rPr>
          <w:b/>
        </w:rPr>
      </w:pPr>
    </w:p>
    <w:p w14:paraId="6E2F68DD">
      <w:pPr>
        <w:rPr>
          <w:b/>
        </w:rPr>
      </w:pPr>
    </w:p>
    <w:p w14:paraId="4BF0B216">
      <w:pPr>
        <w:rPr>
          <w:b/>
        </w:rPr>
      </w:pPr>
    </w:p>
    <w:p w14:paraId="22C326F7">
      <w:pPr>
        <w:rPr>
          <w:b/>
        </w:rPr>
      </w:pPr>
    </w:p>
    <w:p w14:paraId="0A75D1CA">
      <w:pPr>
        <w:pStyle w:val="3"/>
        <w:jc w:val="center"/>
        <w:rPr>
          <w:rFonts w:hint="eastAsia" w:ascii="黑体" w:hAnsi="黑体" w:eastAsia="黑体"/>
          <w:b w:val="0"/>
          <w:color w:val="auto"/>
          <w:highlight w:val="none"/>
        </w:rPr>
        <w:sectPr>
          <w:headerReference r:id="rId3" w:type="default"/>
          <w:pgSz w:w="11906" w:h="16838"/>
          <w:pgMar w:top="2098" w:right="1474" w:bottom="1984" w:left="1587" w:header="851" w:footer="992" w:gutter="0"/>
          <w:pgNumType w:fmt="decimal"/>
          <w:cols w:space="425" w:num="1"/>
          <w:titlePg/>
          <w:docGrid w:type="lines" w:linePitch="312" w:charSpace="0"/>
        </w:sectPr>
      </w:pPr>
      <w:bookmarkStart w:id="21" w:name="_Toc18977"/>
    </w:p>
    <w:p w14:paraId="61295573">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2"/>
          <w:rFonts w:hint="eastAsia" w:ascii="黑体" w:hAnsi="黑体" w:eastAsia="黑体"/>
          <w:b w:val="0"/>
          <w:bCs w:val="0"/>
          <w:color w:val="auto"/>
          <w:highlight w:val="none"/>
          <w:lang w:eastAsia="zh-CN"/>
        </w:rPr>
        <w:t>单位</w:t>
      </w:r>
      <w:r>
        <w:rPr>
          <w:rStyle w:val="32"/>
          <w:rFonts w:hint="eastAsia" w:ascii="黑体" w:hAnsi="黑体" w:eastAsia="黑体"/>
          <w:b w:val="0"/>
          <w:bCs w:val="0"/>
          <w:color w:val="auto"/>
          <w:highlight w:val="none"/>
        </w:rPr>
        <w:t>概况</w:t>
      </w:r>
      <w:bookmarkEnd w:id="21"/>
    </w:p>
    <w:p w14:paraId="30DBEEF3">
      <w:pPr>
        <w:ind w:firstLine="640" w:firstLineChars="200"/>
        <w:outlineLvl w:val="1"/>
        <w:rPr>
          <w:rStyle w:val="33"/>
          <w:rFonts w:hint="eastAsia" w:ascii="黑体" w:hAnsi="黑体" w:eastAsia="黑体"/>
          <w:b w:val="0"/>
          <w:bCs w:val="0"/>
          <w:color w:val="auto"/>
          <w:highlight w:val="none"/>
          <w:lang w:val="en-US" w:eastAsia="zh-CN"/>
        </w:rPr>
      </w:pPr>
      <w:bookmarkStart w:id="22" w:name="_Toc7548"/>
      <w:bookmarkStart w:id="23" w:name="_Toc26685"/>
      <w:bookmarkStart w:id="24" w:name="_Toc20374_WPSOffice_Level2"/>
      <w:r>
        <w:rPr>
          <w:rStyle w:val="33"/>
          <w:rFonts w:hint="eastAsia" w:ascii="黑体" w:hAnsi="黑体" w:eastAsia="黑体"/>
          <w:b w:val="0"/>
          <w:bCs w:val="0"/>
          <w:color w:val="auto"/>
          <w:highlight w:val="none"/>
          <w:lang w:val="en-US" w:eastAsia="zh-CN"/>
        </w:rPr>
        <w:t>一、主要职责</w:t>
      </w:r>
      <w:bookmarkEnd w:id="22"/>
      <w:bookmarkEnd w:id="23"/>
      <w:bookmarkEnd w:id="24"/>
    </w:p>
    <w:p w14:paraId="29FAF2D3">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负责市委、市政府下达我区目标任务的分解及落实情况的督促工作，以及全区目标绩效管理工作。</w:t>
      </w:r>
    </w:p>
    <w:p w14:paraId="2EE6BA38">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2.负责区委全会、区委经济工作会议、区委常委会会议、区委主要领导主持研究的专题会议贯彻落实情况的督查工作。</w:t>
      </w:r>
    </w:p>
    <w:p w14:paraId="51917AA0">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3.负责区政府全体会议、区政府常务会议、区政府工作例会、区政府主要领导主持的专题会议，以及《政府工作报告》贯彻落实情况的督查工作。</w:t>
      </w:r>
    </w:p>
    <w:p w14:paraId="5AE0CCE7">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4.负责区委、区政府主要领导批交办事项、以及区委专职副书记、常务副区长重要批交事项贯彻落实情况的督查工作。</w:t>
      </w:r>
    </w:p>
    <w:p w14:paraId="5018A11E">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5.负责区委、区政府民生实事的统筹和督查考核工作。</w:t>
      </w:r>
    </w:p>
    <w:p w14:paraId="2EED881F">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6.负责区委、区政府民生实事的统筹和督查考核工作。</w:t>
      </w:r>
    </w:p>
    <w:p w14:paraId="1FA2BE37">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7.负责区委、区政府重要文件贯彻落实情况的督查工作。</w:t>
      </w:r>
    </w:p>
    <w:p w14:paraId="0C53F186">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8.负责中央、省委、省政府和市委、市政府督查机构对我区督查检查考核的衔接工作。</w:t>
      </w:r>
    </w:p>
    <w:p w14:paraId="0C8D0EC1">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9.负责职责范围内安全生产和职业健康、消防安全、生态环境保护等工作。</w:t>
      </w:r>
    </w:p>
    <w:p w14:paraId="69094033">
      <w:pPr>
        <w:snapToGrid w:val="0"/>
        <w:spacing w:line="52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10.完成区委和区政府交办的其他任务。</w:t>
      </w:r>
    </w:p>
    <w:p w14:paraId="32587D1F">
      <w:pPr>
        <w:pStyle w:val="15"/>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11.有关职责分工。督查职责综合协调由区委办公室、区政府办公室负责，组织实施由区委绩效办负责。</w:t>
      </w:r>
    </w:p>
    <w:p w14:paraId="651455B3">
      <w:pPr>
        <w:pStyle w:val="9"/>
        <w:rPr>
          <w:rFonts w:hint="eastAsia"/>
          <w:lang w:val="en-US" w:eastAsia="zh-CN"/>
        </w:rPr>
      </w:pPr>
    </w:p>
    <w:p w14:paraId="26AEA29F">
      <w:pPr>
        <w:ind w:firstLine="640" w:firstLineChars="200"/>
        <w:outlineLvl w:val="1"/>
        <w:rPr>
          <w:rStyle w:val="33"/>
          <w:rFonts w:hint="eastAsia" w:ascii="黑体" w:hAnsi="黑体" w:eastAsia="黑体"/>
          <w:b w:val="0"/>
          <w:bCs w:val="0"/>
          <w:color w:val="auto"/>
          <w:highlight w:val="yellow"/>
        </w:rPr>
      </w:pPr>
    </w:p>
    <w:p w14:paraId="5504851A">
      <w:pPr>
        <w:pStyle w:val="21"/>
        <w:jc w:val="both"/>
        <w:rPr>
          <w:rFonts w:hint="eastAsia"/>
          <w:highlight w:val="yellow"/>
          <w:lang w:val="en-US" w:eastAsia="zh-CN"/>
        </w:rPr>
      </w:pPr>
    </w:p>
    <w:p w14:paraId="492F3B42">
      <w:pPr>
        <w:numPr>
          <w:ilvl w:val="0"/>
          <w:numId w:val="2"/>
        </w:numPr>
        <w:ind w:firstLine="640" w:firstLineChars="200"/>
        <w:outlineLvl w:val="1"/>
        <w:rPr>
          <w:rStyle w:val="33"/>
          <w:rFonts w:hint="eastAsia" w:ascii="黑体" w:hAnsi="黑体" w:eastAsia="黑体"/>
          <w:b w:val="0"/>
          <w:bCs w:val="0"/>
          <w:color w:val="auto"/>
          <w:highlight w:val="none"/>
        </w:rPr>
      </w:pPr>
      <w:bookmarkStart w:id="25" w:name="_Toc9945_WPSOffice_Level2"/>
      <w:bookmarkStart w:id="26" w:name="_Toc15377200"/>
      <w:bookmarkStart w:id="27" w:name="_Toc2636"/>
      <w:bookmarkStart w:id="28" w:name="_Toc15396601"/>
      <w:bookmarkStart w:id="29" w:name="_Toc11061"/>
      <w:r>
        <w:rPr>
          <w:rStyle w:val="33"/>
          <w:rFonts w:hint="eastAsia" w:ascii="黑体" w:hAnsi="黑体" w:eastAsia="黑体"/>
          <w:b w:val="0"/>
          <w:bCs w:val="0"/>
          <w:color w:val="auto"/>
          <w:highlight w:val="none"/>
        </w:rPr>
        <w:t>机构设置</w:t>
      </w:r>
      <w:bookmarkEnd w:id="25"/>
      <w:bookmarkEnd w:id="26"/>
      <w:bookmarkEnd w:id="27"/>
      <w:bookmarkEnd w:id="28"/>
      <w:bookmarkEnd w:id="29"/>
    </w:p>
    <w:p w14:paraId="69C34945">
      <w:pPr>
        <w:ind w:firstLine="640" w:firstLineChars="200"/>
        <w:rPr>
          <w:rFonts w:hint="default" w:ascii="仿宋" w:hAnsi="仿宋" w:eastAsia="仿宋" w:cs="Times New Roman"/>
          <w:color w:val="auto"/>
          <w:sz w:val="32"/>
          <w:szCs w:val="32"/>
          <w:highlight w:val="none"/>
          <w:lang w:val="en-US" w:eastAsia="zh-CN"/>
        </w:rPr>
      </w:pPr>
      <w:bookmarkStart w:id="30" w:name="_Toc15306275"/>
      <w:bookmarkStart w:id="31" w:name="_Toc15377201"/>
      <w:bookmarkStart w:id="32" w:name="_Toc15377432"/>
      <w:bookmarkStart w:id="33" w:name="_Toc15378448"/>
      <w:r>
        <w:rPr>
          <w:rFonts w:hint="eastAsia" w:ascii="仿宋" w:hAnsi="仿宋" w:eastAsia="仿宋"/>
          <w:color w:val="auto"/>
          <w:sz w:val="32"/>
          <w:szCs w:val="32"/>
          <w:highlight w:val="none"/>
          <w:lang w:eastAsia="zh-CN"/>
        </w:rPr>
        <w:t>中共</w:t>
      </w:r>
      <w:r>
        <w:rPr>
          <w:rFonts w:hint="eastAsia" w:ascii="仿宋" w:hAnsi="仿宋" w:eastAsia="仿宋"/>
          <w:color w:val="auto"/>
          <w:sz w:val="32"/>
          <w:szCs w:val="32"/>
          <w:highlight w:val="none"/>
        </w:rPr>
        <w:t>遂宁市船山区委目标绩效管理办公室下属二级单位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s="Times New Roman"/>
          <w:color w:val="auto"/>
          <w:sz w:val="32"/>
          <w:szCs w:val="32"/>
          <w:highlight w:val="none"/>
        </w:rPr>
        <w:t>其他事业单位</w:t>
      </w: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个</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集公益一类事业</w:t>
      </w:r>
      <w:r>
        <w:rPr>
          <w:rFonts w:hint="eastAsia" w:ascii="仿宋" w:hAnsi="仿宋" w:eastAsia="仿宋" w:cs="Times New Roman"/>
          <w:color w:val="auto"/>
          <w:sz w:val="32"/>
          <w:szCs w:val="32"/>
          <w:highlight w:val="none"/>
          <w:lang w:eastAsia="zh-CN"/>
        </w:rPr>
        <w:t>单位：</w:t>
      </w:r>
      <w:r>
        <w:rPr>
          <w:rFonts w:hint="eastAsia" w:ascii="仿宋" w:hAnsi="仿宋" w:eastAsia="仿宋" w:cs="Times New Roman"/>
          <w:color w:val="auto"/>
          <w:sz w:val="32"/>
          <w:szCs w:val="32"/>
          <w:highlight w:val="none"/>
        </w:rPr>
        <w:t>遂宁市船山区委目标绩效信息中心）</w:t>
      </w:r>
      <w:r>
        <w:rPr>
          <w:rFonts w:hint="eastAsia" w:ascii="仿宋" w:hAnsi="仿宋" w:eastAsia="仿宋" w:cs="Times New Roman"/>
          <w:color w:val="auto"/>
          <w:sz w:val="32"/>
          <w:szCs w:val="32"/>
          <w:highlight w:val="none"/>
          <w:lang w:eastAsia="zh-CN"/>
        </w:rPr>
        <w:t>，内设机构设置</w:t>
      </w:r>
      <w:r>
        <w:rPr>
          <w:rFonts w:hint="eastAsia" w:ascii="仿宋" w:hAnsi="仿宋" w:eastAsia="仿宋" w:cs="Times New Roman"/>
          <w:color w:val="auto"/>
          <w:sz w:val="32"/>
          <w:szCs w:val="32"/>
          <w:highlight w:val="none"/>
          <w:lang w:val="en-US" w:eastAsia="zh-CN"/>
        </w:rPr>
        <w:t>4个：综合股、目标绩效股、督查股、营商环境综合治理股。</w:t>
      </w:r>
    </w:p>
    <w:bookmarkEnd w:id="30"/>
    <w:bookmarkEnd w:id="31"/>
    <w:bookmarkEnd w:id="32"/>
    <w:bookmarkEnd w:id="33"/>
    <w:p w14:paraId="29B74F5F">
      <w:pPr>
        <w:pStyle w:val="2"/>
        <w:numPr>
          <w:ilvl w:val="0"/>
          <w:numId w:val="0"/>
        </w:numPr>
        <w:ind w:leftChars="0"/>
        <w:rPr>
          <w:rFonts w:hint="default" w:eastAsia="宋体"/>
          <w:lang w:val="en-US" w:eastAsia="zh-CN"/>
        </w:rPr>
      </w:pPr>
    </w:p>
    <w:p w14:paraId="63FCB933">
      <w:pPr>
        <w:pStyle w:val="22"/>
        <w:rPr>
          <w:rFonts w:hint="eastAsia" w:ascii="黑体" w:hAnsi="黑体" w:eastAsia="黑体"/>
          <w:b w:val="0"/>
          <w:bCs/>
          <w:color w:val="auto"/>
          <w:highlight w:val="none"/>
        </w:rPr>
      </w:pPr>
    </w:p>
    <w:p w14:paraId="42C8431C">
      <w:pPr>
        <w:rPr>
          <w:rFonts w:hint="eastAsia" w:ascii="黑体" w:hAnsi="黑体" w:eastAsia="黑体"/>
          <w:b w:val="0"/>
          <w:bCs/>
          <w:color w:val="auto"/>
          <w:highlight w:val="none"/>
        </w:rPr>
      </w:pPr>
    </w:p>
    <w:p w14:paraId="40FCA38F">
      <w:pPr>
        <w:pStyle w:val="15"/>
        <w:rPr>
          <w:rFonts w:hint="eastAsia" w:ascii="黑体" w:hAnsi="黑体" w:eastAsia="黑体"/>
          <w:b w:val="0"/>
          <w:bCs/>
          <w:color w:val="auto"/>
          <w:highlight w:val="none"/>
        </w:rPr>
      </w:pPr>
    </w:p>
    <w:p w14:paraId="59BD0BCB">
      <w:pPr>
        <w:pStyle w:val="9"/>
        <w:rPr>
          <w:rFonts w:hint="eastAsia" w:ascii="黑体" w:hAnsi="黑体" w:eastAsia="黑体"/>
          <w:b w:val="0"/>
          <w:bCs/>
          <w:color w:val="auto"/>
          <w:highlight w:val="none"/>
        </w:rPr>
      </w:pPr>
    </w:p>
    <w:p w14:paraId="236F57E2">
      <w:pPr>
        <w:pStyle w:val="9"/>
        <w:rPr>
          <w:rFonts w:hint="eastAsia" w:ascii="黑体" w:hAnsi="黑体" w:eastAsia="黑体"/>
          <w:b w:val="0"/>
          <w:bCs/>
          <w:color w:val="auto"/>
          <w:highlight w:val="none"/>
        </w:rPr>
      </w:pPr>
    </w:p>
    <w:p w14:paraId="12855B61">
      <w:pPr>
        <w:pStyle w:val="9"/>
        <w:rPr>
          <w:rFonts w:hint="eastAsia" w:ascii="黑体" w:hAnsi="黑体" w:eastAsia="黑体"/>
          <w:b w:val="0"/>
          <w:bCs/>
          <w:color w:val="auto"/>
          <w:highlight w:val="none"/>
        </w:rPr>
      </w:pPr>
    </w:p>
    <w:p w14:paraId="7D290B13">
      <w:pPr>
        <w:pStyle w:val="9"/>
        <w:rPr>
          <w:rFonts w:hint="eastAsia" w:ascii="黑体" w:hAnsi="黑体" w:eastAsia="黑体"/>
          <w:b w:val="0"/>
          <w:bCs/>
          <w:color w:val="auto"/>
          <w:highlight w:val="none"/>
        </w:rPr>
      </w:pPr>
    </w:p>
    <w:p w14:paraId="5AB6FB1B">
      <w:pPr>
        <w:pStyle w:val="9"/>
        <w:rPr>
          <w:rFonts w:hint="eastAsia" w:ascii="黑体" w:hAnsi="黑体" w:eastAsia="黑体"/>
          <w:b w:val="0"/>
          <w:bCs/>
          <w:color w:val="auto"/>
          <w:highlight w:val="none"/>
        </w:rPr>
      </w:pPr>
    </w:p>
    <w:p w14:paraId="4279C031">
      <w:pPr>
        <w:pStyle w:val="9"/>
        <w:rPr>
          <w:rFonts w:hint="eastAsia" w:ascii="黑体" w:hAnsi="黑体" w:eastAsia="黑体"/>
          <w:b w:val="0"/>
          <w:bCs/>
          <w:color w:val="auto"/>
          <w:highlight w:val="none"/>
        </w:rPr>
      </w:pPr>
    </w:p>
    <w:p w14:paraId="5B4F0CF6">
      <w:pPr>
        <w:pStyle w:val="9"/>
        <w:rPr>
          <w:rFonts w:hint="eastAsia" w:ascii="黑体" w:hAnsi="黑体" w:eastAsia="黑体"/>
          <w:b w:val="0"/>
          <w:bCs/>
          <w:color w:val="auto"/>
          <w:highlight w:val="none"/>
        </w:rPr>
      </w:pPr>
    </w:p>
    <w:p w14:paraId="2E768A95">
      <w:pPr>
        <w:pStyle w:val="9"/>
        <w:rPr>
          <w:rFonts w:hint="eastAsia" w:ascii="黑体" w:hAnsi="黑体" w:eastAsia="黑体"/>
          <w:b w:val="0"/>
          <w:bCs/>
          <w:color w:val="auto"/>
          <w:highlight w:val="none"/>
        </w:rPr>
      </w:pPr>
    </w:p>
    <w:p w14:paraId="6B66C78B">
      <w:pPr>
        <w:pStyle w:val="9"/>
        <w:rPr>
          <w:rFonts w:hint="eastAsia" w:ascii="黑体" w:hAnsi="黑体" w:eastAsia="黑体"/>
          <w:b w:val="0"/>
          <w:bCs/>
          <w:color w:val="auto"/>
          <w:highlight w:val="none"/>
        </w:rPr>
      </w:pPr>
    </w:p>
    <w:p w14:paraId="66A353F2">
      <w:pPr>
        <w:pStyle w:val="9"/>
        <w:rPr>
          <w:rFonts w:hint="eastAsia" w:ascii="黑体" w:hAnsi="黑体" w:eastAsia="黑体"/>
          <w:b w:val="0"/>
          <w:bCs/>
          <w:color w:val="auto"/>
          <w:highlight w:val="none"/>
        </w:rPr>
      </w:pPr>
    </w:p>
    <w:p w14:paraId="65C52F06">
      <w:pPr>
        <w:pStyle w:val="9"/>
        <w:rPr>
          <w:rFonts w:hint="eastAsia" w:ascii="黑体" w:hAnsi="黑体" w:eastAsia="黑体"/>
          <w:b w:val="0"/>
          <w:bCs/>
          <w:color w:val="auto"/>
          <w:highlight w:val="none"/>
        </w:rPr>
      </w:pPr>
    </w:p>
    <w:p w14:paraId="1E61F88B">
      <w:pPr>
        <w:rPr>
          <w:rFonts w:hint="eastAsia" w:ascii="黑体" w:hAnsi="黑体" w:eastAsia="黑体"/>
          <w:b w:val="0"/>
          <w:bCs/>
          <w:color w:val="auto"/>
          <w:highlight w:val="none"/>
        </w:rPr>
      </w:pPr>
    </w:p>
    <w:p w14:paraId="4AFD2A44">
      <w:pPr>
        <w:pStyle w:val="21"/>
        <w:rPr>
          <w:rFonts w:hint="eastAsia" w:ascii="黑体" w:hAnsi="黑体" w:eastAsia="黑体"/>
          <w:b w:val="0"/>
          <w:bCs/>
          <w:color w:val="auto"/>
          <w:highlight w:val="none"/>
        </w:rPr>
      </w:pPr>
    </w:p>
    <w:p w14:paraId="202915A4">
      <w:pPr>
        <w:pStyle w:val="22"/>
        <w:rPr>
          <w:rFonts w:hint="eastAsia" w:ascii="黑体" w:hAnsi="黑体" w:eastAsia="黑体"/>
          <w:b w:val="0"/>
          <w:bCs/>
          <w:color w:val="auto"/>
          <w:highlight w:val="none"/>
        </w:rPr>
      </w:pPr>
    </w:p>
    <w:p w14:paraId="0330D7CD">
      <w:pPr>
        <w:rPr>
          <w:rFonts w:hint="eastAsia" w:ascii="黑体" w:hAnsi="黑体" w:eastAsia="黑体"/>
          <w:b w:val="0"/>
          <w:bCs/>
          <w:color w:val="auto"/>
          <w:highlight w:val="none"/>
        </w:rPr>
      </w:pPr>
    </w:p>
    <w:p w14:paraId="0E8AE9EF">
      <w:pPr>
        <w:pStyle w:val="21"/>
        <w:rPr>
          <w:rFonts w:hint="eastAsia" w:ascii="黑体" w:hAnsi="黑体" w:eastAsia="黑体"/>
          <w:b w:val="0"/>
          <w:bCs/>
          <w:color w:val="auto"/>
          <w:highlight w:val="none"/>
        </w:rPr>
      </w:pPr>
    </w:p>
    <w:p w14:paraId="37642453">
      <w:pPr>
        <w:pStyle w:val="22"/>
        <w:rPr>
          <w:rFonts w:hint="eastAsia"/>
          <w:highlight w:val="none"/>
        </w:rPr>
      </w:pPr>
    </w:p>
    <w:p w14:paraId="41D87FDD">
      <w:pPr>
        <w:keepNext/>
        <w:keepLines/>
        <w:pageBreakBefore w:val="0"/>
        <w:widowControl w:val="0"/>
        <w:kinsoku/>
        <w:wordWrap/>
        <w:overflowPunct/>
        <w:topLinePunct w:val="0"/>
        <w:autoSpaceDE/>
        <w:autoSpaceDN/>
        <w:bidi w:val="0"/>
        <w:adjustRightInd/>
        <w:snapToGrid/>
        <w:spacing w:line="579" w:lineRule="auto"/>
        <w:ind w:right="442"/>
        <w:jc w:val="center"/>
        <w:textAlignment w:val="auto"/>
        <w:outlineLvl w:val="0"/>
        <w:rPr>
          <w:rStyle w:val="32"/>
          <w:rFonts w:ascii="黑体" w:hAnsi="黑体" w:eastAsia="黑体"/>
          <w:b w:val="0"/>
          <w:bCs/>
          <w:color w:val="auto"/>
          <w:sz w:val="44"/>
          <w:szCs w:val="44"/>
          <w:highlight w:val="none"/>
        </w:rPr>
      </w:pPr>
      <w:bookmarkStart w:id="34" w:name="_Toc9959"/>
      <w:bookmarkStart w:id="35" w:name="_Toc14759"/>
      <w:r>
        <w:rPr>
          <w:rFonts w:hint="eastAsia" w:ascii="黑体" w:hAnsi="黑体" w:eastAsia="黑体"/>
          <w:b w:val="0"/>
          <w:bCs/>
          <w:color w:val="auto"/>
          <w:sz w:val="44"/>
          <w:szCs w:val="44"/>
          <w:highlight w:val="none"/>
        </w:rPr>
        <w:t xml:space="preserve">第二部分 </w:t>
      </w:r>
      <w:r>
        <w:rPr>
          <w:rFonts w:hint="eastAsia" w:ascii="黑体" w:hAnsi="黑体" w:eastAsia="黑体"/>
          <w:b w:val="0"/>
          <w:bCs/>
          <w:color w:val="auto"/>
          <w:sz w:val="44"/>
          <w:szCs w:val="44"/>
          <w:highlight w:val="none"/>
          <w:lang w:val="en-US" w:eastAsia="zh-CN"/>
        </w:rPr>
        <w:t>2023年度</w:t>
      </w:r>
      <w:r>
        <w:rPr>
          <w:rStyle w:val="32"/>
          <w:rFonts w:hint="eastAsia" w:ascii="黑体" w:hAnsi="黑体" w:eastAsia="黑体"/>
          <w:b w:val="0"/>
          <w:bCs/>
          <w:color w:val="auto"/>
          <w:sz w:val="44"/>
          <w:szCs w:val="44"/>
          <w:highlight w:val="none"/>
          <w:lang w:val="en-US" w:eastAsia="zh-CN"/>
        </w:rPr>
        <w:t>单位</w:t>
      </w:r>
      <w:r>
        <w:rPr>
          <w:rStyle w:val="32"/>
          <w:rFonts w:hint="eastAsia" w:ascii="黑体" w:hAnsi="黑体" w:eastAsia="黑体"/>
          <w:b w:val="0"/>
          <w:bCs/>
          <w:color w:val="auto"/>
          <w:sz w:val="44"/>
          <w:szCs w:val="44"/>
          <w:highlight w:val="none"/>
        </w:rPr>
        <w:t>决算情况说明</w:t>
      </w:r>
      <w:bookmarkEnd w:id="34"/>
      <w:bookmarkEnd w:id="35"/>
    </w:p>
    <w:p w14:paraId="0A28D2D7">
      <w:pPr>
        <w:rPr>
          <w:color w:val="auto"/>
          <w:highlight w:val="none"/>
        </w:rPr>
      </w:pPr>
    </w:p>
    <w:p w14:paraId="0DD73FCE">
      <w:pPr>
        <w:pStyle w:val="31"/>
        <w:numPr>
          <w:ilvl w:val="0"/>
          <w:numId w:val="3"/>
        </w:numPr>
        <w:spacing w:line="600" w:lineRule="exact"/>
        <w:ind w:firstLineChars="0"/>
        <w:outlineLvl w:val="1"/>
        <w:rPr>
          <w:rStyle w:val="33"/>
          <w:rFonts w:ascii="黑体" w:hAnsi="黑体" w:eastAsia="黑体"/>
          <w:b w:val="0"/>
          <w:color w:val="auto"/>
          <w:highlight w:val="none"/>
        </w:rPr>
      </w:pPr>
      <w:bookmarkStart w:id="36" w:name="_Toc15377205"/>
      <w:bookmarkStart w:id="37" w:name="_Toc2801"/>
      <w:bookmarkStart w:id="38" w:name="_Toc15396603"/>
      <w:bookmarkStart w:id="39" w:name="_Toc25357_WPSOffice_Level2"/>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36"/>
      <w:bookmarkEnd w:id="37"/>
      <w:bookmarkEnd w:id="38"/>
      <w:bookmarkEnd w:id="39"/>
    </w:p>
    <w:p w14:paraId="18026446">
      <w:pPr>
        <w:spacing w:line="60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262.60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23.69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color w:val="auto"/>
          <w:sz w:val="32"/>
          <w:szCs w:val="32"/>
          <w:highlight w:val="none"/>
        </w:rPr>
        <w:t>主要变动原因</w:t>
      </w:r>
      <w:r>
        <w:rPr>
          <w:rFonts w:hint="eastAsia" w:ascii="仿宋" w:hAnsi="仿宋" w:eastAsia="仿宋" w:cs="Times New Roman"/>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CN"/>
        </w:rPr>
        <w:t>因人员调资人员经费增加及本年目标绩效督查系统建设运行维护费和目标绩效督查及营商环境工作经费项目经费增加</w:t>
      </w:r>
      <w:r>
        <w:rPr>
          <w:rFonts w:hint="eastAsia" w:ascii="仿宋" w:hAnsi="仿宋" w:eastAsia="仿宋" w:cs="Times New Roman"/>
          <w:color w:val="auto"/>
          <w:sz w:val="32"/>
          <w:szCs w:val="32"/>
          <w:highlight w:val="none"/>
          <w:lang w:eastAsia="zh-CN"/>
        </w:rPr>
        <w:t>。</w:t>
      </w:r>
    </w:p>
    <w:p w14:paraId="7170DBB9">
      <w:pPr>
        <w:spacing w:line="600" w:lineRule="exact"/>
        <w:rPr>
          <w:rFonts w:hint="eastAsia" w:ascii="仿宋" w:hAnsi="仿宋" w:eastAsia="仿宋"/>
          <w:color w:val="auto"/>
          <w:sz w:val="32"/>
          <w:szCs w:val="32"/>
          <w:highlight w:val="none"/>
          <w:lang w:eastAsia="zh-CN"/>
        </w:rPr>
      </w:pPr>
      <w:r>
        <w:rPr>
          <w:rFonts w:ascii="Times New Roman" w:eastAsia="仿宋"/>
          <w:sz w:val="32"/>
          <w:szCs w:val="32"/>
          <w:highlight w:val="none"/>
        </w:rPr>
        <w:drawing>
          <wp:anchor distT="0" distB="0" distL="114300" distR="114300" simplePos="0" relativeHeight="251660288" behindDoc="0" locked="0" layoutInCell="1" allowOverlap="1">
            <wp:simplePos x="0" y="0"/>
            <wp:positionH relativeFrom="column">
              <wp:posOffset>833120</wp:posOffset>
            </wp:positionH>
            <wp:positionV relativeFrom="paragraph">
              <wp:posOffset>215265</wp:posOffset>
            </wp:positionV>
            <wp:extent cx="4328160" cy="3010535"/>
            <wp:effectExtent l="4445" t="4445" r="10795"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D105C79">
      <w:pPr>
        <w:pStyle w:val="7"/>
        <w:rPr>
          <w:rFonts w:hint="eastAsia" w:ascii="仿宋" w:hAnsi="仿宋" w:eastAsia="仿宋"/>
          <w:color w:val="auto"/>
          <w:sz w:val="32"/>
          <w:szCs w:val="32"/>
          <w:highlight w:val="none"/>
          <w:lang w:eastAsia="zh-CN"/>
        </w:rPr>
      </w:pPr>
    </w:p>
    <w:p w14:paraId="167DAB87">
      <w:pPr>
        <w:pStyle w:val="7"/>
        <w:rPr>
          <w:rFonts w:hint="eastAsia" w:ascii="仿宋" w:hAnsi="仿宋" w:eastAsia="仿宋"/>
          <w:color w:val="auto"/>
          <w:sz w:val="32"/>
          <w:szCs w:val="32"/>
          <w:highlight w:val="none"/>
          <w:lang w:eastAsia="zh-CN"/>
        </w:rPr>
      </w:pPr>
    </w:p>
    <w:p w14:paraId="338D5778">
      <w:pPr>
        <w:pStyle w:val="7"/>
        <w:rPr>
          <w:rFonts w:hint="eastAsia" w:ascii="仿宋" w:hAnsi="仿宋" w:eastAsia="仿宋"/>
          <w:color w:val="auto"/>
          <w:sz w:val="32"/>
          <w:szCs w:val="32"/>
          <w:highlight w:val="none"/>
          <w:lang w:eastAsia="zh-CN"/>
        </w:rPr>
      </w:pPr>
    </w:p>
    <w:p w14:paraId="0F0C12DB">
      <w:pPr>
        <w:pStyle w:val="7"/>
        <w:rPr>
          <w:rFonts w:hint="eastAsia" w:ascii="仿宋" w:hAnsi="仿宋" w:eastAsia="仿宋"/>
          <w:color w:val="auto"/>
          <w:sz w:val="32"/>
          <w:szCs w:val="32"/>
          <w:highlight w:val="none"/>
          <w:lang w:eastAsia="zh-CN"/>
        </w:rPr>
      </w:pPr>
    </w:p>
    <w:p w14:paraId="1908067E">
      <w:pPr>
        <w:pStyle w:val="7"/>
        <w:rPr>
          <w:rFonts w:hint="eastAsia" w:ascii="仿宋" w:hAnsi="仿宋" w:eastAsia="仿宋"/>
          <w:color w:val="auto"/>
          <w:sz w:val="32"/>
          <w:szCs w:val="32"/>
          <w:highlight w:val="none"/>
          <w:lang w:eastAsia="zh-CN"/>
        </w:rPr>
      </w:pPr>
    </w:p>
    <w:p w14:paraId="27E0BD5F">
      <w:pPr>
        <w:pStyle w:val="7"/>
        <w:rPr>
          <w:rFonts w:hint="eastAsia" w:ascii="仿宋" w:hAnsi="仿宋" w:eastAsia="仿宋"/>
          <w:color w:val="auto"/>
          <w:sz w:val="32"/>
          <w:szCs w:val="32"/>
          <w:highlight w:val="none"/>
          <w:lang w:eastAsia="zh-CN"/>
        </w:rPr>
      </w:pPr>
    </w:p>
    <w:p w14:paraId="20E4482A">
      <w:pPr>
        <w:spacing w:line="600" w:lineRule="exact"/>
        <w:rPr>
          <w:rFonts w:hint="eastAsia" w:ascii="仿宋" w:hAnsi="仿宋" w:eastAsia="仿宋"/>
          <w:color w:val="auto"/>
          <w:sz w:val="32"/>
          <w:szCs w:val="32"/>
          <w:highlight w:val="none"/>
        </w:rPr>
      </w:pPr>
    </w:p>
    <w:p w14:paraId="7412DCD3">
      <w:pPr>
        <w:spacing w:line="600" w:lineRule="exact"/>
        <w:jc w:val="center"/>
        <w:outlineLvl w:val="2"/>
        <w:rPr>
          <w:rFonts w:ascii="仿宋_GB2312" w:eastAsia="仿宋_GB2312"/>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5E751A76">
      <w:pPr>
        <w:pStyle w:val="31"/>
        <w:numPr>
          <w:ilvl w:val="0"/>
          <w:numId w:val="3"/>
        </w:numPr>
        <w:spacing w:line="600" w:lineRule="exact"/>
        <w:ind w:firstLineChars="0"/>
        <w:outlineLvl w:val="1"/>
        <w:rPr>
          <w:rStyle w:val="33"/>
          <w:rFonts w:ascii="黑体" w:hAnsi="黑体" w:eastAsia="黑体"/>
          <w:b w:val="0"/>
          <w:color w:val="auto"/>
          <w:highlight w:val="none"/>
        </w:rPr>
      </w:pPr>
      <w:bookmarkStart w:id="40" w:name="_Toc15396604"/>
      <w:bookmarkStart w:id="41" w:name="_Toc7083_WPSOffice_Level2"/>
      <w:bookmarkStart w:id="42" w:name="_Toc15377206"/>
      <w:bookmarkStart w:id="43" w:name="_Toc22835"/>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40"/>
      <w:bookmarkEnd w:id="41"/>
      <w:bookmarkEnd w:id="42"/>
      <w:bookmarkEnd w:id="43"/>
    </w:p>
    <w:p w14:paraId="5D03804F">
      <w:pPr>
        <w:spacing w:line="600" w:lineRule="exact"/>
        <w:ind w:firstLine="640" w:firstLineChars="200"/>
        <w:outlineLvl w:val="1"/>
        <w:rPr>
          <w:rFonts w:ascii="仿宋" w:hAnsi="仿宋" w:eastAsia="仿宋"/>
          <w:color w:val="auto"/>
          <w:sz w:val="32"/>
          <w:szCs w:val="32"/>
          <w:highlight w:val="none"/>
        </w:rPr>
      </w:pPr>
      <w:bookmarkStart w:id="44" w:name="_Toc32588"/>
      <w:bookmarkStart w:id="45" w:name="_Toc18299"/>
      <w:bookmarkStart w:id="46" w:name="_Toc1853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年本年收入合计262.21万元，其中：一般公共预算财政拨款收入262.01万元，占</w:t>
      </w:r>
      <w:r>
        <w:rPr>
          <w:rFonts w:hint="eastAsia" w:ascii="仿宋" w:hAnsi="仿宋" w:eastAsia="仿宋"/>
          <w:color w:val="auto"/>
          <w:sz w:val="32"/>
          <w:szCs w:val="32"/>
          <w:highlight w:val="none"/>
          <w:lang w:val="en-US" w:eastAsia="zh-CN"/>
        </w:rPr>
        <w:t>99.92</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；其他收入0.2</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4"/>
      <w:bookmarkEnd w:id="45"/>
      <w:bookmarkEnd w:id="46"/>
    </w:p>
    <w:p w14:paraId="4C58D05C">
      <w:pPr>
        <w:spacing w:line="600" w:lineRule="exact"/>
        <w:ind w:firstLine="640" w:firstLineChars="200"/>
        <w:rPr>
          <w:rFonts w:hint="eastAsia" w:ascii="仿宋" w:hAnsi="仿宋" w:eastAsia="仿宋"/>
          <w:color w:val="auto"/>
          <w:sz w:val="32"/>
          <w:szCs w:val="32"/>
          <w:highlight w:val="none"/>
        </w:rPr>
      </w:pPr>
      <w:r>
        <w:rPr>
          <w:rFonts w:ascii="Times New Roman" w:eastAsia="仿宋"/>
          <w:sz w:val="32"/>
          <w:szCs w:val="32"/>
          <w:highlight w:val="none"/>
        </w:rPr>
        <w:drawing>
          <wp:anchor distT="0" distB="0" distL="114300" distR="114300" simplePos="0" relativeHeight="251661312" behindDoc="0" locked="0" layoutInCell="1" allowOverlap="1">
            <wp:simplePos x="0" y="0"/>
            <wp:positionH relativeFrom="column">
              <wp:posOffset>601980</wp:posOffset>
            </wp:positionH>
            <wp:positionV relativeFrom="paragraph">
              <wp:posOffset>90170</wp:posOffset>
            </wp:positionV>
            <wp:extent cx="4622800" cy="2752725"/>
            <wp:effectExtent l="4445" t="4445" r="20955" b="50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FCD108F">
      <w:pPr>
        <w:spacing w:line="600" w:lineRule="exact"/>
        <w:ind w:firstLine="640" w:firstLineChars="200"/>
        <w:rPr>
          <w:rFonts w:hint="eastAsia" w:ascii="仿宋" w:hAnsi="仿宋" w:eastAsia="仿宋"/>
          <w:color w:val="auto"/>
          <w:sz w:val="32"/>
          <w:szCs w:val="32"/>
          <w:highlight w:val="none"/>
        </w:rPr>
      </w:pPr>
    </w:p>
    <w:p w14:paraId="7CFA6B65">
      <w:pPr>
        <w:spacing w:line="600" w:lineRule="exact"/>
        <w:ind w:firstLine="640" w:firstLineChars="200"/>
        <w:rPr>
          <w:rFonts w:hint="eastAsia" w:ascii="仿宋" w:hAnsi="仿宋" w:eastAsia="仿宋"/>
          <w:color w:val="auto"/>
          <w:sz w:val="32"/>
          <w:szCs w:val="32"/>
          <w:highlight w:val="none"/>
        </w:rPr>
      </w:pPr>
    </w:p>
    <w:p w14:paraId="0F47085B">
      <w:pPr>
        <w:spacing w:line="600" w:lineRule="exact"/>
        <w:ind w:firstLine="640" w:firstLineChars="200"/>
        <w:rPr>
          <w:rFonts w:hint="eastAsia" w:ascii="仿宋" w:hAnsi="仿宋" w:eastAsia="仿宋"/>
          <w:color w:val="auto"/>
          <w:sz w:val="32"/>
          <w:szCs w:val="32"/>
          <w:highlight w:val="none"/>
        </w:rPr>
      </w:pPr>
    </w:p>
    <w:p w14:paraId="4025A177">
      <w:pPr>
        <w:pStyle w:val="7"/>
        <w:rPr>
          <w:rFonts w:hint="eastAsia" w:ascii="仿宋" w:hAnsi="仿宋" w:eastAsia="仿宋"/>
          <w:color w:val="auto"/>
          <w:sz w:val="32"/>
          <w:szCs w:val="32"/>
          <w:highlight w:val="none"/>
        </w:rPr>
      </w:pPr>
    </w:p>
    <w:p w14:paraId="3557B9EC">
      <w:pPr>
        <w:pStyle w:val="21"/>
        <w:jc w:val="both"/>
        <w:rPr>
          <w:rFonts w:hint="eastAsia"/>
          <w:highlight w:val="none"/>
        </w:rPr>
      </w:pPr>
    </w:p>
    <w:p w14:paraId="5073F024">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14:paraId="4859640E">
      <w:pPr>
        <w:pStyle w:val="31"/>
        <w:numPr>
          <w:ilvl w:val="0"/>
          <w:numId w:val="3"/>
        </w:numPr>
        <w:spacing w:line="600" w:lineRule="exact"/>
        <w:ind w:firstLineChars="0"/>
        <w:outlineLvl w:val="1"/>
        <w:rPr>
          <w:rStyle w:val="33"/>
          <w:rFonts w:ascii="黑体" w:hAnsi="黑体" w:eastAsia="黑体"/>
          <w:b w:val="0"/>
          <w:color w:val="auto"/>
          <w:highlight w:val="none"/>
        </w:rPr>
      </w:pPr>
      <w:bookmarkStart w:id="47" w:name="_Toc15377207"/>
      <w:bookmarkStart w:id="48" w:name="_Toc10379_WPSOffice_Level2"/>
      <w:bookmarkStart w:id="49" w:name="_Toc21293"/>
      <w:bookmarkStart w:id="50" w:name="_Toc15396605"/>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47"/>
      <w:bookmarkEnd w:id="48"/>
      <w:bookmarkEnd w:id="49"/>
      <w:bookmarkEnd w:id="50"/>
    </w:p>
    <w:p w14:paraId="77AFA77E">
      <w:pPr>
        <w:spacing w:line="600" w:lineRule="exact"/>
        <w:ind w:firstLine="640" w:firstLineChars="200"/>
        <w:outlineLvl w:val="1"/>
        <w:rPr>
          <w:rFonts w:ascii="仿宋" w:hAnsi="仿宋" w:eastAsia="仿宋"/>
          <w:color w:val="auto"/>
          <w:sz w:val="32"/>
          <w:szCs w:val="32"/>
          <w:highlight w:val="none"/>
        </w:rPr>
      </w:pPr>
      <w:bookmarkStart w:id="51" w:name="_Toc18279"/>
      <w:bookmarkStart w:id="52" w:name="_Toc14465"/>
      <w:bookmarkStart w:id="53" w:name="_Toc411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年本年支出合计262.02万元，其中：基本支出225.34万元，占</w:t>
      </w:r>
      <w:r>
        <w:rPr>
          <w:rFonts w:hint="eastAsia" w:ascii="仿宋" w:hAnsi="仿宋" w:eastAsia="仿宋"/>
          <w:color w:val="auto"/>
          <w:sz w:val="32"/>
          <w:szCs w:val="32"/>
          <w:highlight w:val="none"/>
          <w:lang w:val="en-US" w:eastAsia="zh-CN"/>
        </w:rPr>
        <w:t>86.00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；项目支出36.68万元，占</w:t>
      </w:r>
      <w:r>
        <w:rPr>
          <w:rFonts w:hint="eastAsia" w:ascii="仿宋" w:hAnsi="仿宋" w:eastAsia="仿宋"/>
          <w:color w:val="auto"/>
          <w:sz w:val="32"/>
          <w:szCs w:val="32"/>
          <w:highlight w:val="none"/>
          <w:lang w:val="en-US" w:eastAsia="zh-CN"/>
        </w:rPr>
        <w:t>14.00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51"/>
      <w:bookmarkEnd w:id="52"/>
      <w:bookmarkEnd w:id="53"/>
    </w:p>
    <w:p w14:paraId="1009D593">
      <w:pPr>
        <w:spacing w:line="600" w:lineRule="exact"/>
        <w:ind w:firstLine="640"/>
        <w:rPr>
          <w:rFonts w:ascii="仿宋" w:hAnsi="仿宋" w:eastAsia="仿宋"/>
          <w:color w:val="auto"/>
          <w:sz w:val="32"/>
          <w:szCs w:val="32"/>
          <w:highlight w:val="none"/>
          <w:shd w:val="pct10" w:color="auto" w:fill="FFFFFF"/>
        </w:rPr>
      </w:pPr>
      <w:r>
        <w:rPr>
          <w:rFonts w:eastAsia="仿宋"/>
          <w:sz w:val="32"/>
          <w:szCs w:val="32"/>
          <w:highlight w:val="none"/>
          <w:shd w:val="pct10" w:color="auto" w:fill="FFFFFF"/>
        </w:rPr>
        <w:drawing>
          <wp:anchor distT="0" distB="0" distL="114300" distR="114300" simplePos="0" relativeHeight="251662336" behindDoc="0" locked="0" layoutInCell="1" allowOverlap="1">
            <wp:simplePos x="0" y="0"/>
            <wp:positionH relativeFrom="column">
              <wp:posOffset>833120</wp:posOffset>
            </wp:positionH>
            <wp:positionV relativeFrom="paragraph">
              <wp:posOffset>203835</wp:posOffset>
            </wp:positionV>
            <wp:extent cx="4430395" cy="2771775"/>
            <wp:effectExtent l="4445" t="4445" r="22860"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9E41AAA">
      <w:pPr>
        <w:pStyle w:val="7"/>
        <w:rPr>
          <w:rFonts w:ascii="仿宋" w:hAnsi="仿宋" w:eastAsia="仿宋"/>
          <w:color w:val="auto"/>
          <w:sz w:val="32"/>
          <w:szCs w:val="32"/>
          <w:highlight w:val="none"/>
          <w:shd w:val="pct10" w:color="auto" w:fill="FFFFFF"/>
        </w:rPr>
      </w:pPr>
    </w:p>
    <w:p w14:paraId="691D3269">
      <w:pPr>
        <w:pStyle w:val="7"/>
        <w:rPr>
          <w:rFonts w:ascii="仿宋" w:hAnsi="仿宋" w:eastAsia="仿宋"/>
          <w:color w:val="auto"/>
          <w:sz w:val="32"/>
          <w:szCs w:val="32"/>
          <w:highlight w:val="none"/>
          <w:shd w:val="pct10" w:color="auto" w:fill="FFFFFF"/>
        </w:rPr>
      </w:pPr>
    </w:p>
    <w:p w14:paraId="4B03760C">
      <w:pPr>
        <w:pStyle w:val="7"/>
        <w:rPr>
          <w:rFonts w:ascii="仿宋" w:hAnsi="仿宋" w:eastAsia="仿宋"/>
          <w:color w:val="auto"/>
          <w:sz w:val="32"/>
          <w:szCs w:val="32"/>
          <w:highlight w:val="none"/>
          <w:shd w:val="pct10" w:color="auto" w:fill="FFFFFF"/>
        </w:rPr>
      </w:pPr>
    </w:p>
    <w:p w14:paraId="2A3BFB61">
      <w:pPr>
        <w:pStyle w:val="7"/>
        <w:rPr>
          <w:rFonts w:ascii="仿宋" w:hAnsi="仿宋" w:eastAsia="仿宋"/>
          <w:color w:val="auto"/>
          <w:sz w:val="32"/>
          <w:szCs w:val="32"/>
          <w:highlight w:val="none"/>
          <w:shd w:val="pct10" w:color="auto" w:fill="FFFFFF"/>
        </w:rPr>
      </w:pPr>
    </w:p>
    <w:p w14:paraId="5480EC4A">
      <w:pPr>
        <w:pStyle w:val="7"/>
        <w:rPr>
          <w:rFonts w:ascii="仿宋" w:hAnsi="仿宋" w:eastAsia="仿宋"/>
          <w:color w:val="auto"/>
          <w:sz w:val="32"/>
          <w:szCs w:val="32"/>
          <w:highlight w:val="none"/>
          <w:shd w:val="pct10" w:color="auto" w:fill="FFFFFF"/>
        </w:rPr>
      </w:pPr>
    </w:p>
    <w:p w14:paraId="7938B2EA">
      <w:pPr>
        <w:spacing w:line="600" w:lineRule="exact"/>
        <w:jc w:val="center"/>
        <w:rPr>
          <w:rFonts w:hint="eastAsia" w:ascii="仿宋" w:hAnsi="仿宋" w:eastAsia="仿宋"/>
          <w:color w:val="auto"/>
          <w:sz w:val="32"/>
          <w:szCs w:val="32"/>
          <w:highlight w:val="none"/>
        </w:rPr>
      </w:pPr>
    </w:p>
    <w:p w14:paraId="2B639554">
      <w:pPr>
        <w:spacing w:line="600" w:lineRule="exact"/>
        <w:jc w:val="center"/>
        <w:rPr>
          <w:highlight w:val="none"/>
        </w:rPr>
      </w:pPr>
      <w:r>
        <w:rPr>
          <w:rFonts w:hint="eastAsia" w:ascii="仿宋" w:hAnsi="仿宋" w:eastAsia="仿宋"/>
          <w:color w:val="auto"/>
          <w:sz w:val="32"/>
          <w:szCs w:val="32"/>
          <w:highlight w:val="none"/>
        </w:rPr>
        <w:t>（图3：支出决算结构图）</w:t>
      </w:r>
    </w:p>
    <w:p w14:paraId="7A4C3E71">
      <w:pPr>
        <w:spacing w:line="600" w:lineRule="exact"/>
        <w:ind w:firstLine="640" w:firstLineChars="200"/>
        <w:outlineLvl w:val="1"/>
        <w:rPr>
          <w:rStyle w:val="33"/>
          <w:rFonts w:ascii="黑体" w:hAnsi="黑体" w:eastAsia="黑体"/>
          <w:b w:val="0"/>
          <w:color w:val="auto"/>
          <w:highlight w:val="none"/>
        </w:rPr>
      </w:pPr>
      <w:bookmarkStart w:id="54" w:name="_Toc15396606"/>
      <w:bookmarkStart w:id="55" w:name="_Toc7150_WPSOffice_Level2"/>
      <w:bookmarkStart w:id="56" w:name="_Toc15377208"/>
      <w:bookmarkStart w:id="57" w:name="_Toc5107"/>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54"/>
      <w:bookmarkEnd w:id="55"/>
      <w:bookmarkEnd w:id="56"/>
      <w:bookmarkEnd w:id="57"/>
    </w:p>
    <w:p w14:paraId="39CD7BB5">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年财政拨款收、支总计262.01万元。与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23.50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color w:val="auto"/>
          <w:sz w:val="32"/>
          <w:szCs w:val="32"/>
          <w:highlight w:val="none"/>
        </w:rPr>
        <w:t>主要变动原因</w:t>
      </w:r>
      <w:r>
        <w:rPr>
          <w:rFonts w:hint="eastAsia" w:ascii="仿宋" w:hAnsi="仿宋" w:eastAsia="仿宋" w:cs="Times New Roman"/>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CN"/>
        </w:rPr>
        <w:t>因人员调资人员经费增加及本年目标绩效督查系统建设运行维护费和目标绩效督查及营商环境工作经费项目经费增加</w:t>
      </w:r>
      <w:r>
        <w:rPr>
          <w:rFonts w:hint="eastAsia" w:ascii="仿宋" w:hAnsi="仿宋" w:eastAsia="仿宋" w:cs="Times New Roman"/>
          <w:color w:val="auto"/>
          <w:sz w:val="32"/>
          <w:szCs w:val="32"/>
          <w:highlight w:val="none"/>
          <w:lang w:eastAsia="zh-CN"/>
        </w:rPr>
        <w:t>。</w:t>
      </w:r>
    </w:p>
    <w:p w14:paraId="0F82F53C">
      <w:pPr>
        <w:pStyle w:val="7"/>
        <w:rPr>
          <w:highlight w:val="none"/>
        </w:rPr>
      </w:pPr>
      <w:r>
        <w:rPr>
          <w:rFonts w:eastAsia="仿宋"/>
          <w:sz w:val="32"/>
          <w:szCs w:val="32"/>
          <w:highlight w:val="none"/>
        </w:rPr>
        <w:drawing>
          <wp:anchor distT="0" distB="0" distL="114300" distR="114300" simplePos="0" relativeHeight="251663360" behindDoc="0" locked="0" layoutInCell="1" allowOverlap="1">
            <wp:simplePos x="0" y="0"/>
            <wp:positionH relativeFrom="column">
              <wp:posOffset>642620</wp:posOffset>
            </wp:positionH>
            <wp:positionV relativeFrom="paragraph">
              <wp:posOffset>162560</wp:posOffset>
            </wp:positionV>
            <wp:extent cx="4547870" cy="2723515"/>
            <wp:effectExtent l="4445" t="4445" r="19685"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1B62A5B">
      <w:pPr>
        <w:spacing w:line="600" w:lineRule="exact"/>
        <w:ind w:firstLine="640"/>
        <w:rPr>
          <w:rFonts w:ascii="仿宋" w:hAnsi="仿宋" w:eastAsia="仿宋"/>
          <w:b/>
          <w:color w:val="auto"/>
          <w:sz w:val="32"/>
          <w:szCs w:val="32"/>
          <w:highlight w:val="none"/>
        </w:rPr>
      </w:pPr>
    </w:p>
    <w:p w14:paraId="2730B229">
      <w:pPr>
        <w:pStyle w:val="7"/>
        <w:rPr>
          <w:highlight w:val="none"/>
        </w:rPr>
      </w:pPr>
    </w:p>
    <w:p w14:paraId="3393D6F3">
      <w:pPr>
        <w:pStyle w:val="7"/>
        <w:rPr>
          <w:rFonts w:ascii="仿宋" w:hAnsi="仿宋" w:eastAsia="仿宋"/>
          <w:b/>
          <w:color w:val="auto"/>
          <w:sz w:val="32"/>
          <w:szCs w:val="32"/>
          <w:highlight w:val="none"/>
        </w:rPr>
      </w:pPr>
    </w:p>
    <w:p w14:paraId="03A13964">
      <w:pPr>
        <w:pStyle w:val="7"/>
        <w:rPr>
          <w:rFonts w:ascii="仿宋" w:hAnsi="仿宋" w:eastAsia="仿宋"/>
          <w:b/>
          <w:color w:val="auto"/>
          <w:sz w:val="32"/>
          <w:szCs w:val="32"/>
          <w:highlight w:val="none"/>
        </w:rPr>
      </w:pPr>
    </w:p>
    <w:p w14:paraId="047160D8">
      <w:pPr>
        <w:pStyle w:val="7"/>
        <w:rPr>
          <w:highlight w:val="none"/>
        </w:rPr>
      </w:pPr>
    </w:p>
    <w:p w14:paraId="7351DABC">
      <w:pPr>
        <w:pStyle w:val="7"/>
        <w:rPr>
          <w:highlight w:val="none"/>
        </w:rPr>
      </w:pPr>
    </w:p>
    <w:p w14:paraId="4DF8C18E">
      <w:pPr>
        <w:spacing w:line="600" w:lineRule="exact"/>
        <w:jc w:val="center"/>
        <w:outlineLvl w:val="2"/>
        <w:rPr>
          <w:rFonts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（图4：财政拨款收、支决算总计变动情况）</w:t>
      </w:r>
    </w:p>
    <w:p w14:paraId="492DFE93">
      <w:pPr>
        <w:spacing w:line="600" w:lineRule="exact"/>
        <w:ind w:firstLine="640" w:firstLineChars="200"/>
        <w:outlineLvl w:val="1"/>
        <w:rPr>
          <w:rStyle w:val="33"/>
          <w:rFonts w:ascii="黑体" w:hAnsi="黑体" w:eastAsia="黑体"/>
          <w:b w:val="0"/>
          <w:color w:val="auto"/>
          <w:highlight w:val="none"/>
        </w:rPr>
      </w:pPr>
      <w:bookmarkStart w:id="58" w:name="_Toc15396607"/>
      <w:bookmarkStart w:id="59" w:name="_Toc31022_WPSOffice_Level2"/>
      <w:bookmarkStart w:id="60" w:name="_Toc15377209"/>
      <w:bookmarkStart w:id="61" w:name="_Toc949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58"/>
      <w:bookmarkEnd w:id="59"/>
      <w:bookmarkEnd w:id="60"/>
      <w:bookmarkEnd w:id="61"/>
    </w:p>
    <w:p w14:paraId="7A71A50E">
      <w:pPr>
        <w:spacing w:line="600" w:lineRule="exact"/>
        <w:ind w:firstLine="643" w:firstLineChars="200"/>
        <w:outlineLvl w:val="2"/>
        <w:rPr>
          <w:rFonts w:ascii="仿宋" w:hAnsi="仿宋" w:eastAsia="仿宋"/>
          <w:b/>
          <w:color w:val="auto"/>
          <w:sz w:val="32"/>
          <w:szCs w:val="32"/>
          <w:highlight w:val="none"/>
        </w:rPr>
      </w:pPr>
      <w:bookmarkStart w:id="62" w:name="_Toc15377210"/>
      <w:r>
        <w:rPr>
          <w:rFonts w:hint="eastAsia" w:ascii="仿宋" w:hAnsi="仿宋" w:eastAsia="仿宋"/>
          <w:b/>
          <w:color w:val="auto"/>
          <w:sz w:val="32"/>
          <w:szCs w:val="32"/>
          <w:highlight w:val="none"/>
        </w:rPr>
        <w:t>（一）一般公共预算财政拨款支出决算总体情况</w:t>
      </w:r>
      <w:bookmarkEnd w:id="62"/>
    </w:p>
    <w:p w14:paraId="34FA27C5">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年一般公共预算财政拨款支出262.01万元，占本年支出合计的</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23.50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9.85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color w:val="auto"/>
          <w:sz w:val="32"/>
          <w:szCs w:val="32"/>
          <w:highlight w:val="none"/>
        </w:rPr>
        <w:t>主要变动原因</w:t>
      </w:r>
      <w:r>
        <w:rPr>
          <w:rFonts w:hint="eastAsia" w:ascii="仿宋" w:hAnsi="仿宋" w:eastAsia="仿宋" w:cs="Times New Roman"/>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CN"/>
        </w:rPr>
        <w:t>因人员调资人员经费增加及本年目标绩效督查系统建设运行维护费和目标绩效督查及营商环境工作经费项目经费增加</w:t>
      </w:r>
      <w:r>
        <w:rPr>
          <w:rFonts w:hint="eastAsia" w:ascii="仿宋" w:hAnsi="仿宋" w:eastAsia="仿宋" w:cs="Times New Roman"/>
          <w:color w:val="auto"/>
          <w:sz w:val="32"/>
          <w:szCs w:val="32"/>
          <w:highlight w:val="none"/>
          <w:lang w:eastAsia="zh-CN"/>
        </w:rPr>
        <w:t>。</w:t>
      </w:r>
    </w:p>
    <w:p w14:paraId="5E4EDDCF">
      <w:pPr>
        <w:pStyle w:val="7"/>
        <w:rPr>
          <w:rFonts w:ascii="仿宋" w:hAnsi="仿宋" w:eastAsia="仿宋"/>
          <w:color w:val="auto"/>
          <w:sz w:val="32"/>
          <w:szCs w:val="32"/>
          <w:highlight w:val="none"/>
        </w:rPr>
      </w:pPr>
    </w:p>
    <w:p w14:paraId="61FD6F67">
      <w:pPr>
        <w:pStyle w:val="7"/>
        <w:rPr>
          <w:rFonts w:ascii="仿宋" w:hAnsi="仿宋" w:eastAsia="仿宋"/>
          <w:color w:val="auto"/>
          <w:sz w:val="32"/>
          <w:szCs w:val="32"/>
          <w:highlight w:val="none"/>
        </w:rPr>
      </w:pPr>
      <w:r>
        <w:rPr>
          <w:rFonts w:ascii="Times New Roman" w:eastAsia="仿宋"/>
          <w:sz w:val="32"/>
          <w:szCs w:val="32"/>
          <w:highlight w:val="none"/>
        </w:rPr>
        <w:drawing>
          <wp:anchor distT="0" distB="0" distL="114300" distR="114300" simplePos="0" relativeHeight="251664384" behindDoc="0" locked="0" layoutInCell="1" allowOverlap="1">
            <wp:simplePos x="0" y="0"/>
            <wp:positionH relativeFrom="column">
              <wp:posOffset>597535</wp:posOffset>
            </wp:positionH>
            <wp:positionV relativeFrom="paragraph">
              <wp:posOffset>-89535</wp:posOffset>
            </wp:positionV>
            <wp:extent cx="4498975" cy="2324100"/>
            <wp:effectExtent l="4445" t="4445" r="11430"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DBADCA9">
      <w:pPr>
        <w:pStyle w:val="7"/>
        <w:rPr>
          <w:rFonts w:ascii="仿宋" w:hAnsi="仿宋" w:eastAsia="仿宋"/>
          <w:color w:val="auto"/>
          <w:sz w:val="32"/>
          <w:szCs w:val="32"/>
          <w:highlight w:val="none"/>
        </w:rPr>
      </w:pPr>
    </w:p>
    <w:p w14:paraId="75A16D45">
      <w:pPr>
        <w:pStyle w:val="7"/>
        <w:rPr>
          <w:rFonts w:ascii="仿宋" w:hAnsi="仿宋" w:eastAsia="仿宋"/>
          <w:color w:val="auto"/>
          <w:sz w:val="32"/>
          <w:szCs w:val="32"/>
          <w:highlight w:val="none"/>
        </w:rPr>
      </w:pPr>
    </w:p>
    <w:p w14:paraId="709F5CAE">
      <w:pPr>
        <w:pStyle w:val="7"/>
        <w:rPr>
          <w:rFonts w:ascii="仿宋" w:hAnsi="仿宋" w:eastAsia="仿宋"/>
          <w:color w:val="auto"/>
          <w:sz w:val="32"/>
          <w:szCs w:val="32"/>
          <w:highlight w:val="none"/>
        </w:rPr>
      </w:pPr>
    </w:p>
    <w:p w14:paraId="29D8D63B">
      <w:pPr>
        <w:pStyle w:val="7"/>
        <w:rPr>
          <w:rFonts w:ascii="仿宋" w:hAnsi="仿宋" w:eastAsia="仿宋"/>
          <w:color w:val="auto"/>
          <w:sz w:val="32"/>
          <w:szCs w:val="32"/>
          <w:highlight w:val="none"/>
        </w:rPr>
      </w:pPr>
    </w:p>
    <w:p w14:paraId="542D2185">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图5：一般公共预算财政拨款支出决算变动情况）</w:t>
      </w:r>
    </w:p>
    <w:p w14:paraId="09A61969">
      <w:pPr>
        <w:spacing w:line="600" w:lineRule="exact"/>
        <w:ind w:firstLine="643" w:firstLineChars="200"/>
        <w:outlineLvl w:val="2"/>
        <w:rPr>
          <w:rFonts w:ascii="仿宋" w:hAnsi="仿宋" w:eastAsia="仿宋"/>
          <w:b/>
          <w:color w:val="auto"/>
          <w:sz w:val="32"/>
          <w:szCs w:val="32"/>
          <w:highlight w:val="none"/>
        </w:rPr>
      </w:pPr>
      <w:bookmarkStart w:id="63" w:name="_Toc15377211"/>
      <w:r>
        <w:rPr>
          <w:rFonts w:hint="eastAsia" w:ascii="仿宋" w:hAnsi="仿宋" w:eastAsia="仿宋"/>
          <w:b/>
          <w:color w:val="auto"/>
          <w:sz w:val="32"/>
          <w:szCs w:val="32"/>
          <w:highlight w:val="none"/>
        </w:rPr>
        <w:t>（二）一般公共预算财政拨款支出决算结构情况</w:t>
      </w:r>
      <w:bookmarkEnd w:id="63"/>
    </w:p>
    <w:p w14:paraId="03CA0EC8">
      <w:pPr>
        <w:spacing w:line="600" w:lineRule="exact"/>
        <w:ind w:firstLine="640" w:firstLineChars="200"/>
        <w:rPr>
          <w:rFonts w:hint="eastAsia" w:ascii="仿宋" w:hAnsi="仿宋" w:eastAsia="仿宋" w:cs="Times New Roman"/>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262.01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201</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rPr>
        <w:t>213.09万元，占</w:t>
      </w:r>
      <w:r>
        <w:rPr>
          <w:rFonts w:hint="eastAsia" w:ascii="仿宋" w:hAnsi="仿宋" w:eastAsia="仿宋"/>
          <w:color w:val="auto"/>
          <w:sz w:val="32"/>
          <w:szCs w:val="32"/>
          <w:highlight w:val="none"/>
          <w:lang w:val="en-US" w:eastAsia="zh-CN"/>
        </w:rPr>
        <w:t>81.33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208</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rPr>
        <w:t>21.75万元，占</w:t>
      </w:r>
      <w:r>
        <w:rPr>
          <w:rFonts w:hint="eastAsia" w:ascii="仿宋" w:hAnsi="仿宋" w:eastAsia="仿宋"/>
          <w:color w:val="auto"/>
          <w:sz w:val="32"/>
          <w:szCs w:val="32"/>
          <w:highlight w:val="none"/>
          <w:lang w:val="en-US" w:eastAsia="zh-CN"/>
        </w:rPr>
        <w:t>8.30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210</w:t>
      </w:r>
      <w:r>
        <w:rPr>
          <w:rFonts w:hint="eastAsia" w:ascii="仿宋" w:hAnsi="仿宋" w:eastAsia="仿宋"/>
          <w:b/>
          <w:bCs/>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9.20</w:t>
      </w:r>
      <w:r>
        <w:rPr>
          <w:rFonts w:hint="eastAsia" w:ascii="仿宋" w:hAnsi="仿宋" w:eastAsia="仿宋" w:cs="Times New Roman"/>
          <w:color w:val="auto"/>
          <w:sz w:val="32"/>
          <w:szCs w:val="32"/>
          <w:highlight w:val="none"/>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3.51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221</w:t>
      </w:r>
      <w:r>
        <w:rPr>
          <w:rFonts w:hint="eastAsia" w:ascii="仿宋" w:hAnsi="仿宋" w:eastAsia="仿宋"/>
          <w:b/>
          <w:bCs/>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17.97</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6.86</w:t>
      </w:r>
      <w:r>
        <w:rPr>
          <w:rFonts w:hint="eastAsia" w:ascii="仿宋" w:hAnsi="仿宋" w:eastAsia="仿宋" w:cs="Times New Roman"/>
          <w:color w:val="auto"/>
          <w:sz w:val="32"/>
          <w:szCs w:val="32"/>
          <w:highlight w:val="none"/>
        </w:rPr>
        <w:t>%。</w:t>
      </w:r>
    </w:p>
    <w:p w14:paraId="33F4CFE9">
      <w:pPr>
        <w:spacing w:line="600" w:lineRule="exact"/>
        <w:ind w:firstLine="640"/>
        <w:rPr>
          <w:rFonts w:ascii="仿宋" w:hAnsi="仿宋" w:eastAsia="仿宋"/>
          <w:color w:val="auto"/>
          <w:sz w:val="32"/>
          <w:szCs w:val="32"/>
          <w:highlight w:val="none"/>
        </w:rPr>
      </w:pPr>
      <w:r>
        <w:rPr>
          <w:rFonts w:eastAsia="仿宋"/>
          <w:sz w:val="32"/>
          <w:szCs w:val="32"/>
          <w:highlight w:val="none"/>
        </w:rPr>
        <w:drawing>
          <wp:anchor distT="0" distB="0" distL="114300" distR="114300" simplePos="0" relativeHeight="251665408" behindDoc="0" locked="0" layoutInCell="1" allowOverlap="1">
            <wp:simplePos x="0" y="0"/>
            <wp:positionH relativeFrom="column">
              <wp:posOffset>509270</wp:posOffset>
            </wp:positionH>
            <wp:positionV relativeFrom="paragraph">
              <wp:posOffset>32385</wp:posOffset>
            </wp:positionV>
            <wp:extent cx="4481830" cy="2350135"/>
            <wp:effectExtent l="5080" t="4445" r="8890"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E40AB7B">
      <w:pPr>
        <w:pStyle w:val="7"/>
        <w:rPr>
          <w:rFonts w:ascii="仿宋" w:hAnsi="仿宋" w:eastAsia="仿宋"/>
          <w:color w:val="auto"/>
          <w:sz w:val="32"/>
          <w:szCs w:val="32"/>
          <w:highlight w:val="none"/>
        </w:rPr>
      </w:pPr>
    </w:p>
    <w:p w14:paraId="2268B7BD">
      <w:pPr>
        <w:pStyle w:val="7"/>
        <w:rPr>
          <w:rFonts w:ascii="仿宋" w:hAnsi="仿宋" w:eastAsia="仿宋"/>
          <w:color w:val="auto"/>
          <w:sz w:val="32"/>
          <w:szCs w:val="32"/>
          <w:highlight w:val="none"/>
        </w:rPr>
      </w:pPr>
    </w:p>
    <w:p w14:paraId="22F383C2">
      <w:pPr>
        <w:pStyle w:val="7"/>
        <w:rPr>
          <w:rFonts w:ascii="仿宋" w:hAnsi="仿宋" w:eastAsia="仿宋"/>
          <w:color w:val="auto"/>
          <w:sz w:val="32"/>
          <w:szCs w:val="32"/>
          <w:highlight w:val="none"/>
        </w:rPr>
      </w:pPr>
    </w:p>
    <w:p w14:paraId="46C7C4E8">
      <w:pPr>
        <w:pStyle w:val="7"/>
        <w:rPr>
          <w:rFonts w:ascii="仿宋" w:hAnsi="仿宋" w:eastAsia="仿宋"/>
          <w:color w:val="auto"/>
          <w:sz w:val="32"/>
          <w:szCs w:val="32"/>
          <w:highlight w:val="none"/>
        </w:rPr>
      </w:pPr>
    </w:p>
    <w:p w14:paraId="0F034B44">
      <w:pPr>
        <w:spacing w:line="600" w:lineRule="exact"/>
        <w:jc w:val="both"/>
        <w:rPr>
          <w:rFonts w:hint="eastAsia" w:ascii="仿宋" w:hAnsi="仿宋" w:eastAsia="仿宋"/>
          <w:color w:val="auto"/>
          <w:sz w:val="32"/>
          <w:szCs w:val="32"/>
          <w:highlight w:val="none"/>
        </w:rPr>
      </w:pPr>
    </w:p>
    <w:p w14:paraId="5E5099B7">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2DEEEF34">
      <w:pPr>
        <w:spacing w:line="600" w:lineRule="exact"/>
        <w:ind w:firstLine="643" w:firstLineChars="200"/>
        <w:outlineLvl w:val="2"/>
        <w:rPr>
          <w:rFonts w:ascii="仿宋" w:hAnsi="仿宋" w:eastAsia="仿宋"/>
          <w:b/>
          <w:color w:val="auto"/>
          <w:sz w:val="32"/>
          <w:szCs w:val="32"/>
          <w:highlight w:val="none"/>
        </w:rPr>
      </w:pPr>
      <w:bookmarkStart w:id="64" w:name="_Toc15377212"/>
      <w:r>
        <w:rPr>
          <w:rFonts w:hint="eastAsia" w:ascii="仿宋" w:hAnsi="仿宋" w:eastAsia="仿宋"/>
          <w:b/>
          <w:color w:val="auto"/>
          <w:sz w:val="32"/>
          <w:szCs w:val="32"/>
          <w:highlight w:val="none"/>
        </w:rPr>
        <w:t>（三）一般公共预算财政拨款支出决算具体情况</w:t>
      </w:r>
      <w:bookmarkEnd w:id="64"/>
    </w:p>
    <w:p w14:paraId="3FEBEAE9">
      <w:pPr>
        <w:spacing w:line="600" w:lineRule="exact"/>
        <w:ind w:firstLine="643" w:firstLineChars="200"/>
        <w:outlineLvl w:val="1"/>
        <w:rPr>
          <w:rFonts w:ascii="仿宋" w:hAnsi="仿宋" w:eastAsia="仿宋"/>
          <w:color w:val="auto"/>
          <w:sz w:val="32"/>
          <w:szCs w:val="32"/>
          <w:highlight w:val="none"/>
        </w:rPr>
      </w:pPr>
      <w:bookmarkStart w:id="65" w:name="_Toc15377213"/>
      <w:bookmarkStart w:id="66" w:name="_Toc26301"/>
      <w:bookmarkStart w:id="67" w:name="_Toc15378460"/>
      <w:bookmarkStart w:id="68" w:name="_Toc15377444"/>
      <w:bookmarkStart w:id="69" w:name="_Toc28640"/>
      <w:bookmarkStart w:id="70" w:name="_Toc3024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般公共预算支出决算数为262.01</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65"/>
      <w:bookmarkEnd w:id="66"/>
      <w:bookmarkEnd w:id="67"/>
      <w:bookmarkEnd w:id="68"/>
      <w:bookmarkEnd w:id="69"/>
      <w:bookmarkEnd w:id="70"/>
    </w:p>
    <w:p w14:paraId="2419D836">
      <w:pPr>
        <w:numPr>
          <w:ilvl w:val="0"/>
          <w:numId w:val="4"/>
        </w:numPr>
        <w:spacing w:line="600" w:lineRule="exact"/>
        <w:ind w:left="0" w:leftChars="0" w:firstLine="643" w:firstLineChars="200"/>
        <w:jc w:val="left"/>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rPr>
        <w:t>一般公共服务支出</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201</w:t>
      </w:r>
      <w:r>
        <w:rPr>
          <w:rStyle w:val="19"/>
          <w:rFonts w:hint="eastAsia" w:ascii="仿宋" w:hAnsi="仿宋" w:eastAsia="仿宋"/>
          <w:bCs/>
          <w:color w:val="000000"/>
          <w:sz w:val="32"/>
          <w:szCs w:val="32"/>
          <w:highlight w:val="none"/>
        </w:rPr>
        <w:t>）党委办公厅（室）及相关机构事务（</w:t>
      </w:r>
      <w:r>
        <w:rPr>
          <w:rStyle w:val="19"/>
          <w:rFonts w:hint="eastAsia" w:ascii="仿宋" w:hAnsi="仿宋" w:eastAsia="仿宋"/>
          <w:bCs/>
          <w:color w:val="000000"/>
          <w:sz w:val="32"/>
          <w:szCs w:val="32"/>
          <w:highlight w:val="none"/>
          <w:lang w:val="en-US" w:eastAsia="zh-CN"/>
        </w:rPr>
        <w:t>31</w:t>
      </w:r>
      <w:r>
        <w:rPr>
          <w:rStyle w:val="19"/>
          <w:rFonts w:hint="eastAsia" w:ascii="仿宋" w:hAnsi="仿宋" w:eastAsia="仿宋"/>
          <w:bCs/>
          <w:color w:val="000000"/>
          <w:sz w:val="32"/>
          <w:szCs w:val="32"/>
          <w:highlight w:val="none"/>
        </w:rPr>
        <w:t>）行政运行（</w:t>
      </w:r>
      <w:r>
        <w:rPr>
          <w:rStyle w:val="19"/>
          <w:rFonts w:hint="eastAsia" w:ascii="仿宋" w:hAnsi="仿宋" w:eastAsia="仿宋"/>
          <w:bCs/>
          <w:color w:val="000000"/>
          <w:sz w:val="32"/>
          <w:szCs w:val="32"/>
          <w:highlight w:val="none"/>
          <w:lang w:val="en-US" w:eastAsia="zh-CN"/>
        </w:rPr>
        <w:t>01</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98.65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43088D0E">
      <w:pPr>
        <w:numPr>
          <w:ilvl w:val="0"/>
          <w:numId w:val="4"/>
        </w:numPr>
        <w:spacing w:line="600" w:lineRule="exact"/>
        <w:ind w:left="0" w:leftChars="0" w:firstLine="643" w:firstLineChars="200"/>
        <w:jc w:val="left"/>
        <w:rPr>
          <w:rStyle w:val="19"/>
          <w:rFonts w:hint="eastAsia"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rPr>
        <w:t>一般公共服务支出</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201</w:t>
      </w:r>
      <w:r>
        <w:rPr>
          <w:rStyle w:val="19"/>
          <w:rFonts w:hint="eastAsia" w:ascii="仿宋" w:hAnsi="仿宋" w:eastAsia="仿宋"/>
          <w:bCs/>
          <w:color w:val="000000"/>
          <w:sz w:val="32"/>
          <w:szCs w:val="32"/>
          <w:highlight w:val="none"/>
        </w:rPr>
        <w:t>）党委办公厅（室）及相关机构事务（</w:t>
      </w:r>
      <w:r>
        <w:rPr>
          <w:rStyle w:val="19"/>
          <w:rFonts w:hint="eastAsia" w:ascii="仿宋" w:hAnsi="仿宋" w:eastAsia="仿宋"/>
          <w:bCs/>
          <w:color w:val="000000"/>
          <w:sz w:val="32"/>
          <w:szCs w:val="32"/>
          <w:highlight w:val="none"/>
          <w:lang w:val="en-US" w:eastAsia="zh-CN"/>
        </w:rPr>
        <w:t>31</w:t>
      </w:r>
      <w:r>
        <w:rPr>
          <w:rStyle w:val="19"/>
          <w:rFonts w:hint="eastAsia" w:ascii="仿宋" w:hAnsi="仿宋" w:eastAsia="仿宋"/>
          <w:bCs/>
          <w:color w:val="000000"/>
          <w:sz w:val="32"/>
          <w:szCs w:val="32"/>
          <w:highlight w:val="none"/>
        </w:rPr>
        <w:t>）一般行政管理事务（</w:t>
      </w:r>
      <w:r>
        <w:rPr>
          <w:rStyle w:val="19"/>
          <w:rFonts w:hint="eastAsia" w:ascii="仿宋" w:hAnsi="仿宋" w:eastAsia="仿宋"/>
          <w:bCs/>
          <w:color w:val="000000"/>
          <w:sz w:val="32"/>
          <w:szCs w:val="32"/>
          <w:highlight w:val="none"/>
          <w:lang w:val="en-US" w:eastAsia="zh-CN"/>
        </w:rPr>
        <w:t>02</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36.68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73B0638B">
      <w:pPr>
        <w:numPr>
          <w:ilvl w:val="0"/>
          <w:numId w:val="4"/>
        </w:numPr>
        <w:spacing w:line="600" w:lineRule="exact"/>
        <w:ind w:left="0" w:leftChars="0" w:firstLine="643" w:firstLineChars="200"/>
        <w:jc w:val="left"/>
        <w:rPr>
          <w:rStyle w:val="19"/>
          <w:rFonts w:hint="eastAsia" w:ascii="仿宋" w:hAnsi="仿宋" w:eastAsia="仿宋"/>
          <w:b w:val="0"/>
          <w:bCs/>
          <w:color w:val="000000"/>
          <w:sz w:val="32"/>
          <w:szCs w:val="32"/>
          <w:highlight w:val="none"/>
          <w:lang w:val="en-US" w:eastAsia="zh-CN"/>
        </w:rPr>
      </w:pPr>
      <w:r>
        <w:rPr>
          <w:rStyle w:val="19"/>
          <w:rFonts w:hint="eastAsia" w:ascii="仿宋" w:hAnsi="仿宋" w:eastAsia="仿宋"/>
          <w:bCs/>
          <w:color w:val="000000"/>
          <w:sz w:val="32"/>
          <w:szCs w:val="32"/>
          <w:highlight w:val="none"/>
        </w:rPr>
        <w:t>一般公共服务（</w:t>
      </w:r>
      <w:r>
        <w:rPr>
          <w:rStyle w:val="19"/>
          <w:rFonts w:hint="eastAsia" w:ascii="仿宋" w:hAnsi="仿宋" w:eastAsia="仿宋"/>
          <w:bCs/>
          <w:color w:val="000000"/>
          <w:sz w:val="32"/>
          <w:szCs w:val="32"/>
          <w:highlight w:val="none"/>
          <w:lang w:val="en-US" w:eastAsia="zh-CN"/>
        </w:rPr>
        <w:t>201</w:t>
      </w:r>
      <w:r>
        <w:rPr>
          <w:rStyle w:val="19"/>
          <w:rFonts w:hint="eastAsia" w:ascii="仿宋" w:hAnsi="仿宋" w:eastAsia="仿宋"/>
          <w:bCs/>
          <w:color w:val="000000"/>
          <w:sz w:val="32"/>
          <w:szCs w:val="32"/>
          <w:highlight w:val="none"/>
        </w:rPr>
        <w:t>）党委办公厅（室）及相关机构事务（</w:t>
      </w:r>
      <w:r>
        <w:rPr>
          <w:rStyle w:val="19"/>
          <w:rFonts w:hint="eastAsia" w:ascii="仿宋" w:hAnsi="仿宋" w:eastAsia="仿宋"/>
          <w:bCs/>
          <w:color w:val="000000"/>
          <w:sz w:val="32"/>
          <w:szCs w:val="32"/>
          <w:highlight w:val="none"/>
          <w:lang w:val="en-US" w:eastAsia="zh-CN"/>
        </w:rPr>
        <w:t>31</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eastAsia="zh-CN"/>
        </w:rPr>
        <w:t>事业运行</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50</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eastAsia="zh-CN"/>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77.76</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79847381">
      <w:pPr>
        <w:numPr>
          <w:ilvl w:val="0"/>
          <w:numId w:val="4"/>
        </w:numPr>
        <w:spacing w:line="600" w:lineRule="exact"/>
        <w:ind w:left="0" w:leftChars="0" w:firstLine="643" w:firstLineChars="200"/>
        <w:jc w:val="left"/>
        <w:rPr>
          <w:rFonts w:hint="eastAsia" w:ascii="仿宋" w:hAnsi="仿宋" w:eastAsia="仿宋"/>
          <w:b/>
          <w:color w:val="000000"/>
          <w:sz w:val="32"/>
          <w:szCs w:val="32"/>
          <w:highlight w:val="none"/>
          <w:lang w:val="en-US" w:eastAsia="zh-CN"/>
        </w:rPr>
      </w:pPr>
      <w:r>
        <w:rPr>
          <w:rStyle w:val="19"/>
          <w:rFonts w:hint="eastAsia" w:ascii="仿宋" w:hAnsi="仿宋" w:eastAsia="仿宋"/>
          <w:bCs/>
          <w:color w:val="000000"/>
          <w:sz w:val="32"/>
          <w:szCs w:val="32"/>
          <w:highlight w:val="none"/>
        </w:rPr>
        <w:t>社会保障和就业支出（208）行政事业单位</w:t>
      </w:r>
      <w:r>
        <w:rPr>
          <w:rStyle w:val="19"/>
          <w:rFonts w:hint="eastAsia" w:ascii="仿宋" w:hAnsi="仿宋" w:eastAsia="仿宋"/>
          <w:bCs/>
          <w:color w:val="000000"/>
          <w:sz w:val="32"/>
          <w:szCs w:val="32"/>
          <w:highlight w:val="none"/>
          <w:lang w:eastAsia="zh-CN"/>
        </w:rPr>
        <w:t>养老支出</w:t>
      </w:r>
      <w:r>
        <w:rPr>
          <w:rStyle w:val="19"/>
          <w:rFonts w:hint="eastAsia" w:ascii="仿宋" w:hAnsi="仿宋" w:eastAsia="仿宋"/>
          <w:bCs/>
          <w:color w:val="000000"/>
          <w:sz w:val="32"/>
          <w:szCs w:val="32"/>
          <w:highlight w:val="none"/>
        </w:rPr>
        <w:t>（05）机关事业单位基本养老保险缴费支出（05）</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21.38</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3BB629C1">
      <w:pPr>
        <w:numPr>
          <w:ilvl w:val="0"/>
          <w:numId w:val="4"/>
        </w:numPr>
        <w:spacing w:line="600" w:lineRule="exact"/>
        <w:ind w:left="0" w:leftChars="0" w:firstLine="643" w:firstLineChars="200"/>
        <w:jc w:val="left"/>
        <w:rPr>
          <w:rFonts w:hint="eastAsia"/>
          <w:sz w:val="32"/>
          <w:szCs w:val="32"/>
          <w:highlight w:val="none"/>
          <w:lang w:val="en-US" w:eastAsia="zh-CN"/>
        </w:rPr>
      </w:pPr>
      <w:r>
        <w:rPr>
          <w:rFonts w:hint="eastAsia" w:ascii="仿宋" w:hAnsi="仿宋" w:eastAsia="仿宋" w:cs="仿宋"/>
          <w:b/>
          <w:bCs/>
          <w:sz w:val="32"/>
          <w:szCs w:val="32"/>
          <w:highlight w:val="none"/>
        </w:rPr>
        <w:t>社会保障和就业支出（208）其他社会保障和就业支出（99）其他社会保障和就业支出(99):</w:t>
      </w:r>
      <w:r>
        <w:rPr>
          <w:rFonts w:hint="eastAsia" w:ascii="仿宋" w:hAnsi="仿宋" w:eastAsia="仿宋" w:cs="仿宋"/>
          <w:sz w:val="32"/>
          <w:szCs w:val="32"/>
          <w:highlight w:val="none"/>
        </w:rPr>
        <w:t>支出决算为</w:t>
      </w:r>
      <w:r>
        <w:rPr>
          <w:rFonts w:hint="eastAsia" w:ascii="仿宋" w:hAnsi="仿宋" w:eastAsia="仿宋" w:cs="仿宋"/>
          <w:sz w:val="32"/>
          <w:szCs w:val="32"/>
          <w:highlight w:val="none"/>
          <w:lang w:val="en-US" w:eastAsia="zh-CN"/>
        </w:rPr>
        <w:t>0.37</w:t>
      </w:r>
      <w:r>
        <w:rPr>
          <w:rFonts w:hint="eastAsia" w:ascii="仿宋" w:hAnsi="仿宋" w:eastAsia="仿宋" w:cs="仿宋"/>
          <w:sz w:val="32"/>
          <w:szCs w:val="32"/>
          <w:highlight w:val="none"/>
        </w:rPr>
        <w:t>万元，完成预算100%，决算数等于预算数</w:t>
      </w:r>
      <w:r>
        <w:rPr>
          <w:rStyle w:val="19"/>
          <w:rFonts w:hint="eastAsia" w:ascii="仿宋" w:hAnsi="仿宋" w:eastAsia="仿宋" w:cs="Times New Roman"/>
          <w:b w:val="0"/>
          <w:bCs/>
          <w:color w:val="000000"/>
          <w:sz w:val="32"/>
          <w:szCs w:val="32"/>
          <w:highlight w:val="none"/>
          <w:lang w:eastAsia="zh-CN"/>
        </w:rPr>
        <w:t>。</w:t>
      </w:r>
    </w:p>
    <w:p w14:paraId="017BA1E7">
      <w:pPr>
        <w:numPr>
          <w:ilvl w:val="0"/>
          <w:numId w:val="4"/>
        </w:numPr>
        <w:spacing w:line="600" w:lineRule="exact"/>
        <w:ind w:left="0" w:leftChars="0" w:firstLine="643" w:firstLineChars="200"/>
        <w:jc w:val="left"/>
        <w:rPr>
          <w:rStyle w:val="19"/>
          <w:rFonts w:hint="eastAsia" w:ascii="仿宋" w:hAnsi="仿宋" w:eastAsia="仿宋"/>
          <w:b w:val="0"/>
          <w:bCs/>
          <w:color w:val="000000"/>
          <w:sz w:val="32"/>
          <w:szCs w:val="32"/>
          <w:highlight w:val="none"/>
        </w:rPr>
      </w:pPr>
      <w:r>
        <w:rPr>
          <w:rFonts w:hint="eastAsia" w:ascii="仿宋" w:hAnsi="仿宋" w:eastAsia="仿宋"/>
          <w:b/>
          <w:bCs/>
          <w:color w:val="000000"/>
          <w:sz w:val="32"/>
          <w:szCs w:val="32"/>
          <w:highlight w:val="none"/>
        </w:rPr>
        <w:t>卫生健康支出（210）行政事业单位医疗（11）行政单位医疗（01）</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3.62</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6616C9A8">
      <w:pPr>
        <w:numPr>
          <w:ilvl w:val="0"/>
          <w:numId w:val="4"/>
        </w:numPr>
        <w:spacing w:line="600" w:lineRule="exact"/>
        <w:ind w:left="0" w:leftChars="0" w:firstLine="643" w:firstLineChars="200"/>
        <w:jc w:val="left"/>
        <w:rPr>
          <w:rStyle w:val="19"/>
          <w:rFonts w:hint="eastAsia" w:ascii="仿宋" w:hAnsi="仿宋" w:eastAsia="仿宋"/>
          <w:b w:val="0"/>
          <w:bCs/>
          <w:color w:val="000000"/>
          <w:sz w:val="32"/>
          <w:szCs w:val="32"/>
          <w:highlight w:val="none"/>
        </w:rPr>
      </w:pPr>
      <w:r>
        <w:rPr>
          <w:rFonts w:hint="eastAsia" w:ascii="仿宋" w:hAnsi="仿宋" w:eastAsia="仿宋"/>
          <w:b/>
          <w:bCs/>
          <w:color w:val="000000"/>
          <w:sz w:val="32"/>
          <w:szCs w:val="32"/>
          <w:highlight w:val="none"/>
        </w:rPr>
        <w:t>卫生健康支出（210）行政事业单位医疗（11）</w:t>
      </w:r>
      <w:r>
        <w:rPr>
          <w:rFonts w:hint="eastAsia" w:ascii="仿宋" w:hAnsi="仿宋" w:eastAsia="仿宋"/>
          <w:b/>
          <w:bCs/>
          <w:color w:val="000000"/>
          <w:sz w:val="32"/>
          <w:szCs w:val="32"/>
          <w:highlight w:val="none"/>
          <w:lang w:eastAsia="zh-CN"/>
        </w:rPr>
        <w:t>事业</w:t>
      </w:r>
      <w:r>
        <w:rPr>
          <w:rFonts w:hint="eastAsia" w:ascii="仿宋" w:hAnsi="仿宋" w:eastAsia="仿宋"/>
          <w:b/>
          <w:bCs/>
          <w:color w:val="000000"/>
          <w:sz w:val="32"/>
          <w:szCs w:val="32"/>
          <w:highlight w:val="none"/>
        </w:rPr>
        <w:t>单位医疗（0</w:t>
      </w:r>
      <w:r>
        <w:rPr>
          <w:rFonts w:hint="eastAsia" w:ascii="仿宋" w:hAnsi="仿宋" w:eastAsia="仿宋"/>
          <w:b/>
          <w:bCs/>
          <w:color w:val="000000"/>
          <w:sz w:val="32"/>
          <w:szCs w:val="32"/>
          <w:highlight w:val="none"/>
          <w:lang w:val="en-US" w:eastAsia="zh-CN"/>
        </w:rPr>
        <w:t>2</w:t>
      </w:r>
      <w:r>
        <w:rPr>
          <w:rFonts w:hint="eastAsia" w:ascii="仿宋" w:hAnsi="仿宋" w:eastAsia="仿宋"/>
          <w:b/>
          <w:bCs/>
          <w:color w:val="000000"/>
          <w:sz w:val="32"/>
          <w:szCs w:val="32"/>
          <w:highlight w:val="none"/>
        </w:rPr>
        <w:t>）</w:t>
      </w:r>
      <w:r>
        <w:rPr>
          <w:rFonts w:hint="eastAsia" w:ascii="仿宋" w:hAnsi="仿宋" w:eastAsia="仿宋"/>
          <w:b/>
          <w:bCs/>
          <w:color w:val="000000"/>
          <w:sz w:val="32"/>
          <w:szCs w:val="32"/>
          <w:highlight w:val="none"/>
          <w:lang w:eastAsia="zh-CN"/>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3.66</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6AE749AA">
      <w:pPr>
        <w:numPr>
          <w:ilvl w:val="0"/>
          <w:numId w:val="4"/>
        </w:numPr>
        <w:spacing w:line="600" w:lineRule="exact"/>
        <w:ind w:left="0" w:leftChars="0" w:firstLine="643" w:firstLineChars="200"/>
        <w:jc w:val="left"/>
        <w:rPr>
          <w:rStyle w:val="19"/>
          <w:rFonts w:hint="eastAsia" w:ascii="仿宋" w:hAnsi="仿宋" w:eastAsia="仿宋"/>
          <w:b w:val="0"/>
          <w:bCs/>
          <w:color w:val="000000"/>
          <w:sz w:val="32"/>
          <w:szCs w:val="32"/>
          <w:highlight w:val="none"/>
        </w:rPr>
      </w:pPr>
      <w:r>
        <w:rPr>
          <w:rFonts w:hint="eastAsia" w:ascii="仿宋" w:hAnsi="仿宋" w:eastAsia="仿宋"/>
          <w:b/>
          <w:bCs/>
          <w:color w:val="000000"/>
          <w:sz w:val="32"/>
          <w:szCs w:val="32"/>
          <w:highlight w:val="none"/>
        </w:rPr>
        <w:t>卫生健康支出（210）行政事业单位医疗（11）</w:t>
      </w:r>
      <w:r>
        <w:rPr>
          <w:rFonts w:hint="eastAsia" w:ascii="仿宋" w:hAnsi="仿宋" w:eastAsia="仿宋"/>
          <w:b/>
          <w:bCs/>
          <w:color w:val="000000"/>
          <w:sz w:val="32"/>
          <w:szCs w:val="32"/>
          <w:highlight w:val="none"/>
          <w:lang w:eastAsia="zh-CN"/>
        </w:rPr>
        <w:t>公务员医疗补助</w:t>
      </w:r>
      <w:r>
        <w:rPr>
          <w:rFonts w:hint="eastAsia" w:ascii="仿宋" w:hAnsi="仿宋" w:eastAsia="仿宋"/>
          <w:b/>
          <w:bCs/>
          <w:color w:val="000000"/>
          <w:sz w:val="32"/>
          <w:szCs w:val="32"/>
          <w:highlight w:val="none"/>
        </w:rPr>
        <w:t>（0</w:t>
      </w:r>
      <w:r>
        <w:rPr>
          <w:rFonts w:hint="eastAsia" w:ascii="仿宋" w:hAnsi="仿宋" w:eastAsia="仿宋"/>
          <w:b/>
          <w:bCs/>
          <w:color w:val="000000"/>
          <w:sz w:val="32"/>
          <w:szCs w:val="32"/>
          <w:highlight w:val="none"/>
          <w:lang w:val="en-US" w:eastAsia="zh-CN"/>
        </w:rPr>
        <w:t>3</w:t>
      </w:r>
      <w:r>
        <w:rPr>
          <w:rFonts w:hint="eastAsia" w:ascii="仿宋" w:hAnsi="仿宋" w:eastAsia="仿宋"/>
          <w:b/>
          <w:bCs/>
          <w:color w:val="000000"/>
          <w:sz w:val="32"/>
          <w:szCs w:val="32"/>
          <w:highlight w:val="none"/>
        </w:rPr>
        <w:t>）</w:t>
      </w:r>
      <w:r>
        <w:rPr>
          <w:rFonts w:hint="eastAsia" w:ascii="仿宋" w:hAnsi="仿宋" w:eastAsia="仿宋"/>
          <w:b/>
          <w:bCs/>
          <w:color w:val="000000"/>
          <w:sz w:val="32"/>
          <w:szCs w:val="32"/>
          <w:highlight w:val="none"/>
          <w:lang w:eastAsia="zh-CN"/>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1.92</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73CC661C">
      <w:pPr>
        <w:numPr>
          <w:ilvl w:val="0"/>
          <w:numId w:val="4"/>
        </w:numPr>
        <w:spacing w:line="600" w:lineRule="exact"/>
        <w:ind w:left="0" w:leftChars="0" w:firstLine="643" w:firstLineChars="200"/>
        <w:jc w:val="left"/>
        <w:rPr>
          <w:rStyle w:val="19"/>
          <w:rFonts w:hint="eastAsia" w:ascii="仿宋" w:hAnsi="仿宋" w:eastAsia="仿宋" w:cs="Times New Roman"/>
          <w:b w:val="0"/>
          <w:bCs/>
          <w:color w:val="000000"/>
          <w:sz w:val="32"/>
          <w:szCs w:val="32"/>
          <w:highlight w:val="none"/>
          <w:lang w:eastAsia="zh-CN"/>
        </w:rPr>
      </w:pPr>
      <w:r>
        <w:rPr>
          <w:rFonts w:hint="eastAsia" w:ascii="仿宋" w:hAnsi="仿宋" w:eastAsia="仿宋"/>
          <w:b/>
          <w:bCs/>
          <w:color w:val="000000"/>
          <w:sz w:val="32"/>
          <w:szCs w:val="32"/>
          <w:highlight w:val="none"/>
        </w:rPr>
        <w:t>住房保障支出</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221</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eastAsia="zh-CN"/>
        </w:rPr>
        <w:t>住房改革支出</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02</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eastAsia="zh-CN"/>
        </w:rPr>
        <w:t>住房公积金</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01</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17.97</w:t>
      </w:r>
      <w:r>
        <w:rPr>
          <w:rStyle w:val="19"/>
          <w:rFonts w:hint="eastAsia" w:ascii="仿宋" w:hAnsi="仿宋" w:eastAsia="仿宋"/>
          <w:b w:val="0"/>
          <w:bCs/>
          <w:color w:val="000000"/>
          <w:sz w:val="32"/>
          <w:szCs w:val="32"/>
          <w:highlight w:val="none"/>
        </w:rPr>
        <w:t>万元，完成预算</w:t>
      </w:r>
      <w:r>
        <w:rPr>
          <w:rStyle w:val="19"/>
          <w:rFonts w:hint="eastAsia" w:ascii="仿宋" w:hAnsi="仿宋" w:eastAsia="仿宋"/>
          <w:b w:val="0"/>
          <w:bCs/>
          <w:color w:val="000000"/>
          <w:sz w:val="32"/>
          <w:szCs w:val="32"/>
          <w:highlight w:val="none"/>
          <w:lang w:val="en-US" w:eastAsia="zh-CN"/>
        </w:rPr>
        <w:t>100</w:t>
      </w:r>
      <w:r>
        <w:rPr>
          <w:rStyle w:val="19"/>
          <w:rFonts w:ascii="仿宋" w:hAnsi="仿宋" w:eastAsia="仿宋"/>
          <w:b w:val="0"/>
          <w:bCs/>
          <w:color w:val="000000"/>
          <w:sz w:val="32"/>
          <w:szCs w:val="32"/>
          <w:highlight w:val="none"/>
        </w:rPr>
        <w:t>%</w:t>
      </w:r>
      <w:r>
        <w:rPr>
          <w:rStyle w:val="19"/>
          <w:rFonts w:hint="eastAsia" w:ascii="仿宋" w:hAnsi="仿宋" w:eastAsia="仿宋" w:cs="Times New Roman"/>
          <w:b w:val="0"/>
          <w:bCs/>
          <w:color w:val="000000"/>
          <w:sz w:val="32"/>
          <w:szCs w:val="32"/>
          <w:highlight w:val="none"/>
        </w:rPr>
        <w:t>，决算数等于预算数</w:t>
      </w:r>
      <w:r>
        <w:rPr>
          <w:rStyle w:val="19"/>
          <w:rFonts w:hint="eastAsia" w:ascii="仿宋" w:hAnsi="仿宋" w:eastAsia="仿宋" w:cs="Times New Roman"/>
          <w:b w:val="0"/>
          <w:bCs/>
          <w:color w:val="000000"/>
          <w:sz w:val="32"/>
          <w:szCs w:val="32"/>
          <w:highlight w:val="none"/>
          <w:lang w:eastAsia="zh-CN"/>
        </w:rPr>
        <w:t>。</w:t>
      </w:r>
    </w:p>
    <w:p w14:paraId="510164ED">
      <w:pPr>
        <w:tabs>
          <w:tab w:val="right" w:pos="8306"/>
        </w:tabs>
        <w:spacing w:line="600" w:lineRule="exact"/>
        <w:ind w:firstLine="640"/>
        <w:outlineLvl w:val="1"/>
        <w:rPr>
          <w:rStyle w:val="33"/>
          <w:color w:val="auto"/>
          <w:highlight w:val="none"/>
        </w:rPr>
      </w:pPr>
      <w:bookmarkStart w:id="71" w:name="_Toc27364_WPSOffice_Level2"/>
      <w:bookmarkStart w:id="72" w:name="_Toc31659"/>
      <w:bookmarkStart w:id="73" w:name="_Toc15396608"/>
      <w:bookmarkStart w:id="7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71"/>
      <w:bookmarkEnd w:id="72"/>
      <w:bookmarkEnd w:id="73"/>
      <w:bookmarkEnd w:id="74"/>
      <w:r>
        <w:rPr>
          <w:rStyle w:val="33"/>
          <w:rFonts w:ascii="黑体" w:hAnsi="黑体" w:eastAsia="黑体"/>
          <w:b w:val="0"/>
          <w:color w:val="auto"/>
          <w:highlight w:val="none"/>
        </w:rPr>
        <w:tab/>
      </w:r>
    </w:p>
    <w:p w14:paraId="4BFBF660">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225.33</w:t>
      </w:r>
      <w:r>
        <w:rPr>
          <w:rFonts w:hint="eastAsia" w:ascii="仿宋" w:hAnsi="仿宋" w:eastAsia="仿宋"/>
          <w:color w:val="auto"/>
          <w:sz w:val="32"/>
          <w:szCs w:val="32"/>
          <w:highlight w:val="none"/>
        </w:rPr>
        <w:t>万元，其中：</w:t>
      </w:r>
    </w:p>
    <w:p w14:paraId="5D9A4134">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198.98</w:t>
      </w:r>
      <w:r>
        <w:rPr>
          <w:rFonts w:hint="eastAsia" w:ascii="仿宋" w:hAnsi="仿宋" w:eastAsia="仿宋"/>
          <w:color w:val="auto"/>
          <w:sz w:val="32"/>
          <w:szCs w:val="32"/>
          <w:highlight w:val="none"/>
        </w:rPr>
        <w:t>万元，主要包括：基本工资、津贴补贴、奖金、绩效工资、机关事业单位基本养老保险缴费、职工基本医疗保险缴费、公务员医疗补助缴费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其他对个人和家庭的补助支出等。</w:t>
      </w:r>
    </w:p>
    <w:p w14:paraId="3A00E16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26.35</w:t>
      </w:r>
      <w:r>
        <w:rPr>
          <w:rFonts w:hint="eastAsia" w:ascii="仿宋" w:hAnsi="仿宋" w:eastAsia="仿宋"/>
          <w:color w:val="auto"/>
          <w:sz w:val="32"/>
          <w:szCs w:val="32"/>
          <w:highlight w:val="none"/>
        </w:rPr>
        <w:t>万元，主要包括：办公费、印刷费、邮电费、  维修（护）费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劳务费、委托业务费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福利费、其他交通费用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其他商品和服务支出等。</w:t>
      </w:r>
    </w:p>
    <w:p w14:paraId="72DBDE9F">
      <w:pPr>
        <w:spacing w:line="600" w:lineRule="exact"/>
        <w:ind w:firstLine="640"/>
        <w:outlineLvl w:val="1"/>
        <w:rPr>
          <w:rStyle w:val="33"/>
          <w:rFonts w:ascii="黑体" w:hAnsi="黑体" w:eastAsia="黑体"/>
          <w:b w:val="0"/>
          <w:color w:val="auto"/>
          <w:highlight w:val="none"/>
        </w:rPr>
      </w:pPr>
      <w:bookmarkStart w:id="75" w:name="_Toc15396609"/>
      <w:bookmarkStart w:id="76" w:name="_Toc12056"/>
      <w:bookmarkStart w:id="77" w:name="_Toc10829_WPSOffice_Level2"/>
      <w:bookmarkStart w:id="78" w:name="_Toc15377215"/>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75"/>
      <w:bookmarkEnd w:id="76"/>
      <w:bookmarkEnd w:id="77"/>
      <w:bookmarkEnd w:id="78"/>
    </w:p>
    <w:p w14:paraId="0166DC13">
      <w:pPr>
        <w:spacing w:line="600" w:lineRule="exact"/>
        <w:ind w:firstLine="640"/>
        <w:outlineLvl w:val="2"/>
        <w:rPr>
          <w:rFonts w:ascii="仿宋" w:hAnsi="仿宋" w:eastAsia="仿宋"/>
          <w:b/>
          <w:color w:val="auto"/>
          <w:sz w:val="32"/>
          <w:szCs w:val="32"/>
          <w:highlight w:val="none"/>
        </w:rPr>
      </w:pPr>
      <w:bookmarkStart w:id="79" w:name="_Toc15377216"/>
      <w:bookmarkStart w:id="80" w:name="_Toc15396610"/>
      <w:bookmarkStart w:id="81" w:name="_Toc15377218"/>
      <w:r>
        <w:rPr>
          <w:rFonts w:hint="eastAsia" w:ascii="仿宋" w:hAnsi="仿宋" w:eastAsia="仿宋"/>
          <w:b/>
          <w:color w:val="auto"/>
          <w:sz w:val="32"/>
          <w:szCs w:val="32"/>
          <w:highlight w:val="none"/>
        </w:rPr>
        <w:t>（一）“三公”经费财政拨款支出决算总体情况说明</w:t>
      </w:r>
      <w:bookmarkEnd w:id="79"/>
    </w:p>
    <w:p w14:paraId="0E837C09">
      <w:pPr>
        <w:pStyle w:val="39"/>
        <w:bidi w:val="0"/>
        <w:rPr>
          <w:rFonts w:hint="eastAsia" w:ascii="仿宋" w:hAnsi="仿宋" w:eastAsia="仿宋" w:cs="Times New Roman"/>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s="Times New Roman"/>
          <w:color w:val="auto"/>
          <w:sz w:val="32"/>
          <w:szCs w:val="32"/>
          <w:highlight w:val="none"/>
        </w:rPr>
        <w:t>“三公”经费财政拨款支出决算为</w:t>
      </w:r>
      <w:r>
        <w:rPr>
          <w:rFonts w:hint="eastAsia" w:ascii="仿宋" w:hAnsi="仿宋" w:eastAsia="仿宋" w:cs="Times New Roman"/>
          <w:color w:val="auto"/>
          <w:sz w:val="32"/>
          <w:szCs w:val="32"/>
          <w:highlight w:val="none"/>
          <w:lang w:val="en-US" w:eastAsia="zh-CN"/>
        </w:rPr>
        <w:t>0.13</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100</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较上年增加0.13万元，增长100%，主要原因是因业务需要增加经济工作“开门红”接待支出。</w:t>
      </w:r>
      <w:r>
        <w:rPr>
          <w:rFonts w:hint="eastAsia" w:ascii="仿宋" w:hAnsi="仿宋" w:eastAsia="仿宋" w:cs="仿宋"/>
          <w:highlight w:val="none"/>
        </w:rPr>
        <w:t>决算数等于预算数。</w:t>
      </w:r>
    </w:p>
    <w:p w14:paraId="2F8F8CFC">
      <w:pPr>
        <w:spacing w:line="600" w:lineRule="exact"/>
        <w:ind w:firstLine="640"/>
        <w:outlineLvl w:val="2"/>
        <w:rPr>
          <w:rFonts w:ascii="仿宋" w:hAnsi="仿宋" w:eastAsia="仿宋"/>
          <w:b/>
          <w:color w:val="auto"/>
          <w:sz w:val="32"/>
          <w:szCs w:val="32"/>
          <w:highlight w:val="none"/>
        </w:rPr>
      </w:pPr>
      <w:bookmarkStart w:id="82" w:name="_Toc15377217"/>
      <w:r>
        <w:rPr>
          <w:rFonts w:hint="eastAsia" w:ascii="仿宋" w:hAnsi="仿宋" w:eastAsia="仿宋"/>
          <w:b/>
          <w:color w:val="auto"/>
          <w:sz w:val="32"/>
          <w:szCs w:val="32"/>
          <w:highlight w:val="none"/>
        </w:rPr>
        <w:t>（二）“三公”经费财政拨款支出决算具体情况说明</w:t>
      </w:r>
      <w:bookmarkEnd w:id="82"/>
    </w:p>
    <w:p w14:paraId="3A474516">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4073A341">
      <w:pPr>
        <w:pStyle w:val="21"/>
        <w:rPr>
          <w:rFonts w:hint="eastAsia"/>
          <w:highlight w:val="none"/>
        </w:rPr>
      </w:pPr>
      <w:r>
        <w:rPr>
          <w:rFonts w:eastAsia="仿宋"/>
          <w:sz w:val="32"/>
          <w:szCs w:val="32"/>
          <w:highlight w:val="none"/>
        </w:rPr>
        <w:drawing>
          <wp:anchor distT="0" distB="0" distL="114300" distR="114300" simplePos="0" relativeHeight="251666432" behindDoc="0" locked="0" layoutInCell="1" allowOverlap="1">
            <wp:simplePos x="0" y="0"/>
            <wp:positionH relativeFrom="column">
              <wp:posOffset>647700</wp:posOffset>
            </wp:positionH>
            <wp:positionV relativeFrom="paragraph">
              <wp:posOffset>91440</wp:posOffset>
            </wp:positionV>
            <wp:extent cx="3975735" cy="2334260"/>
            <wp:effectExtent l="5080" t="4445" r="19685"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79896D4">
      <w:pPr>
        <w:pStyle w:val="22"/>
        <w:rPr>
          <w:rFonts w:hint="eastAsia"/>
          <w:highlight w:val="none"/>
        </w:rPr>
      </w:pPr>
    </w:p>
    <w:p w14:paraId="65608EA0">
      <w:pPr>
        <w:rPr>
          <w:rFonts w:hint="eastAsia"/>
          <w:highlight w:val="none"/>
        </w:rPr>
      </w:pPr>
    </w:p>
    <w:p w14:paraId="57C7F352">
      <w:pPr>
        <w:pStyle w:val="21"/>
        <w:rPr>
          <w:rFonts w:hint="eastAsia"/>
          <w:highlight w:val="none"/>
        </w:rPr>
      </w:pPr>
    </w:p>
    <w:p w14:paraId="5440B6A9">
      <w:pPr>
        <w:pStyle w:val="22"/>
        <w:rPr>
          <w:rFonts w:hint="eastAsia"/>
          <w:highlight w:val="none"/>
        </w:rPr>
      </w:pPr>
    </w:p>
    <w:p w14:paraId="41F48FA1">
      <w:pPr>
        <w:spacing w:line="579" w:lineRule="exact"/>
        <w:rPr>
          <w:rFonts w:eastAsia="仿宋_GB2312"/>
          <w:sz w:val="32"/>
          <w:szCs w:val="32"/>
          <w:highlight w:val="none"/>
        </w:rPr>
      </w:pPr>
    </w:p>
    <w:p w14:paraId="52BDF78D">
      <w:pPr>
        <w:pStyle w:val="21"/>
        <w:rPr>
          <w:highlight w:val="none"/>
        </w:rPr>
      </w:pPr>
    </w:p>
    <w:p w14:paraId="12FB8435">
      <w:pPr>
        <w:spacing w:line="579" w:lineRule="exact"/>
        <w:jc w:val="center"/>
        <w:rPr>
          <w:rFonts w:ascii="仿宋_GB2312" w:eastAsia="仿宋_GB2312"/>
          <w:b/>
          <w:color w:val="auto"/>
          <w:sz w:val="32"/>
          <w:szCs w:val="32"/>
          <w:highlight w:val="none"/>
        </w:rPr>
      </w:pPr>
      <w:r>
        <w:rPr>
          <w:rFonts w:eastAsia="仿宋_GB2312"/>
          <w:sz w:val="32"/>
          <w:szCs w:val="32"/>
          <w:highlight w:val="none"/>
        </w:rPr>
        <w:t>（图7：“三公”经费财政拨款支出结构）</w:t>
      </w:r>
    </w:p>
    <w:p w14:paraId="16DBDF58">
      <w:pPr>
        <w:spacing w:line="600" w:lineRule="exact"/>
        <w:ind w:firstLine="640"/>
        <w:rPr>
          <w:rFonts w:hint="default" w:ascii="仿宋_GB2312" w:hAnsi="Times New Roman" w:eastAsia="仿宋_GB2312" w:cs="Times New Roman"/>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w:t>
      </w:r>
      <w:r>
        <w:rPr>
          <w:rFonts w:hint="eastAsia" w:ascii="仿宋_GB2312" w:hAnsi="Times New Roman" w:eastAsia="仿宋_GB2312" w:cs="Times New Roman"/>
          <w:color w:val="auto"/>
          <w:sz w:val="32"/>
          <w:szCs w:val="32"/>
          <w:highlight w:val="none"/>
        </w:rPr>
        <w:t>出决算比20</w:t>
      </w:r>
      <w:r>
        <w:rPr>
          <w:rFonts w:hint="eastAsia" w:ascii="仿宋_GB2312" w:hAnsi="Times New Roman"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年</w:t>
      </w:r>
      <w:r>
        <w:rPr>
          <w:rFonts w:hint="default" w:ascii="仿宋_GB2312" w:hAnsi="Times New Roman" w:eastAsia="仿宋_GB2312" w:cs="Times New Roman"/>
          <w:color w:val="auto"/>
          <w:sz w:val="32"/>
          <w:szCs w:val="32"/>
          <w:highlight w:val="none"/>
        </w:rPr>
        <w:t>无增减变动。主要原因是本单位两年均无该经费预算，未发生因公出国（境）支出。</w:t>
      </w:r>
    </w:p>
    <w:p w14:paraId="3B4E7590">
      <w:pPr>
        <w:pStyle w:val="39"/>
        <w:bidi w:val="0"/>
        <w:ind w:left="0" w:leftChars="0"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default" w:ascii="Times New Roman" w:hAnsi="Times New Roman" w:cs="Times New Roman"/>
          <w:highlight w:val="none"/>
        </w:rPr>
        <w:t>无增减变动。主要原因是本单位两年均无该经费预算，未发生公务用车购置及运行维护费支出。</w:t>
      </w:r>
    </w:p>
    <w:p w14:paraId="5AC5F0D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E4FDB64">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D13432E">
      <w:pPr>
        <w:pStyle w:val="39"/>
        <w:bidi w:val="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b w:val="0"/>
          <w:bCs/>
          <w:color w:val="auto"/>
          <w:sz w:val="32"/>
          <w:szCs w:val="32"/>
          <w:highlight w:val="none"/>
          <w:lang w:val="en-US" w:eastAsia="zh-CN"/>
        </w:rPr>
        <w:t>0.13</w:t>
      </w:r>
      <w:r>
        <w:rPr>
          <w:rFonts w:hint="eastAsia" w:ascii="仿宋_GB2312" w:eastAsia="仿宋_GB2312"/>
          <w:b w:val="0"/>
          <w:bCs/>
          <w:color w:val="auto"/>
          <w:sz w:val="32"/>
          <w:szCs w:val="32"/>
          <w:highlight w:val="none"/>
        </w:rPr>
        <w:t>万</w:t>
      </w:r>
      <w:r>
        <w:rPr>
          <w:rFonts w:hint="eastAsia" w:ascii="仿宋_GB2312" w:eastAsia="仿宋_GB2312"/>
          <w:color w:val="auto"/>
          <w:sz w:val="32"/>
          <w:szCs w:val="32"/>
          <w:highlight w:val="none"/>
        </w:rPr>
        <w:t>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 w:hAnsi="仿宋" w:eastAsia="仿宋" w:cs="Times New Roman"/>
          <w:color w:val="auto"/>
          <w:sz w:val="32"/>
          <w:szCs w:val="32"/>
          <w:highlight w:val="none"/>
          <w:lang w:val="en-US" w:eastAsia="zh-CN"/>
        </w:rPr>
        <w:t>较上年增加0.13万元，增长100%，主要原因是因业务需要增加经济工作“开门红”接待支出。</w:t>
      </w:r>
      <w:r>
        <w:rPr>
          <w:rFonts w:hint="eastAsia" w:ascii="仿宋" w:hAnsi="仿宋" w:eastAsia="仿宋" w:cs="仿宋"/>
          <w:highlight w:val="none"/>
        </w:rPr>
        <w:t>决算数等于预算数。</w:t>
      </w:r>
    </w:p>
    <w:p w14:paraId="4736C2B3">
      <w:pPr>
        <w:numPr>
          <w:ilvl w:val="0"/>
          <w:numId w:val="0"/>
        </w:numPr>
        <w:spacing w:line="600" w:lineRule="exact"/>
        <w:ind w:left="672" w:leftChars="0"/>
        <w:rPr>
          <w:rFonts w:ascii="仿宋_GB2312" w:eastAsia="仿宋_GB2312"/>
          <w:color w:val="auto"/>
          <w:sz w:val="32"/>
          <w:szCs w:val="32"/>
          <w:highlight w:val="none"/>
        </w:rPr>
      </w:pPr>
      <w:r>
        <w:rPr>
          <w:rFonts w:hint="eastAsia" w:ascii="仿宋_GB2312" w:eastAsia="仿宋_GB2312"/>
          <w:color w:val="auto"/>
          <w:sz w:val="32"/>
          <w:szCs w:val="32"/>
          <w:highlight w:val="none"/>
        </w:rPr>
        <w:t>其中：</w:t>
      </w:r>
    </w:p>
    <w:p w14:paraId="0E48E13E">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0.13</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w:t>
      </w:r>
    </w:p>
    <w:p w14:paraId="239C1FC7">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594E76B">
      <w:pPr>
        <w:spacing w:line="600" w:lineRule="exact"/>
        <w:ind w:firstLine="640"/>
        <w:outlineLvl w:val="1"/>
        <w:rPr>
          <w:rStyle w:val="33"/>
          <w:rFonts w:ascii="黑体" w:hAnsi="黑体" w:eastAsia="黑体"/>
          <w:color w:val="auto"/>
          <w:highlight w:val="none"/>
        </w:rPr>
      </w:pPr>
      <w:bookmarkStart w:id="83" w:name="_Toc23462_WPSOffice_Level2"/>
      <w:bookmarkStart w:id="84" w:name="_Toc32276"/>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80"/>
      <w:bookmarkEnd w:id="81"/>
      <w:bookmarkEnd w:id="83"/>
      <w:bookmarkEnd w:id="84"/>
    </w:p>
    <w:p w14:paraId="00416DA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038572B">
      <w:pPr>
        <w:numPr>
          <w:ilvl w:val="0"/>
          <w:numId w:val="5"/>
        </w:numPr>
        <w:spacing w:line="600" w:lineRule="exact"/>
        <w:ind w:firstLine="640"/>
        <w:outlineLvl w:val="1"/>
        <w:rPr>
          <w:rStyle w:val="33"/>
          <w:rFonts w:ascii="黑体" w:hAnsi="黑体" w:eastAsia="黑体"/>
          <w:b w:val="0"/>
          <w:color w:val="auto"/>
          <w:highlight w:val="none"/>
        </w:rPr>
      </w:pPr>
      <w:bookmarkStart w:id="85" w:name="_Toc12624_WPSOffice_Level2"/>
      <w:bookmarkStart w:id="86" w:name="_Toc29955"/>
      <w:bookmarkStart w:id="87" w:name="_Toc15396611"/>
      <w:bookmarkStart w:id="88" w:name="_Toc15377219"/>
      <w:r>
        <w:rPr>
          <w:rStyle w:val="33"/>
          <w:rFonts w:hint="eastAsia" w:ascii="黑体" w:hAnsi="黑体" w:eastAsia="黑体"/>
          <w:b w:val="0"/>
          <w:color w:val="auto"/>
          <w:highlight w:val="none"/>
        </w:rPr>
        <w:t>国有资本经营预算支出决算情况说明</w:t>
      </w:r>
      <w:bookmarkEnd w:id="85"/>
      <w:bookmarkEnd w:id="86"/>
      <w:bookmarkEnd w:id="87"/>
      <w:bookmarkEnd w:id="88"/>
    </w:p>
    <w:p w14:paraId="150F425F">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E2F9B89">
      <w:pPr>
        <w:numPr>
          <w:ilvl w:val="0"/>
          <w:numId w:val="5"/>
        </w:numPr>
        <w:spacing w:line="600" w:lineRule="exact"/>
        <w:ind w:firstLine="640"/>
        <w:outlineLvl w:val="1"/>
        <w:rPr>
          <w:rStyle w:val="33"/>
          <w:rFonts w:hint="eastAsia" w:ascii="黑体" w:hAnsi="黑体" w:eastAsia="黑体"/>
          <w:b w:val="0"/>
          <w:color w:val="auto"/>
          <w:highlight w:val="none"/>
        </w:rPr>
      </w:pPr>
      <w:bookmarkStart w:id="89" w:name="_Toc15396612"/>
      <w:bookmarkStart w:id="90" w:name="_Toc2528_WPSOffice_Level2"/>
      <w:bookmarkStart w:id="91" w:name="_Toc15377221"/>
      <w:bookmarkStart w:id="92" w:name="_Toc17789"/>
      <w:r>
        <w:rPr>
          <w:rStyle w:val="33"/>
          <w:rFonts w:hint="eastAsia" w:ascii="黑体" w:hAnsi="黑体" w:eastAsia="黑体"/>
          <w:b w:val="0"/>
          <w:color w:val="auto"/>
          <w:highlight w:val="none"/>
        </w:rPr>
        <w:t>其他重要事项的情况说明</w:t>
      </w:r>
      <w:bookmarkEnd w:id="89"/>
      <w:bookmarkEnd w:id="90"/>
      <w:bookmarkEnd w:id="91"/>
      <w:bookmarkEnd w:id="92"/>
    </w:p>
    <w:p w14:paraId="27D7484D">
      <w:pPr>
        <w:spacing w:line="600" w:lineRule="exact"/>
        <w:ind w:firstLine="643" w:firstLineChars="200"/>
        <w:outlineLvl w:val="2"/>
        <w:rPr>
          <w:rFonts w:ascii="仿宋" w:hAnsi="仿宋" w:eastAsia="仿宋"/>
          <w:color w:val="auto"/>
          <w:sz w:val="32"/>
          <w:szCs w:val="32"/>
          <w:highlight w:val="none"/>
        </w:rPr>
      </w:pPr>
      <w:bookmarkStart w:id="93" w:name="_Toc15377222"/>
      <w:r>
        <w:rPr>
          <w:rFonts w:hint="eastAsia" w:ascii="仿宋" w:hAnsi="仿宋" w:eastAsia="仿宋"/>
          <w:b/>
          <w:color w:val="auto"/>
          <w:sz w:val="32"/>
          <w:szCs w:val="32"/>
          <w:highlight w:val="none"/>
        </w:rPr>
        <w:t>（一）机关运行经费支出情况</w:t>
      </w:r>
      <w:bookmarkEnd w:id="93"/>
    </w:p>
    <w:p w14:paraId="0CDAA29D">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 w:hAnsi="仿宋" w:eastAsia="仿宋"/>
          <w:color w:val="auto"/>
          <w:sz w:val="32"/>
          <w:szCs w:val="32"/>
          <w:highlight w:val="none"/>
        </w:rPr>
        <w:t>遂宁市船山区委目标绩效管理办公室</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26.35</w:t>
      </w:r>
      <w:r>
        <w:rPr>
          <w:rFonts w:hint="eastAsia" w:ascii="仿宋_GB2312" w:eastAsia="仿宋_GB2312"/>
          <w:color w:val="auto"/>
          <w:sz w:val="32"/>
          <w:szCs w:val="32"/>
          <w:highlight w:val="none"/>
        </w:rPr>
        <w:t>万</w:t>
      </w:r>
      <w:r>
        <w:rPr>
          <w:rFonts w:hint="eastAsia" w:ascii="仿宋" w:hAnsi="仿宋" w:eastAsia="仿宋" w:cs="Times New Roman"/>
          <w:color w:val="auto"/>
          <w:sz w:val="32"/>
          <w:szCs w:val="32"/>
          <w:highlight w:val="none"/>
        </w:rPr>
        <w:t>元，比20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年增加</w:t>
      </w:r>
      <w:r>
        <w:rPr>
          <w:rFonts w:hint="eastAsia" w:ascii="仿宋" w:hAnsi="仿宋" w:eastAsia="仿宋" w:cs="Times New Roman"/>
          <w:color w:val="auto"/>
          <w:sz w:val="32"/>
          <w:szCs w:val="32"/>
          <w:highlight w:val="none"/>
          <w:lang w:val="en-US" w:eastAsia="zh-CN"/>
        </w:rPr>
        <w:t>4.67</w:t>
      </w:r>
      <w:r>
        <w:rPr>
          <w:rFonts w:hint="eastAsia" w:ascii="仿宋" w:hAnsi="仿宋" w:eastAsia="仿宋" w:cs="Times New Roman"/>
          <w:color w:val="auto"/>
          <w:sz w:val="32"/>
          <w:szCs w:val="32"/>
          <w:highlight w:val="none"/>
        </w:rPr>
        <w:t>万元，增长</w:t>
      </w:r>
      <w:r>
        <w:rPr>
          <w:rFonts w:hint="eastAsia" w:ascii="仿宋" w:hAnsi="仿宋" w:eastAsia="仿宋" w:cs="Times New Roman"/>
          <w:color w:val="auto"/>
          <w:sz w:val="32"/>
          <w:szCs w:val="32"/>
          <w:highlight w:val="none"/>
          <w:lang w:val="en-US" w:eastAsia="zh-CN"/>
        </w:rPr>
        <w:t>21.54</w:t>
      </w:r>
      <w:r>
        <w:rPr>
          <w:rFonts w:hint="eastAsia" w:ascii="仿宋" w:hAnsi="仿宋" w:eastAsia="仿宋" w:cs="Times New Roman"/>
          <w:color w:val="auto"/>
          <w:sz w:val="32"/>
          <w:szCs w:val="32"/>
          <w:highlight w:val="none"/>
        </w:rPr>
        <w:t>%。主要原因</w:t>
      </w:r>
      <w:r>
        <w:rPr>
          <w:rFonts w:hint="eastAsia" w:ascii="仿宋" w:hAnsi="仿宋" w:eastAsia="仿宋" w:cs="Times New Roman"/>
          <w:color w:val="auto"/>
          <w:sz w:val="32"/>
          <w:szCs w:val="32"/>
          <w:highlight w:val="none"/>
          <w:lang w:eastAsia="zh-CN"/>
        </w:rPr>
        <w:t>是</w:t>
      </w:r>
      <w:r>
        <w:rPr>
          <w:rFonts w:hint="eastAsia" w:ascii="仿宋" w:hAnsi="仿宋" w:eastAsia="仿宋" w:cs="Times New Roman"/>
          <w:color w:val="auto"/>
          <w:sz w:val="32"/>
          <w:szCs w:val="32"/>
          <w:highlight w:val="none"/>
          <w:lang w:val="en-US" w:eastAsia="zh-CN"/>
        </w:rPr>
        <w:t>本年</w:t>
      </w:r>
      <w:r>
        <w:rPr>
          <w:rFonts w:hint="eastAsia" w:ascii="仿宋" w:hAnsi="仿宋" w:eastAsia="仿宋" w:cs="Times New Roman"/>
          <w:color w:val="auto"/>
          <w:sz w:val="32"/>
          <w:szCs w:val="32"/>
          <w:highlight w:val="none"/>
          <w:lang w:eastAsia="zh-CN"/>
        </w:rPr>
        <w:t>目标绩效督查系统建设运行维护费和目标绩效督查及营商环境工作经费项目经费增加。</w:t>
      </w:r>
    </w:p>
    <w:p w14:paraId="2017466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4" w:name="_Toc15377223"/>
      <w:r>
        <w:rPr>
          <w:rFonts w:hint="eastAsia" w:ascii="仿宋" w:hAnsi="仿宋" w:eastAsia="仿宋"/>
          <w:b/>
          <w:color w:val="auto"/>
          <w:sz w:val="32"/>
          <w:szCs w:val="32"/>
          <w:highlight w:val="none"/>
        </w:rPr>
        <w:t>（二）政府采购支出情况</w:t>
      </w:r>
      <w:bookmarkEnd w:id="94"/>
    </w:p>
    <w:p w14:paraId="16F15FE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 w:hAnsi="仿宋" w:eastAsia="仿宋"/>
          <w:color w:val="auto"/>
          <w:sz w:val="32"/>
          <w:szCs w:val="32"/>
          <w:highlight w:val="none"/>
        </w:rPr>
        <w:t>遂宁市船山区委目标绩效管理办公室</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0995D8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5" w:name="_Toc15377224"/>
      <w:r>
        <w:rPr>
          <w:rFonts w:hint="eastAsia" w:ascii="仿宋" w:hAnsi="仿宋" w:eastAsia="仿宋"/>
          <w:b/>
          <w:color w:val="auto"/>
          <w:sz w:val="32"/>
          <w:szCs w:val="32"/>
          <w:highlight w:val="none"/>
        </w:rPr>
        <w:t>（三）国有资产占有使用情况</w:t>
      </w:r>
      <w:bookmarkEnd w:id="95"/>
    </w:p>
    <w:p w14:paraId="5C7925B1">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auto"/>
          <w:sz w:val="32"/>
          <w:szCs w:val="32"/>
          <w:highlight w:val="none"/>
        </w:rPr>
        <w:t>遂宁市船山区委目标绩效管理办公室</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26A2ED3">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1D56FCD">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bookmarkStart w:id="96" w:name="OLE_LINK3"/>
      <w:r>
        <w:rPr>
          <w:rFonts w:hint="eastAsia" w:ascii="仿宋_GB2312" w:hAnsi="仿宋_GB2312" w:eastAsia="仿宋_GB2312" w:cs="仿宋_GB2312"/>
          <w:sz w:val="32"/>
          <w:szCs w:val="32"/>
        </w:rPr>
        <w:t>目标绩效督查及营商环境工作经费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w w:val="95"/>
          <w:sz w:val="32"/>
          <w:szCs w:val="32"/>
        </w:rPr>
        <w:t>目标绩效督查系统建设运行维护费</w:t>
      </w:r>
      <w:r>
        <w:rPr>
          <w:rFonts w:hint="eastAsia" w:ascii="仿宋_GB2312" w:hAnsi="仿宋_GB2312" w:eastAsia="仿宋_GB2312" w:cs="仿宋_GB2312"/>
          <w:w w:val="95"/>
          <w:sz w:val="32"/>
          <w:szCs w:val="32"/>
          <w:lang w:val="en-US" w:eastAsia="zh-CN"/>
        </w:rPr>
        <w:t>2</w:t>
      </w:r>
      <w:r>
        <w:rPr>
          <w:rFonts w:hint="eastAsia" w:ascii="仿宋_GB2312" w:hAnsi="仿宋_GB2312" w:eastAsia="仿宋_GB2312" w:cs="仿宋_GB2312"/>
          <w:color w:val="auto"/>
          <w:sz w:val="32"/>
          <w:szCs w:val="32"/>
          <w:highlight w:val="none"/>
          <w:lang w:val="en-US" w:eastAsia="zh-CN"/>
        </w:rPr>
        <w:t>个项目</w:t>
      </w:r>
      <w:r>
        <w:rPr>
          <w:rFonts w:hint="eastAsia" w:ascii="仿宋_GB2312" w:hAnsi="仿宋_GB2312" w:eastAsia="仿宋_GB2312" w:cs="仿宋_GB2312"/>
          <w:color w:val="auto"/>
          <w:sz w:val="32"/>
          <w:szCs w:val="32"/>
          <w:highlight w:val="none"/>
        </w:rPr>
        <w:t>开展了预算事前绩效评估</w:t>
      </w:r>
      <w:bookmarkEnd w:id="96"/>
      <w:r>
        <w:rPr>
          <w:rFonts w:hint="eastAsia" w:ascii="仿宋_GB2312" w:hAnsi="Times New Roman"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组织对</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64FB0304">
      <w:pPr>
        <w:pStyle w:val="2"/>
        <w:widowControl w:val="0"/>
        <w:numPr>
          <w:ilvl w:val="0"/>
          <w:numId w:val="0"/>
        </w:numPr>
        <w:jc w:val="both"/>
        <w:rPr>
          <w:rFonts w:hint="eastAsia" w:ascii="仿宋_GB2312" w:hAnsi="Times New Roman" w:eastAsia="仿宋_GB2312" w:cs="Times New Roman"/>
          <w:color w:val="auto"/>
          <w:sz w:val="32"/>
          <w:szCs w:val="32"/>
          <w:highlight w:val="none"/>
          <w:lang w:val="en-US" w:eastAsia="zh-CN"/>
        </w:rPr>
      </w:pPr>
    </w:p>
    <w:p w14:paraId="4698F2D8">
      <w:pPr>
        <w:numPr>
          <w:ilvl w:val="0"/>
          <w:numId w:val="6"/>
        </w:numPr>
        <w:spacing w:line="600" w:lineRule="exact"/>
        <w:ind w:firstLine="660" w:firstLineChars="150"/>
        <w:jc w:val="center"/>
        <w:outlineLvl w:val="0"/>
        <w:rPr>
          <w:rStyle w:val="32"/>
          <w:rFonts w:ascii="黑体" w:hAnsi="黑体" w:eastAsia="黑体"/>
          <w:b w:val="0"/>
          <w:color w:val="auto"/>
          <w:highlight w:val="none"/>
        </w:rPr>
      </w:pPr>
      <w:bookmarkStart w:id="97" w:name="_Toc20847"/>
      <w:bookmarkStart w:id="98" w:name="_Toc7759"/>
      <w:bookmarkStart w:id="99" w:name="_Toc15396613"/>
      <w:bookmarkStart w:id="100" w:name="_Toc11096_WPSOffice_Level1"/>
      <w:bookmarkStart w:id="101" w:name="_Toc15377225"/>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97"/>
      <w:bookmarkEnd w:id="98"/>
      <w:bookmarkEnd w:id="99"/>
      <w:bookmarkEnd w:id="100"/>
      <w:bookmarkEnd w:id="101"/>
    </w:p>
    <w:p w14:paraId="78DEAAB8">
      <w:pPr>
        <w:spacing w:line="600" w:lineRule="exact"/>
        <w:jc w:val="left"/>
        <w:rPr>
          <w:rFonts w:ascii="宋体"/>
          <w:b/>
          <w:color w:val="auto"/>
          <w:sz w:val="44"/>
          <w:szCs w:val="44"/>
          <w:highlight w:val="none"/>
        </w:rPr>
      </w:pPr>
    </w:p>
    <w:p w14:paraId="16965A5B">
      <w:pPr>
        <w:pStyle w:val="30"/>
        <w:numPr>
          <w:ilvl w:val="0"/>
          <w:numId w:val="7"/>
        </w:numPr>
        <w:spacing w:line="560" w:lineRule="exact"/>
        <w:ind w:left="0" w:leftChars="0" w:firstLine="640" w:firstLineChars="200"/>
        <w:outlineLvl w:val="1"/>
        <w:rPr>
          <w:rFonts w:ascii="仿宋_GB2312" w:eastAsia="仿宋_GB2312"/>
          <w:color w:val="auto"/>
          <w:sz w:val="32"/>
          <w:szCs w:val="32"/>
          <w:highlight w:val="none"/>
        </w:rPr>
      </w:pPr>
      <w:bookmarkStart w:id="102" w:name="_Toc7658"/>
      <w:bookmarkStart w:id="103" w:name="_Toc25287"/>
      <w:r>
        <w:rPr>
          <w:rFonts w:hint="eastAsia" w:ascii="仿宋_GB2312" w:eastAsia="仿宋_GB2312"/>
          <w:color w:val="auto"/>
          <w:sz w:val="32"/>
          <w:szCs w:val="32"/>
          <w:highlight w:val="none"/>
        </w:rPr>
        <w:t>财政拨款收入：指单位从同级财政部门取得的财政预算资金。</w:t>
      </w:r>
      <w:bookmarkEnd w:id="102"/>
      <w:bookmarkEnd w:id="103"/>
    </w:p>
    <w:p w14:paraId="21087A6B">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w:t>
      </w:r>
    </w:p>
    <w:p w14:paraId="4D777A21">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2175856C">
      <w:pPr>
        <w:pStyle w:val="30"/>
        <w:numPr>
          <w:ilvl w:val="0"/>
          <w:numId w:val="7"/>
        </w:numPr>
        <w:spacing w:line="560" w:lineRule="exact"/>
        <w:ind w:left="0" w:leftChars="0" w:firstLine="640" w:firstLineChars="200"/>
        <w:outlineLvl w:val="1"/>
        <w:rPr>
          <w:rFonts w:hint="eastAsia" w:ascii="仿宋_GB2312" w:eastAsia="仿宋_GB2312"/>
          <w:color w:val="auto"/>
          <w:sz w:val="32"/>
          <w:szCs w:val="32"/>
          <w:highlight w:val="none"/>
        </w:rPr>
      </w:pPr>
      <w:bookmarkStart w:id="104" w:name="_Toc1968"/>
      <w:bookmarkStart w:id="105" w:name="_Toc28211"/>
      <w:r>
        <w:rPr>
          <w:rFonts w:hint="eastAsia" w:ascii="仿宋_GB2312" w:eastAsia="仿宋_GB2312"/>
          <w:color w:val="auto"/>
          <w:sz w:val="32"/>
          <w:szCs w:val="32"/>
          <w:highlight w:val="none"/>
        </w:rPr>
        <w:t>其他收入：指单位取得的除上述收入以外的各项收入。</w:t>
      </w:r>
      <w:bookmarkEnd w:id="104"/>
      <w:bookmarkEnd w:id="105"/>
    </w:p>
    <w:p w14:paraId="0783729A">
      <w:pPr>
        <w:pStyle w:val="30"/>
        <w:numPr>
          <w:ilvl w:val="0"/>
          <w:numId w:val="7"/>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3F24F5D">
      <w:pPr>
        <w:pStyle w:val="30"/>
        <w:numPr>
          <w:ilvl w:val="0"/>
          <w:numId w:val="7"/>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EDE9E19">
      <w:pPr>
        <w:pStyle w:val="30"/>
        <w:numPr>
          <w:ilvl w:val="0"/>
          <w:numId w:val="7"/>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74B2F65">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年末结转和结余：指单位按有关规定结转到下年或以后年度继续使用的资金。</w:t>
      </w:r>
    </w:p>
    <w:p w14:paraId="686234C6">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一般公共服务支出（</w:t>
      </w:r>
      <w:r>
        <w:rPr>
          <w:rFonts w:hint="eastAsia" w:ascii="仿宋_GB2312" w:eastAsia="仿宋_GB2312"/>
          <w:color w:val="auto"/>
          <w:sz w:val="32"/>
          <w:szCs w:val="32"/>
          <w:highlight w:val="none"/>
          <w:lang w:val="en-US" w:eastAsia="zh-CN"/>
        </w:rPr>
        <w:t>201</w:t>
      </w:r>
      <w:r>
        <w:rPr>
          <w:rFonts w:hint="eastAsia" w:ascii="仿宋_GB2312" w:eastAsia="仿宋_GB2312"/>
          <w:color w:val="auto"/>
          <w:sz w:val="32"/>
          <w:szCs w:val="32"/>
          <w:highlight w:val="none"/>
        </w:rPr>
        <w:t>）党委办公厅（室）及相关机构事务（</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）行政运行（</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反映行政单位</w:t>
      </w:r>
      <w:r>
        <w:rPr>
          <w:rFonts w:hint="eastAsia" w:ascii="仿宋_GB2312" w:eastAsia="仿宋_GB2312"/>
          <w:color w:val="auto"/>
          <w:sz w:val="32"/>
          <w:szCs w:val="32"/>
          <w:highlight w:val="none"/>
        </w:rPr>
        <w:t>（包括实行公务员管理的事业单位）的基本支出。</w:t>
      </w:r>
    </w:p>
    <w:p w14:paraId="567CD5A1">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一般公共服务支出（201）党委办公厅（室）及相关机构事务（31）一般行政管理事务（02）：指行政机关（包括实行公务员管理的事业单位）未单独设置项级科目的其他项目支出。</w:t>
      </w:r>
    </w:p>
    <w:p w14:paraId="0298CAE9">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一般公共服务支出（201）党委办公厅（室）及相关机构事务（31）事业运行（50）：反映事业单位的基本支出，不包括行政单位（包括实行公务员管理的事业单位）的后勤服务中心、医疗室等附属事业单位。</w:t>
      </w:r>
    </w:p>
    <w:p w14:paraId="6DBA92D2">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社会保障和就业支出（208）行政事业单位离退休（05）机关事业单位基本养老保险缴费支出（05）：反映机关事业单位实施养老保险制度由单位缴纳的养老保险费的支出。</w:t>
      </w:r>
    </w:p>
    <w:p w14:paraId="6435A2A5">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社会保障和就业支出（208）其他社会保障和就业支出（99）其他社会保障和就业支出（</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lang w:eastAsia="zh-CN"/>
        </w:rPr>
        <w:t>）：反映除上诉项目以外其他用于社会保障和就业方面的支出。</w:t>
      </w:r>
    </w:p>
    <w:p w14:paraId="158F88E3">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卫生健康支出（210）行政事业单位医疗（11）行政单位医疗（01）：指反映财政部门安排的行政单位（包括实行公务员管理的事业单位，下同）基本医疗保险缴费经费，未参加医疗保险的行政单位的公费医疗经费，按国家规定享受离休人员、红军老战士待遇人员的医疗经费。</w:t>
      </w:r>
    </w:p>
    <w:p w14:paraId="4CE053DE">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卫生健康支出（210）行政事业单位医疗（11）事业单位医疗（02）：指反映财政部门安排的事业单位基本医疗保险缴费经费，未参加医疗保险的行政单位的公费医疗经费，按国家规定享受离休人员、红军老战士待遇人员的医疗经费。</w:t>
      </w:r>
    </w:p>
    <w:p w14:paraId="5D775CAC">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卫生健康支出（210）行政事业单位医疗（11）公务员医疗补助（03）：指反映财政部门安排的公务员医疗补助经费。</w:t>
      </w:r>
    </w:p>
    <w:p w14:paraId="4706CA11">
      <w:pPr>
        <w:pStyle w:val="30"/>
        <w:numPr>
          <w:ilvl w:val="0"/>
          <w:numId w:val="7"/>
        </w:numPr>
        <w:spacing w:line="560" w:lineRule="exact"/>
        <w:ind w:left="0" w:lef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住房保障支出（221）住房改革支出（02）住房公积金（01）：指反映行政事业单位按人力资源和社会保障部、财政部规定的基本工资和津贴补贴以及规定比例为职工缴纳的住房公积金。</w:t>
      </w:r>
    </w:p>
    <w:p w14:paraId="2008E672">
      <w:pPr>
        <w:numPr>
          <w:ilvl w:val="0"/>
          <w:numId w:val="7"/>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5E5D52EF">
      <w:pPr>
        <w:numPr>
          <w:ilvl w:val="0"/>
          <w:numId w:val="7"/>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654CDDD">
      <w:pPr>
        <w:numPr>
          <w:ilvl w:val="0"/>
          <w:numId w:val="7"/>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380F4125">
      <w:pPr>
        <w:pStyle w:val="30"/>
        <w:numPr>
          <w:ilvl w:val="0"/>
          <w:numId w:val="7"/>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DA39ED">
      <w:pPr>
        <w:pStyle w:val="30"/>
        <w:numPr>
          <w:ilvl w:val="0"/>
          <w:numId w:val="7"/>
        </w:numPr>
        <w:spacing w:line="560" w:lineRule="exact"/>
        <w:ind w:left="0" w:leftChars="0" w:firstLine="640" w:firstLineChars="200"/>
        <w:rPr>
          <w:rFonts w:ascii="仿宋_GB2312" w:eastAsia="仿宋_GB2312"/>
          <w:color w:val="auto"/>
          <w:sz w:val="32"/>
          <w:szCs w:val="32"/>
          <w:highlight w:val="none"/>
        </w:rPr>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BD0BF8">
      <w:pPr>
        <w:rPr>
          <w:rFonts w:ascii="仿宋_GB2312" w:eastAsia="仿宋_GB2312"/>
          <w:color w:val="auto"/>
          <w:sz w:val="32"/>
          <w:szCs w:val="32"/>
          <w:highlight w:val="none"/>
        </w:rPr>
      </w:pPr>
    </w:p>
    <w:p w14:paraId="2E674C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32"/>
          <w:rFonts w:ascii="黑体" w:hAnsi="黑体" w:eastAsia="黑体"/>
          <w:b w:val="0"/>
          <w:color w:val="auto"/>
          <w:highlight w:val="none"/>
        </w:rPr>
      </w:pPr>
      <w:bookmarkStart w:id="106" w:name="_Toc18854_WPSOffice_Level1"/>
      <w:bookmarkStart w:id="107" w:name="_Toc2075"/>
      <w:bookmarkStart w:id="108" w:name="_Toc31517"/>
      <w:bookmarkStart w:id="109" w:name="_Toc13066_WPSOffice_Level2"/>
      <w:bookmarkStart w:id="110" w:name="_Toc15396619"/>
      <w:bookmarkStart w:id="111" w:name="_Toc15396618"/>
      <w:r>
        <w:rPr>
          <w:rFonts w:hint="eastAsia" w:ascii="黑体" w:hAnsi="黑体" w:eastAsia="黑体"/>
          <w:color w:val="auto"/>
          <w:sz w:val="44"/>
          <w:szCs w:val="44"/>
          <w:highlight w:val="none"/>
        </w:rPr>
        <w:t>第</w:t>
      </w:r>
      <w:r>
        <w:rPr>
          <w:rStyle w:val="32"/>
          <w:rFonts w:hint="eastAsia" w:ascii="黑体" w:hAnsi="黑体" w:eastAsia="黑体"/>
          <w:b w:val="0"/>
          <w:color w:val="auto"/>
          <w:highlight w:val="none"/>
        </w:rPr>
        <w:t>四部分 附件</w:t>
      </w:r>
      <w:bookmarkEnd w:id="106"/>
      <w:bookmarkEnd w:id="107"/>
    </w:p>
    <w:p w14:paraId="6B43123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hAnsi="仿宋_GB2312" w:eastAsia="仿宋_GB2312" w:cs="仿宋_GB2312"/>
          <w:color w:val="auto"/>
          <w:sz w:val="32"/>
          <w:szCs w:val="32"/>
          <w:highlight w:val="none"/>
        </w:rPr>
      </w:pPr>
    </w:p>
    <w:p w14:paraId="21A596D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sz w:val="44"/>
          <w:szCs w:val="44"/>
          <w:highlight w:val="none"/>
          <w:lang w:val="en-US" w:eastAsia="zh-CN"/>
        </w:rPr>
      </w:pPr>
      <w:bookmarkStart w:id="112" w:name="_Toc32724_WPSOffice_Level2"/>
      <w:bookmarkStart w:id="113" w:name="_Toc22094"/>
      <w:r>
        <w:rPr>
          <w:rFonts w:hint="eastAsia" w:ascii="方正小标宋简体" w:hAnsi="方正小标宋简体" w:eastAsia="方正小标宋简体" w:cs="方正小标宋简体"/>
          <w:sz w:val="44"/>
          <w:szCs w:val="44"/>
          <w:highlight w:val="none"/>
          <w:lang w:val="en-US" w:eastAsia="zh-CN"/>
        </w:rPr>
        <w:t>部门预算项目支出绩效自评表（2023年度）</w:t>
      </w:r>
      <w:bookmarkEnd w:id="112"/>
      <w:bookmarkEnd w:id="113"/>
    </w:p>
    <w:p w14:paraId="73E0087D">
      <w:pPr>
        <w:pStyle w:val="15"/>
        <w:rPr>
          <w:rFonts w:hint="eastAsia"/>
        </w:rPr>
      </w:pPr>
    </w:p>
    <w:tbl>
      <w:tblPr>
        <w:tblStyle w:val="17"/>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3"/>
        <w:gridCol w:w="2051"/>
        <w:gridCol w:w="1775"/>
        <w:gridCol w:w="2264"/>
        <w:gridCol w:w="521"/>
        <w:gridCol w:w="1677"/>
        <w:gridCol w:w="521"/>
        <w:gridCol w:w="1091"/>
        <w:gridCol w:w="505"/>
        <w:gridCol w:w="456"/>
        <w:gridCol w:w="2556"/>
      </w:tblGrid>
      <w:tr w14:paraId="3C7A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7C3A">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3CB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9FE6">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9F1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51090322T000000346056-目标绩效督查系统建设运行维护费</w:t>
            </w:r>
          </w:p>
        </w:tc>
      </w:tr>
      <w:tr w14:paraId="1A4A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FB6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12C3">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中国共产党四川省遂宁市船山区委目标绩效管理办公室部门</w:t>
            </w:r>
          </w:p>
        </w:tc>
        <w:tc>
          <w:tcPr>
            <w:tcW w:w="1091" w:type="dxa"/>
            <w:tcBorders>
              <w:top w:val="nil"/>
              <w:left w:val="nil"/>
              <w:bottom w:val="nil"/>
              <w:right w:val="nil"/>
            </w:tcBorders>
            <w:shd w:val="clear" w:color="auto" w:fill="auto"/>
            <w:tcMar>
              <w:top w:w="15" w:type="dxa"/>
              <w:left w:w="15" w:type="dxa"/>
              <w:right w:w="15" w:type="dxa"/>
            </w:tcMar>
            <w:vAlign w:val="center"/>
          </w:tcPr>
          <w:p w14:paraId="050AF4C2">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1D8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中国共产党四川省遂宁市船山区委目标绩效管理办公室</w:t>
            </w:r>
          </w:p>
        </w:tc>
      </w:tr>
      <w:tr w14:paraId="002D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8B8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4C9D6">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117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F4F2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2FD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D76D">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87B6">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41B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2023年按照目标督查系统维护合同约定，系统维护费预算支付10万元，由成都通达有限公司进行系统日常运维，保证系统正常运转，部门工作正常开展。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BB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目标绩效督查系统建设运行按照合同约定金额支付系统维护费10万元，该项目工作经费进行了及时拨付，保证系统正常运转，部门工作正常开展。</w:t>
            </w:r>
          </w:p>
        </w:tc>
      </w:tr>
      <w:tr w14:paraId="10F0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2972">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7E8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6AED">
            <w:pPr>
              <w:rPr>
                <w:rFonts w:hint="eastAsia" w:ascii="宋体" w:hAnsi="宋体" w:eastAsia="宋体" w:cs="宋体"/>
                <w:i w:val="0"/>
                <w:color w:val="000000"/>
                <w:sz w:val="18"/>
                <w:szCs w:val="18"/>
                <w:u w:val="none"/>
              </w:rPr>
            </w:pPr>
          </w:p>
        </w:tc>
      </w:tr>
      <w:tr w14:paraId="3C90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5DA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C52B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2BD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66D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6AB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B5D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B234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21C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C12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2CDC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A026">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2B5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328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FD9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CFD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727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D46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AA3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159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0F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405A">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B4A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B4B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42E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F7D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411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0E0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E7C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0811">
            <w:pPr>
              <w:rPr>
                <w:rFonts w:hint="eastAsia" w:ascii="黑体" w:hAnsi="黑体" w:eastAsia="黑体" w:cs="黑体"/>
                <w:i/>
                <w:color w:val="000000"/>
                <w:sz w:val="18"/>
                <w:szCs w:val="18"/>
                <w:u w:val="none"/>
              </w:rPr>
            </w:pPr>
          </w:p>
        </w:tc>
      </w:tr>
      <w:tr w14:paraId="4E23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E128">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E6AA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1A5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AB8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882B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15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83A2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F4C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BD5E">
            <w:pPr>
              <w:rPr>
                <w:rFonts w:hint="eastAsia" w:ascii="黑体" w:hAnsi="黑体" w:eastAsia="黑体" w:cs="黑体"/>
                <w:i/>
                <w:color w:val="000000"/>
                <w:sz w:val="18"/>
                <w:szCs w:val="18"/>
                <w:u w:val="none"/>
              </w:rPr>
            </w:pPr>
          </w:p>
        </w:tc>
      </w:tr>
      <w:tr w14:paraId="3359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CC86">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0DB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367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87F7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2493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77B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DE9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10D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AA70">
            <w:pPr>
              <w:rPr>
                <w:rFonts w:hint="eastAsia" w:ascii="黑体" w:hAnsi="黑体" w:eastAsia="黑体" w:cs="黑体"/>
                <w:i/>
                <w:color w:val="000000"/>
                <w:sz w:val="18"/>
                <w:szCs w:val="18"/>
                <w:u w:val="none"/>
              </w:rPr>
            </w:pPr>
          </w:p>
        </w:tc>
      </w:tr>
      <w:tr w14:paraId="429C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A067">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DA6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AE16">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98C7">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4062">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CF09">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EA5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5A5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114C">
            <w:pPr>
              <w:rPr>
                <w:rFonts w:hint="eastAsia" w:ascii="黑体" w:hAnsi="黑体" w:eastAsia="黑体" w:cs="黑体"/>
                <w:i/>
                <w:color w:val="000000"/>
                <w:sz w:val="18"/>
                <w:szCs w:val="18"/>
                <w:u w:val="none"/>
              </w:rPr>
            </w:pPr>
          </w:p>
        </w:tc>
      </w:tr>
      <w:tr w14:paraId="2295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6C66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1FA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C9C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0B3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C7C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6F1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A77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95D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440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658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BBB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59D2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A955">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DB69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3E7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94F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运维系统数量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07C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9F8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420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C1E9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8737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D38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EBA9">
            <w:pPr>
              <w:jc w:val="center"/>
              <w:rPr>
                <w:rFonts w:hint="eastAsia" w:ascii="微软雅黑" w:hAnsi="微软雅黑" w:eastAsia="微软雅黑" w:cs="微软雅黑"/>
                <w:i/>
                <w:color w:val="000000"/>
                <w:sz w:val="16"/>
                <w:szCs w:val="16"/>
                <w:u w:val="none"/>
              </w:rPr>
            </w:pPr>
          </w:p>
        </w:tc>
      </w:tr>
      <w:tr w14:paraId="5427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8AD5">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343F">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01F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568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7131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34B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4CB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896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05E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154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4854">
            <w:pPr>
              <w:jc w:val="center"/>
              <w:rPr>
                <w:rFonts w:hint="eastAsia" w:ascii="微软雅黑" w:hAnsi="微软雅黑" w:eastAsia="微软雅黑" w:cs="微软雅黑"/>
                <w:i/>
                <w:color w:val="000000"/>
                <w:sz w:val="16"/>
                <w:szCs w:val="16"/>
                <w:u w:val="none"/>
              </w:rPr>
            </w:pPr>
          </w:p>
        </w:tc>
      </w:tr>
      <w:tr w14:paraId="1E8C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AAB9">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A6F5">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DDF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EE5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系统检修及时性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20F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56F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352E">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1BF1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0C7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3A8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9E249">
            <w:pPr>
              <w:jc w:val="center"/>
              <w:rPr>
                <w:rFonts w:hint="eastAsia" w:ascii="微软雅黑" w:hAnsi="微软雅黑" w:eastAsia="微软雅黑" w:cs="微软雅黑"/>
                <w:i/>
                <w:color w:val="000000"/>
                <w:sz w:val="16"/>
                <w:szCs w:val="16"/>
                <w:u w:val="none"/>
              </w:rPr>
            </w:pPr>
          </w:p>
        </w:tc>
      </w:tr>
      <w:tr w14:paraId="4741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EAC6">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AA4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F73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87F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系统正常运转率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329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F86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39A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0E8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CFE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88A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7AFF">
            <w:pPr>
              <w:jc w:val="center"/>
              <w:rPr>
                <w:rFonts w:hint="eastAsia" w:ascii="微软雅黑" w:hAnsi="微软雅黑" w:eastAsia="微软雅黑" w:cs="微软雅黑"/>
                <w:i/>
                <w:color w:val="000000"/>
                <w:sz w:val="16"/>
                <w:szCs w:val="16"/>
                <w:u w:val="none"/>
              </w:rPr>
            </w:pPr>
          </w:p>
        </w:tc>
      </w:tr>
      <w:tr w14:paraId="5E75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7E52">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E9054">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B65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1A4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系统运维管理制度健全性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6E2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AC2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641C">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E8E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91C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640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0889">
            <w:pPr>
              <w:jc w:val="center"/>
              <w:rPr>
                <w:rFonts w:hint="eastAsia" w:ascii="微软雅黑" w:hAnsi="微软雅黑" w:eastAsia="微软雅黑" w:cs="微软雅黑"/>
                <w:i/>
                <w:color w:val="000000"/>
                <w:sz w:val="16"/>
                <w:szCs w:val="16"/>
                <w:u w:val="none"/>
              </w:rPr>
            </w:pPr>
          </w:p>
        </w:tc>
      </w:tr>
      <w:tr w14:paraId="34E9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2276">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D2F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30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8D6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143D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419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B6AB">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2A1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7918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071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C86A">
            <w:pPr>
              <w:jc w:val="center"/>
              <w:rPr>
                <w:rFonts w:hint="eastAsia" w:ascii="微软雅黑" w:hAnsi="微软雅黑" w:eastAsia="微软雅黑" w:cs="微软雅黑"/>
                <w:i/>
                <w:color w:val="000000"/>
                <w:sz w:val="16"/>
                <w:szCs w:val="16"/>
                <w:u w:val="none"/>
              </w:rPr>
            </w:pPr>
          </w:p>
        </w:tc>
      </w:tr>
      <w:tr w14:paraId="3FB3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2823">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1CD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6C7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9B3A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项目总成本控制</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4AE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811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60B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F17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357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469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0156">
            <w:pPr>
              <w:jc w:val="center"/>
              <w:rPr>
                <w:rFonts w:hint="eastAsia" w:ascii="微软雅黑" w:hAnsi="微软雅黑" w:eastAsia="微软雅黑" w:cs="微软雅黑"/>
                <w:i/>
                <w:color w:val="000000"/>
                <w:sz w:val="16"/>
                <w:szCs w:val="16"/>
                <w:u w:val="none"/>
              </w:rPr>
            </w:pPr>
          </w:p>
        </w:tc>
      </w:tr>
      <w:tr w14:paraId="1C4B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F34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875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2DA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C718">
            <w:pPr>
              <w:rPr>
                <w:rFonts w:hint="eastAsia" w:ascii="宋体" w:hAnsi="宋体" w:eastAsia="宋体" w:cs="宋体"/>
                <w:i w:val="0"/>
                <w:color w:val="000000"/>
                <w:sz w:val="18"/>
                <w:szCs w:val="18"/>
                <w:u w:val="none"/>
              </w:rPr>
            </w:pPr>
          </w:p>
        </w:tc>
      </w:tr>
      <w:tr w14:paraId="4B99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31C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02E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本项目综合得分98分，该项目对照省市下达各项任务，强化督促检查，持续跟踪问效，定期分析完成情况，及时预警通报，确保全年目标任务高质量完成，有力促进全区经济社会健康平稳良好发展。</w:t>
            </w:r>
          </w:p>
        </w:tc>
      </w:tr>
      <w:tr w14:paraId="56F0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4702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AC3C">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在绩效考评指标的设计上流于形式，项目事前绩效评估、绩效目标指标设置还不够完整、合理。</w:t>
            </w:r>
          </w:p>
        </w:tc>
      </w:tr>
      <w:tr w14:paraId="5B63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6E0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AA5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14:paraId="6137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042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A4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57CEF816">
      <w:pPr>
        <w:pStyle w:val="9"/>
        <w:rPr>
          <w:rFonts w:hint="eastAsia"/>
        </w:rPr>
      </w:pPr>
    </w:p>
    <w:p w14:paraId="71B8B8F3">
      <w:pPr>
        <w:pStyle w:val="9"/>
        <w:rPr>
          <w:rFonts w:hint="eastAsia"/>
        </w:rPr>
      </w:pPr>
    </w:p>
    <w:p w14:paraId="2AD5EABF">
      <w:pPr>
        <w:pStyle w:val="9"/>
        <w:rPr>
          <w:rFonts w:hint="eastAsia"/>
        </w:rPr>
      </w:pPr>
    </w:p>
    <w:p w14:paraId="140A7549">
      <w:pPr>
        <w:pStyle w:val="9"/>
        <w:rPr>
          <w:rFonts w:hint="eastAsia"/>
        </w:rPr>
      </w:pPr>
    </w:p>
    <w:tbl>
      <w:tblPr>
        <w:tblStyle w:val="17"/>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4"/>
        <w:gridCol w:w="2051"/>
        <w:gridCol w:w="1775"/>
        <w:gridCol w:w="2263"/>
        <w:gridCol w:w="521"/>
        <w:gridCol w:w="1677"/>
        <w:gridCol w:w="521"/>
        <w:gridCol w:w="1091"/>
        <w:gridCol w:w="505"/>
        <w:gridCol w:w="456"/>
        <w:gridCol w:w="2556"/>
      </w:tblGrid>
      <w:tr w14:paraId="54F9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6A17">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30B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515F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8BBD">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51090322T000000346067-目标绩效督查及营商环境工作经费</w:t>
            </w:r>
          </w:p>
        </w:tc>
      </w:tr>
      <w:tr w14:paraId="363E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E98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69D7">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中国共产党四川省遂宁市船山区委目标绩效管理办公室部门</w:t>
            </w:r>
          </w:p>
        </w:tc>
        <w:tc>
          <w:tcPr>
            <w:tcW w:w="1091" w:type="dxa"/>
            <w:tcBorders>
              <w:top w:val="nil"/>
              <w:left w:val="nil"/>
              <w:bottom w:val="nil"/>
              <w:right w:val="nil"/>
            </w:tcBorders>
            <w:shd w:val="clear" w:color="auto" w:fill="auto"/>
            <w:tcMar>
              <w:top w:w="15" w:type="dxa"/>
              <w:left w:w="15" w:type="dxa"/>
              <w:right w:w="15" w:type="dxa"/>
            </w:tcMar>
            <w:vAlign w:val="center"/>
          </w:tcPr>
          <w:p w14:paraId="3D0FFF06">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F91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中国共产党四川省遂宁市船山区委目标绩效管理办公室</w:t>
            </w:r>
          </w:p>
        </w:tc>
      </w:tr>
      <w:tr w14:paraId="0451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DBC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DEE1">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1CE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204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491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58DB">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B22DC">
            <w:pPr>
              <w:rPr>
                <w:rFonts w:hint="eastAsia" w:ascii="宋体" w:hAnsi="宋体" w:eastAsia="宋体" w:cs="宋体"/>
                <w:i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EFFF">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总预算45万元，主要用于：开展各类督查下乡、临聘人员下乡差旅费8万元；营商环境、绩效考核的资料印刷费8万元；购买办公用品计划3万元；电脑日常维修、打印机换墨等维修</w:t>
            </w:r>
            <w:r>
              <w:rPr>
                <w:rFonts w:hint="eastAsia" w:ascii="宋体" w:hAnsi="宋体" w:cs="宋体"/>
                <w:i w:val="0"/>
                <w:color w:val="000000"/>
                <w:kern w:val="0"/>
                <w:sz w:val="18"/>
                <w:szCs w:val="18"/>
                <w:u w:val="none"/>
                <w:lang w:val="en-US" w:eastAsia="zh-CN" w:bidi="ar"/>
              </w:rPr>
              <w:t>维</w:t>
            </w:r>
            <w:bookmarkStart w:id="165" w:name="_GoBack"/>
            <w:bookmarkEnd w:id="165"/>
            <w:r>
              <w:rPr>
                <w:rFonts w:hint="eastAsia" w:ascii="宋体" w:hAnsi="宋体" w:eastAsia="宋体" w:cs="宋体"/>
                <w:i w:val="0"/>
                <w:color w:val="000000"/>
                <w:kern w:val="0"/>
                <w:sz w:val="18"/>
                <w:szCs w:val="18"/>
                <w:u w:val="none"/>
                <w:lang w:val="en-US" w:eastAsia="zh-CN" w:bidi="ar"/>
              </w:rPr>
              <w:t>护费3.5万元；会议费1万元，会议场地租赁；培训费1万元，授课费、资料费、餐费；计划其他商品服务13.5万元，用于内控制度编报，广告制作宣传，给联系的社区、乡镇提供帮助；计划下乡督查外出租车费用7万元。发挥综合考评和绩效管理导向助推作用，确保全年目标任务高质量完成；优化区域营商环境。</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2C9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积极有效发挥综合考评和绩效管理导向助推作用，推进经济发展、重大项目、重点工作、重要改革、民生实事等方面持续发力，全区营商环境工作体系持续健全优化，全面完成全区全年目标任务，有力促进全区经济社会健康平稳良好发展，确保全年目标任务高质量完成。</w:t>
            </w:r>
          </w:p>
        </w:tc>
      </w:tr>
      <w:tr w14:paraId="7378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BEB6">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C74C">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9FCA">
            <w:pPr>
              <w:rPr>
                <w:rFonts w:hint="eastAsia" w:ascii="宋体" w:hAnsi="宋体" w:eastAsia="宋体" w:cs="宋体"/>
                <w:i w:val="0"/>
                <w:color w:val="000000"/>
                <w:sz w:val="18"/>
                <w:szCs w:val="18"/>
                <w:u w:val="none"/>
              </w:rPr>
            </w:pPr>
          </w:p>
        </w:tc>
      </w:tr>
      <w:tr w14:paraId="300A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AD74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9FC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767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253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C9F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0FB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E44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DA2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250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10D2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D459">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480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F1A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6C54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54D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339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589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B67C">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F49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07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9F12">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427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DAF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446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92F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5FA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DEF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304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A1E47">
            <w:pPr>
              <w:rPr>
                <w:rFonts w:hint="eastAsia" w:ascii="黑体" w:hAnsi="黑体" w:eastAsia="黑体" w:cs="黑体"/>
                <w:i/>
                <w:color w:val="000000"/>
                <w:sz w:val="18"/>
                <w:szCs w:val="18"/>
                <w:u w:val="none"/>
              </w:rPr>
            </w:pPr>
          </w:p>
        </w:tc>
      </w:tr>
      <w:tr w14:paraId="515E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193D">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913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730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CFC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40E4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6E5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79A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A29A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7A54">
            <w:pPr>
              <w:rPr>
                <w:rFonts w:hint="eastAsia" w:ascii="黑体" w:hAnsi="黑体" w:eastAsia="黑体" w:cs="黑体"/>
                <w:i/>
                <w:color w:val="000000"/>
                <w:sz w:val="18"/>
                <w:szCs w:val="18"/>
                <w:u w:val="none"/>
              </w:rPr>
            </w:pPr>
          </w:p>
        </w:tc>
      </w:tr>
      <w:tr w14:paraId="6629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182B">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A3A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AB59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F32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B4C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205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FC0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F71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D4A4">
            <w:pPr>
              <w:rPr>
                <w:rFonts w:hint="eastAsia" w:ascii="黑体" w:hAnsi="黑体" w:eastAsia="黑体" w:cs="黑体"/>
                <w:i/>
                <w:color w:val="000000"/>
                <w:sz w:val="18"/>
                <w:szCs w:val="18"/>
                <w:u w:val="none"/>
              </w:rPr>
            </w:pPr>
          </w:p>
        </w:tc>
      </w:tr>
      <w:tr w14:paraId="3B45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1A2F">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68B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A516">
            <w:pPr>
              <w:jc w:val="center"/>
              <w:rPr>
                <w:rFonts w:hint="eastAsia" w:ascii="微软雅黑" w:hAnsi="微软雅黑" w:eastAsia="微软雅黑" w:cs="微软雅黑"/>
                <w:i/>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BFAF">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DDFF">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0E27">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B29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6DB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8E80F">
            <w:pPr>
              <w:rPr>
                <w:rFonts w:hint="eastAsia" w:ascii="黑体" w:hAnsi="黑体" w:eastAsia="黑体" w:cs="黑体"/>
                <w:i/>
                <w:color w:val="000000"/>
                <w:sz w:val="18"/>
                <w:szCs w:val="18"/>
                <w:u w:val="none"/>
              </w:rPr>
            </w:pPr>
          </w:p>
        </w:tc>
      </w:tr>
      <w:tr w14:paraId="3A3F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71E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EF2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729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2B6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EB6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230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D59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77D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565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CCB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6D4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1750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238D">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49D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430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295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资料的印刷份数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864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BB9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64C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CBE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FBE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573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2442">
            <w:pPr>
              <w:jc w:val="center"/>
              <w:rPr>
                <w:rFonts w:hint="eastAsia" w:ascii="微软雅黑" w:hAnsi="微软雅黑" w:eastAsia="微软雅黑" w:cs="微软雅黑"/>
                <w:i/>
                <w:color w:val="000000"/>
                <w:sz w:val="16"/>
                <w:szCs w:val="16"/>
                <w:u w:val="none"/>
              </w:rPr>
            </w:pPr>
          </w:p>
        </w:tc>
      </w:tr>
      <w:tr w14:paraId="1571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9D45">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EE99">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E1DD">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22E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帮助社区（乡镇）次数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2A0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750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D350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8A3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278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F82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55C0">
            <w:pPr>
              <w:jc w:val="center"/>
              <w:rPr>
                <w:rFonts w:hint="eastAsia" w:ascii="微软雅黑" w:hAnsi="微软雅黑" w:eastAsia="微软雅黑" w:cs="微软雅黑"/>
                <w:i/>
                <w:color w:val="000000"/>
                <w:sz w:val="16"/>
                <w:szCs w:val="16"/>
                <w:u w:val="none"/>
              </w:rPr>
            </w:pPr>
          </w:p>
        </w:tc>
      </w:tr>
      <w:tr w14:paraId="0BA1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E9BE">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1570">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F7C9">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9A7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会议举行次数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11B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2CD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67A1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2F5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DD0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657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05DC">
            <w:pPr>
              <w:jc w:val="center"/>
              <w:rPr>
                <w:rFonts w:hint="eastAsia" w:ascii="微软雅黑" w:hAnsi="微软雅黑" w:eastAsia="微软雅黑" w:cs="微软雅黑"/>
                <w:i/>
                <w:color w:val="000000"/>
                <w:sz w:val="16"/>
                <w:szCs w:val="16"/>
                <w:u w:val="none"/>
              </w:rPr>
            </w:pPr>
          </w:p>
        </w:tc>
      </w:tr>
      <w:tr w14:paraId="63F7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0F24">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6BE7">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00BE">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4CCB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开展培训次数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E28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1E3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A7C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C87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848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9990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D1A8">
            <w:pPr>
              <w:jc w:val="center"/>
              <w:rPr>
                <w:rFonts w:hint="eastAsia" w:ascii="微软雅黑" w:hAnsi="微软雅黑" w:eastAsia="微软雅黑" w:cs="微软雅黑"/>
                <w:i/>
                <w:color w:val="000000"/>
                <w:sz w:val="16"/>
                <w:szCs w:val="16"/>
                <w:u w:val="none"/>
              </w:rPr>
            </w:pPr>
          </w:p>
        </w:tc>
      </w:tr>
      <w:tr w14:paraId="42F4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91A4">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F23D">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4326">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B99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差旅报销次数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6DB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7DE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4F0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DDB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EE5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5EC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010B5">
            <w:pPr>
              <w:jc w:val="center"/>
              <w:rPr>
                <w:rFonts w:hint="eastAsia" w:ascii="微软雅黑" w:hAnsi="微软雅黑" w:eastAsia="微软雅黑" w:cs="微软雅黑"/>
                <w:i/>
                <w:color w:val="000000"/>
                <w:sz w:val="16"/>
                <w:szCs w:val="16"/>
                <w:u w:val="none"/>
              </w:rPr>
            </w:pPr>
          </w:p>
        </w:tc>
      </w:tr>
      <w:tr w14:paraId="428D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3CB4">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6568">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3182">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408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汽车租赁次数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F44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32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F8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60F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06D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55E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E341">
            <w:pPr>
              <w:jc w:val="center"/>
              <w:rPr>
                <w:rFonts w:hint="eastAsia" w:ascii="微软雅黑" w:hAnsi="微软雅黑" w:eastAsia="微软雅黑" w:cs="微软雅黑"/>
                <w:i/>
                <w:color w:val="000000"/>
                <w:sz w:val="16"/>
                <w:szCs w:val="16"/>
                <w:u w:val="none"/>
              </w:rPr>
            </w:pPr>
          </w:p>
        </w:tc>
      </w:tr>
      <w:tr w14:paraId="476E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C35B">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3EC8">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5188">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DF9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办公设备采购数量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C60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3F3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99C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7F3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DC8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190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9D64">
            <w:pPr>
              <w:jc w:val="center"/>
              <w:rPr>
                <w:rFonts w:hint="eastAsia" w:ascii="微软雅黑" w:hAnsi="微软雅黑" w:eastAsia="微软雅黑" w:cs="微软雅黑"/>
                <w:i/>
                <w:color w:val="000000"/>
                <w:sz w:val="16"/>
                <w:szCs w:val="16"/>
                <w:u w:val="none"/>
              </w:rPr>
            </w:pPr>
          </w:p>
        </w:tc>
      </w:tr>
      <w:tr w14:paraId="17EC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0EEB">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AAD4">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B6217">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C4A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购买办公用品批次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805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AE6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1CE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143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FCC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178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D583">
            <w:pPr>
              <w:jc w:val="center"/>
              <w:rPr>
                <w:rFonts w:hint="eastAsia" w:ascii="微软雅黑" w:hAnsi="微软雅黑" w:eastAsia="微软雅黑" w:cs="微软雅黑"/>
                <w:i/>
                <w:color w:val="000000"/>
                <w:sz w:val="16"/>
                <w:szCs w:val="16"/>
                <w:u w:val="none"/>
              </w:rPr>
            </w:pPr>
          </w:p>
        </w:tc>
      </w:tr>
      <w:tr w14:paraId="7048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3548">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59DC">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1F2C">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F9E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全区全年开展督查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4BB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6AF8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1B9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D30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59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9F5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519A">
            <w:pPr>
              <w:jc w:val="center"/>
              <w:rPr>
                <w:rFonts w:hint="eastAsia" w:ascii="微软雅黑" w:hAnsi="微软雅黑" w:eastAsia="微软雅黑" w:cs="微软雅黑"/>
                <w:i/>
                <w:color w:val="000000"/>
                <w:sz w:val="16"/>
                <w:szCs w:val="16"/>
                <w:u w:val="none"/>
              </w:rPr>
            </w:pPr>
          </w:p>
        </w:tc>
      </w:tr>
      <w:tr w14:paraId="3E0A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7816">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F254">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0C2E">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6DC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办公设备维护次数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208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00B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E2A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D7B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451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E64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1041">
            <w:pPr>
              <w:jc w:val="center"/>
              <w:rPr>
                <w:rFonts w:hint="eastAsia" w:ascii="微软雅黑" w:hAnsi="微软雅黑" w:eastAsia="微软雅黑" w:cs="微软雅黑"/>
                <w:i/>
                <w:color w:val="000000"/>
                <w:sz w:val="16"/>
                <w:szCs w:val="16"/>
                <w:u w:val="none"/>
              </w:rPr>
            </w:pPr>
          </w:p>
        </w:tc>
      </w:tr>
      <w:tr w14:paraId="373D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D3A3B">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35E9">
            <w:pPr>
              <w:jc w:val="center"/>
              <w:rPr>
                <w:rFonts w:hint="eastAsia" w:ascii="宋体" w:hAnsi="宋体" w:eastAsia="宋体" w:cs="宋体"/>
                <w:i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3B5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E7A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经费支付准确率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2C6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00F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3C6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A3AB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4ED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847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BDDF">
            <w:pPr>
              <w:jc w:val="center"/>
              <w:rPr>
                <w:rFonts w:hint="eastAsia" w:ascii="微软雅黑" w:hAnsi="微软雅黑" w:eastAsia="微软雅黑" w:cs="微软雅黑"/>
                <w:i/>
                <w:color w:val="000000"/>
                <w:sz w:val="16"/>
                <w:szCs w:val="16"/>
                <w:u w:val="none"/>
              </w:rPr>
            </w:pPr>
          </w:p>
        </w:tc>
      </w:tr>
      <w:tr w14:paraId="510F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68B9">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01AD">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D4AC">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D0D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督查通报合格率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F5DA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C28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555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F3A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238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204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EA13">
            <w:pPr>
              <w:jc w:val="center"/>
              <w:rPr>
                <w:rFonts w:hint="eastAsia" w:ascii="微软雅黑" w:hAnsi="微软雅黑" w:eastAsia="微软雅黑" w:cs="微软雅黑"/>
                <w:i/>
                <w:color w:val="000000"/>
                <w:sz w:val="16"/>
                <w:szCs w:val="16"/>
                <w:u w:val="none"/>
              </w:rPr>
            </w:pPr>
          </w:p>
        </w:tc>
      </w:tr>
      <w:tr w14:paraId="3FF8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7DAB">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65FC">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FB3D">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213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C57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E69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46D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C63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10D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6BE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4D64">
            <w:pPr>
              <w:jc w:val="center"/>
              <w:rPr>
                <w:rFonts w:hint="eastAsia" w:ascii="微软雅黑" w:hAnsi="微软雅黑" w:eastAsia="微软雅黑" w:cs="微软雅黑"/>
                <w:i/>
                <w:color w:val="000000"/>
                <w:sz w:val="16"/>
                <w:szCs w:val="16"/>
                <w:u w:val="none"/>
              </w:rPr>
            </w:pPr>
          </w:p>
        </w:tc>
      </w:tr>
      <w:tr w14:paraId="2F9B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08E6">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D84F">
            <w:pPr>
              <w:jc w:val="center"/>
              <w:rPr>
                <w:rFonts w:hint="eastAsia" w:ascii="宋体" w:hAnsi="宋体" w:eastAsia="宋体" w:cs="宋体"/>
                <w:i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019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E0C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督查工作开展及时性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EC7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E576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387D">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38D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0C4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490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E1DA">
            <w:pPr>
              <w:jc w:val="center"/>
              <w:rPr>
                <w:rFonts w:hint="eastAsia" w:ascii="微软雅黑" w:hAnsi="微软雅黑" w:eastAsia="微软雅黑" w:cs="微软雅黑"/>
                <w:i/>
                <w:color w:val="000000"/>
                <w:sz w:val="16"/>
                <w:szCs w:val="16"/>
                <w:u w:val="none"/>
              </w:rPr>
            </w:pPr>
          </w:p>
        </w:tc>
      </w:tr>
      <w:tr w14:paraId="66AC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1424">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D6A7">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8FBF">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C5B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经费发放及时性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4AE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867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F36F">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A6ED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64F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004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9287">
            <w:pPr>
              <w:jc w:val="center"/>
              <w:rPr>
                <w:rFonts w:hint="eastAsia" w:ascii="微软雅黑" w:hAnsi="微软雅黑" w:eastAsia="微软雅黑" w:cs="微软雅黑"/>
                <w:i/>
                <w:color w:val="000000"/>
                <w:sz w:val="16"/>
                <w:szCs w:val="16"/>
                <w:u w:val="none"/>
              </w:rPr>
            </w:pPr>
          </w:p>
        </w:tc>
      </w:tr>
      <w:tr w14:paraId="6AE9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42A5">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EF5E">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4213">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60D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设备维护及时性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7E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0710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EB27">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2319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AED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E62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42A4">
            <w:pPr>
              <w:jc w:val="center"/>
              <w:rPr>
                <w:rFonts w:hint="eastAsia" w:ascii="微软雅黑" w:hAnsi="微软雅黑" w:eastAsia="微软雅黑" w:cs="微软雅黑"/>
                <w:i/>
                <w:color w:val="000000"/>
                <w:sz w:val="16"/>
                <w:szCs w:val="16"/>
                <w:u w:val="none"/>
              </w:rPr>
            </w:pPr>
          </w:p>
        </w:tc>
      </w:tr>
      <w:tr w14:paraId="0DD5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1B27">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EBD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EBA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DCC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绩效考核结果运用率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8F55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283E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D26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502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FA85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910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9006">
            <w:pPr>
              <w:jc w:val="center"/>
              <w:rPr>
                <w:rFonts w:hint="eastAsia" w:ascii="微软雅黑" w:hAnsi="微软雅黑" w:eastAsia="微软雅黑" w:cs="微软雅黑"/>
                <w:i/>
                <w:color w:val="000000"/>
                <w:sz w:val="16"/>
                <w:szCs w:val="16"/>
                <w:u w:val="none"/>
              </w:rPr>
            </w:pPr>
          </w:p>
        </w:tc>
      </w:tr>
      <w:tr w14:paraId="552C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CEFA">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A59C">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2CDD">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4F4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差旅补助应发尽发率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BE56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A24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33C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1C2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9AC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766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8796">
            <w:pPr>
              <w:jc w:val="center"/>
              <w:rPr>
                <w:rFonts w:hint="eastAsia" w:ascii="微软雅黑" w:hAnsi="微软雅黑" w:eastAsia="微软雅黑" w:cs="微软雅黑"/>
                <w:i/>
                <w:color w:val="000000"/>
                <w:sz w:val="16"/>
                <w:szCs w:val="16"/>
                <w:u w:val="none"/>
              </w:rPr>
            </w:pPr>
          </w:p>
        </w:tc>
      </w:tr>
      <w:tr w14:paraId="187D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7645">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776F">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C838">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B60B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设备投入使用率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2DD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F52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BA3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D05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DD4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BB4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6ADA">
            <w:pPr>
              <w:jc w:val="center"/>
              <w:rPr>
                <w:rFonts w:hint="eastAsia" w:ascii="微软雅黑" w:hAnsi="微软雅黑" w:eastAsia="微软雅黑" w:cs="微软雅黑"/>
                <w:i/>
                <w:color w:val="000000"/>
                <w:sz w:val="16"/>
                <w:szCs w:val="16"/>
                <w:u w:val="none"/>
              </w:rPr>
            </w:pPr>
          </w:p>
        </w:tc>
      </w:tr>
      <w:tr w14:paraId="6DD1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4E66">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BF0E">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1949">
            <w:pPr>
              <w:jc w:val="center"/>
              <w:rPr>
                <w:rFonts w:hint="eastAsia" w:ascii="宋体" w:hAnsi="宋体" w:eastAsia="宋体" w:cs="宋体"/>
                <w:i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62A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督查通报投入使用率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D26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CD8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596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A30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714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B1B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0EE5">
            <w:pPr>
              <w:jc w:val="center"/>
              <w:rPr>
                <w:rFonts w:hint="eastAsia" w:ascii="微软雅黑" w:hAnsi="微软雅黑" w:eastAsia="微软雅黑" w:cs="微软雅黑"/>
                <w:i/>
                <w:color w:val="000000"/>
                <w:sz w:val="16"/>
                <w:szCs w:val="16"/>
                <w:u w:val="none"/>
              </w:rPr>
            </w:pPr>
          </w:p>
        </w:tc>
      </w:tr>
      <w:tr w14:paraId="72FB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8635">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E48A">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C28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FDB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绩效考核管理制度健全性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E19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E8A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D0D5">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62F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F99A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2AD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35B8">
            <w:pPr>
              <w:jc w:val="center"/>
              <w:rPr>
                <w:rFonts w:hint="eastAsia" w:ascii="微软雅黑" w:hAnsi="微软雅黑" w:eastAsia="微软雅黑" w:cs="微软雅黑"/>
                <w:i/>
                <w:color w:val="000000"/>
                <w:sz w:val="16"/>
                <w:szCs w:val="16"/>
                <w:u w:val="none"/>
              </w:rPr>
            </w:pPr>
          </w:p>
        </w:tc>
      </w:tr>
      <w:tr w14:paraId="2463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8589">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EDB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7C8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BED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单位工作人员满意度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7DA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999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F59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4DFF">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DF2C">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CAA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D5A0">
            <w:pPr>
              <w:jc w:val="center"/>
              <w:rPr>
                <w:rFonts w:hint="eastAsia" w:ascii="微软雅黑" w:hAnsi="微软雅黑" w:eastAsia="微软雅黑" w:cs="微软雅黑"/>
                <w:i/>
                <w:color w:val="000000"/>
                <w:sz w:val="16"/>
                <w:szCs w:val="16"/>
                <w:u w:val="none"/>
              </w:rPr>
            </w:pPr>
          </w:p>
        </w:tc>
      </w:tr>
      <w:tr w14:paraId="079C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057C">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740F">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8BA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E02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社区（乡镇）对象满意度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BEB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5FD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39A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AF9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54B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21A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24BD">
            <w:pPr>
              <w:jc w:val="center"/>
              <w:rPr>
                <w:rFonts w:hint="eastAsia" w:ascii="微软雅黑" w:hAnsi="微软雅黑" w:eastAsia="微软雅黑" w:cs="微软雅黑"/>
                <w:i/>
                <w:color w:val="000000"/>
                <w:sz w:val="16"/>
                <w:szCs w:val="16"/>
                <w:u w:val="none"/>
              </w:rPr>
            </w:pPr>
          </w:p>
        </w:tc>
      </w:tr>
      <w:tr w14:paraId="775A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D778">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A449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D5D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B318">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总成本控制</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200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312D">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D5E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621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5ABA">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0057">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86D0">
            <w:pPr>
              <w:jc w:val="center"/>
              <w:rPr>
                <w:rFonts w:hint="eastAsia" w:ascii="微软雅黑" w:hAnsi="微软雅黑" w:eastAsia="微软雅黑" w:cs="微软雅黑"/>
                <w:i/>
                <w:color w:val="000000"/>
                <w:sz w:val="16"/>
                <w:szCs w:val="16"/>
                <w:u w:val="none"/>
              </w:rPr>
            </w:pPr>
          </w:p>
        </w:tc>
      </w:tr>
      <w:tr w14:paraId="2514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D260">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C4E3">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0D0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45A7">
            <w:pPr>
              <w:rPr>
                <w:rFonts w:hint="eastAsia" w:ascii="宋体" w:hAnsi="宋体" w:eastAsia="宋体" w:cs="宋体"/>
                <w:i w:val="0"/>
                <w:color w:val="000000"/>
                <w:sz w:val="18"/>
                <w:szCs w:val="18"/>
                <w:u w:val="none"/>
              </w:rPr>
            </w:pPr>
          </w:p>
        </w:tc>
      </w:tr>
      <w:tr w14:paraId="3A98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BCD2">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207A">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综合得分96分，该项目积极有效发挥综合考评和绩效管理导向助推作用，推进经济发展、重大项目、重点工作、重要改革、民生实事等方面持续发力，全区营商环境工作体系持续健全优化，全面完成全区全年目标任务，有力促进全区经济社会健康平稳良好发展，确保全年目标任务高质量完成。</w:t>
            </w:r>
          </w:p>
        </w:tc>
      </w:tr>
      <w:tr w14:paraId="3822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EB15">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A826">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由于绩效管理的经验不足，项目的进度与支出过程中存在不对等关系；部分成果无法用指标方式表示；在绩效考评指标的设计上流于形式，有待完善。</w:t>
            </w:r>
          </w:p>
        </w:tc>
      </w:tr>
      <w:tr w14:paraId="1E05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091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F089">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14:paraId="6A49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546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91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79ED8813">
      <w:pPr>
        <w:pStyle w:val="9"/>
        <w:rPr>
          <w:rFonts w:hint="eastAsia"/>
        </w:rPr>
        <w:sectPr>
          <w:pgSz w:w="16838" w:h="11906" w:orient="landscape"/>
          <w:pgMar w:top="1587" w:right="2098" w:bottom="1474" w:left="1984" w:header="851" w:footer="992" w:gutter="0"/>
          <w:pgNumType w:fmt="decimal"/>
          <w:cols w:space="425" w:num="1"/>
          <w:titlePg/>
          <w:docGrid w:type="lines" w:linePitch="312" w:charSpace="0"/>
        </w:sectPr>
      </w:pPr>
    </w:p>
    <w:p w14:paraId="44A3888B">
      <w:pPr>
        <w:pStyle w:val="4"/>
        <w:jc w:val="center"/>
        <w:outlineLvl w:val="0"/>
        <w:rPr>
          <w:rFonts w:hint="eastAsia" w:ascii="方正小标宋简体" w:hAnsi="方正小标宋简体" w:eastAsia="方正小标宋简体" w:cs="方正小标宋简体"/>
          <w:b w:val="0"/>
          <w:bCs/>
          <w:color w:val="auto"/>
          <w:sz w:val="44"/>
          <w:szCs w:val="44"/>
          <w:highlight w:val="none"/>
          <w:lang w:val="en-US" w:eastAsia="zh-CN"/>
        </w:rPr>
      </w:pPr>
      <w:bookmarkStart w:id="114" w:name="_Toc9057"/>
      <w:r>
        <w:rPr>
          <w:rFonts w:hint="eastAsia" w:ascii="方正小标宋简体" w:hAnsi="方正小标宋简体" w:eastAsia="方正小标宋简体" w:cs="方正小标宋简体"/>
          <w:b w:val="0"/>
          <w:bCs/>
          <w:color w:val="auto"/>
          <w:sz w:val="44"/>
          <w:szCs w:val="44"/>
          <w:highlight w:val="none"/>
          <w:lang w:val="en-US" w:eastAsia="zh-CN"/>
        </w:rPr>
        <w:t>第五部分 附表</w:t>
      </w:r>
      <w:bookmarkEnd w:id="108"/>
      <w:bookmarkEnd w:id="114"/>
    </w:p>
    <w:p w14:paraId="7C0EADA8">
      <w:pPr>
        <w:pStyle w:val="4"/>
        <w:rPr>
          <w:rFonts w:ascii="仿宋" w:hAnsi="仿宋" w:eastAsia="仿宋"/>
          <w:color w:val="auto"/>
          <w:sz w:val="32"/>
          <w:szCs w:val="32"/>
          <w:highlight w:val="none"/>
        </w:rPr>
      </w:pPr>
      <w:bookmarkStart w:id="115" w:name="_Toc13012"/>
      <w:bookmarkStart w:id="116" w:name="_Toc11315"/>
      <w:r>
        <w:rPr>
          <w:rFonts w:hint="eastAsia" w:ascii="仿宋" w:hAnsi="仿宋" w:eastAsia="仿宋"/>
          <w:b w:val="0"/>
          <w:color w:val="auto"/>
          <w:sz w:val="32"/>
          <w:szCs w:val="32"/>
          <w:highlight w:val="none"/>
        </w:rPr>
        <w:t>一、收</w:t>
      </w:r>
      <w:r>
        <w:rPr>
          <w:rStyle w:val="33"/>
          <w:rFonts w:hint="eastAsia" w:ascii="仿宋" w:hAnsi="仿宋" w:eastAsia="仿宋"/>
          <w:b w:val="0"/>
          <w:bCs w:val="0"/>
          <w:color w:val="auto"/>
          <w:sz w:val="32"/>
          <w:szCs w:val="32"/>
          <w:highlight w:val="none"/>
        </w:rPr>
        <w:t>入支出决算总表</w:t>
      </w:r>
      <w:bookmarkEnd w:id="109"/>
      <w:bookmarkEnd w:id="115"/>
      <w:bookmarkEnd w:id="116"/>
    </w:p>
    <w:p w14:paraId="7BE9D14B">
      <w:pPr>
        <w:pStyle w:val="4"/>
        <w:rPr>
          <w:rFonts w:ascii="仿宋" w:hAnsi="仿宋" w:eastAsia="仿宋"/>
          <w:color w:val="auto"/>
          <w:sz w:val="32"/>
          <w:szCs w:val="32"/>
          <w:highlight w:val="none"/>
        </w:rPr>
      </w:pPr>
      <w:bookmarkStart w:id="117" w:name="_Toc15396620"/>
      <w:bookmarkStart w:id="118" w:name="_Toc11468"/>
      <w:bookmarkStart w:id="119" w:name="_Toc1893"/>
      <w:bookmarkStart w:id="120" w:name="_Toc27865_WPSOffice_Level2"/>
      <w:r>
        <w:rPr>
          <w:rFonts w:hint="eastAsia" w:ascii="仿宋" w:hAnsi="仿宋" w:eastAsia="仿宋"/>
          <w:b w:val="0"/>
          <w:color w:val="auto"/>
          <w:sz w:val="32"/>
          <w:szCs w:val="32"/>
          <w:highlight w:val="none"/>
        </w:rPr>
        <w:t>二、收</w:t>
      </w:r>
      <w:r>
        <w:rPr>
          <w:rStyle w:val="33"/>
          <w:rFonts w:hint="eastAsia" w:ascii="仿宋" w:hAnsi="仿宋" w:eastAsia="仿宋"/>
          <w:b w:val="0"/>
          <w:bCs w:val="0"/>
          <w:color w:val="auto"/>
          <w:sz w:val="32"/>
          <w:szCs w:val="32"/>
          <w:highlight w:val="none"/>
        </w:rPr>
        <w:t>入决算表</w:t>
      </w:r>
      <w:bookmarkEnd w:id="117"/>
      <w:bookmarkEnd w:id="118"/>
      <w:bookmarkEnd w:id="119"/>
      <w:bookmarkEnd w:id="120"/>
    </w:p>
    <w:p w14:paraId="0D89975A">
      <w:pPr>
        <w:pStyle w:val="4"/>
        <w:rPr>
          <w:rFonts w:ascii="仿宋" w:hAnsi="仿宋" w:eastAsia="仿宋"/>
          <w:color w:val="auto"/>
          <w:sz w:val="32"/>
          <w:szCs w:val="32"/>
          <w:highlight w:val="none"/>
        </w:rPr>
      </w:pPr>
      <w:bookmarkStart w:id="121" w:name="_Toc26472_WPSOffice_Level2"/>
      <w:bookmarkStart w:id="122" w:name="_Toc27234"/>
      <w:bookmarkStart w:id="123" w:name="_Toc15396621"/>
      <w:bookmarkStart w:id="124" w:name="_Toc3111"/>
      <w:r>
        <w:rPr>
          <w:rStyle w:val="33"/>
          <w:rFonts w:hint="eastAsia" w:ascii="仿宋" w:hAnsi="仿宋" w:eastAsia="仿宋"/>
          <w:b w:val="0"/>
          <w:bCs w:val="0"/>
          <w:color w:val="auto"/>
          <w:sz w:val="32"/>
          <w:szCs w:val="32"/>
          <w:highlight w:val="none"/>
        </w:rPr>
        <w:t>三、</w:t>
      </w:r>
      <w:r>
        <w:rPr>
          <w:rFonts w:hint="eastAsia" w:ascii="仿宋" w:hAnsi="仿宋" w:eastAsia="仿宋"/>
          <w:b w:val="0"/>
          <w:color w:val="auto"/>
          <w:sz w:val="32"/>
          <w:szCs w:val="32"/>
          <w:highlight w:val="none"/>
        </w:rPr>
        <w:t>支</w:t>
      </w:r>
      <w:r>
        <w:rPr>
          <w:rStyle w:val="33"/>
          <w:rFonts w:hint="eastAsia" w:ascii="仿宋" w:hAnsi="仿宋" w:eastAsia="仿宋"/>
          <w:b w:val="0"/>
          <w:bCs w:val="0"/>
          <w:color w:val="auto"/>
          <w:sz w:val="32"/>
          <w:szCs w:val="32"/>
          <w:highlight w:val="none"/>
        </w:rPr>
        <w:t>出决算表</w:t>
      </w:r>
      <w:bookmarkEnd w:id="121"/>
      <w:bookmarkEnd w:id="122"/>
      <w:bookmarkEnd w:id="123"/>
      <w:bookmarkEnd w:id="124"/>
    </w:p>
    <w:p w14:paraId="0171EE6F">
      <w:pPr>
        <w:pStyle w:val="4"/>
        <w:rPr>
          <w:rFonts w:ascii="仿宋" w:hAnsi="仿宋" w:eastAsia="仿宋"/>
          <w:b w:val="0"/>
          <w:color w:val="auto"/>
          <w:sz w:val="32"/>
          <w:szCs w:val="32"/>
          <w:highlight w:val="none"/>
        </w:rPr>
      </w:pPr>
      <w:bookmarkStart w:id="125" w:name="_Toc5363"/>
      <w:bookmarkStart w:id="126" w:name="_Toc1515"/>
      <w:bookmarkStart w:id="127" w:name="_Toc9909_WPSOffice_Level2"/>
      <w:bookmarkStart w:id="128" w:name="_Toc15396622"/>
      <w:r>
        <w:rPr>
          <w:rStyle w:val="33"/>
          <w:rFonts w:hint="eastAsia" w:ascii="仿宋" w:hAnsi="仿宋" w:eastAsia="仿宋"/>
          <w:b w:val="0"/>
          <w:bCs w:val="0"/>
          <w:color w:val="auto"/>
          <w:sz w:val="32"/>
          <w:szCs w:val="32"/>
          <w:highlight w:val="none"/>
        </w:rPr>
        <w:t>四、</w:t>
      </w:r>
      <w:r>
        <w:rPr>
          <w:rFonts w:hint="eastAsia" w:ascii="仿宋" w:hAnsi="仿宋" w:eastAsia="仿宋"/>
          <w:b w:val="0"/>
          <w:color w:val="auto"/>
          <w:sz w:val="32"/>
          <w:szCs w:val="32"/>
          <w:highlight w:val="none"/>
        </w:rPr>
        <w:t>财</w:t>
      </w:r>
      <w:r>
        <w:rPr>
          <w:rStyle w:val="33"/>
          <w:rFonts w:hint="eastAsia" w:ascii="仿宋" w:hAnsi="仿宋" w:eastAsia="仿宋"/>
          <w:b w:val="0"/>
          <w:bCs w:val="0"/>
          <w:color w:val="auto"/>
          <w:sz w:val="32"/>
          <w:szCs w:val="32"/>
          <w:highlight w:val="none"/>
        </w:rPr>
        <w:t>政拨款收入支出决算总表</w:t>
      </w:r>
      <w:bookmarkEnd w:id="125"/>
      <w:bookmarkEnd w:id="126"/>
      <w:bookmarkEnd w:id="127"/>
      <w:bookmarkEnd w:id="128"/>
    </w:p>
    <w:p w14:paraId="63918FA5">
      <w:pPr>
        <w:pStyle w:val="4"/>
        <w:rPr>
          <w:rStyle w:val="33"/>
          <w:rFonts w:ascii="仿宋" w:hAnsi="仿宋" w:eastAsia="仿宋"/>
          <w:b w:val="0"/>
          <w:bCs w:val="0"/>
          <w:color w:val="auto"/>
          <w:sz w:val="32"/>
          <w:szCs w:val="32"/>
          <w:highlight w:val="none"/>
        </w:rPr>
      </w:pPr>
      <w:bookmarkStart w:id="129" w:name="_Toc15396623"/>
      <w:bookmarkStart w:id="130" w:name="_Toc10001_WPSOffice_Level2"/>
      <w:bookmarkStart w:id="131" w:name="_Toc16161"/>
      <w:bookmarkStart w:id="132" w:name="_Toc6667"/>
      <w:r>
        <w:rPr>
          <w:rStyle w:val="33"/>
          <w:rFonts w:hint="eastAsia" w:ascii="仿宋" w:hAnsi="仿宋" w:eastAsia="仿宋"/>
          <w:b w:val="0"/>
          <w:bCs w:val="0"/>
          <w:color w:val="auto"/>
          <w:sz w:val="32"/>
          <w:szCs w:val="32"/>
          <w:highlight w:val="none"/>
        </w:rPr>
        <w:t>五、</w:t>
      </w:r>
      <w:r>
        <w:rPr>
          <w:rFonts w:hint="eastAsia" w:ascii="仿宋" w:hAnsi="仿宋" w:eastAsia="仿宋"/>
          <w:b w:val="0"/>
          <w:color w:val="auto"/>
          <w:sz w:val="32"/>
          <w:szCs w:val="32"/>
          <w:highlight w:val="none"/>
        </w:rPr>
        <w:t>财</w:t>
      </w:r>
      <w:r>
        <w:rPr>
          <w:rStyle w:val="33"/>
          <w:rFonts w:hint="eastAsia" w:ascii="仿宋" w:hAnsi="仿宋" w:eastAsia="仿宋"/>
          <w:b w:val="0"/>
          <w:bCs w:val="0"/>
          <w:color w:val="auto"/>
          <w:sz w:val="32"/>
          <w:szCs w:val="32"/>
          <w:highlight w:val="none"/>
        </w:rPr>
        <w:t>政拨款支出决算明细表</w:t>
      </w:r>
      <w:bookmarkEnd w:id="129"/>
      <w:bookmarkEnd w:id="130"/>
      <w:bookmarkEnd w:id="131"/>
      <w:bookmarkEnd w:id="132"/>
      <w:bookmarkStart w:id="133" w:name="_Toc15396624"/>
    </w:p>
    <w:p w14:paraId="63D0C6FA">
      <w:pPr>
        <w:pStyle w:val="4"/>
        <w:rPr>
          <w:rFonts w:ascii="仿宋" w:hAnsi="仿宋" w:eastAsia="仿宋"/>
          <w:color w:val="auto"/>
          <w:sz w:val="32"/>
          <w:szCs w:val="32"/>
          <w:highlight w:val="none"/>
        </w:rPr>
      </w:pPr>
      <w:bookmarkStart w:id="134" w:name="_Toc18847_WPSOffice_Level2"/>
      <w:bookmarkStart w:id="135" w:name="_Toc15935"/>
      <w:bookmarkStart w:id="136" w:name="_Toc5629"/>
      <w:r>
        <w:rPr>
          <w:rStyle w:val="33"/>
          <w:rFonts w:hint="eastAsia" w:ascii="仿宋" w:hAnsi="仿宋" w:eastAsia="仿宋"/>
          <w:b w:val="0"/>
          <w:bCs w:val="0"/>
          <w:color w:val="auto"/>
          <w:sz w:val="32"/>
          <w:szCs w:val="32"/>
          <w:highlight w:val="none"/>
        </w:rPr>
        <w:t>六、</w:t>
      </w: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般公共预算财政拨款支出决算表</w:t>
      </w:r>
      <w:bookmarkEnd w:id="133"/>
      <w:bookmarkEnd w:id="134"/>
      <w:bookmarkEnd w:id="135"/>
      <w:bookmarkEnd w:id="136"/>
    </w:p>
    <w:p w14:paraId="29D57155">
      <w:pPr>
        <w:pStyle w:val="4"/>
        <w:rPr>
          <w:rFonts w:ascii="仿宋" w:hAnsi="仿宋" w:eastAsia="仿宋"/>
          <w:color w:val="auto"/>
          <w:sz w:val="32"/>
          <w:szCs w:val="32"/>
          <w:highlight w:val="none"/>
        </w:rPr>
      </w:pPr>
      <w:bookmarkStart w:id="137" w:name="_Toc7105_WPSOffice_Level2"/>
      <w:bookmarkStart w:id="138" w:name="_Toc22560"/>
      <w:bookmarkStart w:id="139" w:name="_Toc15396625"/>
      <w:bookmarkStart w:id="140" w:name="_Toc16732"/>
      <w:r>
        <w:rPr>
          <w:rStyle w:val="33"/>
          <w:rFonts w:hint="eastAsia" w:ascii="仿宋" w:hAnsi="仿宋" w:eastAsia="仿宋"/>
          <w:b w:val="0"/>
          <w:bCs w:val="0"/>
          <w:color w:val="auto"/>
          <w:sz w:val="32"/>
          <w:szCs w:val="32"/>
          <w:highlight w:val="none"/>
        </w:rPr>
        <w:t>七、</w:t>
      </w: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般公共预算财政拨款支出决算明细表</w:t>
      </w:r>
      <w:bookmarkEnd w:id="137"/>
      <w:bookmarkEnd w:id="138"/>
      <w:bookmarkEnd w:id="139"/>
      <w:bookmarkEnd w:id="140"/>
    </w:p>
    <w:p w14:paraId="0C5B5434">
      <w:pPr>
        <w:pStyle w:val="4"/>
        <w:rPr>
          <w:rFonts w:ascii="仿宋" w:hAnsi="仿宋" w:eastAsia="仿宋"/>
          <w:color w:val="auto"/>
          <w:sz w:val="32"/>
          <w:szCs w:val="32"/>
          <w:highlight w:val="none"/>
        </w:rPr>
      </w:pPr>
      <w:bookmarkStart w:id="141" w:name="_Toc4866"/>
      <w:bookmarkStart w:id="142" w:name="_Toc18922_WPSOffice_Level2"/>
      <w:bookmarkStart w:id="143" w:name="_Toc2631"/>
      <w:bookmarkStart w:id="144" w:name="_Toc15396626"/>
      <w:r>
        <w:rPr>
          <w:rStyle w:val="33"/>
          <w:rFonts w:hint="eastAsia" w:ascii="仿宋" w:hAnsi="仿宋" w:eastAsia="仿宋"/>
          <w:b w:val="0"/>
          <w:bCs w:val="0"/>
          <w:color w:val="auto"/>
          <w:sz w:val="32"/>
          <w:szCs w:val="32"/>
          <w:highlight w:val="none"/>
        </w:rPr>
        <w:t>八、</w:t>
      </w: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般公共预算财政拨款基本支出决算表</w:t>
      </w:r>
      <w:bookmarkEnd w:id="141"/>
      <w:bookmarkEnd w:id="142"/>
      <w:bookmarkEnd w:id="143"/>
      <w:bookmarkEnd w:id="144"/>
    </w:p>
    <w:p w14:paraId="4D850772">
      <w:pPr>
        <w:pStyle w:val="4"/>
        <w:rPr>
          <w:rFonts w:ascii="仿宋" w:hAnsi="仿宋" w:eastAsia="仿宋"/>
          <w:color w:val="auto"/>
          <w:sz w:val="32"/>
          <w:szCs w:val="32"/>
          <w:highlight w:val="none"/>
        </w:rPr>
      </w:pPr>
      <w:bookmarkStart w:id="145" w:name="_Toc5229"/>
      <w:bookmarkStart w:id="146" w:name="_Toc7722"/>
      <w:bookmarkStart w:id="147" w:name="_Toc7160_WPSOffice_Level2"/>
      <w:bookmarkStart w:id="148" w:name="_Toc15396627"/>
      <w:r>
        <w:rPr>
          <w:rStyle w:val="33"/>
          <w:rFonts w:hint="eastAsia" w:ascii="仿宋" w:hAnsi="仿宋" w:eastAsia="仿宋"/>
          <w:b w:val="0"/>
          <w:bCs w:val="0"/>
          <w:color w:val="auto"/>
          <w:sz w:val="32"/>
          <w:szCs w:val="32"/>
          <w:highlight w:val="none"/>
        </w:rPr>
        <w:t>九、</w:t>
      </w:r>
      <w:r>
        <w:rPr>
          <w:rFonts w:hint="eastAsia" w:ascii="仿宋" w:hAnsi="仿宋" w:eastAsia="仿宋"/>
          <w:b w:val="0"/>
          <w:color w:val="auto"/>
          <w:sz w:val="32"/>
          <w:szCs w:val="32"/>
          <w:highlight w:val="none"/>
        </w:rPr>
        <w:t>一</w:t>
      </w:r>
      <w:r>
        <w:rPr>
          <w:rStyle w:val="33"/>
          <w:rFonts w:hint="eastAsia" w:ascii="仿宋" w:hAnsi="仿宋" w:eastAsia="仿宋"/>
          <w:b w:val="0"/>
          <w:bCs w:val="0"/>
          <w:color w:val="auto"/>
          <w:sz w:val="32"/>
          <w:szCs w:val="32"/>
          <w:highlight w:val="none"/>
        </w:rPr>
        <w:t>般公共预算财政拨款项目支出决算表</w:t>
      </w:r>
      <w:bookmarkEnd w:id="145"/>
      <w:bookmarkEnd w:id="146"/>
      <w:bookmarkEnd w:id="147"/>
      <w:bookmarkEnd w:id="148"/>
    </w:p>
    <w:p w14:paraId="75AA87BA">
      <w:pPr>
        <w:pStyle w:val="4"/>
        <w:rPr>
          <w:rFonts w:ascii="仿宋" w:hAnsi="仿宋" w:eastAsia="仿宋"/>
          <w:color w:val="auto"/>
          <w:sz w:val="32"/>
          <w:szCs w:val="32"/>
          <w:highlight w:val="none"/>
        </w:rPr>
      </w:pPr>
      <w:bookmarkStart w:id="149" w:name="_Toc15396628"/>
      <w:bookmarkStart w:id="150" w:name="_Toc29751"/>
      <w:bookmarkStart w:id="151" w:name="_Toc29087_WPSOffice_Level2"/>
      <w:bookmarkStart w:id="152" w:name="_Toc19007"/>
      <w:r>
        <w:rPr>
          <w:rStyle w:val="33"/>
          <w:rFonts w:hint="eastAsia" w:ascii="仿宋" w:hAnsi="仿宋" w:eastAsia="仿宋"/>
          <w:b w:val="0"/>
          <w:bCs w:val="0"/>
          <w:color w:val="auto"/>
          <w:sz w:val="32"/>
          <w:szCs w:val="32"/>
          <w:highlight w:val="none"/>
        </w:rPr>
        <w:t>十、</w:t>
      </w:r>
      <w:bookmarkEnd w:id="149"/>
      <w:r>
        <w:rPr>
          <w:rFonts w:hint="eastAsia" w:ascii="仿宋" w:hAnsi="仿宋" w:eastAsia="仿宋"/>
          <w:b w:val="0"/>
          <w:color w:val="auto"/>
          <w:sz w:val="32"/>
          <w:szCs w:val="32"/>
          <w:highlight w:val="none"/>
        </w:rPr>
        <w:t>政</w:t>
      </w:r>
      <w:r>
        <w:rPr>
          <w:rStyle w:val="33"/>
          <w:rFonts w:hint="eastAsia" w:ascii="仿宋" w:hAnsi="仿宋" w:eastAsia="仿宋"/>
          <w:b w:val="0"/>
          <w:bCs w:val="0"/>
          <w:color w:val="auto"/>
          <w:sz w:val="32"/>
          <w:szCs w:val="32"/>
          <w:highlight w:val="none"/>
        </w:rPr>
        <w:t>府性基金预算财政拨款收入支出决算表</w:t>
      </w:r>
      <w:bookmarkEnd w:id="150"/>
      <w:bookmarkEnd w:id="151"/>
      <w:bookmarkEnd w:id="152"/>
    </w:p>
    <w:p w14:paraId="054E5E54">
      <w:pPr>
        <w:pStyle w:val="4"/>
        <w:rPr>
          <w:rFonts w:ascii="仿宋" w:hAnsi="仿宋" w:eastAsia="仿宋"/>
          <w:color w:val="auto"/>
          <w:sz w:val="32"/>
          <w:szCs w:val="32"/>
          <w:highlight w:val="none"/>
        </w:rPr>
      </w:pPr>
      <w:bookmarkStart w:id="153" w:name="_Toc15396629"/>
      <w:bookmarkStart w:id="154" w:name="_Toc6790"/>
      <w:bookmarkStart w:id="155" w:name="_Toc10464_WPSOffice_Level2"/>
      <w:bookmarkStart w:id="156" w:name="_Toc4949"/>
      <w:r>
        <w:rPr>
          <w:rStyle w:val="33"/>
          <w:rFonts w:hint="eastAsia" w:ascii="仿宋" w:hAnsi="仿宋" w:eastAsia="仿宋"/>
          <w:b w:val="0"/>
          <w:bCs w:val="0"/>
          <w:color w:val="auto"/>
          <w:sz w:val="32"/>
          <w:szCs w:val="32"/>
          <w:highlight w:val="none"/>
        </w:rPr>
        <w:t>十一、</w:t>
      </w:r>
      <w:bookmarkEnd w:id="153"/>
      <w:r>
        <w:rPr>
          <w:rFonts w:hint="eastAsia" w:ascii="仿宋" w:hAnsi="仿宋" w:eastAsia="仿宋"/>
          <w:b w:val="0"/>
          <w:color w:val="auto"/>
          <w:sz w:val="32"/>
          <w:szCs w:val="32"/>
          <w:highlight w:val="none"/>
        </w:rPr>
        <w:t>国</w:t>
      </w:r>
      <w:r>
        <w:rPr>
          <w:rStyle w:val="33"/>
          <w:rFonts w:hint="eastAsia" w:ascii="仿宋" w:hAnsi="仿宋" w:eastAsia="仿宋"/>
          <w:b w:val="0"/>
          <w:bCs w:val="0"/>
          <w:color w:val="auto"/>
          <w:sz w:val="32"/>
          <w:szCs w:val="32"/>
          <w:highlight w:val="none"/>
        </w:rPr>
        <w:t>有资本经营预算</w:t>
      </w:r>
      <w:r>
        <w:rPr>
          <w:rStyle w:val="33"/>
          <w:rFonts w:hint="eastAsia" w:ascii="仿宋" w:hAnsi="仿宋" w:eastAsia="仿宋"/>
          <w:b w:val="0"/>
          <w:bCs w:val="0"/>
          <w:color w:val="auto"/>
          <w:sz w:val="32"/>
          <w:szCs w:val="32"/>
          <w:highlight w:val="none"/>
          <w:lang w:eastAsia="zh-CN"/>
        </w:rPr>
        <w:t>财政拨款收入</w:t>
      </w:r>
      <w:r>
        <w:rPr>
          <w:rStyle w:val="33"/>
          <w:rFonts w:hint="eastAsia" w:ascii="仿宋" w:hAnsi="仿宋" w:eastAsia="仿宋"/>
          <w:b w:val="0"/>
          <w:bCs w:val="0"/>
          <w:color w:val="auto"/>
          <w:sz w:val="32"/>
          <w:szCs w:val="32"/>
          <w:highlight w:val="none"/>
        </w:rPr>
        <w:t>支出决算表</w:t>
      </w:r>
      <w:bookmarkEnd w:id="154"/>
      <w:bookmarkEnd w:id="155"/>
      <w:bookmarkEnd w:id="156"/>
    </w:p>
    <w:p w14:paraId="3DD21FEC">
      <w:pPr>
        <w:pStyle w:val="4"/>
        <w:rPr>
          <w:rFonts w:ascii="仿宋" w:hAnsi="仿宋" w:eastAsia="仿宋"/>
          <w:color w:val="auto"/>
          <w:sz w:val="32"/>
          <w:szCs w:val="32"/>
          <w:highlight w:val="none"/>
        </w:rPr>
      </w:pPr>
      <w:bookmarkStart w:id="157" w:name="_Toc15396630"/>
      <w:bookmarkStart w:id="158" w:name="_Toc18283_WPSOffice_Level2"/>
      <w:bookmarkStart w:id="159" w:name="_Toc3835"/>
      <w:bookmarkStart w:id="160" w:name="_Toc13451"/>
      <w:r>
        <w:rPr>
          <w:rStyle w:val="33"/>
          <w:rFonts w:hint="eastAsia" w:ascii="仿宋" w:hAnsi="仿宋" w:eastAsia="仿宋"/>
          <w:b w:val="0"/>
          <w:bCs w:val="0"/>
          <w:color w:val="auto"/>
          <w:sz w:val="32"/>
          <w:szCs w:val="32"/>
          <w:highlight w:val="none"/>
        </w:rPr>
        <w:t>十二、</w:t>
      </w:r>
      <w:bookmarkEnd w:id="157"/>
      <w:r>
        <w:rPr>
          <w:rStyle w:val="33"/>
          <w:rFonts w:hint="eastAsia" w:ascii="仿宋" w:hAnsi="仿宋" w:eastAsia="仿宋"/>
          <w:b w:val="0"/>
          <w:bCs w:val="0"/>
          <w:color w:val="auto"/>
          <w:sz w:val="32"/>
          <w:szCs w:val="32"/>
          <w:highlight w:val="none"/>
          <w:lang w:eastAsia="zh-CN"/>
        </w:rPr>
        <w:t>国有资本经营预算财政拨款支出决算表</w:t>
      </w:r>
      <w:bookmarkEnd w:id="158"/>
      <w:bookmarkEnd w:id="159"/>
      <w:bookmarkEnd w:id="160"/>
    </w:p>
    <w:p w14:paraId="07A58AFA">
      <w:pPr>
        <w:pStyle w:val="4"/>
        <w:rPr>
          <w:rFonts w:hint="eastAsia" w:ascii="黑体" w:hAnsi="黑体" w:eastAsia="黑体"/>
          <w:color w:val="auto"/>
          <w:sz w:val="32"/>
          <w:szCs w:val="32"/>
          <w:highlight w:val="none"/>
          <w:lang w:eastAsia="zh-CN"/>
        </w:rPr>
      </w:pPr>
      <w:bookmarkStart w:id="161" w:name="_Toc15396631"/>
      <w:bookmarkStart w:id="162" w:name="_Toc27808"/>
      <w:bookmarkStart w:id="163" w:name="_Toc5048"/>
      <w:bookmarkStart w:id="164" w:name="_Toc6166_WPSOffice_Level2"/>
      <w:r>
        <w:rPr>
          <w:rStyle w:val="33"/>
          <w:rFonts w:hint="eastAsia" w:ascii="仿宋" w:hAnsi="仿宋" w:eastAsia="仿宋"/>
          <w:b w:val="0"/>
          <w:bCs w:val="0"/>
          <w:color w:val="auto"/>
          <w:sz w:val="32"/>
          <w:szCs w:val="32"/>
          <w:highlight w:val="none"/>
        </w:rPr>
        <w:t>十三、</w:t>
      </w:r>
      <w:bookmarkEnd w:id="161"/>
      <w:r>
        <w:rPr>
          <w:rStyle w:val="33"/>
          <w:rFonts w:hint="eastAsia" w:ascii="仿宋" w:hAnsi="仿宋" w:eastAsia="仿宋"/>
          <w:b w:val="0"/>
          <w:bCs w:val="0"/>
          <w:color w:val="auto"/>
          <w:sz w:val="32"/>
          <w:szCs w:val="32"/>
          <w:highlight w:val="none"/>
          <w:lang w:eastAsia="zh-CN"/>
        </w:rPr>
        <w:t>财政拨款“三公”经费支出决算表</w:t>
      </w:r>
      <w:bookmarkEnd w:id="110"/>
      <w:bookmarkEnd w:id="111"/>
      <w:bookmarkEnd w:id="162"/>
      <w:bookmarkEnd w:id="163"/>
      <w:bookmarkEnd w:id="164"/>
    </w:p>
    <w:sectPr>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AA9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C49F1">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AFC49F1">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CDD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60D2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E60D2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FFC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39DC9E4"/>
    <w:multiLevelType w:val="singleLevel"/>
    <w:tmpl w:val="F39DC9E4"/>
    <w:lvl w:ilvl="0" w:tentative="0">
      <w:start w:val="1"/>
      <w:numFmt w:val="decimal"/>
      <w:suff w:val="nothing"/>
      <w:lvlText w:val="%1．"/>
      <w:lvlJc w:val="left"/>
      <w:pPr>
        <w:ind w:left="0" w:firstLine="400"/>
      </w:pPr>
      <w:rPr>
        <w:rFonts w:hint="default"/>
      </w:rPr>
    </w:lvl>
  </w:abstractNum>
  <w:abstractNum w:abstractNumId="3">
    <w:nsid w:val="FC4A44DB"/>
    <w:multiLevelType w:val="singleLevel"/>
    <w:tmpl w:val="FC4A44DB"/>
    <w:lvl w:ilvl="0" w:tentative="0">
      <w:start w:val="1"/>
      <w:numFmt w:val="decimal"/>
      <w:pStyle w:val="2"/>
      <w:lvlText w:val="%1."/>
      <w:lvlJc w:val="left"/>
      <w:pPr>
        <w:tabs>
          <w:tab w:val="left" w:pos="360"/>
        </w:tabs>
        <w:ind w:left="360" w:hanging="36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04FE453"/>
    <w:multiLevelType w:val="singleLevel"/>
    <w:tmpl w:val="204FE453"/>
    <w:lvl w:ilvl="0" w:tentative="0">
      <w:start w:val="2"/>
      <w:numFmt w:val="chineseCounting"/>
      <w:suff w:val="nothing"/>
      <w:lvlText w:val="%1、"/>
      <w:lvlJc w:val="left"/>
      <w:rPr>
        <w:rFonts w:hint="eastAsia"/>
      </w:rPr>
    </w:lvl>
  </w:abstractNum>
  <w:abstractNum w:abstractNumId="6">
    <w:nsid w:val="728559EC"/>
    <w:multiLevelType w:val="singleLevel"/>
    <w:tmpl w:val="728559EC"/>
    <w:lvl w:ilvl="0" w:tentative="0">
      <w:start w:val="1"/>
      <w:numFmt w:val="decimal"/>
      <w:suff w:val="nothing"/>
      <w:lvlText w:val="%1．"/>
      <w:lvlJc w:val="left"/>
      <w:pPr>
        <w:ind w:left="0" w:firstLine="400"/>
      </w:pPr>
      <w:rPr>
        <w:rFonts w:hint="default"/>
        <w:b/>
        <w:bCs/>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GNiMWUzYmY2MjhmMDg0NWM2YzA4MDM1Y2Y3Z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73D"/>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035C4"/>
    <w:rsid w:val="015975B8"/>
    <w:rsid w:val="01D52EFD"/>
    <w:rsid w:val="021364DB"/>
    <w:rsid w:val="02143E91"/>
    <w:rsid w:val="044302AD"/>
    <w:rsid w:val="04604C2D"/>
    <w:rsid w:val="058F525E"/>
    <w:rsid w:val="05BC0E3E"/>
    <w:rsid w:val="066E0107"/>
    <w:rsid w:val="07996F6E"/>
    <w:rsid w:val="07D363EA"/>
    <w:rsid w:val="09F60B97"/>
    <w:rsid w:val="0A2032A3"/>
    <w:rsid w:val="0A73207E"/>
    <w:rsid w:val="0CC907B1"/>
    <w:rsid w:val="0E5E7F27"/>
    <w:rsid w:val="0E7F1093"/>
    <w:rsid w:val="0F8D6AD7"/>
    <w:rsid w:val="0F98263C"/>
    <w:rsid w:val="10160368"/>
    <w:rsid w:val="101860EC"/>
    <w:rsid w:val="105E171D"/>
    <w:rsid w:val="10C055FF"/>
    <w:rsid w:val="118107EC"/>
    <w:rsid w:val="118307A3"/>
    <w:rsid w:val="12545331"/>
    <w:rsid w:val="12931BEA"/>
    <w:rsid w:val="13A1792F"/>
    <w:rsid w:val="13D50BC4"/>
    <w:rsid w:val="15531213"/>
    <w:rsid w:val="15A85EC8"/>
    <w:rsid w:val="16565332"/>
    <w:rsid w:val="16BB723D"/>
    <w:rsid w:val="18891310"/>
    <w:rsid w:val="1B0271B2"/>
    <w:rsid w:val="1BE8440E"/>
    <w:rsid w:val="1D155CEE"/>
    <w:rsid w:val="1D1C1676"/>
    <w:rsid w:val="1F8B3966"/>
    <w:rsid w:val="1FF35744"/>
    <w:rsid w:val="20834865"/>
    <w:rsid w:val="208A7683"/>
    <w:rsid w:val="212631BD"/>
    <w:rsid w:val="232021B1"/>
    <w:rsid w:val="23677FC7"/>
    <w:rsid w:val="23860B96"/>
    <w:rsid w:val="23FF75FB"/>
    <w:rsid w:val="240371BF"/>
    <w:rsid w:val="24A02F2B"/>
    <w:rsid w:val="27C747BD"/>
    <w:rsid w:val="29253980"/>
    <w:rsid w:val="29FD04D3"/>
    <w:rsid w:val="2ACE3A5B"/>
    <w:rsid w:val="2B9B3157"/>
    <w:rsid w:val="2BA50C9C"/>
    <w:rsid w:val="2BDD1E84"/>
    <w:rsid w:val="2C8A61B5"/>
    <w:rsid w:val="2D184FA6"/>
    <w:rsid w:val="2DF04E50"/>
    <w:rsid w:val="2F040D46"/>
    <w:rsid w:val="319F7F4E"/>
    <w:rsid w:val="32C055C3"/>
    <w:rsid w:val="3304709D"/>
    <w:rsid w:val="358D06B0"/>
    <w:rsid w:val="35E57CB6"/>
    <w:rsid w:val="36AA5135"/>
    <w:rsid w:val="376D39B2"/>
    <w:rsid w:val="379F5487"/>
    <w:rsid w:val="37E16F03"/>
    <w:rsid w:val="3829375E"/>
    <w:rsid w:val="38D469F0"/>
    <w:rsid w:val="39364B78"/>
    <w:rsid w:val="3B5F1696"/>
    <w:rsid w:val="3BD05797"/>
    <w:rsid w:val="3C0B60ED"/>
    <w:rsid w:val="3CF96DD0"/>
    <w:rsid w:val="3D98207C"/>
    <w:rsid w:val="3DA80F3E"/>
    <w:rsid w:val="3E78745D"/>
    <w:rsid w:val="3E890249"/>
    <w:rsid w:val="3F02275B"/>
    <w:rsid w:val="411754FB"/>
    <w:rsid w:val="41E25A5F"/>
    <w:rsid w:val="44E268DA"/>
    <w:rsid w:val="461574FC"/>
    <w:rsid w:val="48B63A64"/>
    <w:rsid w:val="497A75A0"/>
    <w:rsid w:val="49A555E1"/>
    <w:rsid w:val="4A627F82"/>
    <w:rsid w:val="4A9E33F0"/>
    <w:rsid w:val="4B0E749A"/>
    <w:rsid w:val="4B4F25DA"/>
    <w:rsid w:val="4BE068DB"/>
    <w:rsid w:val="4D261F37"/>
    <w:rsid w:val="4D577224"/>
    <w:rsid w:val="4EAB630A"/>
    <w:rsid w:val="4ECE2238"/>
    <w:rsid w:val="516E601C"/>
    <w:rsid w:val="51866E6C"/>
    <w:rsid w:val="520A0BBB"/>
    <w:rsid w:val="532E440C"/>
    <w:rsid w:val="537E6D0A"/>
    <w:rsid w:val="53D245F7"/>
    <w:rsid w:val="572C1BB5"/>
    <w:rsid w:val="58267E04"/>
    <w:rsid w:val="583C0B8D"/>
    <w:rsid w:val="58EC5AD5"/>
    <w:rsid w:val="591E4BBE"/>
    <w:rsid w:val="59BC2CE4"/>
    <w:rsid w:val="5AF92295"/>
    <w:rsid w:val="5BBB326E"/>
    <w:rsid w:val="5CD71FC4"/>
    <w:rsid w:val="5CE8531E"/>
    <w:rsid w:val="5DA432F0"/>
    <w:rsid w:val="60CA0089"/>
    <w:rsid w:val="60E95C83"/>
    <w:rsid w:val="62DB7CDD"/>
    <w:rsid w:val="63F30F5C"/>
    <w:rsid w:val="64BC5059"/>
    <w:rsid w:val="66B45F1D"/>
    <w:rsid w:val="686F4CDF"/>
    <w:rsid w:val="68AB6B45"/>
    <w:rsid w:val="697F33DD"/>
    <w:rsid w:val="6A0247D9"/>
    <w:rsid w:val="6A966562"/>
    <w:rsid w:val="6B207613"/>
    <w:rsid w:val="6B5E6DB8"/>
    <w:rsid w:val="6C4A05C8"/>
    <w:rsid w:val="6D8633E1"/>
    <w:rsid w:val="6E355762"/>
    <w:rsid w:val="6E7E3605"/>
    <w:rsid w:val="6F3E3B2D"/>
    <w:rsid w:val="6F630390"/>
    <w:rsid w:val="6FF5CC65"/>
    <w:rsid w:val="715C0E4B"/>
    <w:rsid w:val="72734D90"/>
    <w:rsid w:val="7313655C"/>
    <w:rsid w:val="73AD73D5"/>
    <w:rsid w:val="73B6EB34"/>
    <w:rsid w:val="744731E5"/>
    <w:rsid w:val="75FB6899"/>
    <w:rsid w:val="76E3355F"/>
    <w:rsid w:val="778769C8"/>
    <w:rsid w:val="79713E8A"/>
    <w:rsid w:val="79EE5BA4"/>
    <w:rsid w:val="7A894339"/>
    <w:rsid w:val="7B314625"/>
    <w:rsid w:val="7C0B1355"/>
    <w:rsid w:val="7ED76384"/>
    <w:rsid w:val="7EEF11D3"/>
    <w:rsid w:val="7EF61719"/>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 w:type="paragraph" w:styleId="6">
    <w:name w:val="index 6"/>
    <w:basedOn w:val="1"/>
    <w:next w:val="1"/>
    <w:qFormat/>
    <w:uiPriority w:val="0"/>
    <w:pPr>
      <w:ind w:left="1000" w:leftChars="1000"/>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章标题"/>
    <w:basedOn w:val="1"/>
    <w:next w:val="22"/>
    <w:qFormat/>
    <w:uiPriority w:val="99"/>
    <w:pPr>
      <w:widowControl/>
      <w:spacing w:before="158" w:after="153" w:line="323" w:lineRule="atLeast"/>
      <w:ind w:right="-120"/>
      <w:jc w:val="center"/>
      <w:textAlignment w:val="baseline"/>
    </w:pPr>
    <w:rPr>
      <w:color w:val="FF0000"/>
      <w:sz w:val="18"/>
      <w:szCs w:val="18"/>
    </w:rPr>
  </w:style>
  <w:style w:type="paragraph" w:customStyle="1" w:styleId="22">
    <w:name w:val="节标题"/>
    <w:basedOn w:val="1"/>
    <w:next w:val="1"/>
    <w:qFormat/>
    <w:uiPriority w:val="99"/>
    <w:pPr>
      <w:widowControl/>
      <w:spacing w:line="289" w:lineRule="atLeast"/>
      <w:jc w:val="center"/>
      <w:textAlignment w:val="baseline"/>
    </w:pPr>
    <w:rPr>
      <w:color w:val="000000"/>
      <w:sz w:val="28"/>
      <w:szCs w:val="28"/>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8"/>
    <w:link w:val="3"/>
    <w:qFormat/>
    <w:uiPriority w:val="9"/>
    <w:rPr>
      <w:rFonts w:ascii="Times New Roman" w:hAnsi="Times New Roman"/>
      <w:b/>
      <w:bCs/>
      <w:kern w:val="44"/>
      <w:sz w:val="44"/>
      <w:szCs w:val="44"/>
    </w:rPr>
  </w:style>
  <w:style w:type="character" w:customStyle="1" w:styleId="33">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说明正文"/>
    <w:basedOn w:val="1"/>
    <w:qFormat/>
    <w:uiPriority w:val="0"/>
    <w:pPr>
      <w:spacing w:line="600" w:lineRule="exact"/>
      <w:ind w:firstLine="1440" w:firstLineChars="200"/>
    </w:pPr>
    <w:rPr>
      <w:rFonts w:ascii="Times New Roman" w:hAnsi="Times New Roman" w:eastAsia="仿宋_GB2312"/>
      <w:color w:val="000000"/>
      <w:kern w:val="0"/>
      <w:sz w:val="32"/>
      <w:szCs w:val="21"/>
      <w:lang w:val="zh-CN"/>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character" w:customStyle="1" w:styleId="42">
    <w:name w:val="NormalCharacter"/>
    <w:qFormat/>
    <w:uiPriority w:val="0"/>
    <w:rPr>
      <w:rFonts w:eastAsia="宋体"/>
      <w:kern w:val="2"/>
      <w:sz w:val="21"/>
      <w:lang w:val="en-US" w:eastAsia="zh-CN"/>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cap="none" spc="50" normalizeH="0" baseline="0">
                <a:solidFill>
                  <a:schemeClr val="tx1">
                    <a:lumMod val="65000"/>
                    <a:lumOff val="35000"/>
                  </a:schemeClr>
                </a:solidFill>
                <a:latin typeface="+mj-lt"/>
                <a:ea typeface="+mj-ea"/>
                <a:cs typeface="+mj-cs"/>
              </a:defRPr>
            </a:pPr>
            <a:r>
              <a:rPr sz="1400" b="1"/>
              <a:t>收、支总计</a:t>
            </a:r>
            <a:endParaRPr sz="1400" b="1"/>
          </a:p>
        </c:rich>
      </c:tx>
      <c:layout>
        <c:manualLayout>
          <c:xMode val="edge"/>
          <c:yMode val="edge"/>
          <c:x val="0.454925650557621"/>
          <c:y val="0.008618213157138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alpha val="70000"/>
              </a:schemeClr>
            </a:solidFill>
            <a:ln>
              <a:noFill/>
            </a:ln>
            <a:effectLst/>
          </c:spPr>
          <c:invertIfNegative val="0"/>
          <c:dLbls>
            <c:dLbl>
              <c:idx val="0"/>
              <c:layout>
                <c:manualLayout>
                  <c:x val="0.00464684014869888"/>
                  <c:y val="0.0043091065785693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262.6</c:v>
                </c:pt>
                <c:pt idx="1">
                  <c:v>238.91</c:v>
                </c:pt>
              </c:numCache>
            </c:numRef>
          </c:val>
        </c:ser>
        <c:dLbls>
          <c:showLegendKey val="0"/>
          <c:showVal val="1"/>
          <c:showCatName val="0"/>
          <c:showSerName val="0"/>
          <c:showPercent val="0"/>
          <c:showBubbleSize val="0"/>
        </c:dLbls>
        <c:gapWidth val="80"/>
        <c:overlap val="25"/>
        <c:axId val="171895808"/>
        <c:axId val="172682624"/>
      </c:barChart>
      <c:catAx>
        <c:axId val="171895808"/>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1000" b="0" i="0" u="none" strike="noStrike" kern="1200" cap="none" spc="20" normalizeH="0" baseline="0">
                <a:solidFill>
                  <a:schemeClr val="tx1">
                    <a:lumMod val="65000"/>
                    <a:lumOff val="35000"/>
                  </a:schemeClr>
                </a:solidFill>
                <a:latin typeface="+mn-lt"/>
                <a:ea typeface="+mn-ea"/>
                <a:cs typeface="+mn-cs"/>
              </a:defRPr>
            </a:pPr>
          </a:p>
        </c:txPr>
        <c:crossAx val="172682624"/>
        <c:crosses val="autoZero"/>
        <c:auto val="1"/>
        <c:lblAlgn val="ctr"/>
        <c:lblOffset val="100"/>
        <c:noMultiLvlLbl val="0"/>
      </c:catAx>
      <c:valAx>
        <c:axId val="172682624"/>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0" i="0" u="none" strike="noStrike" kern="1200" spc="20" baseline="0">
                <a:solidFill>
                  <a:schemeClr val="tx1">
                    <a:lumMod val="65000"/>
                    <a:lumOff val="35000"/>
                  </a:schemeClr>
                </a:solidFill>
                <a:latin typeface="+mn-lt"/>
                <a:ea typeface="+mn-ea"/>
                <a:cs typeface="+mn-cs"/>
              </a:defRPr>
            </a:pPr>
          </a:p>
        </c:txPr>
        <c:crossAx val="1718958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262.01</c:v>
                </c:pt>
                <c:pt idx="1">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225.34</c:v>
                </c:pt>
                <c:pt idx="1">
                  <c:v>36.68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cap="none" spc="50" normalizeH="0" baseline="0">
                <a:solidFill>
                  <a:schemeClr val="tx1">
                    <a:lumMod val="65000"/>
                    <a:lumOff val="35000"/>
                  </a:schemeClr>
                </a:solidFill>
                <a:latin typeface="+mj-lt"/>
                <a:ea typeface="+mj-ea"/>
                <a:cs typeface="+mj-cs"/>
              </a:defRPr>
            </a:pPr>
            <a:r>
              <a:rPr sz="1400" b="1"/>
              <a:t>财政拨款收、支决算总计变动</a:t>
            </a:r>
            <a:endParaRPr sz="1400" b="1"/>
          </a:p>
        </c:rich>
      </c:tx>
      <c:layout>
        <c:manualLayout>
          <c:xMode val="edge"/>
          <c:yMode val="edge"/>
          <c:x val="0.18141592920354"/>
          <c:y val="0.03432494279176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财政拨款收、支决算总计变动</c:v>
                </c:pt>
              </c:strCache>
            </c:strRef>
          </c:tx>
          <c:spPr>
            <a:solidFill>
              <a:schemeClr val="accent1">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262.01</c:v>
                </c:pt>
                <c:pt idx="1">
                  <c:v>238.51</c:v>
                </c:pt>
              </c:numCache>
            </c:numRef>
          </c:val>
        </c:ser>
        <c:dLbls>
          <c:showLegendKey val="0"/>
          <c:showVal val="1"/>
          <c:showCatName val="0"/>
          <c:showSerName val="0"/>
          <c:showPercent val="0"/>
          <c:showBubbleSize val="0"/>
        </c:dLbls>
        <c:gapWidth val="80"/>
        <c:overlap val="25"/>
        <c:axId val="374091776"/>
        <c:axId val="374094848"/>
      </c:barChart>
      <c:catAx>
        <c:axId val="374091776"/>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374094848"/>
        <c:crosses val="autoZero"/>
        <c:auto val="1"/>
        <c:lblAlgn val="ctr"/>
        <c:lblOffset val="100"/>
        <c:noMultiLvlLbl val="0"/>
      </c:catAx>
      <c:valAx>
        <c:axId val="374094848"/>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spc="20" baseline="0">
                <a:solidFill>
                  <a:schemeClr val="tx1">
                    <a:lumMod val="65000"/>
                    <a:lumOff val="35000"/>
                  </a:schemeClr>
                </a:solidFill>
                <a:latin typeface="+mn-lt"/>
                <a:ea typeface="+mn-ea"/>
                <a:cs typeface="+mn-cs"/>
              </a:defRPr>
            </a:pPr>
          </a:p>
        </c:txPr>
        <c:crossAx val="3740917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cap="none" spc="50" normalizeH="0" baseline="0">
                <a:solidFill>
                  <a:schemeClr val="tx1">
                    <a:lumMod val="65000"/>
                    <a:lumOff val="35000"/>
                  </a:schemeClr>
                </a:solidFill>
                <a:latin typeface="+mj-lt"/>
                <a:ea typeface="+mj-ea"/>
                <a:cs typeface="+mj-cs"/>
              </a:defRPr>
            </a:pPr>
            <a:r>
              <a:rPr lang="zh-CN" altLang="en-US" sz="1400" b="1">
                <a:latin typeface="+mn-ea"/>
                <a:ea typeface="+mn-ea"/>
              </a:rPr>
              <a:t>一般公共预算财政拨款支出决算变动</a:t>
            </a:r>
            <a:endParaRPr lang="zh-CN" altLang="en-US" sz="1400" b="1">
              <a:latin typeface="+mn-ea"/>
              <a:ea typeface="+mn-ea"/>
            </a:endParaRPr>
          </a:p>
        </c:rich>
      </c:tx>
      <c:layout/>
      <c:overlay val="0"/>
      <c:spPr>
        <a:noFill/>
        <a:ln>
          <a:noFill/>
        </a:ln>
        <a:effectLst/>
      </c:spPr>
    </c:title>
    <c:autoTitleDeleted val="0"/>
    <c:plotArea>
      <c:layout>
        <c:manualLayout>
          <c:layoutTarget val="inner"/>
          <c:xMode val="edge"/>
          <c:yMode val="edge"/>
          <c:x val="0.0865563909774436"/>
          <c:y val="0.197101449275362"/>
          <c:w val="0.869834586466165"/>
          <c:h val="0.671778656126482"/>
        </c:manualLayout>
      </c:layout>
      <c:barChart>
        <c:barDir val="col"/>
        <c:grouping val="clustered"/>
        <c:varyColors val="0"/>
        <c:ser>
          <c:idx val="0"/>
          <c:order val="0"/>
          <c:tx>
            <c:strRef>
              <c:f>Sheet1!$B$1</c:f>
              <c:strCache>
                <c:ptCount val="1"/>
                <c:pt idx="0">
                  <c:v>一般公共预算财政拨款支出决算变动</c:v>
                </c:pt>
              </c:strCache>
            </c:strRef>
          </c:tx>
          <c:spPr>
            <a:solidFill>
              <a:schemeClr val="accent1">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262.01</c:v>
                </c:pt>
                <c:pt idx="1">
                  <c:v>238.51</c:v>
                </c:pt>
              </c:numCache>
            </c:numRef>
          </c:val>
        </c:ser>
        <c:dLbls>
          <c:showLegendKey val="0"/>
          <c:showVal val="0"/>
          <c:showCatName val="0"/>
          <c:showSerName val="0"/>
          <c:showPercent val="0"/>
          <c:showBubbleSize val="0"/>
        </c:dLbls>
        <c:gapWidth val="80"/>
        <c:overlap val="25"/>
        <c:axId val="403100032"/>
        <c:axId val="403101568"/>
      </c:barChart>
      <c:catAx>
        <c:axId val="403100032"/>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403101568"/>
        <c:crosses val="autoZero"/>
        <c:auto val="1"/>
        <c:lblAlgn val="ctr"/>
        <c:lblOffset val="100"/>
        <c:noMultiLvlLbl val="0"/>
      </c:catAx>
      <c:valAx>
        <c:axId val="403101568"/>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spc="20" baseline="0">
                <a:solidFill>
                  <a:schemeClr val="tx1">
                    <a:lumMod val="65000"/>
                    <a:lumOff val="35000"/>
                  </a:schemeClr>
                </a:solidFill>
                <a:latin typeface="+mn-lt"/>
                <a:ea typeface="+mn-ea"/>
                <a:cs typeface="+mn-cs"/>
              </a:defRPr>
            </a:pPr>
          </a:p>
        </c:txPr>
        <c:crossAx val="4031000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rPr sz="1400">
                <a:latin typeface="+mn-ea"/>
                <a:ea typeface="+mn-ea"/>
              </a:rPr>
              <a:t>一般公共预算财政拨款支出决算结构</a:t>
            </a:r>
            <a:endParaRPr sz="1400">
              <a:latin typeface="+mn-ea"/>
              <a:ea typeface="+mn-ea"/>
            </a:endParaRPr>
          </a:p>
        </c:rich>
      </c:tx>
      <c:layout/>
      <c:overlay val="0"/>
      <c:spPr>
        <a:noFill/>
        <a:ln>
          <a:noFill/>
        </a:ln>
        <a:effectLst/>
      </c:spPr>
    </c:title>
    <c:autoTitleDeleted val="0"/>
    <c:plotArea>
      <c:layout>
        <c:manualLayout>
          <c:layoutTarget val="inner"/>
          <c:xMode val="edge"/>
          <c:yMode val="edge"/>
          <c:x val="0.0180353345581334"/>
          <c:y val="0.0068259385665529"/>
          <c:w val="0.636429300049284"/>
          <c:h val="0.769007803790412"/>
        </c:manualLayout>
      </c:layout>
      <c:ofPieChart>
        <c:ofPieType val="pie"/>
        <c:varyColors val="1"/>
        <c:ser>
          <c:idx val="0"/>
          <c:order val="0"/>
          <c:tx>
            <c:strRef>
              <c:f>Sheet1!$B$1</c:f>
              <c:strCache>
                <c:ptCount val="1"/>
                <c:pt idx="0">
                  <c:v>一般公共预算财政拨款支出决算结构</c:v>
                </c:pt>
              </c:strCache>
            </c:strRef>
          </c:tx>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213.09</c:v>
                </c:pt>
                <c:pt idx="1">
                  <c:v>21.75</c:v>
                </c:pt>
                <c:pt idx="2">
                  <c:v>9.2</c:v>
                </c:pt>
                <c:pt idx="3">
                  <c:v>17.97</c:v>
                </c:pt>
              </c:numCache>
            </c:numRef>
          </c:val>
        </c:ser>
        <c:dLbls>
          <c:showLegendKey val="0"/>
          <c:showVal val="0"/>
          <c:showCatName val="0"/>
          <c:showSerName val="0"/>
          <c:showPercent val="1"/>
          <c:showBubbleSize val="0"/>
          <c:showLeaderLines val="1"/>
        </c:dLbls>
        <c:gapWidth val="100"/>
        <c:splitType val="pos"/>
        <c:splitPos val="3"/>
        <c:secondPieSize val="68"/>
        <c:serLines>
          <c:spPr>
            <a:ln w="9525" cap="flat" cmpd="sng" algn="ctr">
              <a:solidFill>
                <a:schemeClr val="dk1">
                  <a:lumMod val="35000"/>
                  <a:lumOff val="65000"/>
                </a:schemeClr>
              </a:solidFill>
              <a:prstDash val="solid"/>
              <a:round/>
            </a:ln>
            <a:effectLst/>
          </c:spPr>
        </c:serLines>
      </c:of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dk1">
                    <a:lumMod val="65000"/>
                    <a:lumOff val="35000"/>
                  </a:schemeClr>
                </a:solidFill>
                <a:latin typeface="+mn-lt"/>
                <a:ea typeface="+mn-ea"/>
                <a:cs typeface="+mn-cs"/>
              </a:defRPr>
            </a:pPr>
            <a:r>
              <a:rPr sz="1080"/>
              <a:t>“三公”经费财政拨款支出结构</a:t>
            </a:r>
            <a:endParaRPr sz="1080"/>
          </a:p>
        </c:rich>
      </c:tx>
      <c:layout>
        <c:manualLayout>
          <c:xMode val="edge"/>
          <c:yMode val="edge"/>
          <c:x val="0.00479156684235745"/>
          <c:y val="0.00816104461371056"/>
        </c:manualLayout>
      </c:layout>
      <c:overlay val="0"/>
      <c:spPr>
        <a:noFill/>
        <a:ln>
          <a:noFill/>
        </a:ln>
        <a:effectLst/>
      </c:spPr>
    </c:title>
    <c:autoTitleDeleted val="0"/>
    <c:plotArea>
      <c:layout>
        <c:manualLayout>
          <c:layoutTarget val="inner"/>
          <c:xMode val="edge"/>
          <c:yMode val="edge"/>
          <c:x val="0.1978125"/>
          <c:y val="0.1175"/>
          <c:w val="0.570625"/>
          <c:h val="0.760833333333333"/>
        </c:manualLayout>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Lbls>
            <c:dLbl>
              <c:idx val="0"/>
              <c:layout>
                <c:manualLayout>
                  <c:x val="0.119723049329344"/>
                  <c:y val="0.251513485662319"/>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公务接待费支出</a:t>
                    </a:r>
                    <a:r>
                      <a:rPr lang="en-US" altLang="zh-CN" sz="900"/>
                      <a:t>, 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967005884296737"/>
                  <c:y val="0.211226747310803"/>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公务用车购置及运行维护费支出</a:t>
                    </a:r>
                    <a:r>
                      <a:rPr lang="en-US" altLang="zh-CN" sz="900"/>
                      <a:t>, 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0230301350557"/>
                  <c:y val="-0.207642517920215"/>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公务接待费支出</a:t>
                    </a:r>
                    <a:r>
                      <a:rPr lang="en-US" altLang="zh-CN" sz="900"/>
                      <a:t>, 100.00%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Sheet1!$A$2:$A$4</c:f>
              <c:strCache>
                <c:ptCount val="3"/>
                <c:pt idx="0">
                  <c:v>公务接待费支出</c:v>
                </c:pt>
                <c:pt idx="1">
                  <c:v>公务用车购置及运行维护费支出</c:v>
                </c:pt>
                <c:pt idx="2">
                  <c:v>公务接待费支出</c:v>
                </c:pt>
              </c:strCache>
            </c:strRef>
          </c:cat>
          <c:val>
            <c:numRef>
              <c:f>Sheet1!$B$2:$B$4</c:f>
              <c:numCache>
                <c:formatCode>General</c:formatCode>
                <c:ptCount val="3"/>
                <c:pt idx="0">
                  <c:v>0</c:v>
                </c:pt>
                <c:pt idx="1">
                  <c:v>0</c:v>
                </c:pt>
                <c:pt idx="2">
                  <c:v>0.13</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solidFill>
          <a:schemeClr val="lt1">
            <a:alpha val="78000"/>
          </a:schemeClr>
        </a:solid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sz="9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7642</Words>
  <Characters>8392</Characters>
  <Lines>61</Lines>
  <Paragraphs>17</Paragraphs>
  <TotalTime>2</TotalTime>
  <ScaleCrop>false</ScaleCrop>
  <LinksUpToDate>false</LinksUpToDate>
  <CharactersWithSpaces>8480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2024-09-13T02:14:41Z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14217D46B44F49778BF5233D34EFABA2</vt:lpwstr>
  </property>
</Properties>
</file>