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78441"/>
      <w:bookmarkStart w:id="2" w:name="_Toc15377193"/>
      <w:bookmarkStart w:id="3" w:name="_Toc15396597"/>
      <w:bookmarkStart w:id="4" w:name="_Toc1537742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pStyle w:val="8"/>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bookmarkStart w:id="6" w:name="_Toc28352"/>
      <w:r>
        <w:rPr>
          <w:rFonts w:hint="eastAsia" w:ascii="方正小标宋简体" w:hAnsi="宋体" w:eastAsia="方正小标宋简体" w:cs="Times New Roman"/>
          <w:color w:val="auto"/>
          <w:kern w:val="2"/>
          <w:sz w:val="44"/>
          <w:szCs w:val="44"/>
          <w:highlight w:val="none"/>
          <w:lang w:val="en-US" w:eastAsia="zh-CN" w:bidi="ar-SA"/>
        </w:rPr>
        <w:t>2023年度</w:t>
      </w:r>
      <w:bookmarkEnd w:id="0"/>
      <w:bookmarkEnd w:id="1"/>
      <w:bookmarkEnd w:id="2"/>
      <w:bookmarkEnd w:id="3"/>
      <w:bookmarkEnd w:id="4"/>
      <w:bookmarkEnd w:id="6"/>
    </w:p>
    <w:p>
      <w:pPr>
        <w:pStyle w:val="8"/>
        <w:suppressAutoHyphens/>
        <w:bidi w:val="0"/>
        <w:spacing w:before="0" w:beforeLines="-2147483648" w:after="140" w:line="276" w:lineRule="auto"/>
        <w:jc w:val="center"/>
        <w:rPr>
          <w:rFonts w:hint="eastAsia" w:ascii="方正小标宋简体" w:hAnsi="宋体" w:eastAsia="方正小标宋简体" w:cs="Times New Roman"/>
          <w:color w:val="auto"/>
          <w:kern w:val="2"/>
          <w:sz w:val="44"/>
          <w:szCs w:val="44"/>
          <w:highlight w:val="none"/>
          <w:lang w:val="en-US" w:eastAsia="zh-CN" w:bidi="ar-SA"/>
        </w:rPr>
      </w:pPr>
      <w:bookmarkStart w:id="7" w:name="_Toc25484"/>
      <w:bookmarkStart w:id="8" w:name="_Toc15378442"/>
      <w:bookmarkStart w:id="9" w:name="_Toc15377194"/>
      <w:bookmarkStart w:id="10" w:name="_Toc15396476"/>
      <w:bookmarkStart w:id="11" w:name="_Toc15377426"/>
      <w:bookmarkStart w:id="12" w:name="_Toc15396598"/>
      <w:r>
        <w:rPr>
          <w:rFonts w:hint="eastAsia" w:ascii="方正小标宋简体" w:hAnsi="宋体" w:eastAsia="方正小标宋简体" w:cs="Times New Roman"/>
          <w:color w:val="auto"/>
          <w:kern w:val="2"/>
          <w:sz w:val="44"/>
          <w:szCs w:val="44"/>
          <w:highlight w:val="none"/>
          <w:lang w:val="en-US" w:eastAsia="zh-CN" w:bidi="ar-SA"/>
        </w:rPr>
        <w:t>四川省</w:t>
      </w:r>
      <w:bookmarkEnd w:id="5"/>
      <w:bookmarkStart w:id="13" w:name="_Toc15306268"/>
      <w:r>
        <w:rPr>
          <w:rFonts w:hint="eastAsia" w:ascii="方正小标宋简体" w:hAnsi="宋体" w:eastAsia="方正小标宋简体" w:cs="Times New Roman"/>
          <w:color w:val="auto"/>
          <w:kern w:val="2"/>
          <w:sz w:val="44"/>
          <w:szCs w:val="44"/>
          <w:highlight w:val="none"/>
          <w:lang w:val="en-US" w:eastAsia="zh-CN" w:bidi="ar-SA"/>
        </w:rPr>
        <w:t>遂宁市船山区发展和改革局部门决算</w:t>
      </w:r>
      <w:bookmarkEnd w:id="7"/>
      <w:bookmarkEnd w:id="8"/>
      <w:bookmarkEnd w:id="9"/>
      <w:bookmarkEnd w:id="10"/>
      <w:bookmarkEnd w:id="11"/>
      <w:bookmarkEnd w:id="12"/>
      <w:bookmarkEnd w:id="13"/>
    </w:p>
    <w:p>
      <w:pPr>
        <w:pStyle w:val="14"/>
        <w:adjustRightInd w:val="0"/>
        <w:snapToGrid w:val="0"/>
        <w:spacing w:line="440" w:lineRule="exact"/>
        <w:jc w:val="left"/>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sdt>
      <w:sdtPr>
        <w:rPr>
          <w:rFonts w:ascii="宋体" w:hAnsi="宋体" w:eastAsia="宋体" w:cs="Times New Roman"/>
          <w:kern w:val="2"/>
          <w:sz w:val="21"/>
          <w:szCs w:val="24"/>
          <w:lang w:val="en-US" w:eastAsia="zh-CN" w:bidi="ar-SA"/>
        </w:rPr>
        <w:id w:val="147467525"/>
        <w15:color w:val="DBDBDB"/>
        <w:docPartObj>
          <w:docPartGallery w:val="Table of Contents"/>
          <w:docPartUnique/>
        </w:docPartObj>
      </w:sdtPr>
      <w:sdtEndPr>
        <w:rPr>
          <w:rFonts w:hint="eastAsia" w:asciiTheme="majorEastAsia" w:hAnsiTheme="majorEastAsia" w:eastAsiaTheme="majorEastAsia" w:cstheme="majorEastAsia"/>
          <w:kern w:val="2"/>
          <w:sz w:val="21"/>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目录</w:t>
          </w:r>
        </w:p>
        <w:p>
          <w:pPr>
            <w:pStyle w:val="13"/>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 xml:space="preserve"> 11 </w:t>
          </w:r>
          <w:r>
            <w:rPr>
              <w:rFonts w:hint="eastAsia"/>
              <w:color w:val="auto"/>
              <w:highlight w:val="none"/>
            </w:rPr>
            <w:t>日</w:t>
          </w:r>
        </w:p>
        <w:p>
          <w:pPr>
            <w:pStyle w:val="2"/>
            <w:rPr>
              <w:rFonts w:hint="eastAsia"/>
            </w:rPr>
          </w:pPr>
        </w:p>
        <w:p>
          <w:pPr>
            <w:pStyle w:val="38"/>
            <w:tabs>
              <w:tab w:val="right" w:leader="dot" w:pos="8844"/>
            </w:tabs>
            <w:ind w:firstLine="2800" w:firstLineChars="1000"/>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"1-3" \h \u </w:instrText>
          </w:r>
          <w:r>
            <w:rPr>
              <w:rFonts w:hint="eastAsia" w:ascii="宋体" w:hAnsi="宋体" w:eastAsia="宋体" w:cs="宋体"/>
              <w:sz w:val="28"/>
              <w:szCs w:val="28"/>
              <w:lang w:val="en-US" w:eastAsia="zh-CN"/>
            </w:rPr>
            <w:fldChar w:fldCharType="separate"/>
          </w:r>
        </w:p>
        <w:p>
          <w:pPr>
            <w:pStyle w:val="38"/>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_Toc3265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 xml:space="preserve">第一部分 </w:t>
          </w:r>
          <w:r>
            <w:rPr>
              <w:rFonts w:hint="eastAsia" w:ascii="宋体" w:hAnsi="宋体" w:eastAsia="宋体" w:cs="宋体"/>
              <w:bCs w:val="0"/>
              <w:sz w:val="28"/>
              <w:szCs w:val="28"/>
              <w:highlight w:val="none"/>
            </w:rPr>
            <w:t>部门概况</w:t>
          </w:r>
          <w:r>
            <w:rPr>
              <w:rFonts w:hint="eastAsia" w:ascii="宋体" w:hAnsi="宋体" w:eastAsia="宋体" w:cs="宋体"/>
              <w:sz w:val="28"/>
              <w:szCs w:val="28"/>
            </w:rPr>
            <w:tab/>
          </w:r>
          <w:r>
            <w:rPr>
              <w:rFonts w:hint="eastAsia" w:ascii="宋体" w:hAnsi="宋体" w:cs="宋体"/>
              <w:sz w:val="28"/>
              <w:szCs w:val="28"/>
              <w:lang w:val="en-US" w:eastAsia="zh-CN"/>
            </w:rPr>
            <w:t>4</w:t>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_Toc17799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eastAsia="zh-CN"/>
            </w:rPr>
            <w:t xml:space="preserve">一、 </w:t>
          </w:r>
          <w:r>
            <w:rPr>
              <w:rFonts w:hint="eastAsia" w:ascii="宋体" w:hAnsi="宋体" w:eastAsia="宋体" w:cs="宋体"/>
              <w:sz w:val="28"/>
              <w:szCs w:val="28"/>
              <w:highlight w:val="none"/>
              <w:lang w:eastAsia="zh-CN"/>
            </w:rPr>
            <w:t>部门职责</w:t>
          </w:r>
          <w:r>
            <w:rPr>
              <w:rFonts w:hint="eastAsia" w:ascii="宋体" w:hAnsi="宋体" w:eastAsia="宋体" w:cs="宋体"/>
              <w:sz w:val="28"/>
              <w:szCs w:val="28"/>
            </w:rPr>
            <w:tab/>
          </w:r>
          <w:r>
            <w:rPr>
              <w:rFonts w:hint="eastAsia" w:ascii="宋体" w:hAnsi="宋体" w:cs="宋体"/>
              <w:sz w:val="28"/>
              <w:szCs w:val="28"/>
              <w:lang w:val="en-US" w:eastAsia="zh-CN"/>
            </w:rPr>
            <w:t>4</w:t>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_Toc23669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二、机</w:t>
          </w:r>
          <w:r>
            <w:rPr>
              <w:rFonts w:hint="eastAsia" w:ascii="宋体" w:hAnsi="宋体" w:eastAsia="宋体" w:cs="宋体"/>
              <w:bCs w:val="0"/>
              <w:sz w:val="28"/>
              <w:szCs w:val="28"/>
              <w:highlight w:val="none"/>
            </w:rPr>
            <w:t>构设置</w:t>
          </w:r>
          <w:r>
            <w:rPr>
              <w:rFonts w:hint="eastAsia" w:ascii="宋体" w:hAnsi="宋体" w:eastAsia="宋体" w:cs="宋体"/>
              <w:sz w:val="28"/>
              <w:szCs w:val="28"/>
            </w:rPr>
            <w:tab/>
          </w:r>
          <w:r>
            <w:rPr>
              <w:rFonts w:hint="eastAsia" w:ascii="宋体" w:hAnsi="宋体" w:cs="宋体"/>
              <w:sz w:val="28"/>
              <w:szCs w:val="28"/>
              <w:lang w:val="en-US" w:eastAsia="zh-CN"/>
            </w:rPr>
            <w:t>7</w:t>
          </w:r>
          <w:r>
            <w:rPr>
              <w:rFonts w:hint="eastAsia" w:ascii="宋体" w:hAnsi="宋体" w:eastAsia="宋体" w:cs="宋体"/>
              <w:sz w:val="28"/>
              <w:szCs w:val="28"/>
              <w:lang w:val="en-US" w:eastAsia="zh-CN"/>
            </w:rPr>
            <w:fldChar w:fldCharType="end"/>
          </w:r>
        </w:p>
        <w:p>
          <w:pPr>
            <w:pStyle w:val="38"/>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_Toc30872 </w:instrText>
          </w:r>
          <w:r>
            <w:rPr>
              <w:rFonts w:hint="eastAsia" w:ascii="宋体" w:hAnsi="宋体" w:eastAsia="宋体" w:cs="宋体"/>
              <w:sz w:val="28"/>
              <w:szCs w:val="28"/>
              <w:lang w:val="en-US" w:eastAsia="zh-CN"/>
            </w:rPr>
            <w:fldChar w:fldCharType="separate"/>
          </w:r>
          <w:r>
            <w:rPr>
              <w:rFonts w:hint="eastAsia" w:ascii="宋体" w:hAnsi="宋体" w:eastAsia="宋体" w:cs="宋体"/>
              <w:bCs/>
              <w:sz w:val="28"/>
              <w:szCs w:val="28"/>
              <w:highlight w:val="none"/>
            </w:rPr>
            <w:t xml:space="preserve">第二部分 </w:t>
          </w:r>
          <w:r>
            <w:rPr>
              <w:rFonts w:hint="eastAsia" w:ascii="宋体" w:hAnsi="宋体" w:eastAsia="宋体" w:cs="宋体"/>
              <w:bCs/>
              <w:sz w:val="28"/>
              <w:szCs w:val="28"/>
              <w:highlight w:val="none"/>
              <w:lang w:val="en-US" w:eastAsia="zh-CN"/>
            </w:rPr>
            <w:t>2022年度</w:t>
          </w:r>
          <w:r>
            <w:rPr>
              <w:rFonts w:hint="eastAsia" w:ascii="宋体" w:hAnsi="宋体" w:eastAsia="宋体" w:cs="宋体"/>
              <w:bCs/>
              <w:sz w:val="28"/>
              <w:szCs w:val="28"/>
              <w:highlight w:val="none"/>
            </w:rPr>
            <w:t>部门决算情况说明</w:t>
          </w:r>
          <w:r>
            <w:rPr>
              <w:rFonts w:hint="eastAsia" w:ascii="宋体" w:hAnsi="宋体" w:eastAsia="宋体" w:cs="宋体"/>
              <w:sz w:val="28"/>
              <w:szCs w:val="28"/>
            </w:rPr>
            <w:tab/>
          </w:r>
          <w:r>
            <w:rPr>
              <w:rFonts w:hint="eastAsia" w:ascii="宋体" w:hAnsi="宋体" w:cs="宋体"/>
              <w:sz w:val="28"/>
              <w:szCs w:val="28"/>
              <w:lang w:val="en-US" w:eastAsia="zh-CN"/>
            </w:rPr>
            <w:t>8</w:t>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_Toc21339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 xml:space="preserve">一、 </w:t>
          </w:r>
          <w:r>
            <w:rPr>
              <w:rFonts w:hint="eastAsia" w:ascii="宋体" w:hAnsi="宋体" w:eastAsia="宋体" w:cs="宋体"/>
              <w:sz w:val="28"/>
              <w:szCs w:val="28"/>
              <w:highlight w:val="none"/>
            </w:rPr>
            <w:t>收入支出决算总体情况说明</w:t>
          </w:r>
          <w:r>
            <w:rPr>
              <w:rFonts w:hint="eastAsia" w:ascii="宋体" w:hAnsi="宋体" w:eastAsia="宋体" w:cs="宋体"/>
              <w:sz w:val="28"/>
              <w:szCs w:val="28"/>
            </w:rPr>
            <w:tab/>
          </w:r>
          <w:r>
            <w:rPr>
              <w:rFonts w:hint="eastAsia" w:ascii="宋体" w:hAnsi="宋体" w:cs="宋体"/>
              <w:sz w:val="28"/>
              <w:szCs w:val="28"/>
              <w:lang w:val="en-US" w:eastAsia="zh-CN"/>
            </w:rPr>
            <w:t>8</w:t>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_Toc32701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 xml:space="preserve">二、 </w:t>
          </w:r>
          <w:r>
            <w:rPr>
              <w:rFonts w:hint="eastAsia" w:ascii="宋体" w:hAnsi="宋体" w:eastAsia="宋体" w:cs="宋体"/>
              <w:sz w:val="28"/>
              <w:szCs w:val="28"/>
              <w:highlight w:val="none"/>
            </w:rPr>
            <w:t>收入决算情况说明</w:t>
          </w:r>
          <w:r>
            <w:rPr>
              <w:rFonts w:hint="eastAsia" w:ascii="宋体" w:hAnsi="宋体" w:eastAsia="宋体" w:cs="宋体"/>
              <w:sz w:val="28"/>
              <w:szCs w:val="28"/>
            </w:rPr>
            <w:tab/>
          </w:r>
          <w:r>
            <w:rPr>
              <w:rFonts w:hint="eastAsia" w:ascii="宋体" w:hAnsi="宋体" w:cs="宋体"/>
              <w:sz w:val="28"/>
              <w:szCs w:val="28"/>
              <w:lang w:val="en-US" w:eastAsia="zh-CN"/>
            </w:rPr>
            <w:t>8</w:t>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_Toc19577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 xml:space="preserve">三、 </w:t>
          </w:r>
          <w:r>
            <w:rPr>
              <w:rFonts w:hint="eastAsia" w:ascii="宋体" w:hAnsi="宋体" w:eastAsia="宋体" w:cs="宋体"/>
              <w:sz w:val="28"/>
              <w:szCs w:val="28"/>
              <w:highlight w:val="none"/>
            </w:rPr>
            <w:t>支出决算情况说明</w:t>
          </w:r>
          <w:r>
            <w:rPr>
              <w:rFonts w:hint="eastAsia" w:ascii="宋体" w:hAnsi="宋体" w:eastAsia="宋体" w:cs="宋体"/>
              <w:sz w:val="28"/>
              <w:szCs w:val="28"/>
            </w:rPr>
            <w:tab/>
          </w:r>
          <w:r>
            <w:rPr>
              <w:rFonts w:hint="eastAsia" w:ascii="宋体" w:hAnsi="宋体" w:cs="宋体"/>
              <w:sz w:val="28"/>
              <w:szCs w:val="28"/>
              <w:lang w:val="en-US" w:eastAsia="zh-CN"/>
            </w:rPr>
            <w:t>9</w:t>
          </w:r>
          <w:r>
            <w:rPr>
              <w:rFonts w:hint="eastAsia" w:ascii="宋体" w:hAnsi="宋体" w:eastAsia="宋体" w:cs="宋体"/>
              <w:sz w:val="28"/>
              <w:szCs w:val="28"/>
              <w:lang w:val="en-US" w:eastAsia="zh-CN"/>
            </w:rPr>
            <w:fldChar w:fldCharType="end"/>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_Toc1959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四、财政拨款收入支出决算总体情况说明</w:t>
          </w:r>
          <w:r>
            <w:rPr>
              <w:rFonts w:hint="eastAsia" w:ascii="宋体" w:hAnsi="宋体" w:eastAsia="宋体" w:cs="宋体"/>
              <w:sz w:val="28"/>
              <w:szCs w:val="28"/>
            </w:rPr>
            <w:tab/>
          </w:r>
          <w:r>
            <w:rPr>
              <w:rFonts w:hint="eastAsia" w:ascii="宋体" w:hAnsi="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0</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_Toc28715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五、一般公共预算财政拨款支出决算情况说明</w:t>
          </w:r>
          <w:r>
            <w:rPr>
              <w:rFonts w:hint="eastAsia" w:ascii="宋体" w:hAnsi="宋体" w:eastAsia="宋体" w:cs="宋体"/>
              <w:sz w:val="28"/>
              <w:szCs w:val="28"/>
            </w:rPr>
            <w:tab/>
          </w:r>
          <w:r>
            <w:rPr>
              <w:rFonts w:hint="eastAsia" w:ascii="宋体" w:hAnsi="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0</w:t>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_Toc23813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六、一般公共预算财政拨款基本支出决算情况说明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_Toc23813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_Toc9560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七、财政拨款“三公”经费支出决算情况说明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_Toc9560 \h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_Toc14667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八、政府性基金预算支出决算情况说明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_Toc14667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_Toc19112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highlight w:val="none"/>
            </w:rPr>
            <w:t>国有资本经营预算支出决算情况说明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_Toc19112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pPr>
            <w:pStyle w:val="39"/>
            <w:tabs>
              <w:tab w:val="right" w:leader="dot" w:pos="8844"/>
            </w:tabs>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_Toc4773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 xml:space="preserve">十、 </w:t>
          </w:r>
          <w:r>
            <w:rPr>
              <w:rFonts w:hint="eastAsia" w:ascii="宋体" w:hAnsi="宋体" w:eastAsia="宋体" w:cs="宋体"/>
              <w:sz w:val="28"/>
              <w:szCs w:val="28"/>
              <w:highlight w:val="none"/>
            </w:rPr>
            <w:t>其他重要事项的情况说明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_Toc4773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fldChar w:fldCharType="end"/>
          </w:r>
        </w:p>
        <w:p>
          <w:pPr>
            <w:pStyle w:val="38"/>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_Toc18614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rPr>
            <w:t xml:space="preserve">第三部分 </w:t>
          </w:r>
          <w:r>
            <w:rPr>
              <w:rFonts w:hint="eastAsia" w:ascii="宋体" w:hAnsi="宋体" w:eastAsia="宋体" w:cs="宋体"/>
              <w:sz w:val="28"/>
              <w:szCs w:val="28"/>
              <w:highlight w:val="none"/>
            </w:rPr>
            <w:t>名词解释</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8"/>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_Toc29471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第四部分 附件</w:t>
          </w:r>
          <w:r>
            <w:rPr>
              <w:rFonts w:hint="eastAsia" w:ascii="宋体" w:hAnsi="宋体" w:eastAsia="宋体" w:cs="宋体"/>
              <w:sz w:val="28"/>
              <w:szCs w:val="28"/>
            </w:rPr>
            <w:tab/>
          </w:r>
          <w:r>
            <w:rPr>
              <w:rFonts w:hint="eastAsia" w:ascii="宋体" w:hAnsi="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6</w:t>
          </w:r>
        </w:p>
        <w:p>
          <w:pPr>
            <w:pStyle w:val="38"/>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_Toc32096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第五部分 附表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_Toc18551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一、收</w:t>
          </w:r>
          <w:r>
            <w:rPr>
              <w:rFonts w:hint="eastAsia" w:ascii="宋体" w:hAnsi="宋体" w:eastAsia="宋体" w:cs="宋体"/>
              <w:bCs w:val="0"/>
              <w:sz w:val="28"/>
              <w:szCs w:val="28"/>
              <w:highlight w:val="none"/>
            </w:rPr>
            <w:t>入支出决算总表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_Toc16066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highlight w:val="none"/>
            </w:rPr>
            <w:t>二、收</w:t>
          </w:r>
          <w:r>
            <w:rPr>
              <w:rFonts w:hint="eastAsia" w:ascii="宋体" w:hAnsi="宋体" w:eastAsia="宋体" w:cs="宋体"/>
              <w:bCs w:val="0"/>
              <w:sz w:val="28"/>
              <w:szCs w:val="28"/>
              <w:highlight w:val="none"/>
            </w:rPr>
            <w:t>入决算表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_Toc21473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三、</w:t>
          </w:r>
          <w:r>
            <w:rPr>
              <w:rFonts w:hint="eastAsia" w:ascii="宋体" w:hAnsi="宋体" w:eastAsia="宋体" w:cs="宋体"/>
              <w:sz w:val="28"/>
              <w:szCs w:val="28"/>
              <w:highlight w:val="none"/>
            </w:rPr>
            <w:t>支</w:t>
          </w:r>
          <w:r>
            <w:rPr>
              <w:rFonts w:hint="eastAsia" w:ascii="宋体" w:hAnsi="宋体" w:eastAsia="宋体" w:cs="宋体"/>
              <w:bCs w:val="0"/>
              <w:sz w:val="28"/>
              <w:szCs w:val="28"/>
              <w:highlight w:val="none"/>
            </w:rPr>
            <w:t>出决算表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_Toc28788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四、</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政拨款收入支出决算总表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_Toc31516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五、</w:t>
          </w:r>
          <w:r>
            <w:rPr>
              <w:rFonts w:hint="eastAsia" w:ascii="宋体" w:hAnsi="宋体" w:eastAsia="宋体" w:cs="宋体"/>
              <w:sz w:val="28"/>
              <w:szCs w:val="28"/>
              <w:highlight w:val="none"/>
            </w:rPr>
            <w:t>财</w:t>
          </w:r>
          <w:r>
            <w:rPr>
              <w:rFonts w:hint="eastAsia" w:ascii="宋体" w:hAnsi="宋体" w:eastAsia="宋体" w:cs="宋体"/>
              <w:bCs w:val="0"/>
              <w:sz w:val="28"/>
              <w:szCs w:val="28"/>
              <w:highlight w:val="none"/>
            </w:rPr>
            <w:t>政拨款支出决算明细表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_Toc7532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六、</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_Toc1361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七、</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般公共预算财政拨款支出决算明细表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_Toc24600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八、</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般公共预算财政拨款基本支出决算表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_Toc23437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九、</w:t>
          </w:r>
          <w:r>
            <w:rPr>
              <w:rFonts w:hint="eastAsia" w:ascii="宋体" w:hAnsi="宋体" w:eastAsia="宋体" w:cs="宋体"/>
              <w:sz w:val="28"/>
              <w:szCs w:val="28"/>
              <w:highlight w:val="none"/>
            </w:rPr>
            <w:t>一</w:t>
          </w:r>
          <w:r>
            <w:rPr>
              <w:rFonts w:hint="eastAsia" w:ascii="宋体" w:hAnsi="宋体" w:eastAsia="宋体" w:cs="宋体"/>
              <w:bCs w:val="0"/>
              <w:sz w:val="28"/>
              <w:szCs w:val="28"/>
              <w:highlight w:val="none"/>
            </w:rPr>
            <w:t>般公共预算财政拨款项目支出决算表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_Toc15422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十、</w:t>
          </w:r>
          <w:r>
            <w:rPr>
              <w:rFonts w:hint="eastAsia" w:ascii="宋体" w:hAnsi="宋体" w:eastAsia="宋体" w:cs="宋体"/>
              <w:sz w:val="28"/>
              <w:szCs w:val="28"/>
              <w:highlight w:val="none"/>
            </w:rPr>
            <w:t>政</w:t>
          </w:r>
          <w:r>
            <w:rPr>
              <w:rFonts w:hint="eastAsia" w:ascii="宋体" w:hAnsi="宋体" w:eastAsia="宋体" w:cs="宋体"/>
              <w:bCs w:val="0"/>
              <w:sz w:val="28"/>
              <w:szCs w:val="28"/>
              <w:highlight w:val="none"/>
            </w:rPr>
            <w:t>府性基金预算财政拨款收入支出决算表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_Toc32173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十一、</w:t>
          </w:r>
          <w:r>
            <w:rPr>
              <w:rFonts w:hint="eastAsia" w:ascii="宋体" w:hAnsi="宋体" w:eastAsia="宋体" w:cs="宋体"/>
              <w:sz w:val="28"/>
              <w:szCs w:val="28"/>
              <w:highlight w:val="none"/>
            </w:rPr>
            <w:t>国</w:t>
          </w:r>
          <w:r>
            <w:rPr>
              <w:rFonts w:hint="eastAsia" w:ascii="宋体" w:hAnsi="宋体" w:eastAsia="宋体" w:cs="宋体"/>
              <w:bCs w:val="0"/>
              <w:sz w:val="28"/>
              <w:szCs w:val="28"/>
              <w:highlight w:val="none"/>
            </w:rPr>
            <w:t>有资本经营预算</w:t>
          </w:r>
          <w:r>
            <w:rPr>
              <w:rFonts w:hint="eastAsia" w:ascii="宋体" w:hAnsi="宋体" w:eastAsia="宋体" w:cs="宋体"/>
              <w:bCs w:val="0"/>
              <w:sz w:val="28"/>
              <w:szCs w:val="28"/>
              <w:highlight w:val="none"/>
              <w:lang w:eastAsia="zh-CN"/>
            </w:rPr>
            <w:t>财政拨款收入</w:t>
          </w:r>
          <w:r>
            <w:rPr>
              <w:rFonts w:hint="eastAsia" w:ascii="宋体" w:hAnsi="宋体" w:eastAsia="宋体" w:cs="宋体"/>
              <w:bCs w:val="0"/>
              <w:sz w:val="28"/>
              <w:szCs w:val="28"/>
              <w:highlight w:val="none"/>
            </w:rPr>
            <w:t>支出决算表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_Toc14540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十二、</w:t>
          </w:r>
          <w:r>
            <w:rPr>
              <w:rFonts w:hint="eastAsia" w:ascii="宋体" w:hAnsi="宋体" w:eastAsia="宋体" w:cs="宋体"/>
              <w:bCs w:val="0"/>
              <w:sz w:val="28"/>
              <w:szCs w:val="28"/>
              <w:highlight w:val="none"/>
              <w:lang w:eastAsia="zh-CN"/>
            </w:rPr>
            <w:t>国有资本经营预算财政拨款支出决算表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pStyle w:val="39"/>
            <w:tabs>
              <w:tab w:val="right" w:leader="dot" w:pos="8844"/>
            </w:tabs>
            <w:rPr>
              <w:rFonts w:hint="default" w:ascii="宋体" w:hAnsi="宋体" w:eastAsia="宋体" w:cs="宋体"/>
              <w:sz w:val="28"/>
              <w:szCs w:val="28"/>
              <w:lang w:val="en-US"/>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_Toc19293 </w:instrText>
          </w:r>
          <w:r>
            <w:rPr>
              <w:rFonts w:hint="eastAsia" w:ascii="宋体" w:hAnsi="宋体" w:eastAsia="宋体" w:cs="宋体"/>
              <w:sz w:val="28"/>
              <w:szCs w:val="28"/>
              <w:lang w:val="en-US" w:eastAsia="zh-CN"/>
            </w:rPr>
            <w:fldChar w:fldCharType="separate"/>
          </w:r>
          <w:r>
            <w:rPr>
              <w:rFonts w:hint="eastAsia" w:ascii="宋体" w:hAnsi="宋体" w:eastAsia="宋体" w:cs="宋体"/>
              <w:bCs w:val="0"/>
              <w:sz w:val="28"/>
              <w:szCs w:val="28"/>
              <w:highlight w:val="none"/>
            </w:rPr>
            <w:t>十三、</w:t>
          </w:r>
          <w:r>
            <w:rPr>
              <w:rFonts w:hint="eastAsia" w:ascii="宋体" w:hAnsi="宋体" w:eastAsia="宋体" w:cs="宋体"/>
              <w:bCs w:val="0"/>
              <w:sz w:val="28"/>
              <w:szCs w:val="28"/>
              <w:highlight w:val="none"/>
              <w:lang w:eastAsia="zh-CN"/>
            </w:rPr>
            <w:t>财政拨款“三公”经费支出决算表</w:t>
          </w:r>
          <w:r>
            <w:rPr>
              <w:rFonts w:hint="eastAsia" w:ascii="宋体" w:hAnsi="宋体" w:eastAsia="宋体" w:cs="宋体"/>
              <w:sz w:val="28"/>
              <w:szCs w:val="28"/>
            </w:rPr>
            <w:tab/>
          </w:r>
          <w:r>
            <w:rPr>
              <w:rFonts w:hint="eastAsia" w:ascii="宋体" w:hAnsi="宋体" w:cs="宋体"/>
              <w:sz w:val="28"/>
              <w:szCs w:val="28"/>
              <w:lang w:val="en-US" w:eastAsia="zh-CN"/>
            </w:rPr>
            <w:t>5</w:t>
          </w:r>
          <w:r>
            <w:rPr>
              <w:rFonts w:hint="eastAsia" w:ascii="宋体" w:hAnsi="宋体" w:eastAsia="宋体" w:cs="宋体"/>
              <w:sz w:val="28"/>
              <w:szCs w:val="28"/>
              <w:lang w:val="en-US" w:eastAsia="zh-CN"/>
            </w:rPr>
            <w:fldChar w:fldCharType="end"/>
          </w:r>
          <w:r>
            <w:rPr>
              <w:rFonts w:hint="eastAsia" w:ascii="宋体" w:hAnsi="宋体" w:cs="宋体"/>
              <w:sz w:val="28"/>
              <w:szCs w:val="28"/>
              <w:lang w:val="en-US" w:eastAsia="zh-CN"/>
            </w:rPr>
            <w:t>2</w:t>
          </w:r>
        </w:p>
        <w:p>
          <w:pPr>
            <w:rPr>
              <w:rFonts w:hint="eastAsia" w:asciiTheme="majorEastAsia" w:hAnsiTheme="majorEastAsia" w:eastAsiaTheme="majorEastAsia" w:cstheme="majorEastAsia"/>
              <w:sz w:val="28"/>
              <w:szCs w:val="28"/>
              <w:lang w:val="en-US" w:eastAsia="zh-CN"/>
            </w:rPr>
          </w:pPr>
          <w:r>
            <w:rPr>
              <w:rFonts w:hint="eastAsia" w:ascii="宋体" w:hAnsi="宋体" w:eastAsia="宋体" w:cs="宋体"/>
              <w:sz w:val="28"/>
              <w:szCs w:val="28"/>
              <w:lang w:val="en-US" w:eastAsia="zh-CN"/>
            </w:rPr>
            <w:fldChar w:fldCharType="end"/>
          </w:r>
        </w:p>
      </w:sdtContent>
    </w:sdt>
    <w:p>
      <w:pPr>
        <w:pStyle w:val="5"/>
        <w:jc w:val="center"/>
        <w:outlineLvl w:val="9"/>
        <w:rPr>
          <w:rFonts w:hint="eastAsia" w:ascii="黑体" w:hAnsi="黑体" w:eastAsia="黑体"/>
          <w:b w:val="0"/>
          <w:color w:val="auto"/>
          <w:highlight w:val="none"/>
        </w:rPr>
        <w:sectPr>
          <w:headerReference r:id="rId3" w:type="default"/>
          <w:footerReference r:id="rId4" w:type="default"/>
          <w:pgSz w:w="11906" w:h="16838"/>
          <w:pgMar w:top="1701" w:right="1474" w:bottom="1701" w:left="1588" w:header="851" w:footer="1134" w:gutter="0"/>
          <w:cols w:space="720" w:num="1"/>
          <w:docGrid w:type="lines" w:linePitch="312" w:charSpace="0"/>
        </w:sectPr>
      </w:pPr>
      <w:bookmarkStart w:id="14" w:name="_Toc15377196"/>
      <w:bookmarkStart w:id="15" w:name="_Toc15396599"/>
      <w:bookmarkStart w:id="16" w:name="_Toc15092"/>
      <w:bookmarkStart w:id="17" w:name="_Toc3265"/>
    </w:p>
    <w:bookmarkEnd w:id="14"/>
    <w:bookmarkEnd w:id="15"/>
    <w:bookmarkEnd w:id="16"/>
    <w:bookmarkEnd w:id="17"/>
    <w:p>
      <w:pPr>
        <w:pStyle w:val="5"/>
        <w:jc w:val="center"/>
        <w:rPr>
          <w:rStyle w:val="3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p>
    <w:p>
      <w:pPr>
        <w:pStyle w:val="6"/>
        <w:numPr>
          <w:ilvl w:val="0"/>
          <w:numId w:val="1"/>
        </w:numPr>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部门职责</w:t>
      </w:r>
    </w:p>
    <w:p>
      <w:pPr>
        <w:numPr>
          <w:ilvl w:val="0"/>
          <w:numId w:val="0"/>
        </w:numPr>
        <w:spacing w:line="580" w:lineRule="exact"/>
        <w:ind w:left="0" w:right="0" w:firstLine="640"/>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贯彻</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rPr>
        <w:t>中省市有关国民经济和社会发展、经济体制改革</w:t>
      </w:r>
      <w:r>
        <w:rPr>
          <w:rFonts w:hint="default" w:ascii="Times New Roman" w:hAnsi="Times New Roman" w:eastAsia="仿宋_GB2312" w:cs="Times New Roman"/>
          <w:sz w:val="32"/>
          <w:szCs w:val="32"/>
          <w:lang w:eastAsia="zh-CN"/>
        </w:rPr>
        <w:t>、粮食流通和物资储备管理</w:t>
      </w:r>
      <w:r>
        <w:rPr>
          <w:rFonts w:hint="default" w:ascii="Times New Roman" w:hAnsi="Times New Roman" w:eastAsia="仿宋_GB2312" w:cs="Times New Roman"/>
          <w:sz w:val="32"/>
          <w:szCs w:val="32"/>
        </w:rPr>
        <w:t>的方针、政策和法律、法规。拟订并组织实施全区国民经济和社会发展战略、中长期规划和年度计划。起草全区有关国民经济和社会发展、经济体制改革</w:t>
      </w:r>
      <w:r>
        <w:rPr>
          <w:rFonts w:hint="default" w:ascii="Times New Roman" w:hAnsi="Times New Roman" w:eastAsia="仿宋_GB2312" w:cs="Times New Roman"/>
          <w:sz w:val="32"/>
          <w:szCs w:val="32"/>
          <w:lang w:eastAsia="zh-CN"/>
        </w:rPr>
        <w:t>、粮食流通和物资储备管理</w:t>
      </w:r>
      <w:r>
        <w:rPr>
          <w:rFonts w:hint="default" w:ascii="Times New Roman" w:hAnsi="Times New Roman" w:eastAsia="仿宋_GB2312" w:cs="Times New Roman"/>
          <w:sz w:val="32"/>
          <w:szCs w:val="32"/>
        </w:rPr>
        <w:t>的政策草案。</w:t>
      </w:r>
    </w:p>
    <w:p>
      <w:pPr>
        <w:spacing w:line="580" w:lineRule="exact"/>
        <w:ind w:left="0" w:right="0" w:firstLine="640"/>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统筹提出全区国民经济和社会发展主要目标，研究分析宏观经济形势，提出全区经济社会发展、经济结构优化、价格总水平调控目标和政策建议。监测预测预警宏观经济和社会发展态势趋势，研究宏观调控重大问题并提出政策建议，搞好总量平衡，综合协调经济社会发展中的重大问题。</w:t>
      </w:r>
    </w:p>
    <w:p>
      <w:pPr>
        <w:spacing w:line="580" w:lineRule="exact"/>
        <w:ind w:left="0" w:right="0" w:firstLine="640"/>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000000"/>
          <w:sz w:val="32"/>
          <w:szCs w:val="32"/>
        </w:rPr>
        <w:t>负责汇总分析全区财政、金融等方面情况，参与制订财政、金融、土地政策，综合分析政策执行效果，负责全区全口径外债的总量控制、结构优化和监测工作，提出多渠道融资的政</w:t>
      </w:r>
      <w:r>
        <w:rPr>
          <w:rFonts w:hint="default" w:ascii="Times New Roman" w:hAnsi="Times New Roman" w:eastAsia="仿宋_GB2312" w:cs="Times New Roman"/>
          <w:sz w:val="32"/>
          <w:szCs w:val="32"/>
        </w:rPr>
        <w:t>策建议，综合协调财政、金融、价格和产业政策等经济杠杆，保证全区国民经济计划和发展规划的实施。</w:t>
      </w:r>
    </w:p>
    <w:p>
      <w:pPr>
        <w:spacing w:line="580" w:lineRule="exact"/>
        <w:ind w:left="0" w:right="0" w:firstLine="640"/>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sz w:val="32"/>
          <w:szCs w:val="32"/>
        </w:rPr>
        <w:t>指导推进和综合协调全区经济体制改革有关工作，研究经济体制改革和对外开放的重大问题，组织拟订综合性经济体制改革方案，协调有关专项经济体制改革方案，会同有关部门搞好重要专项经济体制改革之间的衔接，指导经济体制改革试点和改革试验区工作。牵头推进供给侧结构性改革。</w:t>
      </w:r>
    </w:p>
    <w:p>
      <w:pPr>
        <w:spacing w:line="580" w:lineRule="exact"/>
        <w:ind w:left="0" w:right="0" w:firstLine="640"/>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kern w:val="0"/>
          <w:sz w:val="32"/>
          <w:szCs w:val="32"/>
        </w:rPr>
        <w:t>贯彻实施国家、省和市价格法律、法规、规章和方针、政策；负责承担实施上级主管部门规定的商品价格和服务价格工作。承担行政事业性收费管理工作。负责全区价格成本调查监审、价格监测、价格认定等工作。</w:t>
      </w:r>
    </w:p>
    <w:p>
      <w:pPr>
        <w:spacing w:line="580" w:lineRule="exact"/>
        <w:ind w:left="0" w:right="0" w:firstLine="640"/>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负责全区投资宏观管理和协调推进重大项目建设。拟订全社会固定资产投资总规模、结构调控目标、政策及措施，拟订区级政府投资项目年度计划，</w:t>
      </w:r>
      <w:r>
        <w:rPr>
          <w:rFonts w:hint="default" w:ascii="Times New Roman" w:hAnsi="Times New Roman" w:eastAsia="仿宋_GB2312" w:cs="Times New Roman"/>
          <w:color w:val="000000"/>
          <w:sz w:val="32"/>
          <w:szCs w:val="32"/>
        </w:rPr>
        <w:t>安排区级预算内基本建设资金。提出全区重点项目年度投资计划，</w:t>
      </w:r>
      <w:r>
        <w:rPr>
          <w:rFonts w:hint="default" w:ascii="Times New Roman" w:hAnsi="Times New Roman" w:eastAsia="仿宋_GB2312" w:cs="Times New Roman"/>
          <w:sz w:val="32"/>
          <w:szCs w:val="32"/>
        </w:rPr>
        <w:t>按规定权限审批、核准、备案或转报除企业技术改造项目外的固定资产投资项目和资源开发利用、外资、境外投资项目。引导民间投资方向，推动国家、省、市和区民间投资政策措施落实。研究提出利用外资和境外投资的规划、总量平衡和结构优化的目标和政策，指导和协调国外贷款项目实施。指导工程咨询业发展。</w:t>
      </w:r>
    </w:p>
    <w:p>
      <w:pPr>
        <w:spacing w:line="580" w:lineRule="exact"/>
        <w:ind w:left="0" w:right="0" w:firstLine="640"/>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组织拟订全区综合性产业政策。协调第一、二、三产业发展的重大问题，衔接平衡相关发展规划和重大政策。拟订重大产业发展规划，引导全区重大生产力合理布局，协调推进重大基础设施建设发展，组织拟订并推动实施服务业及现代物流业战略、规划和重大政策。组织拟订并推动实施高技术产业和战略性新兴产业发展规划政策，协调产业升级、重大技术装备推广应用等方面重大问题。</w:t>
      </w:r>
    </w:p>
    <w:p>
      <w:pPr>
        <w:spacing w:line="580" w:lineRule="exact"/>
        <w:ind w:left="0" w:right="0" w:firstLine="640"/>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推进落实区域协调发展战略、新型城镇化战略和重大政策，组织拟订全区区域协调发展战略、规划和政策，负责地区经济合作的统筹协调工作。</w:t>
      </w:r>
    </w:p>
    <w:p>
      <w:pPr>
        <w:spacing w:line="580" w:lineRule="exact"/>
        <w:ind w:left="0" w:right="0" w:firstLine="640"/>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负责重要商品总量平衡和宏观调控，提出重要工业品、原材料和重要农产品进出口调控意见并协调落实。提出重要商品市场、生产要素市场的总体布局和发展规划。</w:t>
      </w:r>
    </w:p>
    <w:p>
      <w:pPr>
        <w:spacing w:line="580" w:lineRule="exact"/>
        <w:ind w:left="0" w:right="0" w:firstLine="640"/>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负责执行中省市粮食流通和物资储备管理的法律法规和方针政策。承担全区粮食宏观调控、粮食预警监测和应急供应工作。组织实施全区重要物资和应急储备物资的收储、轮换和日常管理。负责储备基础设施的管理。</w:t>
      </w:r>
    </w:p>
    <w:p>
      <w:pPr>
        <w:spacing w:line="580" w:lineRule="exact"/>
        <w:ind w:left="0" w:right="0" w:firstLine="640"/>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负责全区社会发展与国民经济发展的政策衔接，协调有关重大问题。组织拟订社会发展战略、总体规划，拟订人口发展战略、规划及人口政策，参与拟订科学技术、教育、文化、卫生健康、民政等发展政策，推进社会事业建设。研究提出促进就业、调整收入分配、完善社会保障与经济协调发展的政策建议，协调社会事业发展和政策中的重大问题及政策。牵头开展社会信用体系建设。</w:t>
      </w:r>
    </w:p>
    <w:p>
      <w:pPr>
        <w:spacing w:line="580" w:lineRule="exact"/>
        <w:ind w:left="0" w:right="0" w:firstLine="640"/>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推进实施可持续发展，协调生态环境保护与修复、能源资源节约和综合利用等工作。组织拟订并协调实施全区发展循环经济、能源资源节约和综合利用规划及政策措施，参与编制生态建设、环境保护规划。综合协调环保产业和清洁生产促进有关工作。</w:t>
      </w:r>
    </w:p>
    <w:p>
      <w:pPr>
        <w:spacing w:line="580" w:lineRule="exact"/>
        <w:ind w:left="0" w:right="0" w:firstLine="640"/>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拟订全区能源发展战略、规划和政策，提出能源消费总量控制目标、任务并组织实施，协调能源发展和改革中的重大问题。统筹规划、综合平衡能源建设和重大项目布局，按权限实施对能源项目和计划的管理，监测能源发展情况，跟踪了解能源运行和安全状况，参与能源运行调节和应急保障。</w:t>
      </w:r>
    </w:p>
    <w:p>
      <w:pPr>
        <w:spacing w:line="580" w:lineRule="exact"/>
        <w:ind w:left="0" w:right="0" w:firstLine="640"/>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负责组织编制全区国民经济动员与装备动员规划、计划和组织实施国民经济动员与装备动员有关工作。</w:t>
      </w:r>
    </w:p>
    <w:p>
      <w:pPr>
        <w:spacing w:line="580" w:lineRule="exact"/>
        <w:ind w:left="0" w:right="0" w:firstLine="640"/>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指导、协调并综合管理全区招标投标工作，对国家、省、市、区重大建设项目建设过程中的工程招标投标活动实施监督检查。</w:t>
      </w:r>
    </w:p>
    <w:p>
      <w:pPr>
        <w:spacing w:line="580" w:lineRule="exact"/>
        <w:ind w:left="0" w:right="0" w:firstLine="640"/>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负责组织协调和处理全区铁路、机场建设项目前</w:t>
      </w:r>
      <w:r>
        <w:rPr>
          <w:rFonts w:hint="default" w:ascii="Times New Roman" w:hAnsi="Times New Roman" w:eastAsia="仿宋_GB2312" w:cs="Times New Roman"/>
          <w:b w:val="0"/>
          <w:bCs w:val="0"/>
          <w:sz w:val="32"/>
          <w:szCs w:val="32"/>
        </w:rPr>
        <w:t>期工作，协同做好全区铁路、机场建设规划及年度计划编制</w:t>
      </w:r>
      <w:r>
        <w:rPr>
          <w:rFonts w:hint="default" w:ascii="Times New Roman" w:hAnsi="Times New Roman" w:eastAsia="仿宋_GB2312" w:cs="Times New Roman"/>
          <w:sz w:val="32"/>
          <w:szCs w:val="32"/>
        </w:rPr>
        <w:t>的相关工作。</w:t>
      </w:r>
    </w:p>
    <w:p>
      <w:pPr>
        <w:spacing w:line="580" w:lineRule="exact"/>
        <w:ind w:left="0" w:right="0" w:firstLine="640"/>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负责职责范围内的安全生产和职业健康、生态环境保护等工作。</w:t>
      </w:r>
    </w:p>
    <w:p>
      <w:pPr>
        <w:spacing w:line="580" w:lineRule="exact"/>
        <w:ind w:left="0" w:right="0" w:firstLine="640"/>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承担区政府公布的有关行政权力事项。</w:t>
      </w:r>
    </w:p>
    <w:p>
      <w:pPr>
        <w:numPr>
          <w:ilvl w:val="0"/>
          <w:numId w:val="0"/>
        </w:numPr>
        <w:ind w:firstLine="640" w:firstLineChars="200"/>
        <w:rPr>
          <w:rFonts w:hint="eastAsia"/>
          <w:lang w:eastAsia="zh-CN"/>
        </w:rPr>
      </w:pPr>
      <w:r>
        <w:rPr>
          <w:rFonts w:hint="eastAsia" w:ascii="Times New Roman" w:hAnsi="Times New Roman" w:cs="Times New Roman"/>
          <w:color w:val="auto"/>
          <w:sz w:val="32"/>
          <w:szCs w:val="32"/>
          <w:lang w:val="en-US" w:eastAsia="zh-CN"/>
        </w:rPr>
        <w:t>19.</w:t>
      </w:r>
      <w:r>
        <w:rPr>
          <w:rFonts w:hint="default" w:ascii="Times New Roman" w:hAnsi="Times New Roman" w:eastAsia="仿宋_GB2312" w:cs="Times New Roman"/>
          <w:color w:val="auto"/>
          <w:sz w:val="32"/>
          <w:szCs w:val="32"/>
        </w:rPr>
        <w:t>完成区委和区政府交办的其他任务。</w:t>
      </w:r>
    </w:p>
    <w:p>
      <w:pPr>
        <w:pStyle w:val="6"/>
        <w:rPr>
          <w:rStyle w:val="31"/>
          <w:b w:val="0"/>
          <w:bCs w:val="0"/>
          <w:color w:val="auto"/>
          <w:highlight w:val="none"/>
        </w:rPr>
      </w:pPr>
      <w:bookmarkStart w:id="18" w:name="_Toc23669"/>
      <w:bookmarkStart w:id="19" w:name="_Toc28145"/>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8"/>
      <w:bookmarkEnd w:id="19"/>
    </w:p>
    <w:p>
      <w:pPr>
        <w:pStyle w:val="8"/>
        <w:adjustRightInd w:val="0"/>
        <w:snapToGrid w:val="0"/>
        <w:spacing w:before="93" w:line="600" w:lineRule="exact"/>
        <w:ind w:firstLine="640" w:firstLineChars="200"/>
        <w:rPr>
          <w:rFonts w:ascii="仿宋" w:hAnsi="仿宋" w:eastAsia="仿宋"/>
          <w:color w:val="auto"/>
          <w:sz w:val="32"/>
          <w:szCs w:val="32"/>
          <w:highlight w:val="none"/>
        </w:rPr>
      </w:pPr>
      <w:bookmarkStart w:id="20" w:name="_Toc9676"/>
      <w:bookmarkStart w:id="21" w:name="_Toc17575"/>
      <w:r>
        <w:rPr>
          <w:rFonts w:hint="eastAsia" w:ascii="仿宋" w:hAnsi="仿宋" w:eastAsia="仿宋" w:cs="仿宋"/>
          <w:sz w:val="32"/>
          <w:szCs w:val="32"/>
          <w:lang w:val="zh-CN"/>
        </w:rPr>
        <w:t>船山区发展和改革局（以下简称区发展改革局）内设</w:t>
      </w:r>
      <w:r>
        <w:rPr>
          <w:rFonts w:hint="eastAsia" w:ascii="仿宋" w:hAnsi="仿宋" w:eastAsia="仿宋" w:cs="仿宋"/>
          <w:sz w:val="32"/>
          <w:szCs w:val="32"/>
          <w:lang w:val="en-US" w:eastAsia="zh-CN"/>
        </w:rPr>
        <w:t>10</w:t>
      </w:r>
      <w:r>
        <w:rPr>
          <w:rFonts w:hint="eastAsia" w:ascii="仿宋" w:hAnsi="仿宋" w:eastAsia="仿宋" w:cs="仿宋"/>
          <w:sz w:val="32"/>
          <w:szCs w:val="32"/>
          <w:lang w:val="zh-CN"/>
        </w:rPr>
        <w:t>个股室：</w:t>
      </w:r>
      <w:r>
        <w:rPr>
          <w:rFonts w:hint="eastAsia" w:ascii="仿宋" w:hAnsi="仿宋" w:eastAsia="仿宋" w:cs="仿宋"/>
          <w:sz w:val="32"/>
          <w:szCs w:val="32"/>
        </w:rPr>
        <w:t>分别为办公室、国民经济综合股</w:t>
      </w:r>
      <w:r>
        <w:rPr>
          <w:rFonts w:hint="eastAsia" w:ascii="仿宋" w:hAnsi="仿宋" w:eastAsia="仿宋" w:cs="仿宋"/>
          <w:sz w:val="32"/>
          <w:szCs w:val="32"/>
          <w:lang w:eastAsia="zh-CN"/>
        </w:rPr>
        <w:t>、政策法规股、发展和</w:t>
      </w:r>
      <w:r>
        <w:rPr>
          <w:rFonts w:hint="eastAsia" w:ascii="仿宋" w:hAnsi="仿宋" w:eastAsia="仿宋" w:cs="仿宋"/>
          <w:sz w:val="32"/>
          <w:szCs w:val="32"/>
        </w:rPr>
        <w:t>规划股、固定资产投资股、价格</w:t>
      </w:r>
      <w:r>
        <w:rPr>
          <w:rFonts w:hint="eastAsia" w:ascii="仿宋" w:hAnsi="仿宋" w:eastAsia="仿宋" w:cs="仿宋"/>
          <w:sz w:val="32"/>
          <w:szCs w:val="32"/>
          <w:lang w:eastAsia="zh-CN"/>
        </w:rPr>
        <w:t>和</w:t>
      </w:r>
      <w:r>
        <w:rPr>
          <w:rFonts w:hint="eastAsia" w:ascii="仿宋" w:hAnsi="仿宋" w:eastAsia="仿宋" w:cs="仿宋"/>
          <w:sz w:val="32"/>
          <w:szCs w:val="32"/>
        </w:rPr>
        <w:t>收费管理股、粮食和物资股</w:t>
      </w:r>
      <w:r>
        <w:rPr>
          <w:rFonts w:hint="eastAsia" w:ascii="仿宋" w:hAnsi="仿宋" w:eastAsia="仿宋" w:cs="仿宋"/>
          <w:sz w:val="32"/>
          <w:szCs w:val="32"/>
          <w:lang w:eastAsia="zh-CN"/>
        </w:rPr>
        <w:t>、农村经济股、基础设施股、机关党委办；另区委财经办秘书股、</w:t>
      </w:r>
      <w:r>
        <w:rPr>
          <w:rFonts w:hint="eastAsia" w:ascii="仿宋" w:hAnsi="仿宋" w:eastAsia="仿宋" w:cs="仿宋"/>
          <w:sz w:val="32"/>
          <w:szCs w:val="32"/>
          <w:lang w:val="zh-CN"/>
        </w:rPr>
        <w:t>区项目办管理股设在区发展改革局。区发展改革局</w:t>
      </w:r>
      <w:r>
        <w:rPr>
          <w:rFonts w:hint="eastAsia" w:ascii="仿宋" w:hAnsi="仿宋" w:eastAsia="仿宋"/>
          <w:sz w:val="32"/>
          <w:szCs w:val="32"/>
          <w:highlight w:val="none"/>
          <w:lang w:eastAsia="zh-CN"/>
        </w:rPr>
        <w:t>无下属二级预算单位。</w:t>
      </w:r>
      <w:bookmarkEnd w:id="20"/>
      <w:bookmarkEnd w:id="21"/>
    </w:p>
    <w:p>
      <w:pPr>
        <w:numPr>
          <w:ilvl w:val="0"/>
          <w:numId w:val="0"/>
        </w:numPr>
        <w:rPr>
          <w:rFonts w:hint="eastAsia"/>
          <w:lang w:eastAsia="zh-CN"/>
        </w:rPr>
      </w:pPr>
    </w:p>
    <w:p>
      <w:pPr>
        <w:pStyle w:val="5"/>
        <w:ind w:right="440"/>
        <w:jc w:val="center"/>
        <w:rPr>
          <w:rStyle w:val="30"/>
          <w:rFonts w:ascii="黑体" w:hAnsi="黑体" w:eastAsia="黑体"/>
          <w:b w:val="0"/>
          <w:bCs/>
          <w:color w:val="auto"/>
          <w:highlight w:val="none"/>
        </w:rPr>
      </w:pPr>
      <w:bookmarkStart w:id="22" w:name="_Toc15396602"/>
      <w:bookmarkStart w:id="23" w:name="_Toc30872"/>
      <w:bookmarkStart w:id="24" w:name="_Toc15377204"/>
      <w:bookmarkStart w:id="25" w:name="_Toc3903"/>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0"/>
          <w:rFonts w:hint="eastAsia" w:ascii="黑体" w:hAnsi="黑体" w:eastAsia="黑体"/>
          <w:b w:val="0"/>
          <w:bCs/>
          <w:color w:val="auto"/>
          <w:highlight w:val="none"/>
        </w:rPr>
        <w:t>部门决算情况说明</w:t>
      </w:r>
      <w:bookmarkEnd w:id="22"/>
      <w:bookmarkEnd w:id="23"/>
      <w:bookmarkEnd w:id="24"/>
      <w:bookmarkEnd w:id="25"/>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6" w:name="_Toc15396603"/>
      <w:bookmarkStart w:id="27" w:name="_Toc15377205"/>
      <w:bookmarkStart w:id="28" w:name="_Toc10357"/>
      <w:bookmarkStart w:id="29" w:name="_Toc21339"/>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6"/>
      <w:bookmarkEnd w:id="27"/>
      <w:bookmarkEnd w:id="28"/>
      <w:bookmarkEnd w:id="29"/>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年度收、支总计17</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422.92万元。与20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减少5,157.37</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降低22.84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本年度</w:t>
      </w:r>
      <w:r>
        <w:rPr>
          <w:rFonts w:hint="eastAsia" w:ascii="仿宋" w:hAnsi="仿宋" w:eastAsia="仿宋"/>
          <w:color w:val="auto"/>
          <w:sz w:val="32"/>
          <w:szCs w:val="32"/>
          <w:highlight w:val="none"/>
          <w:lang w:val="en-US" w:eastAsia="zh-CN"/>
        </w:rPr>
        <w:t>政府专项债券资金减少</w:t>
      </w:r>
      <w:r>
        <w:rPr>
          <w:rFonts w:hint="eastAsia" w:ascii="仿宋" w:hAnsi="仿宋" w:eastAsia="仿宋"/>
          <w:color w:val="auto"/>
          <w:sz w:val="32"/>
          <w:szCs w:val="32"/>
          <w:highlight w:val="none"/>
          <w:lang w:eastAsia="zh-CN"/>
        </w:rPr>
        <w:t>。</w:t>
      </w:r>
    </w:p>
    <w:p>
      <w:pPr>
        <w:pStyle w:val="19"/>
        <w:rPr>
          <w:rFonts w:hint="eastAsia" w:ascii="仿宋" w:hAnsi="仿宋" w:eastAsia="仿宋"/>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431800</wp:posOffset>
            </wp:positionH>
            <wp:positionV relativeFrom="paragraph">
              <wp:posOffset>332105</wp:posOffset>
            </wp:positionV>
            <wp:extent cx="4805680" cy="2975610"/>
            <wp:effectExtent l="4445" t="4445" r="9525" b="10795"/>
            <wp:wrapNone/>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0"/>
        <w:rPr>
          <w:rFonts w:hint="eastAsia"/>
          <w:lang w:eastAsia="zh-CN"/>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19"/>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0" w:name="_Toc15396604"/>
      <w:bookmarkStart w:id="31" w:name="_Toc15377206"/>
      <w:bookmarkStart w:id="32" w:name="_Toc17953"/>
      <w:bookmarkStart w:id="33" w:name="_Toc32701"/>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30"/>
      <w:bookmarkEnd w:id="31"/>
      <w:bookmarkEnd w:id="32"/>
      <w:bookmarkEnd w:id="33"/>
    </w:p>
    <w:p>
      <w:pPr>
        <w:spacing w:line="600" w:lineRule="exact"/>
        <w:ind w:firstLine="640" w:firstLineChars="200"/>
        <w:outlineLvl w:val="1"/>
      </w:pPr>
      <w:bookmarkStart w:id="34" w:name="_Toc9738"/>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年本年收入合计16,987.10万元，其中：一般公共预算财政拨款收</w:t>
      </w:r>
      <w:r>
        <w:rPr>
          <w:rFonts w:hint="eastAsia" w:ascii="仿宋" w:hAnsi="仿宋" w:eastAsia="仿宋"/>
          <w:color w:val="auto"/>
          <w:sz w:val="32"/>
          <w:szCs w:val="32"/>
          <w:highlight w:val="none"/>
          <w:lang w:eastAsia="zh-CN"/>
        </w:rPr>
        <w:t>入</w:t>
      </w:r>
      <w:r>
        <w:rPr>
          <w:rFonts w:hint="eastAsia" w:ascii="仿宋" w:hAnsi="仿宋" w:eastAsia="仿宋"/>
          <w:color w:val="auto"/>
          <w:sz w:val="32"/>
          <w:szCs w:val="32"/>
          <w:highlight w:val="none"/>
        </w:rPr>
        <w:t>1,842.88万元，占</w:t>
      </w:r>
      <w:r>
        <w:rPr>
          <w:rFonts w:hint="eastAsia" w:ascii="仿宋" w:hAnsi="仿宋" w:eastAsia="仿宋"/>
          <w:color w:val="auto"/>
          <w:sz w:val="32"/>
          <w:szCs w:val="32"/>
          <w:highlight w:val="none"/>
          <w:lang w:val="en-US" w:eastAsia="zh-CN"/>
        </w:rPr>
        <w:t>10.85</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；政府性基金预算财政拨款收入9,860.00万元，占</w:t>
      </w:r>
      <w:r>
        <w:rPr>
          <w:rFonts w:hint="eastAsia" w:ascii="仿宋" w:hAnsi="仿宋" w:eastAsia="仿宋"/>
          <w:color w:val="auto"/>
          <w:sz w:val="32"/>
          <w:szCs w:val="32"/>
          <w:highlight w:val="none"/>
          <w:lang w:val="en-US" w:eastAsia="zh-CN"/>
        </w:rPr>
        <w:t>58.04%</w:t>
      </w:r>
      <w:r>
        <w:rPr>
          <w:rFonts w:hint="eastAsia" w:ascii="仿宋" w:hAnsi="仿宋" w:eastAsia="仿宋"/>
          <w:color w:val="auto"/>
          <w:sz w:val="32"/>
          <w:szCs w:val="32"/>
          <w:highlight w:val="none"/>
        </w:rPr>
        <w:t>；其他收入5,284.22万元，占</w:t>
      </w:r>
      <w:r>
        <w:rPr>
          <w:rFonts w:hint="eastAsia" w:ascii="仿宋" w:hAnsi="仿宋" w:eastAsia="仿宋"/>
          <w:color w:val="auto"/>
          <w:sz w:val="32"/>
          <w:szCs w:val="32"/>
          <w:highlight w:val="none"/>
          <w:lang w:val="en-US" w:eastAsia="zh-CN"/>
        </w:rPr>
        <w:t>31.11%</w:t>
      </w:r>
      <w:r>
        <w:rPr>
          <w:rFonts w:hint="eastAsia" w:ascii="仿宋" w:hAnsi="仿宋" w:eastAsia="仿宋"/>
          <w:color w:val="auto"/>
          <w:sz w:val="32"/>
          <w:szCs w:val="32"/>
          <w:highlight w:val="none"/>
        </w:rPr>
        <w:t>。</w:t>
      </w:r>
      <w:bookmarkEnd w:id="34"/>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281305</wp:posOffset>
            </wp:positionH>
            <wp:positionV relativeFrom="paragraph">
              <wp:posOffset>-71755</wp:posOffset>
            </wp:positionV>
            <wp:extent cx="4826000" cy="2743200"/>
            <wp:effectExtent l="4445" t="4445" r="8255" b="1460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5" w:name="_Toc15377207"/>
      <w:bookmarkStart w:id="36" w:name="_Toc15396605"/>
      <w:bookmarkStart w:id="37" w:name="_Toc19577"/>
      <w:bookmarkStart w:id="38" w:name="_Toc20257"/>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35"/>
      <w:bookmarkEnd w:id="36"/>
      <w:bookmarkEnd w:id="37"/>
      <w:bookmarkEnd w:id="38"/>
    </w:p>
    <w:p>
      <w:pPr>
        <w:spacing w:line="600" w:lineRule="exact"/>
        <w:ind w:firstLine="640" w:firstLineChars="200"/>
        <w:outlineLvl w:val="1"/>
        <w:rPr>
          <w:rFonts w:hint="eastAsia" w:ascii="仿宋" w:hAnsi="仿宋" w:eastAsia="仿宋"/>
          <w:color w:val="auto"/>
          <w:sz w:val="32"/>
          <w:szCs w:val="32"/>
          <w:highlight w:val="none"/>
        </w:rPr>
      </w:pPr>
      <w:bookmarkStart w:id="39" w:name="_Toc3125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年本年支出合计14,585.77万元，其中：基本支出627.3</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4.30</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；项目支出13,958.44万元，占</w:t>
      </w:r>
      <w:r>
        <w:rPr>
          <w:rFonts w:hint="eastAsia" w:ascii="仿宋" w:hAnsi="仿宋" w:eastAsia="仿宋"/>
          <w:color w:val="auto"/>
          <w:sz w:val="32"/>
          <w:szCs w:val="32"/>
          <w:highlight w:val="none"/>
          <w:lang w:val="en-US" w:eastAsia="zh-CN"/>
        </w:rPr>
        <w:t>95.70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p>
    <w:p>
      <w:pPr>
        <w:pStyle w:val="19"/>
      </w:pPr>
    </w:p>
    <w:p>
      <w:pPr>
        <w:pStyle w:val="8"/>
        <w:rPr>
          <w:rFonts w:ascii="仿宋" w:hAnsi="仿宋" w:eastAsia="仿宋"/>
          <w:color w:val="auto"/>
          <w:sz w:val="32"/>
          <w:szCs w:val="32"/>
          <w:highlight w:val="none"/>
          <w:shd w:val="pct10" w:color="auto" w:fill="FFFFFF"/>
        </w:rPr>
      </w:pPr>
      <w:r>
        <w:drawing>
          <wp:inline distT="0" distB="0" distL="114300" distR="114300">
            <wp:extent cx="4826000" cy="2743200"/>
            <wp:effectExtent l="4445" t="4445" r="8255" b="1460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8"/>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outlineLvl w:val="1"/>
        <w:rPr>
          <w:rStyle w:val="31"/>
          <w:rFonts w:ascii="黑体" w:hAnsi="黑体" w:eastAsia="黑体"/>
          <w:b w:val="0"/>
          <w:color w:val="auto"/>
          <w:highlight w:val="none"/>
        </w:rPr>
      </w:pPr>
      <w:bookmarkStart w:id="40" w:name="_Toc1959"/>
      <w:bookmarkStart w:id="41" w:name="_Toc15377208"/>
      <w:bookmarkStart w:id="42" w:name="_Toc15396606"/>
      <w:bookmarkStart w:id="43" w:name="_Toc29768"/>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40"/>
      <w:bookmarkEnd w:id="41"/>
      <w:bookmarkEnd w:id="42"/>
      <w:bookmarkEnd w:id="43"/>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年财政拨款收、支总计11,702.88万元。与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val="en-US" w:eastAsia="zh-CN"/>
        </w:rPr>
        <w:t>减少6334.84</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下降35.12%</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本年度</w:t>
      </w:r>
      <w:r>
        <w:rPr>
          <w:rFonts w:hint="eastAsia" w:ascii="仿宋" w:hAnsi="仿宋" w:eastAsia="仿宋"/>
          <w:color w:val="auto"/>
          <w:sz w:val="32"/>
          <w:szCs w:val="32"/>
          <w:highlight w:val="none"/>
          <w:lang w:val="en-US" w:eastAsia="zh-CN"/>
        </w:rPr>
        <w:t>政府专项债券资金减少</w:t>
      </w:r>
      <w:r>
        <w:rPr>
          <w:rFonts w:hint="eastAsia" w:ascii="仿宋" w:hAnsi="仿宋" w:eastAsia="仿宋"/>
          <w:color w:val="auto"/>
          <w:sz w:val="32"/>
          <w:szCs w:val="32"/>
          <w:highlight w:val="none"/>
          <w:lang w:eastAsia="zh-CN"/>
        </w:rPr>
        <w:t>。</w:t>
      </w:r>
    </w:p>
    <w:p>
      <w:pPr>
        <w:spacing w:line="600" w:lineRule="exact"/>
        <w:ind w:firstLine="640"/>
        <w:rPr>
          <w:rFonts w:ascii="仿宋" w:hAnsi="仿宋" w:eastAsia="仿宋"/>
          <w:color w:val="auto"/>
          <w:sz w:val="32"/>
          <w:szCs w:val="32"/>
          <w:highlight w:val="yellow"/>
        </w:rPr>
      </w:pPr>
    </w:p>
    <w:p>
      <w:pPr>
        <w:pStyle w:val="8"/>
        <w:rPr>
          <w:rFonts w:ascii="仿宋" w:hAnsi="仿宋" w:eastAsia="仿宋"/>
          <w:color w:val="auto"/>
          <w:sz w:val="32"/>
          <w:szCs w:val="32"/>
          <w:highlight w:val="none"/>
        </w:rPr>
      </w:pPr>
      <w:r>
        <w:drawing>
          <wp:inline distT="0" distB="0" distL="114300" distR="114300">
            <wp:extent cx="4826000" cy="2743200"/>
            <wp:effectExtent l="4445" t="4445" r="15875" b="10795"/>
            <wp:docPr id="1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31"/>
          <w:rFonts w:ascii="黑体" w:hAnsi="黑体" w:eastAsia="黑体"/>
          <w:b w:val="0"/>
          <w:color w:val="auto"/>
          <w:highlight w:val="none"/>
        </w:rPr>
      </w:pPr>
      <w:bookmarkStart w:id="44" w:name="_Toc15396607"/>
      <w:bookmarkStart w:id="45" w:name="_Toc20948"/>
      <w:bookmarkStart w:id="46" w:name="_Toc28715"/>
      <w:bookmarkStart w:id="4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44"/>
      <w:bookmarkEnd w:id="45"/>
      <w:bookmarkEnd w:id="46"/>
      <w:bookmarkEnd w:id="47"/>
    </w:p>
    <w:p>
      <w:pPr>
        <w:spacing w:line="600" w:lineRule="exact"/>
        <w:ind w:firstLine="643" w:firstLineChars="200"/>
        <w:outlineLvl w:val="2"/>
        <w:rPr>
          <w:rFonts w:ascii="仿宋" w:hAnsi="仿宋" w:eastAsia="仿宋"/>
          <w:b/>
          <w:color w:val="auto"/>
          <w:sz w:val="32"/>
          <w:szCs w:val="32"/>
          <w:highlight w:val="none"/>
        </w:rPr>
      </w:pPr>
      <w:bookmarkStart w:id="48" w:name="_Toc17851"/>
      <w:bookmarkStart w:id="49" w:name="_Toc15377210"/>
      <w:r>
        <w:rPr>
          <w:rFonts w:hint="eastAsia" w:ascii="仿宋" w:hAnsi="仿宋" w:eastAsia="仿宋"/>
          <w:b/>
          <w:color w:val="auto"/>
          <w:sz w:val="32"/>
          <w:szCs w:val="32"/>
          <w:highlight w:val="none"/>
        </w:rPr>
        <w:t>（一）一般公共预算财政拨款支出决算总体情况</w:t>
      </w:r>
      <w:bookmarkEnd w:id="48"/>
      <w:bookmarkEnd w:id="49"/>
    </w:p>
    <w:p>
      <w:pPr>
        <w:spacing w:line="600"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1842.88</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12.63</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增加205.16</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上升12.53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新</w:t>
      </w:r>
      <w:r>
        <w:rPr>
          <w:rFonts w:hint="eastAsia" w:ascii="仿宋" w:hAnsi="仿宋" w:eastAsia="仿宋"/>
          <w:color w:val="auto"/>
          <w:sz w:val="32"/>
          <w:szCs w:val="32"/>
          <w:highlight w:val="none"/>
          <w:lang w:val="en-US" w:eastAsia="zh-CN"/>
        </w:rPr>
        <w:t>增2022年度疫情防控期间紧急物资采购前置资金和2022年省预算内基本建设投资前期激励资金支出。</w:t>
      </w:r>
    </w:p>
    <w:p>
      <w:pPr>
        <w:pStyle w:val="2"/>
        <w:rPr>
          <w:rFonts w:hint="eastAsia" w:ascii="仿宋" w:hAnsi="仿宋" w:eastAsia="仿宋"/>
          <w:color w:val="auto"/>
          <w:sz w:val="32"/>
          <w:szCs w:val="32"/>
          <w:highlight w:val="yellow"/>
          <w:lang w:eastAsia="zh-CN"/>
        </w:rPr>
      </w:pPr>
    </w:p>
    <w:p>
      <w:pPr>
        <w:pStyle w:val="3"/>
        <w:rPr>
          <w:rFonts w:hint="eastAsia" w:ascii="仿宋" w:hAnsi="仿宋" w:eastAsia="仿宋"/>
          <w:color w:val="auto"/>
          <w:sz w:val="32"/>
          <w:szCs w:val="32"/>
          <w:highlight w:val="yellow"/>
          <w:lang w:eastAsia="zh-CN"/>
        </w:rPr>
      </w:pPr>
    </w:p>
    <w:p>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63360" behindDoc="0" locked="0" layoutInCell="1" allowOverlap="1">
            <wp:simplePos x="0" y="0"/>
            <wp:positionH relativeFrom="column">
              <wp:posOffset>408940</wp:posOffset>
            </wp:positionH>
            <wp:positionV relativeFrom="paragraph">
              <wp:posOffset>12700</wp:posOffset>
            </wp:positionV>
            <wp:extent cx="4826000" cy="2743200"/>
            <wp:effectExtent l="4445" t="4445" r="8255" b="1460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50" w:name="_Toc4003"/>
      <w:bookmarkStart w:id="51" w:name="_Toc15377211"/>
      <w:r>
        <w:rPr>
          <w:rFonts w:hint="eastAsia" w:ascii="仿宋" w:hAnsi="仿宋" w:eastAsia="仿宋"/>
          <w:b/>
          <w:color w:val="auto"/>
          <w:sz w:val="32"/>
          <w:szCs w:val="32"/>
          <w:highlight w:val="none"/>
        </w:rPr>
        <w:t>（二）一般公共预算财政拨款支出决算结构情况</w:t>
      </w:r>
      <w:bookmarkEnd w:id="50"/>
      <w:bookmarkEnd w:id="51"/>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1842.88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592.36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32.14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73.01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196.10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10.64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农林水支出</w:t>
      </w:r>
      <w:r>
        <w:rPr>
          <w:rFonts w:hint="eastAsia" w:ascii="仿宋" w:hAnsi="仿宋" w:eastAsia="仿宋"/>
          <w:color w:val="auto"/>
          <w:sz w:val="32"/>
          <w:szCs w:val="32"/>
          <w:highlight w:val="none"/>
          <w:lang w:val="en-US" w:eastAsia="zh-CN"/>
        </w:rPr>
        <w:t>844.00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45.80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40.59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2.20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粮油物资储备支出</w:t>
      </w:r>
      <w:r>
        <w:rPr>
          <w:rFonts w:hint="eastAsia" w:ascii="仿宋" w:hAnsi="仿宋" w:eastAsia="仿宋"/>
          <w:color w:val="auto"/>
          <w:sz w:val="32"/>
          <w:szCs w:val="32"/>
          <w:highlight w:val="none"/>
          <w:lang w:val="en-US" w:eastAsia="zh-CN"/>
        </w:rPr>
        <w:t>96.22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灾害防治及应急管理支出</w:t>
      </w:r>
      <w:r>
        <w:rPr>
          <w:rFonts w:hint="eastAsia" w:ascii="仿宋" w:hAnsi="仿宋" w:eastAsia="仿宋"/>
          <w:color w:val="auto"/>
          <w:sz w:val="32"/>
          <w:szCs w:val="32"/>
          <w:highlight w:val="none"/>
          <w:lang w:val="en-US" w:eastAsia="zh-CN"/>
        </w:rPr>
        <w:t>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19"/>
        <w:rPr>
          <w:rFonts w:hint="eastAsia" w:ascii="仿宋" w:hAnsi="仿宋" w:eastAsia="仿宋"/>
          <w:color w:val="auto"/>
          <w:sz w:val="32"/>
          <w:szCs w:val="32"/>
          <w:highlight w:val="none"/>
        </w:rPr>
      </w:pPr>
      <w:r>
        <w:drawing>
          <wp:anchor distT="0" distB="0" distL="114300" distR="114300" simplePos="0" relativeHeight="251664384" behindDoc="0" locked="0" layoutInCell="1" allowOverlap="1">
            <wp:simplePos x="0" y="0"/>
            <wp:positionH relativeFrom="column">
              <wp:posOffset>442595</wp:posOffset>
            </wp:positionH>
            <wp:positionV relativeFrom="paragraph">
              <wp:posOffset>92075</wp:posOffset>
            </wp:positionV>
            <wp:extent cx="4868545" cy="2839720"/>
            <wp:effectExtent l="4445" t="4445" r="22860" b="13335"/>
            <wp:wrapNone/>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Style w:val="20"/>
        <w:rPr>
          <w:rFonts w:hint="eastAsia"/>
        </w:rPr>
      </w:pPr>
    </w:p>
    <w:p>
      <w:pPr>
        <w:spacing w:line="600" w:lineRule="exact"/>
        <w:ind w:firstLine="640"/>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pStyle w:val="8"/>
        <w:rPr>
          <w:rFonts w:ascii="仿宋" w:hAnsi="仿宋" w:eastAsia="仿宋"/>
          <w:color w:val="auto"/>
          <w:sz w:val="32"/>
          <w:szCs w:val="32"/>
          <w:highlight w:val="none"/>
        </w:rPr>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52" w:name="_Toc15377212"/>
      <w:bookmarkStart w:id="53" w:name="_Toc10836"/>
      <w:r>
        <w:rPr>
          <w:rFonts w:hint="eastAsia" w:ascii="仿宋" w:hAnsi="仿宋" w:eastAsia="仿宋"/>
          <w:b/>
          <w:color w:val="auto"/>
          <w:sz w:val="32"/>
          <w:szCs w:val="32"/>
          <w:highlight w:val="none"/>
        </w:rPr>
        <w:t>（三）一般公共预算财政拨款支出决算具体情况</w:t>
      </w:r>
      <w:bookmarkEnd w:id="52"/>
      <w:bookmarkEnd w:id="53"/>
    </w:p>
    <w:p>
      <w:pPr>
        <w:spacing w:line="600" w:lineRule="exact"/>
        <w:ind w:firstLine="643" w:firstLineChars="200"/>
        <w:outlineLvl w:val="1"/>
        <w:rPr>
          <w:rFonts w:ascii="仿宋" w:hAnsi="仿宋" w:eastAsia="仿宋"/>
          <w:color w:val="auto"/>
          <w:sz w:val="32"/>
          <w:szCs w:val="32"/>
          <w:highlight w:val="none"/>
        </w:rPr>
      </w:pPr>
      <w:bookmarkStart w:id="54" w:name="_Toc10363"/>
      <w:bookmarkStart w:id="55" w:name="_Toc15377444"/>
      <w:bookmarkStart w:id="56" w:name="_Toc15378460"/>
      <w:bookmarkStart w:id="57"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color w:val="auto"/>
          <w:sz w:val="32"/>
          <w:szCs w:val="32"/>
          <w:highlight w:val="none"/>
          <w:lang w:val="en-US" w:eastAsia="zh-CN"/>
        </w:rPr>
        <w:t>1842.88</w:t>
      </w:r>
      <w:r>
        <w:rPr>
          <w:rFonts w:hint="eastAsia" w:ascii="仿宋" w:hAnsi="仿宋" w:eastAsia="仿宋"/>
          <w:color w:val="auto"/>
          <w:sz w:val="32"/>
          <w:szCs w:val="32"/>
          <w:highlight w:val="none"/>
          <w:lang w:eastAsia="zh-CN"/>
        </w:rPr>
        <w:t>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54"/>
      <w:bookmarkEnd w:id="55"/>
      <w:bookmarkEnd w:id="56"/>
      <w:bookmarkEnd w:id="57"/>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201</w:t>
      </w:r>
      <w:r>
        <w:rPr>
          <w:rStyle w:val="17"/>
          <w:rFonts w:hint="eastAsia" w:ascii="仿宋" w:hAnsi="仿宋" w:eastAsia="仿宋"/>
          <w:bCs/>
          <w:color w:val="auto"/>
          <w:sz w:val="32"/>
          <w:szCs w:val="32"/>
        </w:rPr>
        <w:t>）发展与改革事务（</w:t>
      </w:r>
      <w:r>
        <w:rPr>
          <w:rStyle w:val="17"/>
          <w:rFonts w:hint="eastAsia" w:ascii="仿宋" w:hAnsi="仿宋" w:eastAsia="仿宋"/>
          <w:bCs/>
          <w:color w:val="auto"/>
          <w:sz w:val="32"/>
          <w:szCs w:val="32"/>
          <w:lang w:val="en-US" w:eastAsia="zh-CN"/>
        </w:rPr>
        <w:t>04</w:t>
      </w:r>
      <w:r>
        <w:rPr>
          <w:rStyle w:val="17"/>
          <w:rFonts w:hint="eastAsia" w:ascii="仿宋" w:hAnsi="仿宋" w:eastAsia="仿宋"/>
          <w:bCs/>
          <w:color w:val="auto"/>
          <w:sz w:val="32"/>
          <w:szCs w:val="32"/>
        </w:rPr>
        <w:t>）行政运行（</w:t>
      </w:r>
      <w:r>
        <w:rPr>
          <w:rStyle w:val="17"/>
          <w:rFonts w:hint="eastAsia" w:ascii="仿宋" w:hAnsi="仿宋" w:eastAsia="仿宋"/>
          <w:bCs/>
          <w:color w:val="auto"/>
          <w:sz w:val="32"/>
          <w:szCs w:val="32"/>
          <w:lang w:val="en-US" w:eastAsia="zh-CN"/>
        </w:rPr>
        <w:t>01</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290.47</w:t>
      </w:r>
      <w:r>
        <w:rPr>
          <w:rStyle w:val="17"/>
          <w:rFonts w:hint="eastAsia" w:ascii="仿宋" w:hAnsi="仿宋" w:eastAsia="仿宋"/>
          <w:b w:val="0"/>
          <w:bCs/>
          <w:color w:val="auto"/>
          <w:sz w:val="32"/>
          <w:szCs w:val="32"/>
          <w:highlight w:val="none"/>
        </w:rPr>
        <w:t>万元，</w:t>
      </w:r>
      <w:r>
        <w:rPr>
          <w:rStyle w:val="17"/>
          <w:rFonts w:hint="eastAsia" w:ascii="仿宋" w:hAnsi="仿宋" w:eastAsia="仿宋"/>
          <w:b w:val="0"/>
          <w:bCs/>
          <w:color w:val="auto"/>
          <w:sz w:val="32"/>
          <w:szCs w:val="32"/>
        </w:rPr>
        <w:t>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rPr>
        <w:t>一般公共服务（</w:t>
      </w:r>
      <w:r>
        <w:rPr>
          <w:rStyle w:val="17"/>
          <w:rFonts w:hint="eastAsia" w:ascii="仿宋" w:hAnsi="仿宋" w:eastAsia="仿宋"/>
          <w:bCs/>
          <w:color w:val="auto"/>
          <w:sz w:val="32"/>
          <w:szCs w:val="32"/>
          <w:lang w:val="en-US" w:eastAsia="zh-CN"/>
        </w:rPr>
        <w:t>201</w:t>
      </w:r>
      <w:r>
        <w:rPr>
          <w:rStyle w:val="17"/>
          <w:rFonts w:hint="eastAsia" w:ascii="仿宋" w:hAnsi="仿宋" w:eastAsia="仿宋"/>
          <w:bCs/>
          <w:color w:val="auto"/>
          <w:sz w:val="32"/>
          <w:szCs w:val="32"/>
        </w:rPr>
        <w:t>）发展与改革事务（</w:t>
      </w:r>
      <w:r>
        <w:rPr>
          <w:rStyle w:val="17"/>
          <w:rFonts w:hint="eastAsia" w:ascii="仿宋" w:hAnsi="仿宋" w:eastAsia="仿宋"/>
          <w:bCs/>
          <w:color w:val="auto"/>
          <w:sz w:val="32"/>
          <w:szCs w:val="32"/>
          <w:lang w:val="en-US" w:eastAsia="zh-CN"/>
        </w:rPr>
        <w:t>04</w:t>
      </w:r>
      <w:r>
        <w:rPr>
          <w:rStyle w:val="17"/>
          <w:rFonts w:hint="eastAsia" w:ascii="仿宋" w:hAnsi="仿宋" w:eastAsia="仿宋"/>
          <w:bCs/>
          <w:color w:val="auto"/>
          <w:sz w:val="32"/>
          <w:szCs w:val="32"/>
        </w:rPr>
        <w:t>）一般行政管理事务（</w:t>
      </w:r>
      <w:r>
        <w:rPr>
          <w:rStyle w:val="17"/>
          <w:rFonts w:hint="eastAsia" w:ascii="仿宋" w:hAnsi="仿宋" w:eastAsia="仿宋"/>
          <w:bCs/>
          <w:color w:val="auto"/>
          <w:sz w:val="32"/>
          <w:szCs w:val="32"/>
          <w:lang w:val="en-US" w:eastAsia="zh-CN"/>
        </w:rPr>
        <w:t>02</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103.04</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0000FF"/>
          <w:sz w:val="32"/>
          <w:szCs w:val="32"/>
        </w:rPr>
      </w:pPr>
      <w:r>
        <w:rPr>
          <w:rStyle w:val="17"/>
          <w:rFonts w:hint="eastAsia" w:ascii="仿宋" w:hAnsi="仿宋" w:eastAsia="仿宋"/>
          <w:bCs/>
          <w:color w:val="auto"/>
          <w:sz w:val="32"/>
          <w:szCs w:val="32"/>
        </w:rPr>
        <w:t>一般公共服务（</w:t>
      </w:r>
      <w:r>
        <w:rPr>
          <w:rStyle w:val="17"/>
          <w:rFonts w:hint="eastAsia" w:ascii="仿宋" w:hAnsi="仿宋" w:eastAsia="仿宋"/>
          <w:bCs/>
          <w:color w:val="auto"/>
          <w:sz w:val="32"/>
          <w:szCs w:val="32"/>
          <w:lang w:val="en-US" w:eastAsia="zh-CN"/>
        </w:rPr>
        <w:t>201</w:t>
      </w:r>
      <w:r>
        <w:rPr>
          <w:rStyle w:val="17"/>
          <w:rFonts w:hint="eastAsia" w:ascii="仿宋" w:hAnsi="仿宋" w:eastAsia="仿宋"/>
          <w:bCs/>
          <w:color w:val="auto"/>
          <w:sz w:val="32"/>
          <w:szCs w:val="32"/>
        </w:rPr>
        <w:t>）发展与改革事务（</w:t>
      </w:r>
      <w:r>
        <w:rPr>
          <w:rStyle w:val="17"/>
          <w:rFonts w:hint="eastAsia" w:ascii="仿宋" w:hAnsi="仿宋" w:eastAsia="仿宋"/>
          <w:bCs/>
          <w:color w:val="auto"/>
          <w:sz w:val="32"/>
          <w:szCs w:val="32"/>
          <w:lang w:val="en-US" w:eastAsia="zh-CN"/>
        </w:rPr>
        <w:t>04</w:t>
      </w:r>
      <w:r>
        <w:rPr>
          <w:rStyle w:val="17"/>
          <w:rFonts w:hint="eastAsia" w:ascii="仿宋" w:hAnsi="仿宋" w:eastAsia="仿宋"/>
          <w:bCs/>
          <w:color w:val="auto"/>
          <w:sz w:val="32"/>
          <w:szCs w:val="32"/>
        </w:rPr>
        <w:t>）事业运行（</w:t>
      </w:r>
      <w:r>
        <w:rPr>
          <w:rStyle w:val="17"/>
          <w:rFonts w:hint="eastAsia" w:ascii="仿宋" w:hAnsi="仿宋" w:eastAsia="仿宋"/>
          <w:bCs/>
          <w:color w:val="auto"/>
          <w:sz w:val="32"/>
          <w:szCs w:val="32"/>
          <w:lang w:val="en-US" w:eastAsia="zh-CN"/>
        </w:rPr>
        <w:t>50</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w:t>
      </w:r>
      <w:r>
        <w:rPr>
          <w:rStyle w:val="17"/>
          <w:rFonts w:hint="eastAsia" w:ascii="仿宋" w:hAnsi="仿宋" w:eastAsia="仿宋"/>
          <w:b w:val="0"/>
          <w:bCs/>
          <w:color w:val="auto"/>
          <w:sz w:val="32"/>
          <w:szCs w:val="32"/>
          <w:lang w:val="en-US" w:eastAsia="zh-CN"/>
        </w:rPr>
        <w:t>198.85</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rPr>
        <w:t>社会保障和就业（</w:t>
      </w:r>
      <w:r>
        <w:rPr>
          <w:rStyle w:val="17"/>
          <w:rFonts w:hint="eastAsia" w:ascii="仿宋" w:hAnsi="仿宋" w:eastAsia="仿宋"/>
          <w:bCs/>
          <w:color w:val="auto"/>
          <w:sz w:val="32"/>
          <w:szCs w:val="32"/>
          <w:lang w:val="en-US" w:eastAsia="zh-CN"/>
        </w:rPr>
        <w:t>208</w:t>
      </w:r>
      <w:r>
        <w:rPr>
          <w:rStyle w:val="17"/>
          <w:rFonts w:hint="eastAsia" w:ascii="仿宋" w:hAnsi="仿宋" w:eastAsia="仿宋"/>
          <w:bCs/>
          <w:color w:val="auto"/>
          <w:sz w:val="32"/>
          <w:szCs w:val="32"/>
        </w:rPr>
        <w:t>）行政事业单位养老支出（</w:t>
      </w:r>
      <w:r>
        <w:rPr>
          <w:rStyle w:val="17"/>
          <w:rFonts w:hint="eastAsia" w:ascii="仿宋" w:hAnsi="仿宋" w:eastAsia="仿宋"/>
          <w:bCs/>
          <w:color w:val="auto"/>
          <w:sz w:val="32"/>
          <w:szCs w:val="32"/>
          <w:lang w:val="en-US" w:eastAsia="zh-CN"/>
        </w:rPr>
        <w:t>05</w:t>
      </w:r>
      <w:r>
        <w:rPr>
          <w:rStyle w:val="17"/>
          <w:rFonts w:hint="eastAsia" w:ascii="仿宋" w:hAnsi="仿宋" w:eastAsia="仿宋"/>
          <w:bCs/>
          <w:color w:val="auto"/>
          <w:sz w:val="32"/>
          <w:szCs w:val="32"/>
        </w:rPr>
        <w:t>） 行政单位离退休（</w:t>
      </w:r>
      <w:r>
        <w:rPr>
          <w:rStyle w:val="17"/>
          <w:rFonts w:hint="eastAsia" w:ascii="仿宋" w:hAnsi="仿宋" w:eastAsia="仿宋"/>
          <w:bCs/>
          <w:color w:val="auto"/>
          <w:sz w:val="32"/>
          <w:szCs w:val="32"/>
          <w:lang w:val="en-US" w:eastAsia="zh-CN"/>
        </w:rPr>
        <w:t>01</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1.55</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rPr>
        <w:t>社会保障和就业（</w:t>
      </w:r>
      <w:r>
        <w:rPr>
          <w:rStyle w:val="17"/>
          <w:rFonts w:hint="eastAsia" w:ascii="仿宋" w:hAnsi="仿宋" w:eastAsia="仿宋"/>
          <w:bCs/>
          <w:color w:val="auto"/>
          <w:sz w:val="32"/>
          <w:szCs w:val="32"/>
          <w:lang w:val="en-US" w:eastAsia="zh-CN"/>
        </w:rPr>
        <w:t>208</w:t>
      </w:r>
      <w:r>
        <w:rPr>
          <w:rStyle w:val="17"/>
          <w:rFonts w:hint="eastAsia" w:ascii="仿宋" w:hAnsi="仿宋" w:eastAsia="仿宋"/>
          <w:bCs/>
          <w:color w:val="auto"/>
          <w:sz w:val="32"/>
          <w:szCs w:val="32"/>
        </w:rPr>
        <w:t>）行政事业单位养老支出（</w:t>
      </w:r>
      <w:r>
        <w:rPr>
          <w:rStyle w:val="17"/>
          <w:rFonts w:hint="eastAsia" w:ascii="仿宋" w:hAnsi="仿宋" w:eastAsia="仿宋"/>
          <w:bCs/>
          <w:color w:val="auto"/>
          <w:sz w:val="32"/>
          <w:szCs w:val="32"/>
          <w:lang w:val="en-US" w:eastAsia="zh-CN"/>
        </w:rPr>
        <w:t>05</w:t>
      </w:r>
      <w:r>
        <w:rPr>
          <w:rStyle w:val="17"/>
          <w:rFonts w:hint="eastAsia" w:ascii="仿宋" w:hAnsi="仿宋" w:eastAsia="仿宋"/>
          <w:bCs/>
          <w:color w:val="auto"/>
          <w:sz w:val="32"/>
          <w:szCs w:val="32"/>
        </w:rPr>
        <w:t>）机关事业单位基本养老保险缴费支出（</w:t>
      </w:r>
      <w:r>
        <w:rPr>
          <w:rStyle w:val="17"/>
          <w:rFonts w:hint="eastAsia" w:ascii="仿宋" w:hAnsi="仿宋" w:eastAsia="仿宋"/>
          <w:bCs/>
          <w:color w:val="auto"/>
          <w:sz w:val="32"/>
          <w:szCs w:val="32"/>
          <w:lang w:val="en-US" w:eastAsia="zh-CN"/>
        </w:rPr>
        <w:t>05</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49.67</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ascii="仿宋" w:hAnsi="仿宋" w:eastAsia="仿宋"/>
          <w:bCs/>
          <w:color w:val="auto"/>
          <w:sz w:val="32"/>
          <w:szCs w:val="32"/>
        </w:rPr>
      </w:pPr>
      <w:r>
        <w:rPr>
          <w:rStyle w:val="17"/>
          <w:rFonts w:hint="eastAsia" w:ascii="仿宋" w:hAnsi="仿宋" w:eastAsia="仿宋"/>
          <w:bCs/>
          <w:color w:val="auto"/>
          <w:sz w:val="32"/>
          <w:szCs w:val="32"/>
        </w:rPr>
        <w:t>社会保障和就业（</w:t>
      </w:r>
      <w:r>
        <w:rPr>
          <w:rStyle w:val="17"/>
          <w:rFonts w:hint="eastAsia" w:ascii="仿宋" w:hAnsi="仿宋" w:eastAsia="仿宋"/>
          <w:bCs/>
          <w:color w:val="auto"/>
          <w:sz w:val="32"/>
          <w:szCs w:val="32"/>
          <w:lang w:val="en-US" w:eastAsia="zh-CN"/>
        </w:rPr>
        <w:t>208</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抚恤</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08</w:t>
      </w:r>
      <w:r>
        <w:rPr>
          <w:rStyle w:val="17"/>
          <w:rFonts w:hint="eastAsia" w:ascii="仿宋" w:hAnsi="仿宋" w:eastAsia="仿宋"/>
          <w:bCs/>
          <w:color w:val="auto"/>
          <w:sz w:val="32"/>
          <w:szCs w:val="32"/>
        </w:rPr>
        <w:t>）死亡抚恤（</w:t>
      </w:r>
      <w:r>
        <w:rPr>
          <w:rStyle w:val="17"/>
          <w:rFonts w:hint="eastAsia" w:ascii="仿宋" w:hAnsi="仿宋" w:eastAsia="仿宋"/>
          <w:bCs/>
          <w:color w:val="auto"/>
          <w:sz w:val="32"/>
          <w:szCs w:val="32"/>
          <w:lang w:val="en-US" w:eastAsia="zh-CN"/>
        </w:rPr>
        <w:t>01</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20.56</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Fonts w:hint="eastAsia"/>
        </w:rPr>
      </w:pPr>
      <w:r>
        <w:rPr>
          <w:rStyle w:val="17"/>
          <w:rFonts w:hint="eastAsia" w:ascii="仿宋" w:hAnsi="仿宋" w:eastAsia="仿宋"/>
          <w:bCs/>
          <w:color w:val="auto"/>
          <w:sz w:val="32"/>
          <w:szCs w:val="32"/>
        </w:rPr>
        <w:t>社会保障和就业（</w:t>
      </w:r>
      <w:r>
        <w:rPr>
          <w:rStyle w:val="17"/>
          <w:rFonts w:hint="eastAsia" w:ascii="仿宋" w:hAnsi="仿宋" w:eastAsia="仿宋"/>
          <w:bCs/>
          <w:color w:val="auto"/>
          <w:sz w:val="32"/>
          <w:szCs w:val="32"/>
          <w:lang w:val="en-US" w:eastAsia="zh-CN"/>
        </w:rPr>
        <w:t>208</w:t>
      </w:r>
      <w:r>
        <w:rPr>
          <w:rStyle w:val="17"/>
          <w:rFonts w:hint="eastAsia" w:ascii="仿宋" w:hAnsi="仿宋" w:eastAsia="仿宋"/>
          <w:bCs/>
          <w:color w:val="auto"/>
          <w:sz w:val="32"/>
          <w:szCs w:val="32"/>
        </w:rPr>
        <w:t>）其他社会保障和就业支出（</w:t>
      </w:r>
      <w:r>
        <w:rPr>
          <w:rStyle w:val="17"/>
          <w:rFonts w:hint="eastAsia" w:ascii="仿宋" w:hAnsi="仿宋" w:eastAsia="仿宋"/>
          <w:bCs/>
          <w:color w:val="auto"/>
          <w:sz w:val="32"/>
          <w:szCs w:val="32"/>
          <w:lang w:val="en-US" w:eastAsia="zh-CN"/>
        </w:rPr>
        <w:t>99</w:t>
      </w:r>
      <w:r>
        <w:rPr>
          <w:rStyle w:val="17"/>
          <w:rFonts w:hint="eastAsia" w:ascii="仿宋" w:hAnsi="仿宋" w:eastAsia="仿宋"/>
          <w:bCs/>
          <w:color w:val="auto"/>
          <w:sz w:val="32"/>
          <w:szCs w:val="32"/>
        </w:rPr>
        <w:t>）其他社会保障和就业支出（</w:t>
      </w:r>
      <w:r>
        <w:rPr>
          <w:rStyle w:val="17"/>
          <w:rFonts w:hint="eastAsia" w:ascii="仿宋" w:hAnsi="仿宋" w:eastAsia="仿宋"/>
          <w:bCs/>
          <w:color w:val="auto"/>
          <w:sz w:val="32"/>
          <w:szCs w:val="32"/>
          <w:lang w:val="en-US" w:eastAsia="zh-CN"/>
        </w:rPr>
        <w:t>99</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1.23</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Fonts w:hint="eastAsia"/>
        </w:rPr>
      </w:pPr>
      <w:r>
        <w:rPr>
          <w:rStyle w:val="17"/>
          <w:rFonts w:hint="eastAsia" w:ascii="仿宋" w:hAnsi="仿宋" w:eastAsia="仿宋"/>
          <w:bCs/>
          <w:color w:val="auto"/>
          <w:sz w:val="32"/>
          <w:szCs w:val="32"/>
        </w:rPr>
        <w:t>卫生健康（</w:t>
      </w:r>
      <w:r>
        <w:rPr>
          <w:rStyle w:val="17"/>
          <w:rFonts w:hint="eastAsia" w:ascii="仿宋" w:hAnsi="仿宋" w:eastAsia="仿宋"/>
          <w:bCs/>
          <w:color w:val="auto"/>
          <w:sz w:val="32"/>
          <w:szCs w:val="32"/>
          <w:lang w:val="en-US" w:eastAsia="zh-CN"/>
        </w:rPr>
        <w:t>210</w:t>
      </w:r>
      <w:r>
        <w:rPr>
          <w:rStyle w:val="17"/>
          <w:rFonts w:hint="eastAsia" w:ascii="仿宋" w:hAnsi="仿宋" w:eastAsia="仿宋"/>
          <w:bCs/>
          <w:color w:val="auto"/>
          <w:sz w:val="32"/>
          <w:szCs w:val="32"/>
        </w:rPr>
        <w:t>）公共卫生</w:t>
      </w:r>
      <w:r>
        <w:rPr>
          <w:rStyle w:val="17"/>
          <w:rFonts w:hint="eastAsia" w:ascii="仿宋" w:hAnsi="仿宋" w:eastAsia="仿宋"/>
          <w:bCs/>
          <w:color w:val="auto"/>
          <w:sz w:val="32"/>
          <w:szCs w:val="32"/>
          <w:lang w:eastAsia="zh-CN"/>
        </w:rPr>
        <w:t>（</w:t>
      </w:r>
      <w:r>
        <w:rPr>
          <w:rStyle w:val="17"/>
          <w:rFonts w:hint="eastAsia" w:ascii="仿宋" w:hAnsi="仿宋" w:eastAsia="仿宋"/>
          <w:bCs/>
          <w:color w:val="auto"/>
          <w:sz w:val="32"/>
          <w:szCs w:val="32"/>
          <w:lang w:val="en-US" w:eastAsia="zh-CN"/>
        </w:rPr>
        <w:t>04</w:t>
      </w:r>
      <w:r>
        <w:rPr>
          <w:rStyle w:val="17"/>
          <w:rFonts w:hint="eastAsia" w:ascii="仿宋" w:hAnsi="仿宋" w:eastAsia="仿宋"/>
          <w:bCs/>
          <w:color w:val="auto"/>
          <w:sz w:val="32"/>
          <w:szCs w:val="32"/>
          <w:lang w:eastAsia="zh-CN"/>
        </w:rPr>
        <w:t>）</w:t>
      </w:r>
      <w:r>
        <w:rPr>
          <w:rStyle w:val="17"/>
          <w:rFonts w:hint="eastAsia" w:ascii="仿宋" w:hAnsi="仿宋" w:eastAsia="仿宋"/>
          <w:bCs/>
          <w:color w:val="auto"/>
          <w:sz w:val="32"/>
          <w:szCs w:val="32"/>
        </w:rPr>
        <w:t>突发公共卫生事件应急处理（</w:t>
      </w:r>
      <w:r>
        <w:rPr>
          <w:rStyle w:val="17"/>
          <w:rFonts w:hint="eastAsia" w:ascii="仿宋" w:hAnsi="仿宋" w:eastAsia="仿宋"/>
          <w:bCs/>
          <w:color w:val="auto"/>
          <w:sz w:val="32"/>
          <w:szCs w:val="32"/>
          <w:lang w:val="en-US" w:eastAsia="zh-CN"/>
        </w:rPr>
        <w:t>10</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173.08</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Fonts w:hint="eastAsia" w:ascii="仿宋" w:hAnsi="仿宋" w:eastAsia="仿宋"/>
          <w:b/>
          <w:bCs/>
          <w:color w:val="auto"/>
          <w:sz w:val="32"/>
          <w:szCs w:val="32"/>
        </w:rPr>
        <w:t>卫生健康</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210</w:t>
      </w:r>
      <w:r>
        <w:rPr>
          <w:rStyle w:val="17"/>
          <w:rFonts w:hint="eastAsia" w:ascii="仿宋" w:hAnsi="仿宋" w:eastAsia="仿宋"/>
          <w:bCs/>
          <w:color w:val="auto"/>
          <w:sz w:val="32"/>
          <w:szCs w:val="32"/>
        </w:rPr>
        <w:t>）行政事业单位医疗（</w:t>
      </w:r>
      <w:r>
        <w:rPr>
          <w:rStyle w:val="17"/>
          <w:rFonts w:hint="eastAsia" w:ascii="仿宋" w:hAnsi="仿宋" w:eastAsia="仿宋"/>
          <w:bCs/>
          <w:color w:val="auto"/>
          <w:sz w:val="32"/>
          <w:szCs w:val="32"/>
          <w:lang w:val="en-US" w:eastAsia="zh-CN"/>
        </w:rPr>
        <w:t>11</w:t>
      </w:r>
      <w:r>
        <w:rPr>
          <w:rStyle w:val="17"/>
          <w:rFonts w:hint="eastAsia" w:ascii="仿宋" w:hAnsi="仿宋" w:eastAsia="仿宋"/>
          <w:bCs/>
          <w:color w:val="auto"/>
          <w:sz w:val="32"/>
          <w:szCs w:val="32"/>
        </w:rPr>
        <w:t>）行政单位医疗（</w:t>
      </w:r>
      <w:r>
        <w:rPr>
          <w:rStyle w:val="17"/>
          <w:rFonts w:hint="eastAsia" w:ascii="仿宋" w:hAnsi="仿宋" w:eastAsia="仿宋"/>
          <w:bCs/>
          <w:color w:val="auto"/>
          <w:sz w:val="32"/>
          <w:szCs w:val="32"/>
          <w:lang w:val="en-US" w:eastAsia="zh-CN"/>
        </w:rPr>
        <w:t>01</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8.44</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Fonts w:hint="eastAsia" w:ascii="仿宋" w:hAnsi="仿宋" w:eastAsia="仿宋"/>
          <w:b/>
          <w:bCs/>
          <w:color w:val="auto"/>
          <w:sz w:val="32"/>
          <w:szCs w:val="32"/>
        </w:rPr>
        <w:t>卫生健康</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210</w:t>
      </w:r>
      <w:r>
        <w:rPr>
          <w:rStyle w:val="17"/>
          <w:rFonts w:hint="eastAsia" w:ascii="仿宋" w:hAnsi="仿宋" w:eastAsia="仿宋"/>
          <w:bCs/>
          <w:color w:val="auto"/>
          <w:sz w:val="32"/>
          <w:szCs w:val="32"/>
        </w:rPr>
        <w:t>）行政事业单位医疗（</w:t>
      </w:r>
      <w:r>
        <w:rPr>
          <w:rStyle w:val="17"/>
          <w:rFonts w:hint="eastAsia" w:ascii="仿宋" w:hAnsi="仿宋" w:eastAsia="仿宋"/>
          <w:bCs/>
          <w:color w:val="auto"/>
          <w:sz w:val="32"/>
          <w:szCs w:val="32"/>
          <w:lang w:val="en-US" w:eastAsia="zh-CN"/>
        </w:rPr>
        <w:t>11</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事业</w:t>
      </w:r>
      <w:r>
        <w:rPr>
          <w:rStyle w:val="17"/>
          <w:rFonts w:hint="eastAsia" w:ascii="仿宋" w:hAnsi="仿宋" w:eastAsia="仿宋"/>
          <w:bCs/>
          <w:color w:val="auto"/>
          <w:sz w:val="32"/>
          <w:szCs w:val="32"/>
        </w:rPr>
        <w:t>单位医疗（</w:t>
      </w:r>
      <w:r>
        <w:rPr>
          <w:rStyle w:val="17"/>
          <w:rFonts w:hint="eastAsia" w:ascii="仿宋" w:hAnsi="仿宋" w:eastAsia="仿宋"/>
          <w:bCs/>
          <w:color w:val="auto"/>
          <w:sz w:val="32"/>
          <w:szCs w:val="32"/>
          <w:lang w:val="en-US" w:eastAsia="zh-CN"/>
        </w:rPr>
        <w:t>02</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7.37</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Fonts w:hint="eastAsia" w:ascii="仿宋" w:hAnsi="仿宋" w:eastAsia="仿宋"/>
          <w:b/>
          <w:bCs/>
          <w:color w:val="auto"/>
          <w:sz w:val="32"/>
          <w:szCs w:val="32"/>
        </w:rPr>
        <w:t>卫生健康</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210</w:t>
      </w:r>
      <w:r>
        <w:rPr>
          <w:rStyle w:val="17"/>
          <w:rFonts w:hint="eastAsia" w:ascii="仿宋" w:hAnsi="仿宋" w:eastAsia="仿宋"/>
          <w:bCs/>
          <w:color w:val="auto"/>
          <w:sz w:val="32"/>
          <w:szCs w:val="32"/>
        </w:rPr>
        <w:t>）行政事业单位医疗（</w:t>
      </w:r>
      <w:r>
        <w:rPr>
          <w:rStyle w:val="17"/>
          <w:rFonts w:hint="eastAsia" w:ascii="仿宋" w:hAnsi="仿宋" w:eastAsia="仿宋"/>
          <w:bCs/>
          <w:color w:val="auto"/>
          <w:sz w:val="32"/>
          <w:szCs w:val="32"/>
          <w:lang w:val="en-US" w:eastAsia="zh-CN"/>
        </w:rPr>
        <w:t>11</w:t>
      </w:r>
      <w:r>
        <w:rPr>
          <w:rStyle w:val="17"/>
          <w:rFonts w:hint="eastAsia" w:ascii="仿宋" w:hAnsi="仿宋" w:eastAsia="仿宋"/>
          <w:bCs/>
          <w:color w:val="auto"/>
          <w:sz w:val="32"/>
          <w:szCs w:val="32"/>
        </w:rPr>
        <w:t>）公务员医疗补助（</w:t>
      </w:r>
      <w:r>
        <w:rPr>
          <w:rStyle w:val="17"/>
          <w:rFonts w:hint="eastAsia" w:ascii="仿宋" w:hAnsi="仿宋" w:eastAsia="仿宋"/>
          <w:bCs/>
          <w:color w:val="auto"/>
          <w:sz w:val="32"/>
          <w:szCs w:val="32"/>
          <w:lang w:val="en-US" w:eastAsia="zh-CN"/>
        </w:rPr>
        <w:t>03</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支出决算为7.</w:t>
      </w:r>
      <w:r>
        <w:rPr>
          <w:rStyle w:val="17"/>
          <w:rFonts w:hint="eastAsia" w:ascii="仿宋" w:hAnsi="仿宋" w:eastAsia="仿宋"/>
          <w:b w:val="0"/>
          <w:bCs/>
          <w:color w:val="auto"/>
          <w:sz w:val="32"/>
          <w:szCs w:val="32"/>
          <w:lang w:val="en-US" w:eastAsia="zh-CN"/>
        </w:rPr>
        <w:t>21</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Fonts w:hint="eastAsia" w:ascii="仿宋" w:hAnsi="仿宋" w:eastAsia="仿宋"/>
          <w:b/>
          <w:bCs/>
          <w:color w:val="auto"/>
          <w:sz w:val="32"/>
          <w:szCs w:val="32"/>
        </w:rPr>
        <w:t>农林水（</w:t>
      </w:r>
      <w:r>
        <w:rPr>
          <w:rStyle w:val="17"/>
          <w:rFonts w:hint="eastAsia" w:ascii="仿宋" w:hAnsi="仿宋" w:eastAsia="仿宋"/>
          <w:bCs/>
          <w:color w:val="auto"/>
          <w:sz w:val="32"/>
          <w:szCs w:val="32"/>
          <w:lang w:val="en-US" w:eastAsia="zh-CN"/>
        </w:rPr>
        <w:t>213</w:t>
      </w:r>
      <w:r>
        <w:rPr>
          <w:rStyle w:val="17"/>
          <w:rFonts w:hint="eastAsia" w:ascii="仿宋" w:hAnsi="仿宋" w:eastAsia="仿宋"/>
          <w:bCs/>
          <w:color w:val="auto"/>
          <w:sz w:val="32"/>
          <w:szCs w:val="32"/>
        </w:rPr>
        <w:t>）</w:t>
      </w:r>
      <w:r>
        <w:rPr>
          <w:rFonts w:hint="eastAsia" w:ascii="仿宋" w:hAnsi="仿宋" w:eastAsia="仿宋"/>
          <w:b/>
          <w:bCs/>
          <w:color w:val="auto"/>
          <w:sz w:val="32"/>
          <w:szCs w:val="32"/>
        </w:rPr>
        <w:t>巩固脱贫衔接乡村振兴</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05</w:t>
      </w:r>
      <w:r>
        <w:rPr>
          <w:rStyle w:val="17"/>
          <w:rFonts w:hint="eastAsia" w:ascii="仿宋" w:hAnsi="仿宋" w:eastAsia="仿宋"/>
          <w:bCs/>
          <w:color w:val="auto"/>
          <w:sz w:val="32"/>
          <w:szCs w:val="32"/>
        </w:rPr>
        <w:t>）其他巩固脱贫衔接乡村振兴支出（</w:t>
      </w:r>
      <w:r>
        <w:rPr>
          <w:rStyle w:val="17"/>
          <w:rFonts w:hint="eastAsia" w:ascii="仿宋" w:hAnsi="仿宋" w:eastAsia="仿宋"/>
          <w:bCs/>
          <w:color w:val="auto"/>
          <w:sz w:val="32"/>
          <w:szCs w:val="32"/>
          <w:lang w:val="en-US" w:eastAsia="zh-CN"/>
        </w:rPr>
        <w:t>99</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844</w:t>
      </w:r>
      <w:r>
        <w:rPr>
          <w:rStyle w:val="17"/>
          <w:rFonts w:hint="eastAsia" w:ascii="仿宋" w:hAnsi="仿宋" w:eastAsia="仿宋"/>
          <w:b w:val="0"/>
          <w:bCs/>
          <w:color w:val="auto"/>
          <w:sz w:val="32"/>
          <w:szCs w:val="32"/>
        </w:rPr>
        <w:t>.00万元，完成预算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Fonts w:hint="eastAsia" w:ascii="仿宋" w:hAnsi="仿宋" w:eastAsia="仿宋"/>
          <w:b/>
          <w:bCs/>
          <w:color w:val="auto"/>
          <w:sz w:val="32"/>
          <w:szCs w:val="32"/>
        </w:rPr>
        <w:t>住房保障（</w:t>
      </w:r>
      <w:r>
        <w:rPr>
          <w:rStyle w:val="17"/>
          <w:rFonts w:hint="eastAsia" w:ascii="仿宋" w:hAnsi="仿宋" w:eastAsia="仿宋"/>
          <w:bCs/>
          <w:color w:val="auto"/>
          <w:sz w:val="32"/>
          <w:szCs w:val="32"/>
          <w:lang w:val="en-US" w:eastAsia="zh-CN"/>
        </w:rPr>
        <w:t>221</w:t>
      </w:r>
      <w:r>
        <w:rPr>
          <w:rStyle w:val="17"/>
          <w:rFonts w:hint="eastAsia" w:ascii="仿宋" w:hAnsi="仿宋" w:eastAsia="仿宋"/>
          <w:bCs/>
          <w:color w:val="auto"/>
          <w:sz w:val="32"/>
          <w:szCs w:val="32"/>
        </w:rPr>
        <w:t>）</w:t>
      </w:r>
      <w:r>
        <w:rPr>
          <w:rFonts w:hint="eastAsia" w:ascii="仿宋" w:hAnsi="仿宋" w:eastAsia="仿宋"/>
          <w:b/>
          <w:bCs/>
          <w:color w:val="auto"/>
          <w:sz w:val="32"/>
          <w:szCs w:val="32"/>
        </w:rPr>
        <w:t>住房改革支出</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02</w:t>
      </w:r>
      <w:r>
        <w:rPr>
          <w:rStyle w:val="17"/>
          <w:rFonts w:hint="eastAsia" w:ascii="仿宋" w:hAnsi="仿宋" w:eastAsia="仿宋"/>
          <w:bCs/>
          <w:color w:val="auto"/>
          <w:sz w:val="32"/>
          <w:szCs w:val="32"/>
        </w:rPr>
        <w:t>）住房公积金（</w:t>
      </w:r>
      <w:r>
        <w:rPr>
          <w:rStyle w:val="17"/>
          <w:rFonts w:hint="eastAsia" w:ascii="仿宋" w:hAnsi="仿宋" w:eastAsia="仿宋"/>
          <w:bCs/>
          <w:color w:val="auto"/>
          <w:sz w:val="32"/>
          <w:szCs w:val="32"/>
          <w:lang w:val="en-US" w:eastAsia="zh-CN"/>
        </w:rPr>
        <w:t>01</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40.59</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Style w:val="17"/>
          <w:rFonts w:hint="eastAsia" w:ascii="仿宋" w:hAnsi="仿宋" w:eastAsia="仿宋"/>
          <w:b w:val="0"/>
          <w:bCs/>
          <w:color w:val="auto"/>
          <w:sz w:val="32"/>
          <w:szCs w:val="32"/>
        </w:rPr>
      </w:pPr>
      <w:r>
        <w:rPr>
          <w:rFonts w:hint="eastAsia" w:ascii="仿宋" w:hAnsi="仿宋" w:eastAsia="仿宋"/>
          <w:b/>
          <w:bCs/>
          <w:color w:val="auto"/>
          <w:sz w:val="32"/>
          <w:szCs w:val="32"/>
        </w:rPr>
        <w:t>粮油物资储备（</w:t>
      </w:r>
      <w:r>
        <w:rPr>
          <w:rStyle w:val="17"/>
          <w:rFonts w:hint="eastAsia" w:ascii="仿宋" w:hAnsi="仿宋" w:eastAsia="仿宋"/>
          <w:bCs/>
          <w:color w:val="auto"/>
          <w:sz w:val="32"/>
          <w:szCs w:val="32"/>
          <w:lang w:val="en-US" w:eastAsia="zh-CN"/>
        </w:rPr>
        <w:t>222</w:t>
      </w:r>
      <w:r>
        <w:rPr>
          <w:rStyle w:val="17"/>
          <w:rFonts w:hint="eastAsia" w:ascii="仿宋" w:hAnsi="仿宋" w:eastAsia="仿宋"/>
          <w:bCs/>
          <w:color w:val="auto"/>
          <w:sz w:val="32"/>
          <w:szCs w:val="32"/>
        </w:rPr>
        <w:t>）</w:t>
      </w:r>
      <w:r>
        <w:rPr>
          <w:rFonts w:hint="eastAsia" w:ascii="仿宋" w:hAnsi="仿宋" w:eastAsia="仿宋"/>
          <w:b/>
          <w:bCs/>
          <w:color w:val="auto"/>
          <w:sz w:val="32"/>
          <w:szCs w:val="32"/>
        </w:rPr>
        <w:t>粮油储备</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04</w:t>
      </w:r>
      <w:r>
        <w:rPr>
          <w:rStyle w:val="17"/>
          <w:rFonts w:hint="eastAsia" w:ascii="仿宋" w:hAnsi="仿宋" w:eastAsia="仿宋"/>
          <w:bCs/>
          <w:color w:val="auto"/>
          <w:sz w:val="32"/>
          <w:szCs w:val="32"/>
        </w:rPr>
        <w:t>）最低收购价政策支出（</w:t>
      </w:r>
      <w:r>
        <w:rPr>
          <w:rStyle w:val="17"/>
          <w:rFonts w:hint="eastAsia" w:ascii="仿宋" w:hAnsi="仿宋" w:eastAsia="仿宋"/>
          <w:bCs/>
          <w:color w:val="auto"/>
          <w:sz w:val="32"/>
          <w:szCs w:val="32"/>
          <w:lang w:val="en-US" w:eastAsia="zh-CN"/>
        </w:rPr>
        <w:t>04</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96.22</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numPr>
          <w:ilvl w:val="0"/>
          <w:numId w:val="3"/>
        </w:numPr>
        <w:spacing w:line="600" w:lineRule="exact"/>
        <w:ind w:left="20" w:leftChars="0" w:firstLine="643" w:firstLineChars="0"/>
        <w:rPr>
          <w:rFonts w:ascii="仿宋" w:hAnsi="仿宋" w:eastAsia="仿宋"/>
          <w:b/>
          <w:color w:val="auto"/>
          <w:sz w:val="32"/>
          <w:szCs w:val="32"/>
        </w:rPr>
      </w:pPr>
      <w:r>
        <w:rPr>
          <w:rFonts w:hint="eastAsia" w:ascii="仿宋" w:hAnsi="仿宋" w:eastAsia="仿宋"/>
          <w:b/>
          <w:bCs/>
          <w:color w:val="auto"/>
          <w:sz w:val="32"/>
          <w:szCs w:val="32"/>
        </w:rPr>
        <w:t>灾害防治及应急管理（</w:t>
      </w:r>
      <w:r>
        <w:rPr>
          <w:rStyle w:val="17"/>
          <w:rFonts w:hint="eastAsia" w:ascii="仿宋" w:hAnsi="仿宋" w:eastAsia="仿宋"/>
          <w:bCs/>
          <w:color w:val="auto"/>
          <w:sz w:val="32"/>
          <w:szCs w:val="32"/>
          <w:lang w:val="en-US" w:eastAsia="zh-CN"/>
        </w:rPr>
        <w:t>224</w:t>
      </w:r>
      <w:r>
        <w:rPr>
          <w:rStyle w:val="17"/>
          <w:rFonts w:hint="eastAsia" w:ascii="仿宋" w:hAnsi="仿宋" w:eastAsia="仿宋"/>
          <w:bCs/>
          <w:color w:val="auto"/>
          <w:sz w:val="32"/>
          <w:szCs w:val="32"/>
        </w:rPr>
        <w:t>）应急管理事务（</w:t>
      </w:r>
      <w:r>
        <w:rPr>
          <w:rStyle w:val="17"/>
          <w:rFonts w:hint="eastAsia" w:ascii="仿宋" w:hAnsi="仿宋" w:eastAsia="仿宋"/>
          <w:bCs/>
          <w:color w:val="auto"/>
          <w:sz w:val="32"/>
          <w:szCs w:val="32"/>
          <w:lang w:val="en-US" w:eastAsia="zh-CN"/>
        </w:rPr>
        <w:t>01</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事业运行</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50</w:t>
      </w:r>
      <w:r>
        <w:rPr>
          <w:rStyle w:val="17"/>
          <w:rFonts w:hint="eastAsia" w:ascii="仿宋" w:hAnsi="仿宋" w:eastAsia="仿宋"/>
          <w:bCs/>
          <w:color w:val="auto"/>
          <w:sz w:val="32"/>
          <w:szCs w:val="32"/>
        </w:rPr>
        <w:t>）</w:t>
      </w:r>
      <w:r>
        <w:rPr>
          <w:rStyle w:val="17"/>
          <w:rFonts w:ascii="仿宋" w:hAnsi="仿宋" w:eastAsia="仿宋"/>
          <w:bCs/>
          <w:color w:val="auto"/>
          <w:sz w:val="32"/>
          <w:szCs w:val="32"/>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0.6</w:t>
      </w:r>
      <w:r>
        <w:rPr>
          <w:rStyle w:val="17"/>
          <w:rFonts w:hint="eastAsia" w:ascii="仿宋" w:hAnsi="仿宋" w:eastAsia="仿宋"/>
          <w:b w:val="0"/>
          <w:bCs/>
          <w:color w:val="auto"/>
          <w:sz w:val="32"/>
          <w:szCs w:val="32"/>
        </w:rPr>
        <w:t>万元，完成预算</w:t>
      </w:r>
      <w:r>
        <w:rPr>
          <w:rStyle w:val="17"/>
          <w:rFonts w:hint="eastAsia" w:ascii="仿宋" w:hAnsi="仿宋" w:eastAsia="仿宋"/>
          <w:b w:val="0"/>
          <w:bCs/>
          <w:color w:val="auto"/>
          <w:sz w:val="32"/>
          <w:szCs w:val="32"/>
          <w:lang w:val="en-US" w:eastAsia="zh-CN"/>
        </w:rPr>
        <w:t>100</w:t>
      </w:r>
      <w:r>
        <w:rPr>
          <w:rStyle w:val="17"/>
          <w:rFonts w:ascii="仿宋" w:hAnsi="仿宋" w:eastAsia="仿宋"/>
          <w:b w:val="0"/>
          <w:bCs/>
          <w:color w:val="auto"/>
          <w:sz w:val="32"/>
          <w:szCs w:val="32"/>
        </w:rPr>
        <w:t>%</w:t>
      </w:r>
      <w:r>
        <w:rPr>
          <w:rStyle w:val="17"/>
          <w:rFonts w:hint="eastAsia" w:ascii="仿宋" w:hAnsi="仿宋" w:eastAsia="仿宋"/>
          <w:b w:val="0"/>
          <w:bCs/>
          <w:color w:val="auto"/>
          <w:sz w:val="32"/>
          <w:szCs w:val="32"/>
        </w:rPr>
        <w:t>，决算数等于预算数。</w:t>
      </w:r>
    </w:p>
    <w:p>
      <w:pPr>
        <w:tabs>
          <w:tab w:val="right" w:pos="8306"/>
        </w:tabs>
        <w:spacing w:line="600" w:lineRule="exact"/>
        <w:ind w:firstLine="640"/>
        <w:outlineLvl w:val="1"/>
        <w:rPr>
          <w:rStyle w:val="31"/>
          <w:color w:val="auto"/>
          <w:highlight w:val="none"/>
        </w:rPr>
      </w:pPr>
      <w:bookmarkStart w:id="58" w:name="_Toc15396608"/>
      <w:bookmarkStart w:id="59" w:name="_Toc15377214"/>
      <w:bookmarkStart w:id="60" w:name="_Toc23813"/>
      <w:bookmarkStart w:id="61" w:name="_Toc27096"/>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58"/>
      <w:bookmarkEnd w:id="59"/>
      <w:bookmarkEnd w:id="60"/>
      <w:bookmarkEnd w:id="61"/>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626.54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538.61</w:t>
      </w:r>
      <w:r>
        <w:rPr>
          <w:rFonts w:hint="eastAsia" w:ascii="仿宋" w:hAnsi="仿宋" w:eastAsia="仿宋"/>
          <w:color w:val="auto"/>
          <w:sz w:val="32"/>
          <w:szCs w:val="32"/>
          <w:highlight w:val="none"/>
        </w:rPr>
        <w:t>万元，主要包括：基本工资、津贴补贴、奖金、绩效工资、机关事业单位基本养老保险缴费、 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公务员医疗补助缴费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其他社会保障缴费、住房公积金、其他工资福利支出、</w:t>
      </w:r>
      <w:r>
        <w:rPr>
          <w:rFonts w:hint="eastAsia" w:ascii="仿宋" w:hAnsi="仿宋" w:eastAsia="仿宋"/>
          <w:color w:val="auto"/>
          <w:sz w:val="32"/>
          <w:szCs w:val="32"/>
          <w:highlight w:val="none"/>
          <w:lang w:val="en-US" w:eastAsia="zh-CN"/>
        </w:rPr>
        <w:t>抚恤金、</w:t>
      </w:r>
      <w:r>
        <w:rPr>
          <w:rFonts w:hint="eastAsia" w:ascii="仿宋" w:hAnsi="仿宋" w:eastAsia="仿宋"/>
          <w:color w:val="auto"/>
          <w:sz w:val="32"/>
          <w:szCs w:val="32"/>
          <w:highlight w:val="none"/>
        </w:rPr>
        <w:t>其他对个人和家庭的补助支出。</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87.93</w:t>
      </w:r>
      <w:r>
        <w:rPr>
          <w:rFonts w:hint="eastAsia" w:ascii="仿宋" w:hAnsi="仿宋" w:eastAsia="仿宋"/>
          <w:color w:val="auto"/>
          <w:sz w:val="32"/>
          <w:szCs w:val="32"/>
          <w:highlight w:val="none"/>
        </w:rPr>
        <w:t>万元，主要包括：办公费、印刷费、邮电费、差旅费、维修（护）费、租赁费、会议费、培训费、公务接待费、劳务费、委托业务费、</w:t>
      </w:r>
      <w:r>
        <w:rPr>
          <w:rFonts w:hint="eastAsia" w:ascii="仿宋" w:hAnsi="仿宋" w:eastAsia="仿宋"/>
          <w:color w:val="auto"/>
          <w:sz w:val="32"/>
          <w:szCs w:val="32"/>
          <w:highlight w:val="none"/>
          <w:lang w:val="en-US" w:eastAsia="zh-CN"/>
        </w:rPr>
        <w:t>工会经费、</w:t>
      </w:r>
      <w:r>
        <w:rPr>
          <w:rFonts w:hint="eastAsia" w:ascii="仿宋" w:hAnsi="仿宋" w:eastAsia="仿宋"/>
          <w:color w:val="auto"/>
          <w:sz w:val="32"/>
          <w:szCs w:val="32"/>
          <w:highlight w:val="none"/>
        </w:rPr>
        <w:t>福利费、公务用车运行维护费、其他交通费、其他商品和服务支出。</w:t>
      </w:r>
    </w:p>
    <w:p>
      <w:pPr>
        <w:spacing w:line="600" w:lineRule="exact"/>
        <w:ind w:firstLine="640"/>
        <w:outlineLvl w:val="1"/>
        <w:rPr>
          <w:rStyle w:val="31"/>
          <w:rFonts w:ascii="黑体" w:hAnsi="黑体" w:eastAsia="黑体"/>
          <w:b w:val="0"/>
          <w:color w:val="auto"/>
          <w:highlight w:val="none"/>
        </w:rPr>
      </w:pPr>
      <w:bookmarkStart w:id="62" w:name="_Toc15377215"/>
      <w:bookmarkStart w:id="63" w:name="_Toc15396609"/>
      <w:bookmarkStart w:id="64" w:name="_Toc9560"/>
      <w:bookmarkStart w:id="65" w:name="_Toc2242"/>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62"/>
      <w:bookmarkEnd w:id="63"/>
      <w:bookmarkEnd w:id="64"/>
      <w:bookmarkEnd w:id="65"/>
    </w:p>
    <w:p>
      <w:pPr>
        <w:spacing w:line="600" w:lineRule="exact"/>
        <w:ind w:firstLine="640"/>
        <w:outlineLvl w:val="2"/>
        <w:rPr>
          <w:rFonts w:ascii="仿宋" w:hAnsi="仿宋" w:eastAsia="仿宋"/>
          <w:b/>
          <w:color w:val="auto"/>
          <w:sz w:val="32"/>
          <w:szCs w:val="32"/>
          <w:highlight w:val="none"/>
        </w:rPr>
      </w:pPr>
      <w:bookmarkStart w:id="66" w:name="_Toc15377216"/>
      <w:bookmarkStart w:id="67" w:name="_Toc447"/>
      <w:r>
        <w:rPr>
          <w:rFonts w:hint="eastAsia" w:ascii="仿宋" w:hAnsi="仿宋" w:eastAsia="仿宋"/>
          <w:b/>
          <w:color w:val="auto"/>
          <w:sz w:val="32"/>
          <w:szCs w:val="32"/>
          <w:highlight w:val="none"/>
        </w:rPr>
        <w:t>（一）“三公”经费财政拨款支出决算总体情况说明</w:t>
      </w:r>
      <w:bookmarkEnd w:id="66"/>
      <w:bookmarkEnd w:id="6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年“三公”经费财政拨款支出决算为5.</w:t>
      </w:r>
      <w:r>
        <w:rPr>
          <w:rFonts w:hint="eastAsia" w:ascii="仿宋" w:hAnsi="仿宋" w:eastAsia="仿宋"/>
          <w:color w:val="auto"/>
          <w:sz w:val="32"/>
          <w:szCs w:val="32"/>
          <w:highlight w:val="none"/>
          <w:lang w:val="en-US" w:eastAsia="zh-CN"/>
        </w:rPr>
        <w:t>71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减少0.27万元，下降4.52%。</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eastAsia="zh-CN"/>
        </w:rPr>
        <w:t>单位厉行节约、严格预算管理三公经费支出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8" w:name="_Toc22233"/>
      <w:bookmarkStart w:id="69" w:name="_Toc15377217"/>
      <w:r>
        <w:rPr>
          <w:rFonts w:hint="eastAsia" w:ascii="仿宋" w:hAnsi="仿宋" w:eastAsia="仿宋"/>
          <w:b/>
          <w:color w:val="auto"/>
          <w:sz w:val="32"/>
          <w:szCs w:val="32"/>
          <w:highlight w:val="none"/>
        </w:rPr>
        <w:t>（二）“三公”经费财政拨款支出决算具体情况说明</w:t>
      </w:r>
      <w:bookmarkEnd w:id="68"/>
      <w:bookmarkEnd w:id="6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5.53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96.85</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；公务接待费支出决算0.</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8万元，占</w:t>
      </w:r>
      <w:r>
        <w:rPr>
          <w:rFonts w:hint="eastAsia" w:ascii="仿宋" w:hAnsi="仿宋" w:eastAsia="仿宋"/>
          <w:color w:val="auto"/>
          <w:sz w:val="32"/>
          <w:szCs w:val="32"/>
          <w:highlight w:val="none"/>
          <w:lang w:val="en-US" w:eastAsia="zh-CN"/>
        </w:rPr>
        <w:t>3.15</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8"/>
        <w:rPr>
          <w:rFonts w:hint="eastAsia" w:ascii="仿宋" w:hAnsi="仿宋" w:eastAsia="仿宋"/>
          <w:color w:val="auto"/>
          <w:sz w:val="32"/>
          <w:szCs w:val="32"/>
          <w:highlight w:val="none"/>
        </w:rPr>
      </w:pPr>
      <w:r>
        <w:drawing>
          <wp:anchor distT="0" distB="0" distL="114300" distR="114300" simplePos="0" relativeHeight="251665408" behindDoc="0" locked="0" layoutInCell="1" allowOverlap="1">
            <wp:simplePos x="0" y="0"/>
            <wp:positionH relativeFrom="column">
              <wp:posOffset>332105</wp:posOffset>
            </wp:positionH>
            <wp:positionV relativeFrom="paragraph">
              <wp:posOffset>197485</wp:posOffset>
            </wp:positionV>
            <wp:extent cx="4826000" cy="2743200"/>
            <wp:effectExtent l="4445" t="4445" r="8255" b="1460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b/>
          <w:color w:val="auto"/>
          <w:sz w:val="32"/>
          <w:szCs w:val="32"/>
          <w:highlight w:val="none"/>
        </w:rPr>
      </w:pP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000000"/>
          <w:sz w:val="32"/>
          <w:szCs w:val="32"/>
          <w:lang w:eastAsia="zh-CN"/>
        </w:rPr>
        <w:t>持平，</w:t>
      </w:r>
      <w:r>
        <w:rPr>
          <w:rFonts w:hint="eastAsia" w:ascii="仿宋_GB2312" w:eastAsia="仿宋_GB2312"/>
          <w:color w:val="000000"/>
          <w:sz w:val="32"/>
          <w:szCs w:val="32"/>
          <w:highlight w:val="none"/>
        </w:rPr>
        <w:t>主要原因是</w:t>
      </w:r>
      <w:r>
        <w:rPr>
          <w:rFonts w:hint="eastAsia" w:ascii="仿宋_GB2312" w:eastAsia="仿宋_GB2312"/>
          <w:color w:val="000000"/>
          <w:sz w:val="32"/>
          <w:szCs w:val="32"/>
          <w:highlight w:val="none"/>
          <w:lang w:eastAsia="zh-CN"/>
        </w:rPr>
        <w:t>严格预算执行，无预算不支出。</w:t>
      </w:r>
    </w:p>
    <w:p>
      <w:p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olor w:val="auto"/>
          <w:sz w:val="32"/>
          <w:szCs w:val="32"/>
          <w:highlight w:val="none"/>
          <w:lang w:val="en-US" w:eastAsia="zh-CN"/>
        </w:rPr>
        <w:t>5.53</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0.03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0.55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公务活动增多，车辆使用年限过长，损耗增大，导致维修费增加</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yellow"/>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color w:val="auto"/>
          <w:sz w:val="32"/>
          <w:szCs w:val="32"/>
          <w:highlight w:val="none"/>
          <w:lang w:val="en-US" w:eastAsia="zh-CN"/>
        </w:rPr>
        <w:t>5.53</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全区向上争取资金对接工作、全区重大</w:t>
      </w:r>
      <w:r>
        <w:rPr>
          <w:rFonts w:hint="eastAsia" w:ascii="仿宋_GB2312" w:eastAsia="仿宋_GB2312"/>
          <w:color w:val="000000"/>
          <w:sz w:val="32"/>
          <w:szCs w:val="32"/>
          <w:highlight w:val="none"/>
          <w:lang w:eastAsia="zh-CN"/>
        </w:rPr>
        <w:t>项目管理、易地扶贫搬迁后续、涉案涉纪物品价格认定、全区节能减排及粮食应急体系建设和应急物资储备管理</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eastAsia="zh-CN"/>
        </w:rPr>
        <w:t>各项工作</w:t>
      </w:r>
      <w:r>
        <w:rPr>
          <w:rFonts w:hint="eastAsia" w:ascii="仿宋_GB2312" w:eastAsia="仿宋_GB2312"/>
          <w:color w:val="auto"/>
          <w:sz w:val="32"/>
          <w:szCs w:val="32"/>
          <w:highlight w:val="none"/>
        </w:rPr>
        <w:t>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8</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62.5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单位厉行节约、</w:t>
      </w:r>
      <w:r>
        <w:rPr>
          <w:rFonts w:hint="eastAsia" w:ascii="仿宋_GB2312" w:hAnsi="仿宋" w:eastAsia="仿宋_GB2312" w:cs="Times New Roman"/>
          <w:color w:val="auto"/>
          <w:sz w:val="32"/>
          <w:szCs w:val="32"/>
          <w:highlight w:val="none"/>
          <w:lang w:eastAsia="zh-CN"/>
        </w:rPr>
        <w:t>减少不必要的公务活动开支</w:t>
      </w:r>
      <w:r>
        <w:rPr>
          <w:rFonts w:hint="eastAsia" w:ascii="仿宋_GB2312" w:eastAsia="仿宋_GB2312"/>
          <w:color w:val="auto"/>
          <w:sz w:val="32"/>
          <w:szCs w:val="32"/>
          <w:highlight w:val="none"/>
        </w:rPr>
        <w:t>。其中：</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开展项目考核专项检查工作</w:t>
      </w:r>
      <w:r>
        <w:rPr>
          <w:rFonts w:hint="eastAsia" w:ascii="仿宋_GB2312" w:eastAsia="仿宋_GB2312"/>
          <w:color w:val="auto"/>
          <w:sz w:val="32"/>
          <w:szCs w:val="32"/>
          <w:highlight w:val="none"/>
          <w:lang w:eastAsia="zh-CN"/>
        </w:rPr>
        <w:t>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人次，共计支出</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18</w:t>
      </w:r>
      <w:r>
        <w:rPr>
          <w:rFonts w:hint="eastAsia" w:ascii="仿宋_GB2312" w:eastAsia="仿宋_GB2312"/>
          <w:color w:val="auto"/>
          <w:sz w:val="32"/>
          <w:szCs w:val="32"/>
          <w:highlight w:val="none"/>
        </w:rPr>
        <w:t>万元，具体内容包括：接待省</w:t>
      </w:r>
      <w:r>
        <w:rPr>
          <w:rFonts w:hint="eastAsia" w:ascii="仿宋_GB2312" w:eastAsia="仿宋_GB2312"/>
          <w:color w:val="auto"/>
          <w:sz w:val="32"/>
          <w:szCs w:val="32"/>
          <w:highlight w:val="none"/>
          <w:lang w:val="en-US" w:eastAsia="zh-CN"/>
        </w:rPr>
        <w:t>级检查组开展项目考核专项检查工作</w:t>
      </w:r>
      <w:r>
        <w:rPr>
          <w:rFonts w:hint="eastAsia" w:ascii="仿宋_GB2312" w:eastAsia="仿宋_GB2312"/>
          <w:color w:val="auto"/>
          <w:sz w:val="32"/>
          <w:szCs w:val="32"/>
          <w:highlight w:val="none"/>
        </w:rPr>
        <w:t>用餐费</w:t>
      </w:r>
      <w:r>
        <w:rPr>
          <w:rFonts w:hint="eastAsia" w:ascii="仿宋_GB2312" w:eastAsia="仿宋_GB2312"/>
          <w:color w:val="auto"/>
          <w:sz w:val="32"/>
          <w:szCs w:val="32"/>
          <w:highlight w:val="none"/>
          <w:lang w:val="en-US" w:eastAsia="zh-CN"/>
        </w:rPr>
        <w:t>。</w:t>
      </w:r>
    </w:p>
    <w:p>
      <w:pPr>
        <w:spacing w:line="600" w:lineRule="exact"/>
        <w:ind w:firstLine="64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70" w:name="_Toc15396610"/>
      <w:bookmarkStart w:id="71" w:name="_Toc15377218"/>
    </w:p>
    <w:p>
      <w:pPr>
        <w:spacing w:line="600" w:lineRule="exact"/>
        <w:ind w:firstLine="640"/>
        <w:outlineLvl w:val="1"/>
        <w:rPr>
          <w:rStyle w:val="31"/>
          <w:rFonts w:ascii="黑体" w:hAnsi="黑体" w:eastAsia="黑体"/>
          <w:color w:val="auto"/>
          <w:highlight w:val="none"/>
        </w:rPr>
      </w:pPr>
      <w:bookmarkStart w:id="72" w:name="_Toc14667"/>
      <w:bookmarkStart w:id="73" w:name="_Toc19545"/>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70"/>
      <w:bookmarkEnd w:id="71"/>
      <w:bookmarkEnd w:id="72"/>
      <w:bookmarkEnd w:id="73"/>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9860</w:t>
      </w:r>
      <w:r>
        <w:rPr>
          <w:rFonts w:hint="eastAsia" w:ascii="仿宋_GB2312" w:eastAsia="仿宋_GB2312"/>
          <w:color w:val="auto"/>
          <w:sz w:val="32"/>
          <w:szCs w:val="32"/>
          <w:highlight w:val="none"/>
        </w:rPr>
        <w:t>.00万元</w:t>
      </w:r>
      <w:r>
        <w:rPr>
          <w:rFonts w:hint="eastAsia" w:ascii="仿宋_GB2312" w:eastAsia="仿宋_GB2312"/>
          <w:color w:val="auto"/>
          <w:sz w:val="32"/>
          <w:szCs w:val="32"/>
          <w:highlight w:val="none"/>
          <w:lang w:eastAsia="zh-CN"/>
        </w:rPr>
        <w:t>。主要用于新增地方政府专项债券资金-新建成达万铁路项目支出。</w:t>
      </w:r>
    </w:p>
    <w:p>
      <w:pPr>
        <w:numPr>
          <w:ilvl w:val="0"/>
          <w:numId w:val="4"/>
        </w:numPr>
        <w:spacing w:line="600" w:lineRule="exact"/>
        <w:ind w:firstLine="640"/>
        <w:outlineLvl w:val="1"/>
        <w:rPr>
          <w:rStyle w:val="31"/>
          <w:rFonts w:ascii="黑体" w:hAnsi="黑体" w:eastAsia="黑体"/>
          <w:b w:val="0"/>
          <w:color w:val="auto"/>
          <w:highlight w:val="none"/>
        </w:rPr>
      </w:pPr>
      <w:bookmarkStart w:id="74" w:name="_Toc24835"/>
      <w:bookmarkStart w:id="75" w:name="_Toc15396611"/>
      <w:bookmarkStart w:id="76" w:name="_Toc15377219"/>
      <w:bookmarkStart w:id="77" w:name="_Toc19112"/>
      <w:r>
        <w:rPr>
          <w:rStyle w:val="31"/>
          <w:rFonts w:hint="eastAsia" w:ascii="黑体" w:hAnsi="黑体" w:eastAsia="黑体"/>
          <w:b w:val="0"/>
          <w:color w:val="auto"/>
          <w:highlight w:val="none"/>
        </w:rPr>
        <w:t>国有资本经营预算支出决算情况说明</w:t>
      </w:r>
      <w:bookmarkEnd w:id="74"/>
      <w:bookmarkEnd w:id="75"/>
      <w:bookmarkEnd w:id="76"/>
      <w:bookmarkEnd w:id="77"/>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31"/>
          <w:rFonts w:hint="eastAsia" w:ascii="黑体" w:hAnsi="黑体" w:eastAsia="黑体"/>
          <w:b w:val="0"/>
          <w:color w:val="auto"/>
          <w:highlight w:val="none"/>
        </w:rPr>
      </w:pPr>
      <w:bookmarkStart w:id="78" w:name="_Toc15377221"/>
      <w:bookmarkStart w:id="79" w:name="_Toc15396612"/>
      <w:bookmarkStart w:id="80" w:name="_Toc870"/>
      <w:bookmarkStart w:id="81" w:name="_Toc4773"/>
      <w:r>
        <w:rPr>
          <w:rStyle w:val="31"/>
          <w:rFonts w:hint="eastAsia" w:ascii="黑体" w:hAnsi="黑体" w:eastAsia="黑体"/>
          <w:b w:val="0"/>
          <w:color w:val="auto"/>
          <w:highlight w:val="none"/>
        </w:rPr>
        <w:t>其他重要事项的情况说明</w:t>
      </w:r>
      <w:bookmarkEnd w:id="78"/>
      <w:bookmarkEnd w:id="79"/>
      <w:bookmarkEnd w:id="80"/>
      <w:bookmarkEnd w:id="81"/>
    </w:p>
    <w:p>
      <w:pPr>
        <w:spacing w:line="600" w:lineRule="exact"/>
        <w:ind w:firstLine="643" w:firstLineChars="200"/>
        <w:outlineLvl w:val="2"/>
        <w:rPr>
          <w:rFonts w:ascii="仿宋" w:hAnsi="仿宋" w:eastAsia="仿宋"/>
          <w:color w:val="auto"/>
          <w:sz w:val="32"/>
          <w:szCs w:val="32"/>
          <w:highlight w:val="none"/>
        </w:rPr>
      </w:pPr>
      <w:bookmarkStart w:id="82" w:name="_Toc15377222"/>
      <w:bookmarkStart w:id="83" w:name="_Toc5090"/>
      <w:r>
        <w:rPr>
          <w:rFonts w:hint="eastAsia" w:ascii="仿宋" w:hAnsi="仿宋" w:eastAsia="仿宋"/>
          <w:b/>
          <w:color w:val="auto"/>
          <w:sz w:val="32"/>
          <w:szCs w:val="32"/>
          <w:highlight w:val="none"/>
        </w:rPr>
        <w:t>（一）机关运行经费支出情况</w:t>
      </w:r>
      <w:bookmarkEnd w:id="82"/>
      <w:bookmarkEnd w:id="83"/>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发展改革局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87.93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12.51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18.15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各项日常具体工作点、线、面范围增大，导致工作量和费用增加。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4" w:name="_Toc15377223"/>
      <w:bookmarkStart w:id="85" w:name="_Toc23620"/>
      <w:r>
        <w:rPr>
          <w:rFonts w:hint="eastAsia" w:ascii="仿宋" w:hAnsi="仿宋" w:eastAsia="仿宋"/>
          <w:b/>
          <w:color w:val="auto"/>
          <w:sz w:val="32"/>
          <w:szCs w:val="32"/>
          <w:highlight w:val="none"/>
        </w:rPr>
        <w:t>（二）政府采购支出情况</w:t>
      </w:r>
      <w:bookmarkEnd w:id="84"/>
      <w:bookmarkEnd w:id="85"/>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发展改革局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6" w:name="_Toc22463"/>
      <w:bookmarkStart w:id="87" w:name="_Toc15377224"/>
      <w:r>
        <w:rPr>
          <w:rFonts w:hint="eastAsia" w:ascii="仿宋" w:hAnsi="仿宋" w:eastAsia="仿宋"/>
          <w:b/>
          <w:color w:val="auto"/>
          <w:sz w:val="32"/>
          <w:szCs w:val="32"/>
          <w:highlight w:val="none"/>
        </w:rPr>
        <w:t>（三）国有资产占有使用情况</w:t>
      </w:r>
      <w:bookmarkEnd w:id="86"/>
      <w:bookmarkEnd w:id="8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年12月31日，</w:t>
      </w:r>
      <w:r>
        <w:rPr>
          <w:rFonts w:hint="eastAsia" w:ascii="仿宋_GB2312" w:eastAsia="仿宋_GB2312"/>
          <w:color w:val="auto"/>
          <w:sz w:val="32"/>
          <w:szCs w:val="32"/>
          <w:highlight w:val="none"/>
          <w:lang w:eastAsia="zh-CN"/>
        </w:rPr>
        <w:t>发展改革局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辆、执法执勤用车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单价50万元以上通用设备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台（套），单价100万元以上专用设备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8" w:name="_Toc31892"/>
      <w:r>
        <w:rPr>
          <w:rFonts w:hint="eastAsia" w:ascii="仿宋" w:hAnsi="仿宋" w:eastAsia="仿宋"/>
          <w:b/>
          <w:color w:val="auto"/>
          <w:sz w:val="32"/>
          <w:szCs w:val="32"/>
          <w:highlight w:val="none"/>
        </w:rPr>
        <w:t>（四）预算绩效管理情况</w:t>
      </w:r>
      <w:bookmarkEnd w:id="88"/>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区政策性粮油储备经费、救灾物资仓库租赁及搬运费、粮食应急体系建设工作经费、易地搬迁后续工作经费、涉案财物价格鉴证工作经费、全区重大项目管理经费、全区节能减排工作经费、全区审批、备案类项目事中事后监管核查经费、粮食执法工作经费、区财经委员会日常工作经费、</w:t>
      </w:r>
      <w:r>
        <w:rPr>
          <w:rFonts w:hint="eastAsia" w:ascii="仿宋_GB2312" w:hAnsi="仿宋_GB2312" w:eastAsia="仿宋_GB2312" w:cs="仿宋_GB2312"/>
          <w:color w:val="auto"/>
          <w:sz w:val="32"/>
          <w:szCs w:val="32"/>
          <w:highlight w:val="none"/>
          <w:lang w:val="en-US" w:eastAsia="zh-CN"/>
        </w:rPr>
        <w:t>2022年疫情防控期间紧急物资采购前置资金</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全面开展绩效自评，形成区发展和改革局</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绩效自评报告，区发展和改革局部门整体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绩效自评得分为86分（总分90分），绩效自评综述：</w:t>
      </w:r>
      <w:r>
        <w:rPr>
          <w:rFonts w:eastAsia="仿宋_GB2312"/>
          <w:sz w:val="32"/>
          <w:szCs w:val="32"/>
        </w:rPr>
        <w:t>区发展改革局在区委、区政府的坚强领导和上级部门的业务指导下，坚持以习近平新时代中国特色社会主义思想为指导，深入贯彻落实习近平总书记来川视察重要指示精神和中省市区决策部署，紧紧围绕繁荣在主城</w:t>
      </w:r>
      <w:r>
        <w:rPr>
          <w:sz w:val="32"/>
          <w:szCs w:val="32"/>
        </w:rPr>
        <w:t>摂</w:t>
      </w:r>
      <w:r>
        <w:rPr>
          <w:rFonts w:eastAsia="仿宋_GB2312"/>
          <w:sz w:val="32"/>
          <w:szCs w:val="32"/>
        </w:rPr>
        <w:t>发展定位，聚焦全区222奋斗目标，全力拼经济、合力搞建设，全区经济运行持续回稳向好，重大项目建设加力提速，区域协同发展稳步推进，经济社会高质量发展取得新成效</w:t>
      </w:r>
      <w:r>
        <w:rPr>
          <w:rFonts w:hint="eastAsia" w:eastAsia="仿宋_GB2312"/>
          <w:sz w:val="32"/>
          <w:szCs w:val="32"/>
          <w:lang w:eastAsia="zh-CN"/>
        </w:rPr>
        <w:t>。</w:t>
      </w:r>
      <w:r>
        <w:rPr>
          <w:rFonts w:eastAsia="仿宋_GB2312"/>
          <w:sz w:val="32"/>
          <w:szCs w:val="32"/>
        </w:rPr>
        <w:t>从评价情况来看总体来说我局2023年部门整体支出情况良好，从预算到执行和收入、支出、资产管理及信息公开，都严格按相关制度要求进行，全年收支平衡，有效保证了机构运转，圆满地完成了2023年年度目标任务</w:t>
      </w:r>
      <w:r>
        <w:rPr>
          <w:rFonts w:hint="eastAsia" w:eastAsia="仿宋_GB2312"/>
          <w:sz w:val="32"/>
          <w:szCs w:val="32"/>
          <w:lang w:val="en-US" w:eastAsia="zh-CN"/>
        </w:rPr>
        <w:t>；</w:t>
      </w:r>
      <w:r>
        <w:rPr>
          <w:rFonts w:hint="eastAsia" w:ascii="仿宋_GB2312" w:hAnsi="仿宋_GB2312" w:eastAsia="仿宋_GB2312" w:cs="仿宋_GB2312"/>
          <w:color w:val="auto"/>
          <w:sz w:val="32"/>
          <w:szCs w:val="32"/>
          <w:highlight w:val="none"/>
          <w:lang w:eastAsia="zh-CN"/>
        </w:rPr>
        <w:t>区政策性粮油储备经费项目</w:t>
      </w:r>
      <w:r>
        <w:rPr>
          <w:rFonts w:eastAsia="仿宋_GB2312"/>
          <w:sz w:val="32"/>
          <w:szCs w:val="32"/>
        </w:rPr>
        <w:t>绩效自评得分100</w:t>
      </w:r>
      <w:r>
        <w:rPr>
          <w:rFonts w:hint="eastAsia" w:eastAsia="仿宋_GB2312"/>
          <w:sz w:val="32"/>
          <w:szCs w:val="32"/>
          <w:lang w:eastAsia="zh-CN"/>
        </w:rPr>
        <w:t>分，</w:t>
      </w:r>
      <w:r>
        <w:rPr>
          <w:rFonts w:hint="eastAsia" w:ascii="仿宋_GB2312" w:hAnsi="仿宋_GB2312" w:eastAsia="仿宋_GB2312" w:cs="仿宋_GB2312"/>
          <w:color w:val="auto"/>
          <w:sz w:val="32"/>
          <w:szCs w:val="32"/>
          <w:highlight w:val="none"/>
          <w:lang w:val="en-US" w:eastAsia="zh-CN"/>
        </w:rPr>
        <w:t>绩效自评综述：</w:t>
      </w:r>
      <w:r>
        <w:rPr>
          <w:rFonts w:eastAsia="仿宋_GB2312"/>
          <w:sz w:val="32"/>
          <w:szCs w:val="32"/>
        </w:rPr>
        <w:t>通过对项目的实施，确保了当年区级3060吨区级储备粮油（其中稻谷1500吨、小麦1000吨、小包装大米、菜油560吨）数量真实、质量良好、储备安全、管理规范。有利于政府保应急、控粮价、稳市场，是应对突发事件和加强市场调控时的第一道防线，有效落实了粮食安全地方职能职责</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eastAsia="zh-CN"/>
        </w:rPr>
        <w:t>救灾物资仓库租赁及搬运费项目</w:t>
      </w:r>
      <w:r>
        <w:rPr>
          <w:rFonts w:eastAsia="仿宋_GB2312"/>
          <w:sz w:val="32"/>
          <w:szCs w:val="32"/>
        </w:rPr>
        <w:t>绩效自评得分99.91分</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sz w:val="32"/>
          <w:szCs w:val="32"/>
        </w:rPr>
        <w:t>通过对项目的实施，能充分应对夏季山洪地质灾害、冬季寒冷天气及其它突发情况等，确保群众生命安全，维护社会稳定</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eastAsia="zh-CN"/>
        </w:rPr>
        <w:t>粮食应急体系建设工作经费项目</w:t>
      </w:r>
      <w:r>
        <w:rPr>
          <w:rFonts w:eastAsia="仿宋_GB2312"/>
          <w:sz w:val="32"/>
          <w:szCs w:val="32"/>
        </w:rPr>
        <w:t>绩效自评得分99.85分</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sz w:val="32"/>
          <w:szCs w:val="32"/>
        </w:rPr>
        <w:t>对26家粮食应急供应、加工、储运、配送等各环节整体聚力、体系协调、措施配套，提升和增强应对重大自然灾害和各类公共突发事件的粮油应急保供，应急状态下粮油市场供应和粮油价格基本问题。同时对粮食价格及市场动态的监测和研判，及时向区委、区政府提出粮食应急预警建议。通过对项目的实施，全区粮食供应网点、存储企业、配送企业等运行正常、库存充裕，完全能满足应急粮食供应需求</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eastAsia="zh-CN"/>
        </w:rPr>
        <w:t>易地搬迁后续工作经费项目</w:t>
      </w:r>
      <w:r>
        <w:rPr>
          <w:rFonts w:eastAsia="仿宋_GB2312"/>
          <w:sz w:val="32"/>
          <w:szCs w:val="32"/>
        </w:rPr>
        <w:t>绩效自评得分99.42分</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sz w:val="32"/>
          <w:szCs w:val="32"/>
        </w:rPr>
        <w:t>通过对项目的实施，顺利组织落实“十四五”脱贫攻坚成果同乡村振兴有效衔接工作，统筹协调开展了易地扶贫搬迁后续工作，制定了农业农村优先发展工作计划，为国家重点战略任务乡村振兴营造良好氛围，提升广大人民群众积极性，易地扶贫搬迁后续扶持发展，群众满意度100%</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eastAsia="zh-CN"/>
        </w:rPr>
        <w:t>涉案财物价格鉴证工作经费项目</w:t>
      </w:r>
      <w:r>
        <w:rPr>
          <w:rFonts w:eastAsia="仿宋_GB2312"/>
          <w:kern w:val="0"/>
          <w:sz w:val="32"/>
          <w:szCs w:val="32"/>
        </w:rPr>
        <w:t>绩效自评得分99.85分</w:t>
      </w:r>
      <w:r>
        <w:rPr>
          <w:rFonts w:hint="eastAsia" w:eastAsia="仿宋_GB2312"/>
          <w:kern w:val="0"/>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kern w:val="0"/>
          <w:sz w:val="32"/>
          <w:szCs w:val="32"/>
        </w:rPr>
        <w:t>通过该项目的实施，更好</w:t>
      </w:r>
      <w:r>
        <w:rPr>
          <w:rFonts w:hint="eastAsia" w:eastAsia="仿宋_GB2312"/>
          <w:kern w:val="0"/>
          <w:sz w:val="32"/>
          <w:szCs w:val="32"/>
          <w:lang w:eastAsia="zh-CN"/>
        </w:rPr>
        <w:t>地</w:t>
      </w:r>
      <w:r>
        <w:rPr>
          <w:rFonts w:eastAsia="仿宋_GB2312"/>
          <w:kern w:val="0"/>
          <w:sz w:val="32"/>
          <w:szCs w:val="32"/>
        </w:rPr>
        <w:t>推动了我区涉案物品认证工作，切实保证涉案物品价格准确，保证法律公平、公正等</w:t>
      </w:r>
      <w:r>
        <w:rPr>
          <w:rFonts w:hint="eastAsia" w:eastAsia="仿宋_GB2312"/>
          <w:kern w:val="0"/>
          <w:sz w:val="32"/>
          <w:szCs w:val="32"/>
          <w:lang w:eastAsia="zh-CN"/>
        </w:rPr>
        <w:t>。</w:t>
      </w:r>
      <w:r>
        <w:rPr>
          <w:rFonts w:eastAsia="仿宋_GB2312"/>
          <w:kern w:val="0"/>
          <w:sz w:val="32"/>
          <w:szCs w:val="32"/>
        </w:rPr>
        <w:t>我区2023年涉案物品认证工作年终排位均在市上靠前，获得先进集体工作者称号</w:t>
      </w:r>
      <w:r>
        <w:rPr>
          <w:rFonts w:hint="eastAsia" w:eastAsia="仿宋_GB2312"/>
          <w:kern w:val="0"/>
          <w:sz w:val="32"/>
          <w:szCs w:val="32"/>
          <w:lang w:eastAsia="zh-CN"/>
        </w:rPr>
        <w:t>；</w:t>
      </w:r>
      <w:r>
        <w:rPr>
          <w:rFonts w:hint="eastAsia" w:ascii="仿宋_GB2312" w:hAnsi="仿宋_GB2312" w:eastAsia="仿宋_GB2312" w:cs="仿宋_GB2312"/>
          <w:color w:val="auto"/>
          <w:sz w:val="32"/>
          <w:szCs w:val="32"/>
          <w:highlight w:val="none"/>
          <w:lang w:eastAsia="zh-CN"/>
        </w:rPr>
        <w:t>全区重大项目管理经费项目</w:t>
      </w:r>
      <w:r>
        <w:rPr>
          <w:rFonts w:eastAsia="仿宋_GB2312"/>
          <w:kern w:val="0"/>
          <w:sz w:val="32"/>
          <w:szCs w:val="32"/>
        </w:rPr>
        <w:t>绩效自评得分99.27分</w:t>
      </w:r>
      <w:r>
        <w:rPr>
          <w:rFonts w:hint="eastAsia" w:eastAsia="仿宋_GB2312"/>
          <w:kern w:val="0"/>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kern w:val="0"/>
          <w:sz w:val="32"/>
          <w:szCs w:val="32"/>
        </w:rPr>
        <w:t>通过该项目的实施，更好</w:t>
      </w:r>
      <w:r>
        <w:rPr>
          <w:rFonts w:hint="eastAsia" w:eastAsia="仿宋_GB2312"/>
          <w:kern w:val="0"/>
          <w:sz w:val="32"/>
          <w:szCs w:val="32"/>
          <w:lang w:eastAsia="zh-CN"/>
        </w:rPr>
        <w:t>地</w:t>
      </w:r>
      <w:r>
        <w:rPr>
          <w:rFonts w:eastAsia="仿宋_GB2312"/>
          <w:kern w:val="0"/>
          <w:sz w:val="32"/>
          <w:szCs w:val="32"/>
        </w:rPr>
        <w:t>推动了我区项目建设，发挥重点项目对投资的支撑引领作用，促使我区经济更好更快发展</w:t>
      </w:r>
      <w:r>
        <w:rPr>
          <w:rFonts w:hint="eastAsia" w:eastAsia="仿宋_GB2312"/>
          <w:kern w:val="0"/>
          <w:sz w:val="32"/>
          <w:szCs w:val="32"/>
          <w:lang w:eastAsia="zh-CN"/>
        </w:rPr>
        <w:t>。</w:t>
      </w:r>
      <w:r>
        <w:rPr>
          <w:rFonts w:eastAsia="仿宋_GB2312"/>
          <w:kern w:val="0"/>
          <w:sz w:val="32"/>
          <w:szCs w:val="32"/>
        </w:rPr>
        <w:t>我区2023年重点项目和投资工作年终排位均在市上靠前</w:t>
      </w:r>
      <w:r>
        <w:rPr>
          <w:rFonts w:hint="eastAsia" w:eastAsia="仿宋_GB2312"/>
          <w:kern w:val="0"/>
          <w:sz w:val="32"/>
          <w:szCs w:val="32"/>
          <w:lang w:eastAsia="zh-CN"/>
        </w:rPr>
        <w:t>；</w:t>
      </w:r>
      <w:r>
        <w:rPr>
          <w:rFonts w:hint="eastAsia" w:ascii="仿宋_GB2312" w:hAnsi="仿宋_GB2312" w:eastAsia="仿宋_GB2312" w:cs="仿宋_GB2312"/>
          <w:color w:val="auto"/>
          <w:sz w:val="32"/>
          <w:szCs w:val="32"/>
          <w:highlight w:val="none"/>
          <w:lang w:eastAsia="zh-CN"/>
        </w:rPr>
        <w:t>全区节能减排工作经费项目</w:t>
      </w:r>
      <w:r>
        <w:rPr>
          <w:rFonts w:eastAsia="仿宋_GB2312"/>
          <w:sz w:val="32"/>
          <w:szCs w:val="32"/>
        </w:rPr>
        <w:t>绩效自评得分97.53分</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sz w:val="32"/>
          <w:szCs w:val="32"/>
        </w:rPr>
        <w:t>通过对项目的实施，一是完成驻项目的能耗评估，帮助招商企业顺利落地建设暨运营</w:t>
      </w:r>
      <w:r>
        <w:rPr>
          <w:rFonts w:hint="eastAsia" w:eastAsia="仿宋_GB2312"/>
          <w:sz w:val="32"/>
          <w:szCs w:val="32"/>
          <w:lang w:eastAsia="zh-CN"/>
        </w:rPr>
        <w:t>。</w:t>
      </w:r>
      <w:r>
        <w:rPr>
          <w:rFonts w:eastAsia="仿宋_GB2312"/>
          <w:sz w:val="32"/>
          <w:szCs w:val="32"/>
        </w:rPr>
        <w:t>二是开展节能宣传3次，结合工作实际，制定宣传工作方案，动员全社会人群加入节能降碳工作中，鼓励和倡导大家从身边做起、从自我做起，活动现场共发放宣传资料5000余份</w:t>
      </w:r>
      <w:r>
        <w:rPr>
          <w:rFonts w:hint="eastAsia" w:eastAsia="仿宋_GB2312"/>
          <w:sz w:val="32"/>
          <w:szCs w:val="32"/>
          <w:lang w:eastAsia="zh-CN"/>
        </w:rPr>
        <w:t>。</w:t>
      </w:r>
      <w:r>
        <w:rPr>
          <w:rFonts w:eastAsia="仿宋_GB2312"/>
          <w:sz w:val="32"/>
          <w:szCs w:val="32"/>
        </w:rPr>
        <w:t>三是对3个重点用能单位抽查并实施节能管理，做到节能有效。四是对1家重点用能单位开展节能监察。2023年我区单位GDP能耗下降7.3%</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eastAsia="zh-CN"/>
        </w:rPr>
        <w:t>全区审批、备案类项目事中事后监管核查经费项目</w:t>
      </w:r>
      <w:r>
        <w:rPr>
          <w:rFonts w:eastAsia="仿宋_GB2312"/>
          <w:kern w:val="0"/>
          <w:sz w:val="32"/>
          <w:szCs w:val="32"/>
        </w:rPr>
        <w:t>绩效自评得分100分</w:t>
      </w:r>
      <w:r>
        <w:rPr>
          <w:rFonts w:hint="eastAsia" w:eastAsia="仿宋_GB2312"/>
          <w:kern w:val="0"/>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kern w:val="0"/>
          <w:sz w:val="32"/>
          <w:szCs w:val="32"/>
        </w:rPr>
        <w:t>通过该项目的实施，可对我区一段时间内审批类和备案类项目的事中事后工作开展情况有一个总体掌握，有利于进一步规范我区投资行为</w:t>
      </w:r>
      <w:r>
        <w:rPr>
          <w:rFonts w:hint="eastAsia" w:eastAsia="仿宋_GB2312"/>
          <w:kern w:val="0"/>
          <w:sz w:val="32"/>
          <w:szCs w:val="32"/>
          <w:lang w:eastAsia="zh-CN"/>
        </w:rPr>
        <w:t>；</w:t>
      </w:r>
      <w:r>
        <w:rPr>
          <w:rFonts w:hint="eastAsia" w:ascii="仿宋_GB2312" w:hAnsi="仿宋_GB2312" w:eastAsia="仿宋_GB2312" w:cs="仿宋_GB2312"/>
          <w:color w:val="auto"/>
          <w:sz w:val="32"/>
          <w:szCs w:val="32"/>
          <w:highlight w:val="none"/>
          <w:lang w:eastAsia="zh-CN"/>
        </w:rPr>
        <w:t>粮食执法工作经费项目</w:t>
      </w:r>
      <w:r>
        <w:rPr>
          <w:rFonts w:eastAsia="仿宋_GB2312"/>
          <w:sz w:val="32"/>
          <w:szCs w:val="32"/>
        </w:rPr>
        <w:t>绩效自评得分100分</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sz w:val="32"/>
          <w:szCs w:val="32"/>
        </w:rPr>
        <w:t>通过对项目的实施，全区政策性粮油</w:t>
      </w:r>
      <w:r>
        <w:rPr>
          <w:rFonts w:hint="eastAsia" w:eastAsia="仿宋_GB2312"/>
          <w:sz w:val="32"/>
          <w:szCs w:val="32"/>
          <w:lang w:eastAsia="zh-CN"/>
        </w:rPr>
        <w:t>实</w:t>
      </w:r>
      <w:r>
        <w:rPr>
          <w:rFonts w:eastAsia="仿宋_GB2312"/>
          <w:sz w:val="32"/>
          <w:szCs w:val="32"/>
        </w:rPr>
        <w:t>现安全存储，生产、加工企业按要求运行，粮油收购顺利开展，全区粮油安全运行，达到上级要求效果</w:t>
      </w:r>
      <w:r>
        <w:rPr>
          <w:rFonts w:hint="eastAsia" w:ascii="仿宋_GB2312" w:hAnsi="仿宋_GB2312" w:eastAsia="仿宋_GB2312" w:cs="仿宋_GB2312"/>
          <w:color w:val="auto"/>
          <w:sz w:val="32"/>
          <w:szCs w:val="32"/>
          <w:highlight w:val="none"/>
          <w:lang w:eastAsia="zh-CN"/>
        </w:rPr>
        <w:t>；区财经委员会日常工作经费项目自评得分</w:t>
      </w:r>
      <w:r>
        <w:rPr>
          <w:rFonts w:hint="eastAsia" w:ascii="仿宋_GB2312" w:hAnsi="仿宋_GB2312" w:eastAsia="仿宋_GB2312" w:cs="仿宋_GB2312"/>
          <w:color w:val="auto"/>
          <w:sz w:val="32"/>
          <w:szCs w:val="32"/>
          <w:highlight w:val="none"/>
          <w:lang w:val="en-US" w:eastAsia="zh-CN"/>
        </w:rPr>
        <w:t>99.3分，绩效自评综述：</w:t>
      </w:r>
      <w:r>
        <w:rPr>
          <w:rFonts w:eastAsia="仿宋_GB2312"/>
          <w:sz w:val="32"/>
          <w:szCs w:val="32"/>
        </w:rPr>
        <w:t>一是区委财经委员会会议是区委对全区经济工作集中统一领导、加快推动全面转型高质量发展的一项重要制度安排。二是对我区弘扬社会主义核心价值观，传承中华民族传统美德，提升公民文明素养和社会文明程度，营造“知信、守信、用信、重信”的良好氛围具有重要的现实意义。三是扩区成功后，将为船山区拓展3.91平方公里工业发展空间</w:t>
      </w:r>
      <w:r>
        <w:rPr>
          <w:rFonts w:hint="eastAsia" w:eastAsia="仿宋_GB2312"/>
          <w:sz w:val="32"/>
          <w:szCs w:val="32"/>
          <w:lang w:eastAsia="zh-CN"/>
        </w:rPr>
        <w:t>；</w:t>
      </w:r>
      <w:r>
        <w:rPr>
          <w:rFonts w:hint="eastAsia" w:eastAsia="仿宋_GB2312"/>
          <w:sz w:val="32"/>
          <w:szCs w:val="32"/>
          <w:lang w:val="en-US" w:eastAsia="zh-CN"/>
        </w:rPr>
        <w:t>2022年</w:t>
      </w:r>
      <w:r>
        <w:rPr>
          <w:rFonts w:eastAsia="仿宋_GB2312"/>
          <w:sz w:val="32"/>
          <w:szCs w:val="32"/>
        </w:rPr>
        <w:t>疫情防控期间紧急物资采购前置资金项目绩效自评得分100分</w:t>
      </w:r>
      <w:r>
        <w:rPr>
          <w:rFonts w:hint="eastAsia" w:eastAsia="仿宋_GB2312"/>
          <w:sz w:val="32"/>
          <w:szCs w:val="32"/>
          <w:lang w:eastAsia="zh-CN"/>
        </w:rPr>
        <w:t>，</w:t>
      </w:r>
      <w:r>
        <w:rPr>
          <w:rFonts w:hint="eastAsia" w:ascii="仿宋_GB2312" w:hAnsi="仿宋_GB2312" w:eastAsia="仿宋_GB2312" w:cs="仿宋_GB2312"/>
          <w:color w:val="auto"/>
          <w:sz w:val="32"/>
          <w:szCs w:val="32"/>
          <w:highlight w:val="none"/>
          <w:lang w:val="en-US" w:eastAsia="zh-CN"/>
        </w:rPr>
        <w:t>绩效自评综述：</w:t>
      </w:r>
      <w:r>
        <w:rPr>
          <w:rFonts w:eastAsia="仿宋_GB2312"/>
          <w:sz w:val="32"/>
          <w:szCs w:val="32"/>
        </w:rPr>
        <w:t>通过项目实施，共计采购门磁、电脑、面包、矿泉水、方便面、工作餐等物资近万件，各类物资及时采购配送到全区5个街道、7个乡镇抗</w:t>
      </w:r>
      <w:r>
        <w:rPr>
          <w:rFonts w:hint="eastAsia" w:eastAsia="仿宋_GB2312"/>
          <w:sz w:val="32"/>
          <w:szCs w:val="32"/>
          <w:lang w:eastAsia="zh-CN"/>
        </w:rPr>
        <w:t>击</w:t>
      </w:r>
      <w:r>
        <w:rPr>
          <w:rFonts w:eastAsia="仿宋_GB2312"/>
          <w:sz w:val="32"/>
          <w:szCs w:val="32"/>
        </w:rPr>
        <w:t>疫情一线，疫情防控各项工作获得坚实的物资保障，确保近万名一线工作人员抗</w:t>
      </w:r>
      <w:r>
        <w:rPr>
          <w:rFonts w:hint="eastAsia" w:eastAsia="仿宋_GB2312"/>
          <w:sz w:val="32"/>
          <w:szCs w:val="32"/>
          <w:lang w:eastAsia="zh-CN"/>
        </w:rPr>
        <w:t>击</w:t>
      </w:r>
      <w:r>
        <w:rPr>
          <w:rFonts w:eastAsia="仿宋_GB2312"/>
          <w:sz w:val="32"/>
          <w:szCs w:val="32"/>
        </w:rPr>
        <w:t>疫情工作顺利开展和隔离人员生命安全等，维护全区社会稳定。</w:t>
      </w:r>
      <w:r>
        <w:rPr>
          <w:rFonts w:hint="eastAsia" w:ascii="仿宋_GB2312" w:hAnsi="仿宋_GB2312" w:eastAsia="仿宋_GB2312" w:cs="仿宋_GB2312"/>
          <w:color w:val="auto"/>
          <w:sz w:val="32"/>
          <w:szCs w:val="32"/>
          <w:highlight w:val="none"/>
          <w:lang w:val="en-US" w:eastAsia="zh-CN"/>
        </w:rPr>
        <w:t>绩效自评报告详见附件。</w:t>
      </w:r>
    </w:p>
    <w:p>
      <w:pPr>
        <w:widowControl/>
        <w:ind w:firstLine="643" w:firstLineChars="200"/>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30"/>
          <w:rFonts w:ascii="黑体" w:hAnsi="黑体" w:eastAsia="黑体"/>
          <w:b w:val="0"/>
          <w:color w:val="auto"/>
          <w:highlight w:val="none"/>
        </w:rPr>
      </w:pPr>
      <w:bookmarkStart w:id="89" w:name="_Toc15396613"/>
      <w:bookmarkStart w:id="90" w:name="_Toc16140"/>
      <w:bookmarkStart w:id="91" w:name="_Toc15377225"/>
      <w:bookmarkStart w:id="92" w:name="_Toc18614"/>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89"/>
      <w:bookmarkEnd w:id="90"/>
      <w:bookmarkEnd w:id="91"/>
      <w:bookmarkEnd w:id="92"/>
    </w:p>
    <w:p>
      <w:pPr>
        <w:spacing w:line="600" w:lineRule="exact"/>
        <w:jc w:val="left"/>
        <w:rPr>
          <w:rFonts w:ascii="宋体"/>
          <w:b/>
          <w:color w:val="auto"/>
          <w:sz w:val="44"/>
          <w:szCs w:val="44"/>
          <w:highlight w:val="none"/>
        </w:rPr>
      </w:pPr>
    </w:p>
    <w:p>
      <w:pPr>
        <w:pStyle w:val="28"/>
        <w:spacing w:line="560" w:lineRule="exact"/>
        <w:ind w:firstLine="640" w:firstLineChars="200"/>
        <w:outlineLvl w:val="1"/>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8"/>
        <w:spacing w:line="560" w:lineRule="exact"/>
        <w:ind w:firstLine="640" w:firstLineChars="200"/>
        <w:outlineLvl w:val="1"/>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）发展与改革事务（</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）行政运行（</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反映行政单位（包括实行公务员管理的使用单位）的基本支出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）发展与改革事务（</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）一般行政管理事务（</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反映行政单位（包括实行公务员管理的使用单位）的项目支出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）发展与改革事务（</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运行（</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反映事业单位（包括实行公务员管理的使用单位）的基本支出。</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）发展与改革事务（</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）其他发展与改革事务支出（</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sz w:val="32"/>
          <w:szCs w:val="32"/>
          <w:lang w:eastAsia="zh-CN"/>
        </w:rPr>
        <w:t>反映</w:t>
      </w:r>
      <w:r>
        <w:rPr>
          <w:rFonts w:hint="eastAsia" w:ascii="仿宋_GB2312" w:eastAsia="仿宋_GB2312"/>
          <w:color w:val="000000"/>
          <w:sz w:val="32"/>
          <w:szCs w:val="32"/>
          <w:lang w:eastAsia="zh-CN"/>
        </w:rPr>
        <w:t>单位其他</w:t>
      </w:r>
      <w:r>
        <w:rPr>
          <w:rFonts w:hint="eastAsia" w:ascii="仿宋_GB2312" w:eastAsia="仿宋_GB2312"/>
          <w:color w:val="000000"/>
          <w:sz w:val="32"/>
          <w:szCs w:val="32"/>
        </w:rPr>
        <w:t>发展与改革事务</w:t>
      </w:r>
      <w:r>
        <w:rPr>
          <w:rFonts w:hint="eastAsia" w:ascii="仿宋_GB2312" w:eastAsia="仿宋_GB2312"/>
          <w:color w:val="000000"/>
          <w:sz w:val="32"/>
          <w:szCs w:val="32"/>
          <w:lang w:eastAsia="zh-CN"/>
        </w:rPr>
        <w:t>方面的支出。</w:t>
      </w:r>
    </w:p>
    <w:p>
      <w:pPr>
        <w:ind w:firstLine="640" w:firstLineChars="200"/>
        <w:rPr>
          <w:rFonts w:hint="eastAsia" w:ascii="仿宋_GB2312" w:eastAsia="仿宋_GB2312"/>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w:t>
      </w:r>
      <w:r>
        <w:rPr>
          <w:rFonts w:hint="eastAsia" w:ascii="仿宋_GB2312" w:eastAsia="仿宋_GB2312"/>
          <w:color w:val="000000"/>
          <w:sz w:val="32"/>
          <w:szCs w:val="32"/>
          <w:lang w:eastAsia="zh-CN"/>
        </w:rPr>
        <w:t>财政</w:t>
      </w:r>
      <w:r>
        <w:rPr>
          <w:rFonts w:hint="eastAsia" w:ascii="仿宋_GB2312" w:eastAsia="仿宋_GB2312"/>
          <w:color w:val="000000"/>
          <w:sz w:val="32"/>
          <w:szCs w:val="32"/>
        </w:rPr>
        <w:t>事务（</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w:t>
      </w:r>
      <w:r>
        <w:rPr>
          <w:rFonts w:hint="eastAsia" w:ascii="仿宋_GB2312" w:eastAsia="仿宋_GB2312"/>
          <w:color w:val="000000"/>
          <w:sz w:val="32"/>
          <w:szCs w:val="32"/>
          <w:lang w:eastAsia="zh-CN"/>
        </w:rPr>
        <w:t>其他财政事务支出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反映行政单位（包括实行公务员管理的使用单位）的项目支出</w:t>
      </w:r>
      <w:r>
        <w:rPr>
          <w:rFonts w:hint="eastAsia" w:ascii="仿宋_GB2312" w:eastAsia="仿宋_GB2312"/>
          <w:color w:val="000000"/>
          <w:sz w:val="32"/>
          <w:szCs w:val="32"/>
        </w:rPr>
        <w:t>。</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color w:val="000000"/>
          <w:sz w:val="32"/>
          <w:szCs w:val="32"/>
        </w:rPr>
        <w:t>一般公共服务（</w:t>
      </w:r>
      <w:r>
        <w:rPr>
          <w:rFonts w:hint="eastAsia" w:ascii="仿宋_GB2312" w:eastAsia="仿宋_GB2312"/>
          <w:color w:val="000000"/>
          <w:sz w:val="32"/>
          <w:szCs w:val="32"/>
          <w:lang w:val="en-US" w:eastAsia="zh-CN"/>
        </w:rPr>
        <w:t>201</w:t>
      </w:r>
      <w:r>
        <w:rPr>
          <w:rFonts w:hint="eastAsia" w:ascii="仿宋_GB2312" w:eastAsia="仿宋_GB2312"/>
          <w:color w:val="000000"/>
          <w:sz w:val="32"/>
          <w:szCs w:val="32"/>
        </w:rPr>
        <w:t>）其他共产党事务支出（</w:t>
      </w: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）其他共产党事务支出（</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sz w:val="32"/>
          <w:szCs w:val="32"/>
          <w:lang w:eastAsia="zh-CN"/>
        </w:rPr>
        <w:t>反映</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其他共产党事务</w:t>
      </w:r>
      <w:r>
        <w:rPr>
          <w:rFonts w:hint="eastAsia" w:ascii="仿宋_GB2312" w:eastAsia="仿宋_GB2312"/>
          <w:color w:val="000000"/>
          <w:sz w:val="32"/>
          <w:szCs w:val="32"/>
          <w:lang w:eastAsia="zh-CN"/>
        </w:rPr>
        <w:t>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社会保障和就业（</w:t>
      </w:r>
      <w:r>
        <w:rPr>
          <w:rFonts w:hint="eastAsia" w:ascii="仿宋_GB2312" w:eastAsia="仿宋_GB2312"/>
          <w:sz w:val="32"/>
          <w:szCs w:val="32"/>
          <w:lang w:val="en-US" w:eastAsia="zh-CN"/>
        </w:rPr>
        <w:t>208</w:t>
      </w:r>
      <w:r>
        <w:rPr>
          <w:rFonts w:hint="eastAsia" w:ascii="仿宋_GB2312" w:eastAsia="仿宋_GB2312"/>
          <w:sz w:val="32"/>
          <w:szCs w:val="32"/>
        </w:rPr>
        <w:t>）行政事业单位养老支出（</w:t>
      </w:r>
      <w:r>
        <w:rPr>
          <w:rFonts w:hint="eastAsia" w:ascii="仿宋_GB2312" w:eastAsia="仿宋_GB2312"/>
          <w:sz w:val="32"/>
          <w:szCs w:val="32"/>
          <w:lang w:val="en-US" w:eastAsia="zh-CN"/>
        </w:rPr>
        <w:t>05</w:t>
      </w:r>
      <w:r>
        <w:rPr>
          <w:rFonts w:hint="eastAsia" w:ascii="仿宋_GB2312" w:eastAsia="仿宋_GB2312"/>
          <w:sz w:val="32"/>
          <w:szCs w:val="32"/>
        </w:rPr>
        <w:t>）  行政单位离退休（</w:t>
      </w:r>
      <w:r>
        <w:rPr>
          <w:rFonts w:hint="eastAsia" w:ascii="仿宋_GB2312" w:eastAsia="仿宋_GB2312"/>
          <w:sz w:val="32"/>
          <w:szCs w:val="32"/>
          <w:lang w:val="en-US" w:eastAsia="zh-CN"/>
        </w:rPr>
        <w:t>01</w:t>
      </w:r>
      <w:r>
        <w:rPr>
          <w:rFonts w:hint="eastAsia" w:ascii="仿宋_GB2312" w:eastAsia="仿宋_GB2312"/>
          <w:sz w:val="32"/>
          <w:szCs w:val="32"/>
        </w:rPr>
        <w:t>）:</w:t>
      </w:r>
      <w:r>
        <w:rPr>
          <w:rFonts w:hint="eastAsia" w:ascii="仿宋_GB2312" w:eastAsia="仿宋_GB2312"/>
          <w:sz w:val="32"/>
          <w:szCs w:val="32"/>
          <w:lang w:eastAsia="zh-CN"/>
        </w:rPr>
        <w:t>反映行政单位</w:t>
      </w:r>
      <w:r>
        <w:rPr>
          <w:rFonts w:hint="eastAsia" w:ascii="仿宋_GB2312" w:eastAsia="仿宋_GB2312"/>
          <w:color w:val="000000"/>
          <w:sz w:val="32"/>
          <w:szCs w:val="32"/>
          <w:lang w:eastAsia="zh-CN"/>
        </w:rPr>
        <w:t>（包括实行公务员管理的使用单位）</w:t>
      </w:r>
      <w:r>
        <w:rPr>
          <w:rFonts w:hint="eastAsia" w:ascii="仿宋_GB2312" w:eastAsia="仿宋_GB2312"/>
          <w:sz w:val="32"/>
          <w:szCs w:val="32"/>
          <w:lang w:eastAsia="zh-CN"/>
        </w:rPr>
        <w:t>开支的离退休经费。</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社会保障和就业（</w:t>
      </w:r>
      <w:r>
        <w:rPr>
          <w:rFonts w:hint="eastAsia" w:ascii="仿宋_GB2312" w:eastAsia="仿宋_GB2312"/>
          <w:sz w:val="32"/>
          <w:szCs w:val="32"/>
          <w:lang w:val="en-US" w:eastAsia="zh-CN"/>
        </w:rPr>
        <w:t>208</w:t>
      </w:r>
      <w:r>
        <w:rPr>
          <w:rFonts w:hint="eastAsia" w:ascii="仿宋_GB2312" w:eastAsia="仿宋_GB2312"/>
          <w:sz w:val="32"/>
          <w:szCs w:val="32"/>
        </w:rPr>
        <w:t>）行政事业单位养老支出（</w:t>
      </w:r>
      <w:r>
        <w:rPr>
          <w:rFonts w:hint="eastAsia" w:ascii="仿宋_GB2312" w:eastAsia="仿宋_GB2312"/>
          <w:sz w:val="32"/>
          <w:szCs w:val="32"/>
          <w:lang w:val="en-US" w:eastAsia="zh-CN"/>
        </w:rPr>
        <w:t>05</w:t>
      </w:r>
      <w:r>
        <w:rPr>
          <w:rFonts w:hint="eastAsia"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hint="eastAsia" w:ascii="仿宋_GB2312" w:eastAsia="仿宋_GB2312"/>
          <w:sz w:val="32"/>
          <w:szCs w:val="32"/>
        </w:rPr>
        <w:t>）：</w:t>
      </w:r>
      <w:r>
        <w:rPr>
          <w:rFonts w:hint="eastAsia" w:ascii="仿宋_GB2312" w:eastAsia="仿宋_GB2312"/>
          <w:sz w:val="32"/>
          <w:szCs w:val="32"/>
          <w:lang w:eastAsia="zh-CN"/>
        </w:rPr>
        <w:t>反映</w:t>
      </w:r>
      <w:r>
        <w:rPr>
          <w:rFonts w:hint="eastAsia" w:ascii="仿宋_GB2312" w:eastAsia="仿宋_GB2312"/>
          <w:sz w:val="32"/>
          <w:szCs w:val="32"/>
        </w:rPr>
        <w:t>机关事业单</w:t>
      </w:r>
      <w:r>
        <w:rPr>
          <w:rFonts w:hint="eastAsia" w:ascii="仿宋_GB2312" w:eastAsia="仿宋_GB2312"/>
          <w:sz w:val="32"/>
          <w:szCs w:val="32"/>
          <w:lang w:eastAsia="zh-CN"/>
        </w:rPr>
        <w:t>位</w:t>
      </w:r>
      <w:r>
        <w:rPr>
          <w:rFonts w:hint="eastAsia" w:ascii="仿宋_GB2312" w:eastAsia="仿宋_GB2312"/>
          <w:sz w:val="32"/>
          <w:szCs w:val="32"/>
        </w:rPr>
        <w:t>实施养老保险制度由单位缴纳的基本养老保险缴费支出。</w:t>
      </w:r>
    </w:p>
    <w:p>
      <w:pPr>
        <w:spacing w:line="600" w:lineRule="exact"/>
        <w:ind w:firstLine="64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.社会保障和就业（</w:t>
      </w:r>
      <w:r>
        <w:rPr>
          <w:rFonts w:hint="eastAsia" w:ascii="仿宋_GB2312" w:eastAsia="仿宋_GB2312"/>
          <w:sz w:val="32"/>
          <w:szCs w:val="32"/>
          <w:lang w:val="en-US" w:eastAsia="zh-CN"/>
        </w:rPr>
        <w:t>208</w:t>
      </w:r>
      <w:r>
        <w:rPr>
          <w:rFonts w:hint="eastAsia" w:ascii="仿宋_GB2312" w:eastAsia="仿宋_GB2312"/>
          <w:sz w:val="32"/>
          <w:szCs w:val="32"/>
        </w:rPr>
        <w:t>）行政事业单位养老支出（</w:t>
      </w:r>
      <w:r>
        <w:rPr>
          <w:rFonts w:hint="eastAsia" w:ascii="仿宋_GB2312" w:eastAsia="仿宋_GB2312"/>
          <w:sz w:val="32"/>
          <w:szCs w:val="32"/>
          <w:lang w:val="en-US" w:eastAsia="zh-CN"/>
        </w:rPr>
        <w:t>05</w:t>
      </w:r>
      <w:r>
        <w:rPr>
          <w:rFonts w:hint="eastAsia" w:ascii="仿宋_GB2312" w:eastAsia="仿宋_GB2312"/>
          <w:sz w:val="32"/>
          <w:szCs w:val="32"/>
        </w:rPr>
        <w:t>）  机关事业单位职业年金缴费支出（</w:t>
      </w:r>
      <w:r>
        <w:rPr>
          <w:rFonts w:hint="eastAsia" w:ascii="仿宋_GB2312" w:eastAsia="仿宋_GB2312"/>
          <w:sz w:val="32"/>
          <w:szCs w:val="32"/>
          <w:lang w:val="en-US" w:eastAsia="zh-CN"/>
        </w:rPr>
        <w:t>06</w:t>
      </w:r>
      <w:r>
        <w:rPr>
          <w:rFonts w:hint="eastAsia" w:ascii="仿宋_GB2312" w:eastAsia="仿宋_GB2312"/>
          <w:sz w:val="32"/>
          <w:szCs w:val="32"/>
        </w:rPr>
        <w:t>）：</w:t>
      </w:r>
      <w:r>
        <w:rPr>
          <w:rFonts w:hint="eastAsia" w:ascii="仿宋_GB2312" w:eastAsia="仿宋_GB2312"/>
          <w:sz w:val="32"/>
          <w:szCs w:val="32"/>
          <w:lang w:eastAsia="zh-CN"/>
        </w:rPr>
        <w:t>反映</w:t>
      </w:r>
      <w:r>
        <w:rPr>
          <w:rFonts w:hint="eastAsia" w:ascii="仿宋_GB2312" w:eastAsia="仿宋_GB2312"/>
          <w:sz w:val="32"/>
          <w:szCs w:val="32"/>
        </w:rPr>
        <w:t>机关事业单</w:t>
      </w:r>
      <w:r>
        <w:rPr>
          <w:rFonts w:hint="eastAsia" w:ascii="仿宋_GB2312" w:eastAsia="仿宋_GB2312"/>
          <w:sz w:val="32"/>
          <w:szCs w:val="32"/>
          <w:lang w:eastAsia="zh-CN"/>
        </w:rPr>
        <w:t>位</w:t>
      </w:r>
      <w:r>
        <w:rPr>
          <w:rFonts w:hint="eastAsia" w:ascii="仿宋_GB2312" w:eastAsia="仿宋_GB2312"/>
          <w:sz w:val="32"/>
          <w:szCs w:val="32"/>
        </w:rPr>
        <w:t>实施养老保险制度由单位</w:t>
      </w:r>
      <w:r>
        <w:rPr>
          <w:rFonts w:hint="eastAsia" w:ascii="仿宋_GB2312" w:eastAsia="仿宋_GB2312"/>
          <w:sz w:val="32"/>
          <w:szCs w:val="32"/>
          <w:lang w:eastAsia="zh-CN"/>
        </w:rPr>
        <w:t>实际</w:t>
      </w:r>
      <w:r>
        <w:rPr>
          <w:rFonts w:hint="eastAsia" w:ascii="仿宋_GB2312" w:eastAsia="仿宋_GB2312"/>
          <w:sz w:val="32"/>
          <w:szCs w:val="32"/>
        </w:rPr>
        <w:t>缴纳的基</w:t>
      </w:r>
      <w:r>
        <w:rPr>
          <w:rFonts w:hint="eastAsia" w:ascii="仿宋_GB2312" w:eastAsia="仿宋_GB2312"/>
          <w:sz w:val="32"/>
          <w:szCs w:val="32"/>
          <w:lang w:eastAsia="zh-CN"/>
        </w:rPr>
        <w:t>本职业年金</w:t>
      </w:r>
      <w:r>
        <w:rPr>
          <w:rFonts w:hint="eastAsia" w:ascii="仿宋_GB2312" w:eastAsia="仿宋_GB2312"/>
          <w:sz w:val="32"/>
          <w:szCs w:val="32"/>
        </w:rPr>
        <w:t>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18.</w:t>
      </w:r>
      <w:r>
        <w:rPr>
          <w:rFonts w:hint="eastAsia" w:ascii="仿宋_GB2312" w:eastAsia="仿宋_GB2312"/>
          <w:sz w:val="32"/>
          <w:szCs w:val="32"/>
        </w:rPr>
        <w:t>社会保障和就业（</w:t>
      </w:r>
      <w:r>
        <w:rPr>
          <w:rFonts w:hint="eastAsia" w:ascii="仿宋_GB2312" w:eastAsia="仿宋_GB2312"/>
          <w:sz w:val="32"/>
          <w:szCs w:val="32"/>
          <w:lang w:val="en-US" w:eastAsia="zh-CN"/>
        </w:rPr>
        <w:t>208</w:t>
      </w:r>
      <w:r>
        <w:rPr>
          <w:rFonts w:hint="eastAsia" w:ascii="仿宋_GB2312" w:eastAsia="仿宋_GB2312"/>
          <w:sz w:val="32"/>
          <w:szCs w:val="32"/>
        </w:rPr>
        <w:t>）</w:t>
      </w:r>
      <w:r>
        <w:rPr>
          <w:rFonts w:hint="eastAsia" w:ascii="仿宋_GB2312" w:eastAsia="仿宋_GB2312"/>
          <w:sz w:val="32"/>
          <w:szCs w:val="32"/>
          <w:lang w:val="en-US" w:eastAsia="zh-CN"/>
        </w:rPr>
        <w:t>残疾人事业</w:t>
      </w:r>
      <w:r>
        <w:rPr>
          <w:rFonts w:hint="eastAsia" w:ascii="仿宋_GB2312" w:eastAsia="仿宋_GB2312"/>
          <w:sz w:val="32"/>
          <w:szCs w:val="32"/>
        </w:rPr>
        <w:t>（款）</w:t>
      </w:r>
      <w:r>
        <w:rPr>
          <w:rFonts w:hint="eastAsia" w:ascii="仿宋_GB2312" w:eastAsia="仿宋_GB2312"/>
          <w:sz w:val="32"/>
          <w:szCs w:val="32"/>
          <w:lang w:val="en-US" w:eastAsia="zh-CN"/>
        </w:rPr>
        <w:t>残疾人就业</w:t>
      </w:r>
      <w:r>
        <w:rPr>
          <w:rFonts w:hint="eastAsia" w:ascii="仿宋_GB2312" w:eastAsia="仿宋_GB2312"/>
          <w:sz w:val="32"/>
          <w:szCs w:val="32"/>
        </w:rPr>
        <w:t>（项）：</w:t>
      </w:r>
      <w:r>
        <w:rPr>
          <w:rFonts w:hint="eastAsia" w:ascii="仿宋_GB2312" w:eastAsia="仿宋_GB2312"/>
          <w:sz w:val="32"/>
          <w:szCs w:val="32"/>
          <w:lang w:eastAsia="zh-CN"/>
        </w:rPr>
        <w:t>反映残疾人联合会用于残疾人就业方面的支出。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社会保障和就业（</w:t>
      </w:r>
      <w:r>
        <w:rPr>
          <w:rFonts w:hint="eastAsia" w:ascii="仿宋_GB2312" w:eastAsia="仿宋_GB2312"/>
          <w:sz w:val="32"/>
          <w:szCs w:val="32"/>
          <w:lang w:val="en-US" w:eastAsia="zh-CN"/>
        </w:rPr>
        <w:t>208</w:t>
      </w:r>
      <w:r>
        <w:rPr>
          <w:rFonts w:hint="eastAsia" w:ascii="仿宋_GB2312" w:eastAsia="仿宋_GB2312"/>
          <w:sz w:val="32"/>
          <w:szCs w:val="32"/>
        </w:rPr>
        <w:t>）其他社会保障和就业支出（</w:t>
      </w:r>
      <w:r>
        <w:rPr>
          <w:rFonts w:hint="eastAsia" w:ascii="仿宋_GB2312" w:eastAsia="仿宋_GB2312"/>
          <w:sz w:val="32"/>
          <w:szCs w:val="32"/>
          <w:lang w:val="en-US" w:eastAsia="zh-CN"/>
        </w:rPr>
        <w:t>99</w:t>
      </w:r>
      <w:r>
        <w:rPr>
          <w:rFonts w:hint="eastAsia" w:ascii="仿宋_GB2312" w:eastAsia="仿宋_GB2312"/>
          <w:sz w:val="32"/>
          <w:szCs w:val="32"/>
        </w:rPr>
        <w:t>）其他社会保障和就业支出</w:t>
      </w:r>
      <w:r>
        <w:rPr>
          <w:rFonts w:hint="eastAsia" w:ascii="仿宋_GB2312" w:eastAsia="仿宋_GB2312"/>
          <w:sz w:val="32"/>
          <w:szCs w:val="32"/>
          <w:lang w:val="en-US" w:eastAsia="zh-CN"/>
        </w:rPr>
        <w:t>(99)</w:t>
      </w:r>
      <w:r>
        <w:rPr>
          <w:rFonts w:hint="eastAsia" w:ascii="仿宋_GB2312" w:eastAsia="仿宋_GB2312"/>
          <w:sz w:val="32"/>
          <w:szCs w:val="32"/>
        </w:rPr>
        <w:t>：反映单位其他用于社会保障和就业方面的支出。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20.</w:t>
      </w:r>
      <w:r>
        <w:rPr>
          <w:rFonts w:hint="eastAsia" w:ascii="仿宋_GB2312" w:eastAsia="仿宋_GB2312"/>
          <w:sz w:val="32"/>
          <w:szCs w:val="32"/>
        </w:rPr>
        <w:t>卫生健康支出（</w:t>
      </w:r>
      <w:r>
        <w:rPr>
          <w:rFonts w:hint="eastAsia" w:ascii="仿宋_GB2312" w:eastAsia="仿宋_GB2312"/>
          <w:sz w:val="32"/>
          <w:szCs w:val="32"/>
          <w:lang w:val="en-US" w:eastAsia="zh-CN"/>
        </w:rPr>
        <w:t>210</w:t>
      </w:r>
      <w:r>
        <w:rPr>
          <w:rFonts w:hint="eastAsia" w:ascii="仿宋_GB2312" w:eastAsia="仿宋_GB2312"/>
          <w:sz w:val="32"/>
          <w:szCs w:val="32"/>
        </w:rPr>
        <w:t>）公共卫生（</w:t>
      </w:r>
      <w:r>
        <w:rPr>
          <w:rFonts w:hint="eastAsia" w:ascii="仿宋_GB2312" w:eastAsia="仿宋_GB2312"/>
          <w:sz w:val="32"/>
          <w:szCs w:val="32"/>
          <w:lang w:val="en-US" w:eastAsia="zh-CN"/>
        </w:rPr>
        <w:t>04</w:t>
      </w:r>
      <w:r>
        <w:rPr>
          <w:rFonts w:hint="eastAsia" w:ascii="仿宋_GB2312" w:eastAsia="仿宋_GB2312"/>
          <w:sz w:val="32"/>
          <w:szCs w:val="32"/>
        </w:rPr>
        <w:t>）突发公共卫生事件应急处理（</w:t>
      </w:r>
      <w:r>
        <w:rPr>
          <w:rFonts w:hint="eastAsia" w:ascii="仿宋_GB2312" w:eastAsia="仿宋_GB2312"/>
          <w:sz w:val="32"/>
          <w:szCs w:val="32"/>
          <w:lang w:val="en-US" w:eastAsia="zh-CN"/>
        </w:rPr>
        <w:t>10</w:t>
      </w:r>
      <w:r>
        <w:rPr>
          <w:rFonts w:hint="eastAsia" w:ascii="仿宋_GB2312" w:eastAsia="仿宋_GB2312"/>
          <w:sz w:val="32"/>
          <w:szCs w:val="32"/>
        </w:rPr>
        <w:t>）:反映</w:t>
      </w:r>
      <w:r>
        <w:rPr>
          <w:rFonts w:hint="eastAsia" w:ascii="仿宋_GB2312" w:eastAsia="仿宋_GB2312"/>
          <w:sz w:val="32"/>
          <w:szCs w:val="32"/>
          <w:lang w:eastAsia="zh-CN"/>
        </w:rPr>
        <w:t>用于突发公共卫生事件应急处理的支出</w:t>
      </w:r>
      <w:r>
        <w:rPr>
          <w:rFonts w:hint="eastAsia" w:ascii="仿宋_GB2312" w:eastAsia="仿宋_GB2312"/>
          <w:sz w:val="32"/>
          <w:szCs w:val="32"/>
        </w:rPr>
        <w:t>。</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卫生健康支出（</w:t>
      </w:r>
      <w:r>
        <w:rPr>
          <w:rFonts w:hint="eastAsia" w:ascii="仿宋_GB2312" w:eastAsia="仿宋_GB2312"/>
          <w:sz w:val="32"/>
          <w:szCs w:val="32"/>
          <w:lang w:val="en-US" w:eastAsia="zh-CN"/>
        </w:rPr>
        <w:t>210</w:t>
      </w:r>
      <w:r>
        <w:rPr>
          <w:rFonts w:hint="eastAsia" w:ascii="仿宋_GB2312" w:eastAsia="仿宋_GB2312"/>
          <w:sz w:val="32"/>
          <w:szCs w:val="32"/>
        </w:rPr>
        <w:t>）行政事业单位医疗（</w:t>
      </w:r>
      <w:r>
        <w:rPr>
          <w:rFonts w:hint="eastAsia" w:ascii="仿宋_GB2312" w:eastAsia="仿宋_GB2312"/>
          <w:sz w:val="32"/>
          <w:szCs w:val="32"/>
          <w:lang w:val="en-US" w:eastAsia="zh-CN"/>
        </w:rPr>
        <w:t>11</w:t>
      </w:r>
      <w:r>
        <w:rPr>
          <w:rFonts w:hint="eastAsia" w:ascii="仿宋_GB2312" w:eastAsia="仿宋_GB2312"/>
          <w:sz w:val="32"/>
          <w:szCs w:val="32"/>
        </w:rPr>
        <w:t>）行政单位医疗（</w:t>
      </w:r>
      <w:r>
        <w:rPr>
          <w:rFonts w:hint="eastAsia" w:ascii="仿宋_GB2312" w:eastAsia="仿宋_GB2312"/>
          <w:sz w:val="32"/>
          <w:szCs w:val="32"/>
          <w:lang w:val="en-US" w:eastAsia="zh-CN"/>
        </w:rPr>
        <w:t>01</w:t>
      </w:r>
      <w:r>
        <w:rPr>
          <w:rFonts w:hint="eastAsia" w:ascii="仿宋_GB2312" w:eastAsia="仿宋_GB2312"/>
          <w:sz w:val="32"/>
          <w:szCs w:val="32"/>
        </w:rPr>
        <w:t>）:反映财政部门安排的行政单位基本医疗保险缴费经费。</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.卫生健康支出（</w:t>
      </w:r>
      <w:r>
        <w:rPr>
          <w:rFonts w:hint="eastAsia" w:ascii="仿宋_GB2312" w:eastAsia="仿宋_GB2312"/>
          <w:sz w:val="32"/>
          <w:szCs w:val="32"/>
          <w:lang w:val="en-US" w:eastAsia="zh-CN"/>
        </w:rPr>
        <w:t>210</w:t>
      </w:r>
      <w:r>
        <w:rPr>
          <w:rFonts w:hint="eastAsia" w:ascii="仿宋_GB2312" w:eastAsia="仿宋_GB2312"/>
          <w:sz w:val="32"/>
          <w:szCs w:val="32"/>
        </w:rPr>
        <w:t>）行政事业单位医疗（</w:t>
      </w:r>
      <w:r>
        <w:rPr>
          <w:rFonts w:hint="eastAsia" w:ascii="仿宋_GB2312" w:eastAsia="仿宋_GB2312"/>
          <w:sz w:val="32"/>
          <w:szCs w:val="32"/>
          <w:lang w:val="en-US" w:eastAsia="zh-CN"/>
        </w:rPr>
        <w:t>11</w:t>
      </w:r>
      <w:r>
        <w:rPr>
          <w:rFonts w:hint="eastAsia" w:ascii="仿宋_GB2312" w:eastAsia="仿宋_GB2312"/>
          <w:sz w:val="32"/>
          <w:szCs w:val="32"/>
        </w:rPr>
        <w:t>）事业单位医疗（</w:t>
      </w:r>
      <w:r>
        <w:rPr>
          <w:rFonts w:hint="eastAsia" w:ascii="仿宋_GB2312" w:eastAsia="仿宋_GB2312"/>
          <w:sz w:val="32"/>
          <w:szCs w:val="32"/>
          <w:lang w:val="en-US" w:eastAsia="zh-CN"/>
        </w:rPr>
        <w:t>02</w:t>
      </w:r>
      <w:r>
        <w:rPr>
          <w:rFonts w:hint="eastAsia" w:ascii="仿宋_GB2312" w:eastAsia="仿宋_GB2312"/>
          <w:sz w:val="32"/>
          <w:szCs w:val="32"/>
        </w:rPr>
        <w:t>）：反映财政部门安排的事业单位基本医疗保险缴费经费。</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.卫生健康支出（</w:t>
      </w:r>
      <w:r>
        <w:rPr>
          <w:rFonts w:hint="eastAsia" w:ascii="仿宋_GB2312" w:eastAsia="仿宋_GB2312"/>
          <w:sz w:val="32"/>
          <w:szCs w:val="32"/>
          <w:lang w:val="en-US" w:eastAsia="zh-CN"/>
        </w:rPr>
        <w:t>210</w:t>
      </w:r>
      <w:r>
        <w:rPr>
          <w:rFonts w:hint="eastAsia" w:ascii="仿宋_GB2312" w:eastAsia="仿宋_GB2312"/>
          <w:sz w:val="32"/>
          <w:szCs w:val="32"/>
        </w:rPr>
        <w:t>）行政事业单位医疗（</w:t>
      </w:r>
      <w:r>
        <w:rPr>
          <w:rFonts w:hint="eastAsia" w:ascii="仿宋_GB2312" w:eastAsia="仿宋_GB2312"/>
          <w:sz w:val="32"/>
          <w:szCs w:val="32"/>
          <w:lang w:val="en-US" w:eastAsia="zh-CN"/>
        </w:rPr>
        <w:t>11</w:t>
      </w:r>
      <w:r>
        <w:rPr>
          <w:rFonts w:hint="eastAsia" w:ascii="仿宋_GB2312" w:eastAsia="仿宋_GB2312"/>
          <w:sz w:val="32"/>
          <w:szCs w:val="32"/>
        </w:rPr>
        <w:t>）公务员医疗补助（</w:t>
      </w:r>
      <w:r>
        <w:rPr>
          <w:rFonts w:hint="eastAsia" w:ascii="仿宋_GB2312" w:eastAsia="仿宋_GB2312"/>
          <w:sz w:val="32"/>
          <w:szCs w:val="32"/>
          <w:lang w:val="en-US" w:eastAsia="zh-CN"/>
        </w:rPr>
        <w:t>03</w:t>
      </w:r>
      <w:r>
        <w:rPr>
          <w:rFonts w:hint="eastAsia" w:ascii="仿宋_GB2312" w:eastAsia="仿宋_GB2312"/>
          <w:sz w:val="32"/>
          <w:szCs w:val="32"/>
        </w:rPr>
        <w:t>）：反映财政部门安排的公务员医疗补助经费。</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农林水支出（</w:t>
      </w:r>
      <w:r>
        <w:rPr>
          <w:rFonts w:hint="eastAsia" w:ascii="仿宋_GB2312" w:eastAsia="仿宋_GB2312"/>
          <w:sz w:val="32"/>
          <w:szCs w:val="32"/>
          <w:lang w:val="en-US" w:eastAsia="zh-CN"/>
        </w:rPr>
        <w:t>213</w:t>
      </w:r>
      <w:r>
        <w:rPr>
          <w:rFonts w:hint="eastAsia" w:ascii="仿宋_GB2312" w:eastAsia="仿宋_GB2312"/>
          <w:sz w:val="32"/>
          <w:szCs w:val="32"/>
        </w:rPr>
        <w:t>）巩固脱贫衔接乡村振兴（</w:t>
      </w:r>
      <w:r>
        <w:rPr>
          <w:rFonts w:hint="eastAsia" w:ascii="仿宋_GB2312" w:eastAsia="仿宋_GB2312"/>
          <w:sz w:val="32"/>
          <w:szCs w:val="32"/>
          <w:lang w:val="en-US" w:eastAsia="zh-CN"/>
        </w:rPr>
        <w:t>05</w:t>
      </w:r>
      <w:r>
        <w:rPr>
          <w:rFonts w:hint="eastAsia" w:ascii="仿宋_GB2312" w:eastAsia="仿宋_GB2312"/>
          <w:sz w:val="32"/>
          <w:szCs w:val="32"/>
        </w:rPr>
        <w:t>）其他巩固脱贫衔接乡村振兴支出（</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：反映</w:t>
      </w:r>
      <w:r>
        <w:rPr>
          <w:rFonts w:hint="eastAsia" w:ascii="仿宋_GB2312" w:eastAsia="仿宋_GB2312"/>
          <w:sz w:val="32"/>
          <w:szCs w:val="32"/>
        </w:rPr>
        <w:t>其他</w:t>
      </w:r>
      <w:r>
        <w:rPr>
          <w:rFonts w:hint="eastAsia" w:ascii="仿宋_GB2312" w:eastAsia="仿宋_GB2312"/>
          <w:sz w:val="32"/>
          <w:szCs w:val="32"/>
          <w:lang w:eastAsia="zh-CN"/>
        </w:rPr>
        <w:t>用于巩固拓展脱贫攻坚成果同乡村振兴有效衔接方面的支出。</w:t>
      </w:r>
    </w:p>
    <w:p>
      <w:pPr>
        <w:spacing w:line="600" w:lineRule="exact"/>
        <w:ind w:firstLine="640"/>
        <w:rPr>
          <w:rFonts w:hint="eastAsia"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住房保障（</w:t>
      </w:r>
      <w:r>
        <w:rPr>
          <w:rFonts w:hint="eastAsia" w:ascii="仿宋_GB2312" w:eastAsia="仿宋_GB2312"/>
          <w:sz w:val="32"/>
          <w:szCs w:val="32"/>
          <w:lang w:val="en-US" w:eastAsia="zh-CN"/>
        </w:rPr>
        <w:t>221</w:t>
      </w:r>
      <w:r>
        <w:rPr>
          <w:rFonts w:hint="eastAsia" w:ascii="仿宋_GB2312" w:eastAsia="仿宋_GB2312"/>
          <w:sz w:val="32"/>
          <w:szCs w:val="32"/>
        </w:rPr>
        <w:t>）住房改革支出（</w:t>
      </w:r>
      <w:r>
        <w:rPr>
          <w:rFonts w:hint="eastAsia" w:ascii="仿宋_GB2312" w:eastAsia="仿宋_GB2312"/>
          <w:sz w:val="32"/>
          <w:szCs w:val="32"/>
          <w:lang w:val="en-US" w:eastAsia="zh-CN"/>
        </w:rPr>
        <w:t>02</w:t>
      </w:r>
      <w:r>
        <w:rPr>
          <w:rFonts w:hint="eastAsia" w:ascii="仿宋_GB2312" w:eastAsia="仿宋_GB2312"/>
          <w:sz w:val="32"/>
          <w:szCs w:val="32"/>
        </w:rPr>
        <w:t>）住房公积金（</w:t>
      </w:r>
      <w:r>
        <w:rPr>
          <w:rFonts w:hint="eastAsia" w:ascii="仿宋_GB2312" w:eastAsia="仿宋_GB2312"/>
          <w:sz w:val="32"/>
          <w:szCs w:val="32"/>
          <w:lang w:val="en-US" w:eastAsia="zh-CN"/>
        </w:rPr>
        <w:t>01</w:t>
      </w:r>
      <w:r>
        <w:rPr>
          <w:rFonts w:hint="eastAsia" w:ascii="仿宋_GB2312" w:eastAsia="仿宋_GB2312"/>
          <w:sz w:val="32"/>
          <w:szCs w:val="32"/>
        </w:rPr>
        <w:t>）：反映行政事业单位按人力资源和社</w:t>
      </w:r>
      <w:r>
        <w:rPr>
          <w:rFonts w:hint="eastAsia" w:ascii="仿宋_GB2312" w:eastAsia="仿宋_GB2312"/>
          <w:sz w:val="32"/>
          <w:szCs w:val="32"/>
          <w:lang w:eastAsia="zh-CN"/>
        </w:rPr>
        <w:t>会</w:t>
      </w:r>
      <w:r>
        <w:rPr>
          <w:rFonts w:hint="eastAsia" w:ascii="仿宋_GB2312" w:eastAsia="仿宋_GB2312"/>
          <w:sz w:val="32"/>
          <w:szCs w:val="32"/>
        </w:rPr>
        <w:t>保障部、财政部规定的基本工资和津贴补贴以及规定比例为职工缴纳的住房公积金。</w:t>
      </w:r>
    </w:p>
    <w:p>
      <w:pPr>
        <w:spacing w:line="600" w:lineRule="exact"/>
        <w:ind w:firstLine="640"/>
        <w:rPr>
          <w:rFonts w:hint="eastAsia" w:ascii="仿宋_GB2312" w:eastAsia="仿宋_GB2312"/>
          <w:sz w:val="32"/>
          <w:szCs w:val="32"/>
          <w:lang w:eastAsia="zh-CN"/>
        </w:rPr>
      </w:pPr>
      <w:r>
        <w:rPr>
          <w:rFonts w:hint="eastAsia" w:ascii="仿宋_GB2312" w:eastAsia="仿宋_GB2312"/>
          <w:sz w:val="32"/>
          <w:szCs w:val="32"/>
          <w:lang w:val="en-US" w:eastAsia="zh-CN"/>
        </w:rPr>
        <w:t>26.</w:t>
      </w:r>
      <w:r>
        <w:rPr>
          <w:rFonts w:hint="eastAsia" w:ascii="仿宋_GB2312" w:eastAsia="仿宋_GB2312"/>
          <w:sz w:val="32"/>
          <w:szCs w:val="32"/>
        </w:rPr>
        <w:t>粮油物资储备支出（</w:t>
      </w:r>
      <w:r>
        <w:rPr>
          <w:rFonts w:hint="eastAsia" w:ascii="仿宋_GB2312" w:eastAsia="仿宋_GB2312"/>
          <w:sz w:val="32"/>
          <w:szCs w:val="32"/>
          <w:lang w:val="en-US" w:eastAsia="zh-CN"/>
        </w:rPr>
        <w:t>222</w:t>
      </w:r>
      <w:r>
        <w:rPr>
          <w:rFonts w:hint="eastAsia" w:ascii="仿宋_GB2312" w:eastAsia="仿宋_GB2312"/>
          <w:sz w:val="32"/>
          <w:szCs w:val="32"/>
        </w:rPr>
        <w:t>）粮油物资事务（</w:t>
      </w:r>
      <w:r>
        <w:rPr>
          <w:rFonts w:hint="eastAsia" w:ascii="仿宋_GB2312" w:eastAsia="仿宋_GB2312"/>
          <w:sz w:val="32"/>
          <w:szCs w:val="32"/>
          <w:lang w:val="en-US" w:eastAsia="zh-CN"/>
        </w:rPr>
        <w:t>01</w:t>
      </w:r>
      <w:r>
        <w:rPr>
          <w:rFonts w:hint="eastAsia" w:ascii="仿宋_GB2312" w:eastAsia="仿宋_GB2312"/>
          <w:sz w:val="32"/>
          <w:szCs w:val="32"/>
        </w:rPr>
        <w:t>）专项业务活动（</w:t>
      </w:r>
      <w:r>
        <w:rPr>
          <w:rFonts w:hint="eastAsia" w:ascii="仿宋_GB2312" w:eastAsia="仿宋_GB2312"/>
          <w:sz w:val="32"/>
          <w:szCs w:val="32"/>
          <w:lang w:val="en-US" w:eastAsia="zh-CN"/>
        </w:rPr>
        <w:t>06</w:t>
      </w:r>
      <w:r>
        <w:rPr>
          <w:rFonts w:hint="eastAsia" w:ascii="仿宋_GB2312" w:eastAsia="仿宋_GB2312"/>
          <w:sz w:val="32"/>
          <w:szCs w:val="32"/>
        </w:rPr>
        <w:t>）:</w:t>
      </w:r>
      <w:r>
        <w:rPr>
          <w:rFonts w:hint="eastAsia" w:ascii="仿宋_GB2312" w:eastAsia="仿宋_GB2312"/>
          <w:sz w:val="32"/>
          <w:szCs w:val="32"/>
          <w:lang w:eastAsia="zh-CN"/>
        </w:rPr>
        <w:t>反映粮食体制改革、制度研究、军粮供应等专项业务活动的支出。</w:t>
      </w:r>
    </w:p>
    <w:p>
      <w:pPr>
        <w:pStyle w:val="19"/>
        <w:ind w:firstLine="640"/>
        <w:jc w:val="left"/>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27.</w:t>
      </w:r>
      <w:r>
        <w:rPr>
          <w:rFonts w:hint="eastAsia" w:ascii="仿宋_GB2312" w:hAnsi="Times New Roman" w:eastAsia="仿宋_GB2312" w:cs="Times New Roman"/>
          <w:color w:val="auto"/>
          <w:kern w:val="2"/>
          <w:sz w:val="32"/>
          <w:szCs w:val="32"/>
          <w:highlight w:val="none"/>
          <w:lang w:val="en-US" w:eastAsia="zh-CN" w:bidi="ar-SA"/>
        </w:rPr>
        <w:t>粮油物资储备支出（</w:t>
      </w:r>
      <w:r>
        <w:rPr>
          <w:rFonts w:hint="eastAsia" w:ascii="仿宋_GB2312" w:eastAsia="仿宋_GB2312" w:cs="Times New Roman"/>
          <w:color w:val="auto"/>
          <w:kern w:val="2"/>
          <w:sz w:val="32"/>
          <w:szCs w:val="32"/>
          <w:highlight w:val="none"/>
          <w:lang w:val="en-US" w:eastAsia="zh-CN" w:bidi="ar-SA"/>
        </w:rPr>
        <w:t>222</w:t>
      </w:r>
      <w:r>
        <w:rPr>
          <w:rFonts w:hint="eastAsia" w:ascii="仿宋_GB2312" w:hAnsi="Times New Roman" w:eastAsia="仿宋_GB2312" w:cs="Times New Roman"/>
          <w:color w:val="auto"/>
          <w:kern w:val="2"/>
          <w:sz w:val="32"/>
          <w:szCs w:val="32"/>
          <w:highlight w:val="none"/>
          <w:lang w:val="en-US" w:eastAsia="zh-CN" w:bidi="ar-SA"/>
        </w:rPr>
        <w:t>）粮油储备（</w:t>
      </w:r>
      <w:r>
        <w:rPr>
          <w:rFonts w:hint="eastAsia" w:ascii="仿宋_GB2312" w:eastAsia="仿宋_GB2312" w:cs="Times New Roman"/>
          <w:color w:val="auto"/>
          <w:kern w:val="2"/>
          <w:sz w:val="32"/>
          <w:szCs w:val="32"/>
          <w:highlight w:val="none"/>
          <w:lang w:val="en-US" w:eastAsia="zh-CN" w:bidi="ar-SA"/>
        </w:rPr>
        <w:t>04</w:t>
      </w:r>
      <w:r>
        <w:rPr>
          <w:rFonts w:hint="eastAsia" w:ascii="仿宋_GB2312" w:hAnsi="Times New Roman" w:eastAsia="仿宋_GB2312" w:cs="Times New Roman"/>
          <w:color w:val="auto"/>
          <w:kern w:val="2"/>
          <w:sz w:val="32"/>
          <w:szCs w:val="32"/>
          <w:highlight w:val="none"/>
          <w:lang w:val="en-US" w:eastAsia="zh-CN" w:bidi="ar-SA"/>
        </w:rPr>
        <w:t>）最低收购价政策支出（</w:t>
      </w:r>
      <w:r>
        <w:rPr>
          <w:rFonts w:hint="eastAsia" w:ascii="仿宋_GB2312" w:eastAsia="仿宋_GB2312" w:cs="Times New Roman"/>
          <w:color w:val="auto"/>
          <w:kern w:val="2"/>
          <w:sz w:val="32"/>
          <w:szCs w:val="32"/>
          <w:highlight w:val="none"/>
          <w:lang w:val="en-US" w:eastAsia="zh-CN" w:bidi="ar-SA"/>
        </w:rPr>
        <w:t>04</w:t>
      </w:r>
      <w:r>
        <w:rPr>
          <w:rFonts w:hint="eastAsia" w:ascii="仿宋_GB2312" w:hAnsi="Times New Roman" w:eastAsia="仿宋_GB2312" w:cs="Times New Roman"/>
          <w:color w:val="auto"/>
          <w:kern w:val="2"/>
          <w:sz w:val="32"/>
          <w:szCs w:val="32"/>
          <w:highlight w:val="none"/>
          <w:lang w:val="en-US" w:eastAsia="zh-CN" w:bidi="ar-SA"/>
        </w:rPr>
        <w:t>）:</w:t>
      </w:r>
      <w:r>
        <w:rPr>
          <w:rFonts w:hint="eastAsia" w:ascii="仿宋_GB2312" w:eastAsia="仿宋_GB2312" w:cs="Times New Roman"/>
          <w:color w:val="auto"/>
          <w:kern w:val="2"/>
          <w:sz w:val="32"/>
          <w:szCs w:val="32"/>
          <w:highlight w:val="none"/>
          <w:lang w:val="en-US" w:eastAsia="zh-CN" w:bidi="ar-SA"/>
        </w:rPr>
        <w:t>反映因执行最低收购价政策而安排的利息、费用等各项补贴支出。</w:t>
      </w:r>
    </w:p>
    <w:p>
      <w:pPr>
        <w:pStyle w:val="20"/>
        <w:ind w:firstLine="640"/>
        <w:jc w:val="left"/>
        <w:rPr>
          <w:rFonts w:hint="eastAsia"/>
          <w:lang w:val="en-US" w:eastAsia="zh-CN"/>
        </w:rPr>
      </w:pPr>
      <w:r>
        <w:rPr>
          <w:rFonts w:hint="eastAsia" w:ascii="仿宋_GB2312" w:hAnsi="Times New Roman" w:eastAsia="仿宋_GB2312" w:cs="Times New Roman"/>
          <w:kern w:val="2"/>
          <w:sz w:val="32"/>
          <w:szCs w:val="32"/>
          <w:lang w:val="en-US" w:eastAsia="zh-CN" w:bidi="ar-SA"/>
        </w:rPr>
        <w:t>2</w:t>
      </w:r>
      <w:r>
        <w:rPr>
          <w:rFonts w:hint="eastAsia" w:ascii="仿宋_GB2312" w:eastAsia="仿宋_GB2312" w:cs="Times New Roman"/>
          <w:kern w:val="2"/>
          <w:sz w:val="32"/>
          <w:szCs w:val="32"/>
          <w:lang w:val="en-US" w:eastAsia="zh-CN" w:bidi="ar-SA"/>
        </w:rPr>
        <w:t>8</w:t>
      </w:r>
      <w:r>
        <w:rPr>
          <w:rFonts w:hint="eastAsia" w:ascii="仿宋_GB2312" w:hAnsi="Times New Roman" w:eastAsia="仿宋_GB2312" w:cs="Times New Roman"/>
          <w:kern w:val="2"/>
          <w:sz w:val="32"/>
          <w:szCs w:val="32"/>
          <w:lang w:val="en-US" w:eastAsia="zh-CN" w:bidi="ar-SA"/>
        </w:rPr>
        <w:t>.粮油物资储备支出（</w:t>
      </w:r>
      <w:r>
        <w:rPr>
          <w:rFonts w:hint="eastAsia" w:ascii="仿宋_GB2312" w:eastAsia="仿宋_GB2312" w:cs="Times New Roman"/>
          <w:kern w:val="2"/>
          <w:sz w:val="32"/>
          <w:szCs w:val="32"/>
          <w:lang w:val="en-US" w:eastAsia="zh-CN" w:bidi="ar-SA"/>
        </w:rPr>
        <w:t>222</w:t>
      </w:r>
      <w:r>
        <w:rPr>
          <w:rFonts w:hint="eastAsia" w:ascii="仿宋_GB2312" w:hAnsi="Times New Roman" w:eastAsia="仿宋_GB2312" w:cs="Times New Roman"/>
          <w:kern w:val="2"/>
          <w:sz w:val="32"/>
          <w:szCs w:val="32"/>
          <w:lang w:val="en-US" w:eastAsia="zh-CN" w:bidi="ar-SA"/>
        </w:rPr>
        <w:t>）粮油储备（</w:t>
      </w:r>
      <w:r>
        <w:rPr>
          <w:rFonts w:hint="eastAsia" w:ascii="仿宋_GB2312" w:eastAsia="仿宋_GB2312" w:cs="Times New Roman"/>
          <w:kern w:val="2"/>
          <w:sz w:val="32"/>
          <w:szCs w:val="32"/>
          <w:lang w:val="en-US" w:eastAsia="zh-CN" w:bidi="ar-SA"/>
        </w:rPr>
        <w:t>04</w:t>
      </w:r>
      <w:r>
        <w:rPr>
          <w:rFonts w:hint="eastAsia" w:ascii="仿宋_GB2312" w:hAnsi="Times New Roman" w:eastAsia="仿宋_GB2312" w:cs="Times New Roman"/>
          <w:kern w:val="2"/>
          <w:sz w:val="32"/>
          <w:szCs w:val="32"/>
          <w:lang w:val="en-US" w:eastAsia="zh-CN" w:bidi="ar-SA"/>
        </w:rPr>
        <w:t>）其他粮油储备支出（</w:t>
      </w:r>
      <w:r>
        <w:rPr>
          <w:rFonts w:hint="eastAsia" w:ascii="仿宋_GB2312" w:eastAsia="仿宋_GB2312" w:cs="Times New Roman"/>
          <w:kern w:val="2"/>
          <w:sz w:val="32"/>
          <w:szCs w:val="32"/>
          <w:lang w:val="en-US" w:eastAsia="zh-CN" w:bidi="ar-SA"/>
        </w:rPr>
        <w:t>99</w:t>
      </w:r>
      <w:r>
        <w:rPr>
          <w:rFonts w:hint="eastAsia" w:ascii="仿宋_GB2312" w:hAnsi="Times New Roman" w:eastAsia="仿宋_GB2312" w:cs="Times New Roman"/>
          <w:kern w:val="2"/>
          <w:sz w:val="32"/>
          <w:szCs w:val="32"/>
          <w:lang w:val="en-US" w:eastAsia="zh-CN" w:bidi="ar-SA"/>
        </w:rPr>
        <w:t>）:反映其他国家粮油储备支出。</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sz w:val="32"/>
          <w:szCs w:val="32"/>
          <w:lang w:val="en-US" w:eastAsia="zh-CN"/>
        </w:rPr>
        <w:t>29.</w:t>
      </w:r>
      <w:r>
        <w:rPr>
          <w:rFonts w:hint="eastAsia" w:ascii="仿宋_GB2312" w:eastAsia="仿宋_GB2312"/>
          <w:color w:val="000000"/>
          <w:sz w:val="32"/>
          <w:szCs w:val="32"/>
        </w:rPr>
        <w:t>灾害防治及应急管理（</w:t>
      </w:r>
      <w:r>
        <w:rPr>
          <w:rFonts w:hint="eastAsia" w:ascii="仿宋_GB2312" w:eastAsia="仿宋_GB2312"/>
          <w:color w:val="000000"/>
          <w:sz w:val="32"/>
          <w:szCs w:val="32"/>
          <w:lang w:val="en-US" w:eastAsia="zh-CN"/>
        </w:rPr>
        <w:t>224</w:t>
      </w:r>
      <w:r>
        <w:rPr>
          <w:rFonts w:hint="eastAsia" w:ascii="仿宋_GB2312" w:eastAsia="仿宋_GB2312"/>
          <w:color w:val="000000"/>
          <w:sz w:val="32"/>
          <w:szCs w:val="32"/>
        </w:rPr>
        <w:t>）自然灾害救灾及恢复重建支出（</w:t>
      </w:r>
      <w:r>
        <w:rPr>
          <w:rFonts w:hint="eastAsia" w:ascii="仿宋_GB2312" w:eastAsia="仿宋_GB2312"/>
          <w:color w:val="000000"/>
          <w:sz w:val="32"/>
          <w:szCs w:val="32"/>
          <w:lang w:val="en-US" w:eastAsia="zh-CN"/>
        </w:rPr>
        <w:t>07</w:t>
      </w:r>
      <w:r>
        <w:rPr>
          <w:rFonts w:hint="eastAsia" w:ascii="仿宋_GB2312" w:eastAsia="仿宋_GB2312"/>
          <w:color w:val="000000"/>
          <w:sz w:val="32"/>
          <w:szCs w:val="32"/>
        </w:rPr>
        <w:t>）其他自然灾害救灾及恢复重建支出（</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sz w:val="32"/>
          <w:szCs w:val="32"/>
          <w:lang w:eastAsia="zh-CN"/>
        </w:rPr>
        <w:t>反映</w:t>
      </w:r>
      <w:r>
        <w:rPr>
          <w:rFonts w:hint="eastAsia" w:ascii="仿宋_GB2312" w:eastAsia="仿宋_GB2312"/>
          <w:color w:val="000000"/>
          <w:sz w:val="32"/>
          <w:szCs w:val="32"/>
          <w:lang w:eastAsia="zh-CN"/>
        </w:rPr>
        <w:t>其他用于灾害防治及应急管理的支出。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hint="eastAsia" w:ascii="黑体" w:hAnsi="黑体" w:eastAsia="黑体"/>
          <w:b w:val="0"/>
          <w:color w:val="auto"/>
          <w:highlight w:val="none"/>
          <w:lang w:eastAsia="zh-CN"/>
        </w:rPr>
      </w:pPr>
      <w:bookmarkStart w:id="93" w:name="_Toc15377226"/>
      <w:r>
        <w:rPr>
          <w:rFonts w:ascii="宋体"/>
          <w:b/>
          <w:color w:val="auto"/>
          <w:sz w:val="44"/>
          <w:szCs w:val="44"/>
          <w:highlight w:val="none"/>
        </w:rPr>
        <w:br w:type="page"/>
      </w:r>
      <w:bookmarkStart w:id="94" w:name="_Toc15396614"/>
      <w:bookmarkStart w:id="95" w:name="_Toc23815"/>
      <w:bookmarkStart w:id="96" w:name="_Toc15302"/>
      <w:bookmarkStart w:id="97" w:name="_Toc15396618"/>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94"/>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jc w:val="center"/>
        <w:rPr>
          <w:rFonts w:eastAsia="方正小标宋简体"/>
          <w:sz w:val="44"/>
          <w:szCs w:val="44"/>
        </w:rPr>
      </w:pPr>
      <w:r>
        <w:rPr>
          <w:rFonts w:eastAsia="方正小标宋简体"/>
          <w:sz w:val="44"/>
          <w:szCs w:val="44"/>
        </w:rPr>
        <w:t>2024年区级部门整体支出绩效</w:t>
      </w:r>
      <w:r>
        <w:rPr>
          <w:rFonts w:hint="eastAsia" w:eastAsia="方正小标宋简体"/>
          <w:sz w:val="44"/>
          <w:szCs w:val="44"/>
        </w:rPr>
        <w:t>自评</w:t>
      </w:r>
      <w:r>
        <w:rPr>
          <w:rFonts w:eastAsia="方正小标宋简体"/>
          <w:sz w:val="44"/>
          <w:szCs w:val="44"/>
        </w:rPr>
        <w:t>报告</w:t>
      </w:r>
    </w:p>
    <w:p>
      <w:pPr>
        <w:jc w:val="center"/>
        <w:rPr>
          <w:rFonts w:eastAsia="楷体_GB2312"/>
          <w:sz w:val="32"/>
          <w:szCs w:val="32"/>
        </w:rPr>
      </w:pPr>
      <w:r>
        <w:rPr>
          <w:rFonts w:eastAsia="楷体_GB2312"/>
          <w:sz w:val="32"/>
          <w:szCs w:val="32"/>
        </w:rPr>
        <w:t>（船山区发展和改革局）</w:t>
      </w:r>
    </w:p>
    <w:p>
      <w:pPr>
        <w:rPr>
          <w:rFonts w:eastAsia="仿宋_GB2312"/>
          <w:sz w:val="32"/>
          <w:szCs w:val="32"/>
        </w:rPr>
      </w:pPr>
    </w:p>
    <w:p>
      <w:pPr>
        <w:rPr>
          <w:rFonts w:eastAsia="黑体"/>
          <w:sz w:val="32"/>
          <w:szCs w:val="32"/>
        </w:rPr>
      </w:pPr>
      <w:r>
        <w:rPr>
          <w:rFonts w:eastAsia="黑体"/>
          <w:sz w:val="32"/>
          <w:szCs w:val="32"/>
        </w:rPr>
        <w:t>　　一、部门（单位）概况</w:t>
      </w:r>
    </w:p>
    <w:p>
      <w:pPr>
        <w:rPr>
          <w:rFonts w:eastAsia="楷体_GB2312"/>
          <w:sz w:val="32"/>
          <w:szCs w:val="32"/>
        </w:rPr>
      </w:pPr>
      <w:r>
        <w:rPr>
          <w:rFonts w:eastAsia="楷体_GB2312"/>
          <w:sz w:val="32"/>
          <w:szCs w:val="32"/>
        </w:rPr>
        <w:t>　　（一）机构组成</w:t>
      </w:r>
    </w:p>
    <w:p>
      <w:pPr>
        <w:rPr>
          <w:rFonts w:eastAsia="仿宋_GB2312"/>
          <w:sz w:val="32"/>
          <w:szCs w:val="32"/>
        </w:rPr>
      </w:pPr>
      <w:r>
        <w:rPr>
          <w:rFonts w:eastAsia="仿宋_GB2312"/>
          <w:sz w:val="32"/>
          <w:szCs w:val="32"/>
        </w:rPr>
        <w:t>　　船山区发展和改革局（以下简称区发展改革局）内设10个股室：分别为办公室、国民经济综合股、政策法规股、发展和规划股、固定资产投资股、价格和收费管理股、粮食和物资股、农村经济股、基础设施股、机关党委办；另区委财经办秘书股、区项目办管理股设在区发展改革局。</w:t>
      </w:r>
    </w:p>
    <w:p>
      <w:pPr>
        <w:rPr>
          <w:rFonts w:eastAsia="楷体_GB2312"/>
          <w:sz w:val="32"/>
          <w:szCs w:val="32"/>
        </w:rPr>
      </w:pPr>
      <w:r>
        <w:rPr>
          <w:rFonts w:eastAsia="楷体_GB2312"/>
          <w:sz w:val="32"/>
          <w:szCs w:val="32"/>
        </w:rPr>
        <w:t>　　（二）机构职能</w:t>
      </w:r>
    </w:p>
    <w:p>
      <w:pPr>
        <w:rPr>
          <w:rFonts w:eastAsia="仿宋_GB2312"/>
          <w:sz w:val="32"/>
          <w:szCs w:val="32"/>
        </w:rPr>
        <w:sectPr>
          <w:footerReference r:id="rId5" w:type="default"/>
          <w:footerReference r:id="rId6" w:type="even"/>
          <w:pgSz w:w="11906" w:h="16838"/>
          <w:pgMar w:top="1701" w:right="1474" w:bottom="1304" w:left="1588" w:header="851" w:footer="1134" w:gutter="0"/>
          <w:cols w:space="425" w:num="1"/>
          <w:titlePg/>
          <w:docGrid w:type="lines" w:linePitch="312" w:charSpace="0"/>
        </w:sectPr>
      </w:pPr>
      <w:r>
        <w:rPr>
          <w:rFonts w:eastAsia="仿宋_GB2312"/>
          <w:sz w:val="32"/>
          <w:szCs w:val="32"/>
        </w:rPr>
        <w:t>　　1．办公室：组织协调机关政务和事务管理工作，负责机关绩效管理、上传下达工作，建立完善和组织实施机关各项管理制度。组织办理人大代表建议、政协委员提案。负责公文处理、文件的印制、督查督办件回复、党组会筹办、机关文秘、信息、信访、综治、维稳、档案、机要保密、电子政务（含微信公众号、政务信息公开）、会务准备及会议室的管理、公车管理、机关财务、资产和办公用品采购及管理、督导发改领域安全生产、值班、</w:t>
      </w:r>
    </w:p>
    <w:p>
      <w:pPr>
        <w:spacing w:line="610" w:lineRule="exact"/>
        <w:rPr>
          <w:rFonts w:eastAsia="仿宋_GB2312"/>
          <w:sz w:val="32"/>
          <w:szCs w:val="32"/>
        </w:rPr>
      </w:pPr>
      <w:r>
        <w:rPr>
          <w:rFonts w:eastAsia="仿宋_GB2312"/>
          <w:sz w:val="32"/>
          <w:szCs w:val="32"/>
        </w:rPr>
        <w:t>后勤保障等工作。承担机关人才工作、记实系统管理、公共机构能耗、人事管理、机构编制、干部职工考核、奖惩和晋职晋级等工作。对接市发展改革委办公室、人事科、财务科。</w:t>
      </w:r>
    </w:p>
    <w:p>
      <w:pPr>
        <w:spacing w:line="610" w:lineRule="exact"/>
        <w:rPr>
          <w:rFonts w:eastAsia="仿宋_GB2312"/>
          <w:sz w:val="32"/>
          <w:szCs w:val="32"/>
        </w:rPr>
      </w:pPr>
      <w:r>
        <w:rPr>
          <w:rFonts w:eastAsia="仿宋_GB2312"/>
          <w:sz w:val="32"/>
          <w:szCs w:val="32"/>
        </w:rPr>
        <w:t>　　2．发展和规划股：负责研究提出经济社会发展战略、规划和生产力布局的建议；提出经济社会中长期发展、总量平衡、结构调整目标和政策；统筹协调经济社会发展重大专项规划；负责组织拟订区域经济发展规划，研究提出区域经济发展的重大政策，负责区域经济发展、区域开放合作工作。负责拟订综合性产业政策、重大产业发展规划和服务业发展战略。协助做好高新技术产业化项目规划、审批、核准、备案、申报等工作，协助解决建设中的重大问题。负责经济体制改革、县域集成改革、新型城镇化建设、成渝地区双城经济圈高质量发展工作。对接市发展改革委发展和规划科、区域开放合作科、产业和发展科、经济体制改革科、成渝地区双城经济圈高质量发展研究院。</w:t>
      </w:r>
    </w:p>
    <w:p>
      <w:pPr>
        <w:spacing w:line="610" w:lineRule="exact"/>
        <w:rPr>
          <w:rFonts w:eastAsia="仿宋_GB2312"/>
          <w:sz w:val="32"/>
          <w:szCs w:val="32"/>
        </w:rPr>
      </w:pPr>
      <w:r>
        <w:rPr>
          <w:rFonts w:eastAsia="仿宋_GB2312"/>
          <w:sz w:val="32"/>
          <w:szCs w:val="32"/>
        </w:rPr>
        <w:t>　　3．国民经济综合股（区国民经济和装备动员办公室）：综合分析研究宏观经济形势，进行经济和社会发展的预测预警；组织编制经济社会发展年度计划，研究提出经济和社会发展年度主要目标；提出宏观调控目标以及运用各种经济手段和政策的建议。完成区国防动员委员会交办工作。研究分析社会发展形势，综合协调社会事业发展和改革中的重大问题，统筹推进社会事业改革，负责社会事业项目相关工作。对接市发展改革委国民经济综合科（市国民经济和装备动员办公室）、社会事业科。</w:t>
      </w:r>
    </w:p>
    <w:p>
      <w:pPr>
        <w:spacing w:line="610" w:lineRule="exact"/>
        <w:rPr>
          <w:rFonts w:eastAsia="仿宋_GB2312"/>
          <w:sz w:val="32"/>
          <w:szCs w:val="32"/>
        </w:rPr>
      </w:pPr>
      <w:r>
        <w:rPr>
          <w:rFonts w:eastAsia="仿宋_GB2312"/>
          <w:sz w:val="32"/>
          <w:szCs w:val="32"/>
        </w:rPr>
        <w:t>　　4．固定资产投资股：负责分析全区固定资产投资状况，做好投资计划，分解下达投资目标任务。负责项目包装谋划、资金争取、固定资产投资入库入统工作；加强政府投资项目管理政策措施；审核、转报、转批和安排国家、省、市及区财政性资金的建设项目和安排财政性资金重点建设贴息项目。做好能源、公检法、市政基础设施领域和上级资金调度等工作。研究提出全区能源发展战略和政策措施，拟订全区能源发展规划，监测能源发展情况。协调能源发展和项目建设中的重大问题，审批、核准、备案规划内和年度计划规模内能源投资项目。对接市发展改革委固定资产投资科、能源科。</w:t>
      </w:r>
    </w:p>
    <w:p>
      <w:pPr>
        <w:spacing w:line="610" w:lineRule="exact"/>
        <w:rPr>
          <w:rFonts w:eastAsia="仿宋_GB2312"/>
          <w:sz w:val="32"/>
          <w:szCs w:val="32"/>
        </w:rPr>
      </w:pPr>
      <w:r>
        <w:rPr>
          <w:rFonts w:eastAsia="仿宋_GB2312"/>
          <w:sz w:val="32"/>
          <w:szCs w:val="32"/>
        </w:rPr>
        <w:t>　　5．价格和收费管理股：负责贯彻执行国家价格法律、法规、规章和价格方针、政策；负责本级权限范围内的政府定价、政府指导价的制定和调整；负责建立并落实政府定价收费清单管理和动态调整机制；负责重要商品和服务价格的监测预警工作；组织落实社会救助、保障标准和物价上涨挂钩联动机制。负责依法对价格成本监审目录和价格听证目录的商品和服务进行成本监审负责价格认定；价格争议纠纷调整。负责农产品成本调查。对接市发展改革委价格和收费管理科、成本调查科、价格认定中心。</w:t>
      </w:r>
    </w:p>
    <w:p>
      <w:pPr>
        <w:spacing w:line="610" w:lineRule="exact"/>
        <w:rPr>
          <w:rFonts w:eastAsia="仿宋_GB2312"/>
          <w:sz w:val="32"/>
          <w:szCs w:val="32"/>
        </w:rPr>
      </w:pPr>
      <w:r>
        <w:rPr>
          <w:rFonts w:eastAsia="仿宋_GB2312"/>
          <w:sz w:val="32"/>
          <w:szCs w:val="32"/>
        </w:rPr>
        <w:t>　　6．粮食和物资股：负责拟订全区粮食、重要物资总体规划布局并负责组织实施，做好粮食安全党政同责考核、政策性粮食购销储备、粮食预警监测、应急体系建设管理、粮食流通统计，行政执法、所属粮食和物资储备单位安全储存和安全生产的监督管理，监督粮油行业有关粮食流通、安全保障等政策法规执行情况，负责粮食产业化龙头企业及民营粮食企业的指导和服务工作，承办辖区内粮油企业收购、储备资格审核备案。配合区应急管理局做好应急物资储备、日常管理、出入库相关工作。对接市发展改革委粮食和物资调控科、粮食和物资储备科、粮食直属局、粮食检验监测站。</w:t>
      </w:r>
    </w:p>
    <w:p>
      <w:pPr>
        <w:spacing w:line="610" w:lineRule="exact"/>
        <w:rPr>
          <w:rFonts w:eastAsia="仿宋_GB2312"/>
          <w:sz w:val="32"/>
          <w:szCs w:val="32"/>
        </w:rPr>
      </w:pPr>
      <w:r>
        <w:rPr>
          <w:rFonts w:eastAsia="仿宋_GB2312"/>
          <w:sz w:val="32"/>
          <w:szCs w:val="32"/>
        </w:rPr>
        <w:t>　　7．区委财经办秘书股：负责区委财经办日常工作，牵头开展重大财经课题和政策研究，跟踪督办区委财经委重大决策的落地实施，及时向区委财经委报告贯彻落实情况。做好全区社会诚信体系建设工作，研究财政、金融运行形势并提出政策建议；联系指导区级投融资平台项目投资工作；提出政府主导重大项目资金平衡的意见；安排财政性基本建设贴息资金；负责企业（公司）债券发行审核、报批和监管；负责产业（股权）投资基金的设立和监管；负责创业投资企业的备案和监管；参与研究和指导全区性产权交易市场建设。研究对外开放重大问题，提出利用外资和境外投资的战略、规划、年度的目标和措施；组织申报借用国外贷款备选项目；承办国外贷款项目和鼓励外商投资项目的相关税收减免等工作；负责产业园区基础设施项目工作。对接市委财经办秘书科、财政金融和信用建设科。</w:t>
      </w:r>
    </w:p>
    <w:p>
      <w:pPr>
        <w:spacing w:line="610" w:lineRule="exact"/>
        <w:rPr>
          <w:rFonts w:eastAsia="仿宋_GB2312"/>
          <w:sz w:val="32"/>
          <w:szCs w:val="32"/>
        </w:rPr>
      </w:pPr>
      <w:r>
        <w:rPr>
          <w:rFonts w:eastAsia="仿宋_GB2312"/>
          <w:sz w:val="32"/>
          <w:szCs w:val="32"/>
        </w:rPr>
        <w:t>　　8．项目管理股：负责全区省、市、区重点项目的编制、每月进度的收集和汇总以及进度的报送。负责制定各种项目专题会和现场调研及推进会方案。负责每季度项目开工的各种准备工作，负责重点项目管理工作。协助做好项目谋划包装及向上争取项目资金工作。对接市发展改革委项目管理科（市重点工程建设办公室）。</w:t>
      </w:r>
    </w:p>
    <w:p>
      <w:pPr>
        <w:spacing w:line="610" w:lineRule="exact"/>
        <w:rPr>
          <w:rFonts w:eastAsia="仿宋_GB2312"/>
          <w:sz w:val="32"/>
          <w:szCs w:val="32"/>
        </w:rPr>
      </w:pPr>
      <w:r>
        <w:rPr>
          <w:rFonts w:eastAsia="仿宋_GB2312"/>
          <w:sz w:val="32"/>
          <w:szCs w:val="32"/>
        </w:rPr>
        <w:t>　　9．农村经济股：负责农村经济、脱贫攻坚与乡村振兴有效衔接、以工代赈工作、推广以工代赈工作、易地扶贫搬迁、河长制等涉及农业农村工作。负责资源节约、环境保护、节能减排、绿色发展工作，牵头审核和转报环资类项目。对接市发展改革委农村经济发展科、资源节约和环境保护科。</w:t>
      </w:r>
    </w:p>
    <w:p>
      <w:pPr>
        <w:spacing w:line="610" w:lineRule="exact"/>
        <w:rPr>
          <w:rFonts w:eastAsia="仿宋_GB2312"/>
          <w:sz w:val="32"/>
          <w:szCs w:val="32"/>
        </w:rPr>
      </w:pPr>
      <w:r>
        <w:rPr>
          <w:rFonts w:eastAsia="仿宋_GB2312"/>
          <w:sz w:val="32"/>
          <w:szCs w:val="32"/>
        </w:rPr>
        <w:t>　　10．基础设施股（铁路建设股）：负责组织协调和处理全区铁路、机场等交通基础设施发展、建设、项目前期工作，协同做好全区铁路、机场、公路等基础设施建设规划及年度计划编制的相关工作。负责道路交通、长江流域大保护等项目相关工作。对接市发展改革委基础设施发展科、铁路建设科。</w:t>
      </w:r>
    </w:p>
    <w:p>
      <w:pPr>
        <w:spacing w:line="610" w:lineRule="exact"/>
        <w:rPr>
          <w:rFonts w:eastAsia="仿宋_GB2312"/>
          <w:sz w:val="32"/>
          <w:szCs w:val="32"/>
        </w:rPr>
      </w:pPr>
      <w:r>
        <w:rPr>
          <w:rFonts w:eastAsia="仿宋_GB2312"/>
          <w:sz w:val="32"/>
          <w:szCs w:val="32"/>
        </w:rPr>
        <w:t>　　11．政策法规股：负责指导和协调招标投标工作，组织拟订招标投标配套规定，监督招标投标活动，受理相关投诉，调查违规行为；负责依法行政、政策法规、行政审批、政务服务一体化、优化营商环境等工作；负责政府投资项目的审批、企业投资项目的备案等工作。对接市发展改革委招投标管理科、政策法规科（行政审批科）。</w:t>
      </w:r>
    </w:p>
    <w:p>
      <w:pPr>
        <w:spacing w:line="610" w:lineRule="exact"/>
        <w:rPr>
          <w:rFonts w:eastAsia="仿宋_GB2312"/>
          <w:sz w:val="32"/>
          <w:szCs w:val="32"/>
        </w:rPr>
      </w:pPr>
      <w:r>
        <w:rPr>
          <w:rFonts w:eastAsia="仿宋_GB2312"/>
          <w:sz w:val="32"/>
          <w:szCs w:val="32"/>
        </w:rPr>
        <w:t>　　12．机关党委办：负责做好党建、意识形态、党风廉政建设、纪检监察、巡察整改、宣传、工会、共青团、妇女、双拥、统一战线、村和社区“挂包帮”，负责机关退休人员管理等工作。</w:t>
      </w:r>
    </w:p>
    <w:p>
      <w:pPr>
        <w:spacing w:line="610" w:lineRule="exact"/>
        <w:rPr>
          <w:rFonts w:eastAsia="楷体_GB2312"/>
          <w:sz w:val="32"/>
          <w:szCs w:val="32"/>
        </w:rPr>
      </w:pPr>
      <w:r>
        <w:rPr>
          <w:rFonts w:eastAsia="楷体_GB2312"/>
          <w:sz w:val="32"/>
          <w:szCs w:val="32"/>
        </w:rPr>
        <w:t>　　（三）人员概况</w:t>
      </w:r>
    </w:p>
    <w:p>
      <w:pPr>
        <w:spacing w:line="610" w:lineRule="exact"/>
        <w:rPr>
          <w:rFonts w:eastAsia="仿宋_GB2312"/>
          <w:sz w:val="32"/>
          <w:szCs w:val="32"/>
        </w:rPr>
      </w:pPr>
      <w:r>
        <w:rPr>
          <w:rFonts w:eastAsia="仿宋_GB2312"/>
          <w:sz w:val="32"/>
          <w:szCs w:val="32"/>
        </w:rPr>
        <w:t>　　2023年核定人员编制数31人,其中全额编制31人。实有在职人员35人（其中临聘人员4人），退休人员19人。区发改局核定行政编制11名；机关工勤人员编制5名，事业编制15人。其中：局长1名，副局长3名，机关党委书记1名，事业领导干部4名。</w:t>
      </w:r>
    </w:p>
    <w:p>
      <w:pPr>
        <w:spacing w:line="610" w:lineRule="exact"/>
        <w:rPr>
          <w:rFonts w:eastAsia="黑体"/>
          <w:sz w:val="32"/>
          <w:szCs w:val="32"/>
        </w:rPr>
      </w:pPr>
      <w:r>
        <w:rPr>
          <w:rFonts w:eastAsia="黑体"/>
          <w:sz w:val="32"/>
          <w:szCs w:val="32"/>
        </w:rPr>
        <w:t>　　二、部门财政资金收支情况</w:t>
      </w:r>
    </w:p>
    <w:p>
      <w:pPr>
        <w:spacing w:line="610" w:lineRule="exact"/>
        <w:rPr>
          <w:rFonts w:eastAsia="仿宋_GB2312"/>
          <w:sz w:val="32"/>
          <w:szCs w:val="32"/>
        </w:rPr>
      </w:pPr>
      <w:r>
        <w:rPr>
          <w:rFonts w:eastAsia="仿宋_GB2312"/>
          <w:sz w:val="32"/>
          <w:szCs w:val="32"/>
        </w:rPr>
        <w:t>　　</w:t>
      </w:r>
      <w:r>
        <w:rPr>
          <w:rFonts w:eastAsia="楷体_GB2312"/>
          <w:sz w:val="32"/>
          <w:szCs w:val="32"/>
        </w:rPr>
        <w:t>（一）部门财政资金收入情况</w:t>
      </w:r>
    </w:p>
    <w:p>
      <w:pPr>
        <w:spacing w:line="610" w:lineRule="exact"/>
        <w:rPr>
          <w:rFonts w:eastAsia="仿宋_GB2312"/>
          <w:sz w:val="32"/>
          <w:szCs w:val="32"/>
        </w:rPr>
      </w:pPr>
      <w:r>
        <w:rPr>
          <w:rFonts w:eastAsia="仿宋_GB2312"/>
          <w:sz w:val="32"/>
          <w:szCs w:val="32"/>
        </w:rPr>
        <w:t>　　2023年发展改革局本年收入合计11，702.88万元，其中：一般公共预算财政拨款收入1,842.88万元，占15.75%；政府性基金预算财政拨款收入9,860.00万元，占84.25%；国有资本经营预算财政拨款收入0万元，占0%；事业收入0万元，占0%；经营收入0万元，占0%；附属单位上缴收入0万元，占0%；其他收入0万元，占0%；年初结转和结余0万元，占0%。</w:t>
      </w:r>
    </w:p>
    <w:p>
      <w:pPr>
        <w:spacing w:line="610" w:lineRule="exact"/>
        <w:rPr>
          <w:rFonts w:eastAsia="楷体_GB2312"/>
          <w:sz w:val="32"/>
          <w:szCs w:val="32"/>
        </w:rPr>
      </w:pPr>
      <w:r>
        <w:rPr>
          <w:rFonts w:eastAsia="楷体_GB2312"/>
          <w:sz w:val="32"/>
          <w:szCs w:val="32"/>
        </w:rPr>
        <w:t>　　（二）部门财政资金支出情况</w:t>
      </w:r>
    </w:p>
    <w:p>
      <w:pPr>
        <w:spacing w:line="610" w:lineRule="exact"/>
        <w:rPr>
          <w:rFonts w:eastAsia="仿宋_GB2312"/>
          <w:sz w:val="32"/>
          <w:szCs w:val="32"/>
        </w:rPr>
      </w:pPr>
      <w:r>
        <w:rPr>
          <w:rFonts w:eastAsia="仿宋_GB2312"/>
          <w:sz w:val="32"/>
          <w:szCs w:val="32"/>
        </w:rPr>
        <w:t>　　2023年发展改革局本年支出合计11，702.88万元，其中：基本支出626.53万元，占5.35%；项目支出11，076.35万元，占94.65%；对附属单位补助支出0万元，占0%。</w:t>
      </w:r>
    </w:p>
    <w:p>
      <w:pPr>
        <w:spacing w:line="610" w:lineRule="exact"/>
        <w:rPr>
          <w:rFonts w:eastAsia="黑体"/>
          <w:sz w:val="32"/>
          <w:szCs w:val="32"/>
        </w:rPr>
      </w:pPr>
      <w:r>
        <w:rPr>
          <w:rFonts w:eastAsia="黑体"/>
          <w:sz w:val="32"/>
          <w:szCs w:val="32"/>
        </w:rPr>
        <w:t>　　三、部门整体预算绩效管理情况</w:t>
      </w:r>
    </w:p>
    <w:p>
      <w:pPr>
        <w:spacing w:line="610" w:lineRule="exact"/>
        <w:rPr>
          <w:rFonts w:eastAsia="楷体_GB2312"/>
          <w:sz w:val="32"/>
          <w:szCs w:val="32"/>
        </w:rPr>
      </w:pPr>
      <w:r>
        <w:rPr>
          <w:rFonts w:eastAsia="楷体_GB2312"/>
          <w:sz w:val="32"/>
          <w:szCs w:val="32"/>
        </w:rPr>
        <w:t>　　（一）部门预算管理。</w:t>
      </w:r>
    </w:p>
    <w:p>
      <w:pPr>
        <w:spacing w:line="610" w:lineRule="exact"/>
        <w:rPr>
          <w:rFonts w:eastAsia="仿宋_GB2312"/>
          <w:sz w:val="32"/>
          <w:szCs w:val="32"/>
        </w:rPr>
      </w:pPr>
      <w:r>
        <w:rPr>
          <w:rFonts w:eastAsia="仿宋_GB2312"/>
          <w:sz w:val="32"/>
          <w:szCs w:val="32"/>
        </w:rPr>
        <w:t>　　1．预算编制情况。</w:t>
      </w:r>
    </w:p>
    <w:p>
      <w:pPr>
        <w:spacing w:line="610" w:lineRule="exact"/>
        <w:rPr>
          <w:rFonts w:eastAsia="仿宋_GB2312"/>
          <w:sz w:val="32"/>
          <w:szCs w:val="32"/>
        </w:rPr>
      </w:pPr>
      <w:r>
        <w:rPr>
          <w:rFonts w:eastAsia="仿宋_GB2312"/>
          <w:sz w:val="32"/>
          <w:szCs w:val="32"/>
        </w:rPr>
        <w:t>　　全面贯彻落实中央、省、市、区相关决策部署，按照《中华人民共和国预算法》和预算绩效管理规定编制预算，确保支出保障范围符合单位法定职能和事业发展规划，预算管理符合财政部门规定的科目、体系以及标准等方面的要求。从严从紧控制“三公”经费和行政运行经费等一般性支出。强化绩效导向的原则。强化全过程预算绩效管理理念，对预算编制、执行和完成结果实行全面跟踪问效。充分运用绩效评价结果，加快建立以绩效评价为导向的预算管理制度。</w:t>
      </w:r>
    </w:p>
    <w:p>
      <w:pPr>
        <w:spacing w:line="610" w:lineRule="exact"/>
        <w:rPr>
          <w:rFonts w:eastAsia="仿宋_GB2312"/>
          <w:sz w:val="32"/>
          <w:szCs w:val="32"/>
        </w:rPr>
      </w:pPr>
      <w:r>
        <w:rPr>
          <w:rFonts w:eastAsia="仿宋_GB2312"/>
          <w:sz w:val="32"/>
          <w:szCs w:val="32"/>
        </w:rPr>
        <w:t>　　2023年船山区发改局收入年初预算749.44万元，年初结转和结余173.86万元,支出预算923.30万元，比2022年年初预算减少9740.68万元，主要原因是2022年有上年结转地方政府专项债券资金。</w:t>
      </w:r>
    </w:p>
    <w:p>
      <w:pPr>
        <w:spacing w:line="610" w:lineRule="exact"/>
        <w:rPr>
          <w:rFonts w:eastAsia="仿宋_GB2312"/>
          <w:sz w:val="32"/>
          <w:szCs w:val="32"/>
        </w:rPr>
      </w:pPr>
      <w:r>
        <w:rPr>
          <w:rFonts w:eastAsia="仿宋_GB2312"/>
          <w:sz w:val="32"/>
          <w:szCs w:val="32"/>
        </w:rPr>
        <w:t>　　2023年调整预算后，总收入为17，422.92万元，其中：一般公共预算财政拨款收入1，842.88万元，政府性基金预算财政拨款收入9，860万元，其他收入5，284.22万元，年初结转和结余435.82万元；2023年度单位总支出为14，585.77万元，其中财政拨款支出11，702.88万元。</w:t>
      </w:r>
    </w:p>
    <w:p>
      <w:pPr>
        <w:spacing w:line="610" w:lineRule="exact"/>
        <w:rPr>
          <w:rFonts w:eastAsia="仿宋_GB2312"/>
          <w:sz w:val="32"/>
          <w:szCs w:val="32"/>
        </w:rPr>
      </w:pPr>
      <w:r>
        <w:rPr>
          <w:rFonts w:eastAsia="仿宋_GB2312"/>
          <w:sz w:val="32"/>
          <w:szCs w:val="32"/>
        </w:rPr>
        <w:t>　　（1）基本支出：基本支出是保障发展改革局正常运转、完成日常工作任务而发生的各项支出，包括用于在职人员基本工资、津贴补贴、五险两金等人员经费以及办公费、印刷费、邮电费、差旅费、办公用品购买等日常公用经费。2023年度一般公共财政拨款基本支出决算数626.53万元，其中人员经费538.61万元，公用经费87.92万元。</w:t>
      </w:r>
    </w:p>
    <w:p>
      <w:pPr>
        <w:spacing w:line="610" w:lineRule="exact"/>
        <w:rPr>
          <w:rFonts w:eastAsia="仿宋_GB2312"/>
          <w:sz w:val="32"/>
          <w:szCs w:val="32"/>
        </w:rPr>
      </w:pPr>
      <w:r>
        <w:rPr>
          <w:rFonts w:eastAsia="仿宋_GB2312"/>
          <w:sz w:val="32"/>
          <w:szCs w:val="32"/>
        </w:rPr>
        <w:t>　　（2）项目预算：2023年继续实行项目预算绩效管理“全覆盖”。对所有预算内项目一律编制预算绩效目标。</w:t>
      </w:r>
    </w:p>
    <w:p>
      <w:pPr>
        <w:spacing w:line="610" w:lineRule="exact"/>
        <w:rPr>
          <w:rFonts w:eastAsia="仿宋_GB2312"/>
          <w:sz w:val="32"/>
          <w:szCs w:val="32"/>
        </w:rPr>
      </w:pPr>
      <w:r>
        <w:rPr>
          <w:rFonts w:eastAsia="仿宋_GB2312"/>
          <w:sz w:val="32"/>
          <w:szCs w:val="32"/>
        </w:rPr>
        <w:t>　　（3）“三公”经费预算：我局2023年认真落实了中省市区各项规定，做到了令行禁止。加强了班子作风建设，精简了会议活动。厉行勤俭节约，没有利用公款大肆吃喝的情况，“三公”经费使用比较合理。</w:t>
      </w:r>
    </w:p>
    <w:p>
      <w:pPr>
        <w:spacing w:line="610" w:lineRule="exact"/>
        <w:rPr>
          <w:rFonts w:eastAsia="仿宋_GB2312"/>
          <w:sz w:val="32"/>
          <w:szCs w:val="32"/>
        </w:rPr>
      </w:pPr>
      <w:r>
        <w:rPr>
          <w:rFonts w:eastAsia="仿宋_GB2312"/>
          <w:sz w:val="32"/>
          <w:szCs w:val="32"/>
        </w:rPr>
        <w:t>　　（4）政府采购预算：坚持“应编尽编、应采尽采、不编不采”，凡纳入年度政府集中采购目录内或达到采购限额标准以上的项目，都必须按预算管理要求分别按货物、工程和服务列明编制。</w:t>
      </w:r>
    </w:p>
    <w:p>
      <w:pPr>
        <w:spacing w:line="610" w:lineRule="exact"/>
        <w:rPr>
          <w:rFonts w:eastAsia="仿宋_GB2312"/>
          <w:sz w:val="32"/>
          <w:szCs w:val="32"/>
        </w:rPr>
      </w:pPr>
      <w:r>
        <w:rPr>
          <w:rFonts w:eastAsia="仿宋_GB2312"/>
          <w:sz w:val="32"/>
          <w:szCs w:val="32"/>
        </w:rPr>
        <w:t>　　2．预算执行情况。</w:t>
      </w:r>
    </w:p>
    <w:p>
      <w:pPr>
        <w:spacing w:line="610" w:lineRule="exact"/>
        <w:rPr>
          <w:rFonts w:eastAsia="仿宋_GB2312"/>
          <w:sz w:val="32"/>
          <w:szCs w:val="32"/>
        </w:rPr>
      </w:pPr>
      <w:r>
        <w:rPr>
          <w:rFonts w:eastAsia="仿宋_GB2312"/>
          <w:sz w:val="32"/>
          <w:szCs w:val="32"/>
        </w:rPr>
        <w:t>　　2023年收入决算总额为17，422.92万元，其中：当年财政拨款收入1，842.88万元，政府性基金预算财政拨款收入9，860万元，其他收入5，284.22万元，年初结转和结余435.82万元；收入决算总额比2022年减少5157.37万元，减少22.84%，主要原因是减少地方政府专项债券资金。</w:t>
      </w:r>
    </w:p>
    <w:p>
      <w:pPr>
        <w:spacing w:line="610" w:lineRule="exact"/>
        <w:rPr>
          <w:rFonts w:eastAsia="仿宋_GB2312"/>
          <w:sz w:val="32"/>
          <w:szCs w:val="32"/>
        </w:rPr>
      </w:pPr>
      <w:r>
        <w:rPr>
          <w:rFonts w:eastAsia="仿宋_GB2312"/>
          <w:sz w:val="32"/>
          <w:szCs w:val="32"/>
        </w:rPr>
        <w:t>　　2023年支出决算总额为14，585.77万元，其中财政拨款支出11，702.88万元。支出决算总额比2022年减少7，558.7万元，减少34.13%，主要原因是本年减少地方政府专项债券资金</w:t>
      </w:r>
    </w:p>
    <w:p>
      <w:pPr>
        <w:spacing w:line="610" w:lineRule="exact"/>
        <w:rPr>
          <w:rFonts w:eastAsia="仿宋_GB2312"/>
          <w:sz w:val="32"/>
          <w:szCs w:val="32"/>
        </w:rPr>
      </w:pPr>
      <w:r>
        <w:rPr>
          <w:rFonts w:eastAsia="仿宋_GB2312"/>
          <w:sz w:val="32"/>
          <w:szCs w:val="32"/>
        </w:rPr>
        <w:t>　　（1）重视财政资金预算支出绩效工作。局财务室根据年初财政预算额度，分月计划安排资金使用，每月按预算拨款进度报账，严格审核手续，确保依法依规使用财政资金，确保年度财务收支平衡。</w:t>
      </w:r>
    </w:p>
    <w:p>
      <w:pPr>
        <w:spacing w:line="610" w:lineRule="exact"/>
        <w:rPr>
          <w:rFonts w:eastAsia="仿宋_GB2312"/>
          <w:sz w:val="32"/>
          <w:szCs w:val="32"/>
        </w:rPr>
      </w:pPr>
      <w:r>
        <w:rPr>
          <w:rFonts w:eastAsia="仿宋_GB2312"/>
          <w:sz w:val="32"/>
          <w:szCs w:val="32"/>
        </w:rPr>
        <w:t>　　（2）实行“统一账户、集中管理、分户核算”的报账制管理办法，并依法依规审核和监督。严格经费开支审批手续，原始凭证必须有经手人、审核人（证明人）、审批人签字才能报账。数额较大的开支需经局党组集体研究同意。</w:t>
      </w:r>
    </w:p>
    <w:p>
      <w:pPr>
        <w:spacing w:line="610" w:lineRule="exact"/>
        <w:rPr>
          <w:rFonts w:eastAsia="仿宋_GB2312"/>
          <w:sz w:val="32"/>
          <w:szCs w:val="32"/>
        </w:rPr>
      </w:pPr>
      <w:r>
        <w:rPr>
          <w:rFonts w:eastAsia="仿宋_GB2312"/>
          <w:sz w:val="32"/>
          <w:szCs w:val="32"/>
        </w:rPr>
        <w:t>　　（3）固定资产购置由办公室按计划申报，经财政局各相关股室审批后再实行政府采购。</w:t>
      </w:r>
    </w:p>
    <w:p>
      <w:pPr>
        <w:spacing w:line="610" w:lineRule="exact"/>
        <w:rPr>
          <w:rFonts w:eastAsia="仿宋_GB2312"/>
          <w:sz w:val="32"/>
          <w:szCs w:val="32"/>
        </w:rPr>
      </w:pPr>
      <w:r>
        <w:rPr>
          <w:rFonts w:eastAsia="仿宋_GB2312"/>
          <w:sz w:val="32"/>
          <w:szCs w:val="32"/>
        </w:rPr>
        <w:t>　　（4）以节约为本，严格控制在编人员，压缩公用经费支出，特别是严格执行中央八项规定，加强公务出境（202</w:t>
      </w:r>
      <w:r>
        <w:rPr>
          <w:rFonts w:hint="eastAsia" w:eastAsia="仿宋_GB2312"/>
          <w:sz w:val="32"/>
          <w:szCs w:val="32"/>
          <w:lang w:val="en-US" w:eastAsia="zh-CN"/>
        </w:rPr>
        <w:t>3</w:t>
      </w:r>
      <w:r>
        <w:rPr>
          <w:rFonts w:eastAsia="仿宋_GB2312"/>
          <w:sz w:val="32"/>
          <w:szCs w:val="32"/>
        </w:rPr>
        <w:t>年我局无公务出境支出）、公务接待、公务用车管理。</w:t>
      </w:r>
    </w:p>
    <w:p>
      <w:pPr>
        <w:spacing w:line="610" w:lineRule="exact"/>
        <w:rPr>
          <w:rFonts w:eastAsia="仿宋_GB2312"/>
          <w:sz w:val="32"/>
          <w:szCs w:val="32"/>
        </w:rPr>
      </w:pPr>
      <w:r>
        <w:rPr>
          <w:rFonts w:eastAsia="仿宋_GB2312"/>
          <w:sz w:val="32"/>
          <w:szCs w:val="32"/>
        </w:rPr>
        <w:t>　　（5）严格按照节能降耗相关要求，做实做细节能采购、节约用电、节约用水、降低油耗等工作；</w:t>
      </w:r>
    </w:p>
    <w:p>
      <w:pPr>
        <w:spacing w:line="610" w:lineRule="exact"/>
        <w:rPr>
          <w:rFonts w:eastAsia="仿宋_GB2312"/>
          <w:sz w:val="32"/>
          <w:szCs w:val="32"/>
        </w:rPr>
      </w:pPr>
      <w:r>
        <w:rPr>
          <w:rFonts w:eastAsia="仿宋_GB2312"/>
          <w:sz w:val="32"/>
          <w:szCs w:val="32"/>
        </w:rPr>
        <w:t>　　（6）严格执行公务接待管理规定，控制接待费用。按照简化礼仪、务实节俭、杜绝浪费的原则管理和规范公务接待工作。全年发生车辆运行维护费5.53万元，公务接待费用0.18万元。</w:t>
      </w:r>
    </w:p>
    <w:p>
      <w:pPr>
        <w:spacing w:line="610" w:lineRule="exact"/>
        <w:rPr>
          <w:rFonts w:eastAsia="仿宋_GB2312"/>
          <w:sz w:val="32"/>
          <w:szCs w:val="32"/>
        </w:rPr>
      </w:pPr>
      <w:r>
        <w:rPr>
          <w:rFonts w:eastAsia="仿宋_GB2312"/>
          <w:sz w:val="32"/>
          <w:szCs w:val="32"/>
        </w:rPr>
        <w:t>　　3．综合管理情况。</w:t>
      </w:r>
    </w:p>
    <w:p>
      <w:pPr>
        <w:spacing w:line="610" w:lineRule="exact"/>
        <w:rPr>
          <w:rFonts w:eastAsia="仿宋_GB2312"/>
          <w:sz w:val="32"/>
          <w:szCs w:val="32"/>
        </w:rPr>
      </w:pPr>
      <w:r>
        <w:rPr>
          <w:rFonts w:eastAsia="仿宋_GB2312"/>
          <w:sz w:val="32"/>
          <w:szCs w:val="32"/>
        </w:rPr>
        <w:t>　　（1）2023年发展改革局无政府性债务、无非税收入</w:t>
      </w:r>
    </w:p>
    <w:p>
      <w:pPr>
        <w:spacing w:line="610" w:lineRule="exact"/>
        <w:rPr>
          <w:rFonts w:eastAsia="仿宋_GB2312"/>
          <w:sz w:val="32"/>
          <w:szCs w:val="32"/>
        </w:rPr>
      </w:pPr>
      <w:r>
        <w:rPr>
          <w:rFonts w:eastAsia="仿宋_GB2312"/>
          <w:sz w:val="32"/>
          <w:szCs w:val="32"/>
        </w:rPr>
        <w:t>　　（2）严格按照政府采购年初预算编制采购计划，建立采购制度，并落实专人负责按政府采购规定进行采购，2023年度，发展改革局无政府采购支出。</w:t>
      </w:r>
    </w:p>
    <w:p>
      <w:pPr>
        <w:spacing w:line="610" w:lineRule="exact"/>
        <w:rPr>
          <w:rFonts w:eastAsia="仿宋_GB2312"/>
          <w:sz w:val="32"/>
          <w:szCs w:val="32"/>
        </w:rPr>
      </w:pPr>
      <w:r>
        <w:rPr>
          <w:rFonts w:eastAsia="仿宋_GB2312"/>
          <w:sz w:val="32"/>
          <w:szCs w:val="32"/>
        </w:rPr>
        <w:t>　　（3）按时上报行政事业单位资产报表，报表数据真实、准确、全面，做到账账相符、账实相符、账表相符。</w:t>
      </w:r>
    </w:p>
    <w:p>
      <w:pPr>
        <w:spacing w:line="610" w:lineRule="exact"/>
        <w:rPr>
          <w:rFonts w:eastAsia="仿宋_GB2312"/>
          <w:sz w:val="32"/>
          <w:szCs w:val="32"/>
        </w:rPr>
      </w:pPr>
      <w:r>
        <w:rPr>
          <w:rFonts w:eastAsia="仿宋_GB2312"/>
          <w:sz w:val="32"/>
          <w:szCs w:val="32"/>
        </w:rPr>
        <w:t>　　（4）严格按照批复预算使用资金，并严把审核关，对每笔用款申请和资金支出，要求附件资料必须齐备，严格按程序审签后才能报销。</w:t>
      </w:r>
    </w:p>
    <w:p>
      <w:pPr>
        <w:spacing w:line="610" w:lineRule="exact"/>
        <w:rPr>
          <w:rFonts w:eastAsia="仿宋_GB2312"/>
          <w:sz w:val="32"/>
          <w:szCs w:val="32"/>
        </w:rPr>
      </w:pPr>
      <w:r>
        <w:rPr>
          <w:rFonts w:eastAsia="仿宋_GB2312"/>
          <w:sz w:val="32"/>
          <w:szCs w:val="32"/>
        </w:rPr>
        <w:t>　　（5）按财政要求，在规定时限内公开了我单位的部门预决算信息、“三公”经费信息等，主动接受社会监督，主动接受区财政及相关的检查，发现问题及时整改，全年未发现违反相关规定的情况。</w:t>
      </w:r>
    </w:p>
    <w:p>
      <w:pPr>
        <w:spacing w:line="610" w:lineRule="exact"/>
        <w:rPr>
          <w:rFonts w:eastAsia="仿宋_GB2312"/>
          <w:sz w:val="32"/>
          <w:szCs w:val="32"/>
        </w:rPr>
      </w:pPr>
      <w:r>
        <w:rPr>
          <w:rFonts w:eastAsia="仿宋_GB2312"/>
          <w:sz w:val="32"/>
          <w:szCs w:val="32"/>
        </w:rPr>
        <w:t>　　4．整体支出绩效目标实现情况。</w:t>
      </w:r>
    </w:p>
    <w:p>
      <w:pPr>
        <w:spacing w:line="610" w:lineRule="exact"/>
        <w:rPr>
          <w:rFonts w:eastAsia="仿宋_GB2312"/>
          <w:sz w:val="32"/>
          <w:szCs w:val="32"/>
        </w:rPr>
      </w:pPr>
      <w:r>
        <w:rPr>
          <w:rFonts w:eastAsia="仿宋_GB2312"/>
          <w:sz w:val="32"/>
          <w:szCs w:val="32"/>
        </w:rPr>
        <w:t>　　区发展改革局在区委、区政府的坚强领导和上级部门的业务指导下，坚持以习近平新时代中国特色社会主义思想为指导，深入贯彻落实习近平总书记来川视察重要指示精神和中省市区决策部署，紧紧围绕繁荣在主城</w:t>
      </w:r>
      <w:r>
        <w:rPr>
          <w:sz w:val="32"/>
          <w:szCs w:val="32"/>
        </w:rPr>
        <w:t>摂</w:t>
      </w:r>
      <w:r>
        <w:rPr>
          <w:rFonts w:eastAsia="仿宋_GB2312"/>
          <w:sz w:val="32"/>
          <w:szCs w:val="32"/>
        </w:rPr>
        <w:t>发展定位，聚焦全区222奋斗目标，全力拼经济、合力搞建设，全区经济运行持续回稳向好，重大项目建设加力提速，区域协同发展稳步推进，经济社会高质量发展取得新成效，圆满地完成了2023年年度目标任务。</w:t>
      </w:r>
    </w:p>
    <w:p>
      <w:pPr>
        <w:spacing w:line="610" w:lineRule="exact"/>
        <w:rPr>
          <w:rFonts w:eastAsia="仿宋_GB2312"/>
          <w:sz w:val="32"/>
          <w:szCs w:val="32"/>
        </w:rPr>
      </w:pPr>
      <w:r>
        <w:rPr>
          <w:rFonts w:eastAsia="仿宋_GB2312"/>
          <w:sz w:val="32"/>
          <w:szCs w:val="32"/>
        </w:rPr>
        <w:t>　　（1）高起点策划包装2024年项目。</w:t>
      </w:r>
    </w:p>
    <w:p>
      <w:pPr>
        <w:spacing w:line="610" w:lineRule="exact"/>
        <w:rPr>
          <w:rFonts w:eastAsia="仿宋_GB2312"/>
          <w:sz w:val="32"/>
          <w:szCs w:val="32"/>
        </w:rPr>
      </w:pPr>
      <w:r>
        <w:rPr>
          <w:rFonts w:eastAsia="仿宋_GB2312"/>
          <w:sz w:val="32"/>
          <w:szCs w:val="32"/>
        </w:rPr>
        <w:t>　　围绕市委1336总体工作思路和区委</w:t>
      </w:r>
      <w:r>
        <w:rPr>
          <w:sz w:val="32"/>
          <w:szCs w:val="32"/>
        </w:rPr>
        <w:t>敁</w:t>
      </w:r>
      <w:r>
        <w:rPr>
          <w:rFonts w:eastAsia="仿宋_GB2312"/>
          <w:sz w:val="32"/>
          <w:szCs w:val="32"/>
        </w:rPr>
        <w:t>222奋斗目标，共策划储备?2024年及未来一段时间项目253个，计划总投资1933.88亿元。其中：策划储备2024年拟争取中省预算内等无偿资金项目53个，计划争取无偿资金16.86亿元；策划储备2024年拟发行地方政府专项债券资金项目48个，计划发行债券资金29.65亿元。特别是国家增发1万亿国债支持防灾减灾政策出台后，区委区政府主要领导高位推动，分管县级领导亲自研究，发改、住建、水利、应急、自规等部门主动作为，全力谋划申报项目。截止11月10日已完成项目申报工作，共申报项目25个，涵盖城市排水防涝、重点防洪工程等5大领域8个投向，拟争取新增国债资金16.90亿元。</w:t>
      </w:r>
    </w:p>
    <w:p>
      <w:pPr>
        <w:spacing w:line="610" w:lineRule="exact"/>
        <w:rPr>
          <w:rFonts w:eastAsia="仿宋_GB2312"/>
          <w:sz w:val="32"/>
          <w:szCs w:val="32"/>
        </w:rPr>
      </w:pPr>
      <w:r>
        <w:rPr>
          <w:rFonts w:eastAsia="仿宋_GB2312"/>
          <w:sz w:val="32"/>
          <w:szCs w:val="32"/>
        </w:rPr>
        <w:t>　　（2）高质量推进重点项目建设。</w:t>
      </w:r>
    </w:p>
    <w:p>
      <w:pPr>
        <w:spacing w:line="610" w:lineRule="exact"/>
        <w:rPr>
          <w:rFonts w:eastAsia="仿宋_GB2312"/>
          <w:sz w:val="32"/>
          <w:szCs w:val="32"/>
        </w:rPr>
      </w:pPr>
      <w:r>
        <w:rPr>
          <w:rFonts w:eastAsia="仿宋_GB2312"/>
          <w:sz w:val="32"/>
          <w:szCs w:val="32"/>
        </w:rPr>
        <w:t>　　1-10月，50个重点项目完成投资44.24亿元。其中，28个新开工项目完成投资11.03亿元，投资完成率63.99%；22个续建项目完成投资33.21亿元，投资完成率83.85%，超时序进度0.52个百分点，4个项目顺利竣工；16个市级重点项目投资完成率126.75%，超时序进度43.42个百分点，2个省级重点项目投资完成率119.13%，超时序进度35.8个百分点。</w:t>
      </w:r>
    </w:p>
    <w:p>
      <w:pPr>
        <w:spacing w:line="610" w:lineRule="exact"/>
        <w:rPr>
          <w:rFonts w:eastAsia="仿宋_GB2312"/>
          <w:sz w:val="32"/>
          <w:szCs w:val="32"/>
        </w:rPr>
      </w:pPr>
      <w:r>
        <w:rPr>
          <w:rFonts w:eastAsia="仿宋_GB2312"/>
          <w:sz w:val="32"/>
          <w:szCs w:val="32"/>
        </w:rPr>
        <w:t>　　（3）高规格推动四川省县域经济发展先进县创建。</w:t>
      </w:r>
    </w:p>
    <w:p>
      <w:pPr>
        <w:spacing w:line="610" w:lineRule="exact"/>
        <w:rPr>
          <w:rFonts w:eastAsia="仿宋_GB2312"/>
          <w:sz w:val="32"/>
          <w:szCs w:val="32"/>
        </w:rPr>
      </w:pPr>
      <w:r>
        <w:rPr>
          <w:rFonts w:eastAsia="仿宋_GB2312"/>
          <w:sz w:val="32"/>
          <w:szCs w:val="32"/>
        </w:rPr>
        <w:t>　　获得市委市政府支持，凝聚高新、经开、河东三园区共识，整合“大船山”资源开展县域经济发展先进县创建，建立了共创共建机制，成立大船山</w:t>
      </w:r>
      <w:r>
        <w:rPr>
          <w:sz w:val="32"/>
          <w:szCs w:val="32"/>
        </w:rPr>
        <w:t>摂</w:t>
      </w:r>
      <w:r>
        <w:rPr>
          <w:rFonts w:eastAsia="仿宋_GB2312"/>
          <w:sz w:val="32"/>
          <w:szCs w:val="32"/>
        </w:rPr>
        <w:t>创建四川省县域经济发展先进县工作专班，分析指标、攻坚创建。结合县域经济先进县考评办法，制定《船山区创建四川省县域经济发展先进县实施方案》，正在市级层面征求意见。</w:t>
      </w:r>
    </w:p>
    <w:p>
      <w:pPr>
        <w:spacing w:line="610" w:lineRule="exact"/>
        <w:rPr>
          <w:rFonts w:eastAsia="仿宋_GB2312"/>
          <w:sz w:val="32"/>
          <w:szCs w:val="32"/>
        </w:rPr>
      </w:pPr>
      <w:r>
        <w:rPr>
          <w:rFonts w:eastAsia="仿宋_GB2312"/>
          <w:sz w:val="32"/>
          <w:szCs w:val="32"/>
        </w:rPr>
        <w:t>　　（4）高效率推进成达万铁路（船山段）建设。</w:t>
      </w:r>
    </w:p>
    <w:p>
      <w:pPr>
        <w:spacing w:line="610" w:lineRule="exact"/>
        <w:rPr>
          <w:rFonts w:eastAsia="仿宋_GB2312"/>
          <w:sz w:val="32"/>
          <w:szCs w:val="32"/>
        </w:rPr>
      </w:pPr>
      <w:r>
        <w:rPr>
          <w:rFonts w:eastAsia="仿宋_GB2312"/>
          <w:sz w:val="32"/>
          <w:szCs w:val="32"/>
        </w:rPr>
        <w:t>　　征地拆迁安置有力有序，1-10月，累计签订房屋拆迁协议81处123户（19191.13平方米），占征地红线内拆迁面积的94.41%。工程建设快速推进，全区境内涉及桥梁15座、隧道9座、路基16段，已开工工点17个（其中路基5段，桥梁6座，隧道6座），吉安寨1号隧道、梳子山隧道和张家垭隧道率先贯通，累计完成投资3.54亿元，其中工程2.25亿元，征拆1.29亿元。</w:t>
      </w:r>
    </w:p>
    <w:p>
      <w:pPr>
        <w:spacing w:line="610" w:lineRule="exact"/>
        <w:rPr>
          <w:rFonts w:eastAsia="仿宋_GB2312"/>
          <w:sz w:val="32"/>
          <w:szCs w:val="32"/>
        </w:rPr>
      </w:pPr>
      <w:r>
        <w:rPr>
          <w:rFonts w:eastAsia="仿宋_GB2312"/>
          <w:sz w:val="32"/>
          <w:szCs w:val="32"/>
        </w:rPr>
        <w:t>　　（5）高标准推动船山高新区扩区工作。</w:t>
      </w:r>
    </w:p>
    <w:p>
      <w:pPr>
        <w:spacing w:line="610" w:lineRule="exact"/>
        <w:rPr>
          <w:rFonts w:eastAsia="仿宋_GB2312"/>
          <w:sz w:val="32"/>
          <w:szCs w:val="32"/>
        </w:rPr>
      </w:pPr>
      <w:r>
        <w:rPr>
          <w:rFonts w:eastAsia="仿宋_GB2312"/>
          <w:sz w:val="32"/>
          <w:szCs w:val="32"/>
        </w:rPr>
        <w:t>　　坚持结果导向，合力攻坚扩区前期工作，取得阶段性成效。扩区发展规划已正式报送至省发改委，基础设施七通一平</w:t>
      </w:r>
      <w:r>
        <w:rPr>
          <w:sz w:val="32"/>
          <w:szCs w:val="32"/>
        </w:rPr>
        <w:t>摂</w:t>
      </w:r>
      <w:r>
        <w:rPr>
          <w:rFonts w:eastAsia="仿宋_GB2312"/>
          <w:sz w:val="32"/>
          <w:szCs w:val="32"/>
        </w:rPr>
        <w:t>印证材料已获得省住建厅批复，机构设置请示文件已获得省委编办批复，社会稳定风险评估报告已获得区委政法委备案，安全评估报告、水资源论证报告、环境评价报告等专项报告正加紧按程序审批、上报，力争早日取得省直有关部门批复。</w:t>
      </w:r>
    </w:p>
    <w:p>
      <w:pPr>
        <w:spacing w:line="610" w:lineRule="exact"/>
        <w:rPr>
          <w:rFonts w:eastAsia="楷体_GB2312"/>
          <w:sz w:val="32"/>
          <w:szCs w:val="32"/>
        </w:rPr>
      </w:pPr>
      <w:r>
        <w:rPr>
          <w:rFonts w:eastAsia="楷体_GB2312"/>
          <w:sz w:val="32"/>
          <w:szCs w:val="32"/>
        </w:rPr>
        <w:t>　　（二）结果应用情况</w:t>
      </w:r>
    </w:p>
    <w:p>
      <w:pPr>
        <w:spacing w:line="610" w:lineRule="exact"/>
        <w:rPr>
          <w:rFonts w:eastAsia="仿宋_GB2312"/>
          <w:sz w:val="32"/>
          <w:szCs w:val="32"/>
        </w:rPr>
      </w:pPr>
      <w:r>
        <w:rPr>
          <w:rFonts w:eastAsia="仿宋_GB2312"/>
          <w:sz w:val="32"/>
          <w:szCs w:val="32"/>
        </w:rPr>
        <w:t>　　1．存在问题。我局制定预算绩效管理制度切实可行，在落实过程中也执行到位，但也存在一些不足之处：</w:t>
      </w:r>
    </w:p>
    <w:p>
      <w:pPr>
        <w:spacing w:line="610" w:lineRule="exact"/>
        <w:rPr>
          <w:rFonts w:eastAsia="仿宋_GB2312"/>
          <w:sz w:val="32"/>
          <w:szCs w:val="32"/>
        </w:rPr>
      </w:pPr>
      <w:r>
        <w:rPr>
          <w:rFonts w:eastAsia="仿宋_GB2312"/>
          <w:sz w:val="32"/>
          <w:szCs w:val="32"/>
        </w:rPr>
        <w:t>　　（1）因人员结构原因，在预算工作中要分行政运行和事业运行两部分执行，但是在执行当中会存在交叉使用现象。</w:t>
      </w:r>
    </w:p>
    <w:p>
      <w:pPr>
        <w:spacing w:line="610" w:lineRule="exact"/>
        <w:rPr>
          <w:rFonts w:eastAsia="仿宋_GB2312"/>
          <w:sz w:val="32"/>
          <w:szCs w:val="32"/>
        </w:rPr>
      </w:pPr>
      <w:r>
        <w:rPr>
          <w:rFonts w:eastAsia="仿宋_GB2312"/>
          <w:sz w:val="32"/>
          <w:szCs w:val="32"/>
        </w:rPr>
        <w:t>　　（2）部分经费下达时间较晚，导致部分支出执行进度缓慢。</w:t>
      </w:r>
    </w:p>
    <w:p>
      <w:pPr>
        <w:spacing w:line="610" w:lineRule="exact"/>
        <w:rPr>
          <w:rFonts w:eastAsia="仿宋_GB2312"/>
          <w:sz w:val="32"/>
          <w:szCs w:val="32"/>
        </w:rPr>
      </w:pPr>
      <w:r>
        <w:rPr>
          <w:rFonts w:eastAsia="仿宋_GB2312"/>
          <w:sz w:val="32"/>
          <w:szCs w:val="32"/>
        </w:rPr>
        <w:t>　　2．整改措施。</w:t>
      </w:r>
    </w:p>
    <w:p>
      <w:pPr>
        <w:spacing w:line="610" w:lineRule="exact"/>
        <w:rPr>
          <w:rFonts w:eastAsia="仿宋_GB2312"/>
          <w:sz w:val="32"/>
          <w:szCs w:val="32"/>
        </w:rPr>
      </w:pPr>
      <w:r>
        <w:rPr>
          <w:rFonts w:eastAsia="仿宋_GB2312"/>
          <w:sz w:val="32"/>
          <w:szCs w:val="32"/>
        </w:rPr>
        <w:t>　　（1）加强对预算绩效评价的高度重视，把预算绩效管理工作纳入年度工作目标、工作考核和业务管理。</w:t>
      </w:r>
    </w:p>
    <w:p>
      <w:pPr>
        <w:spacing w:line="610" w:lineRule="exact"/>
        <w:rPr>
          <w:rFonts w:eastAsia="仿宋_GB2312"/>
          <w:sz w:val="32"/>
          <w:szCs w:val="32"/>
        </w:rPr>
      </w:pPr>
      <w:r>
        <w:rPr>
          <w:rFonts w:eastAsia="仿宋_GB2312"/>
          <w:sz w:val="32"/>
          <w:szCs w:val="32"/>
        </w:rPr>
        <w:t>　　（2）严格遵循先有预算、后有支出的原则，确保从预算制定、执行到决算的良性互动和循环，严肃预算管理。</w:t>
      </w:r>
    </w:p>
    <w:p>
      <w:pPr>
        <w:spacing w:line="610" w:lineRule="exact"/>
        <w:rPr>
          <w:rFonts w:eastAsia="仿宋_GB2312"/>
          <w:sz w:val="32"/>
          <w:szCs w:val="32"/>
        </w:rPr>
      </w:pPr>
      <w:r>
        <w:rPr>
          <w:rFonts w:eastAsia="仿宋_GB2312"/>
          <w:sz w:val="32"/>
          <w:szCs w:val="32"/>
        </w:rPr>
        <w:t>　　（3）加强财务管理，监督项目支出经费合理、规范、及时支出。不断补充绩效目标内容，完善项目管理办法，切实提高项目管理水平，提高财政资金使用效益和部门工作效率。</w:t>
      </w:r>
    </w:p>
    <w:p>
      <w:pPr>
        <w:spacing w:line="610" w:lineRule="exact"/>
        <w:rPr>
          <w:rFonts w:eastAsia="黑体"/>
          <w:sz w:val="32"/>
          <w:szCs w:val="32"/>
        </w:rPr>
      </w:pPr>
      <w:r>
        <w:rPr>
          <w:rFonts w:eastAsia="黑体"/>
          <w:sz w:val="32"/>
          <w:szCs w:val="32"/>
        </w:rPr>
        <w:t>　　四、评价结论及建议</w:t>
      </w:r>
    </w:p>
    <w:p>
      <w:pPr>
        <w:spacing w:line="610" w:lineRule="exact"/>
        <w:rPr>
          <w:rFonts w:eastAsia="仿宋_GB2312"/>
          <w:sz w:val="32"/>
          <w:szCs w:val="32"/>
        </w:rPr>
      </w:pPr>
      <w:r>
        <w:rPr>
          <w:rFonts w:eastAsia="楷体_GB2312"/>
          <w:sz w:val="32"/>
          <w:szCs w:val="32"/>
        </w:rPr>
        <w:t>　　（一）评价结论。</w:t>
      </w:r>
      <w:r>
        <w:rPr>
          <w:rFonts w:eastAsia="仿宋_GB2312"/>
          <w:sz w:val="32"/>
          <w:szCs w:val="32"/>
        </w:rPr>
        <w:t>本部门按要求对2023年部门整体支出开展绩效自评，从评价情况来看总体来说我局2023年部门整体支出情况良好，从预算到执行和收入、支出、资产管理及信息公开，都严格按相关制度要求进行，全年收支平衡，有效保证了机构运转，圆满完成了上级下达的目标任务。</w:t>
      </w:r>
    </w:p>
    <w:p>
      <w:pPr>
        <w:spacing w:line="610" w:lineRule="exact"/>
        <w:rPr>
          <w:rFonts w:eastAsia="楷体_GB2312"/>
          <w:sz w:val="32"/>
          <w:szCs w:val="32"/>
        </w:rPr>
      </w:pPr>
      <w:r>
        <w:rPr>
          <w:rFonts w:eastAsia="楷体_GB2312"/>
          <w:sz w:val="32"/>
          <w:szCs w:val="32"/>
        </w:rPr>
        <w:t>　　（二）存在问题</w:t>
      </w:r>
    </w:p>
    <w:p>
      <w:pPr>
        <w:spacing w:line="610" w:lineRule="exact"/>
        <w:rPr>
          <w:rFonts w:eastAsia="仿宋_GB2312"/>
          <w:sz w:val="32"/>
          <w:szCs w:val="32"/>
        </w:rPr>
      </w:pPr>
      <w:r>
        <w:rPr>
          <w:rFonts w:eastAsia="仿宋_GB2312"/>
          <w:sz w:val="32"/>
          <w:szCs w:val="32"/>
        </w:rPr>
        <w:t>　　1．我局在编制部门年度预算时，虽然是根据本单位职能职责和年度工作计划进行的，但在部门预算执行过程中，仍存在一些问题和不足，如：在部门整体支出的资金安排和使用上仍有不可预见性，一些无法预计和列入年初预算的项目支出，需要在年度中间进行预算追加和调整。</w:t>
      </w:r>
    </w:p>
    <w:p>
      <w:pPr>
        <w:spacing w:line="610" w:lineRule="exact"/>
        <w:rPr>
          <w:rFonts w:eastAsia="仿宋_GB2312"/>
          <w:sz w:val="32"/>
          <w:szCs w:val="32"/>
        </w:rPr>
      </w:pPr>
      <w:r>
        <w:rPr>
          <w:rFonts w:eastAsia="仿宋_GB2312"/>
          <w:sz w:val="32"/>
          <w:szCs w:val="32"/>
        </w:rPr>
        <w:t>　　2．因财政资金紧张，造成个别项目资金拨付进度缓慢。</w:t>
      </w:r>
    </w:p>
    <w:p>
      <w:pPr>
        <w:spacing w:line="610" w:lineRule="exact"/>
        <w:rPr>
          <w:rFonts w:eastAsia="楷体_GB2312"/>
          <w:sz w:val="32"/>
          <w:szCs w:val="32"/>
        </w:rPr>
      </w:pPr>
      <w:r>
        <w:rPr>
          <w:rFonts w:eastAsia="楷体_GB2312"/>
          <w:sz w:val="32"/>
          <w:szCs w:val="32"/>
        </w:rPr>
        <w:t>　　（三）改进建议</w:t>
      </w:r>
    </w:p>
    <w:p>
      <w:pPr>
        <w:spacing w:line="610" w:lineRule="exact"/>
        <w:rPr>
          <w:rFonts w:eastAsia="仿宋_GB2312"/>
          <w:sz w:val="32"/>
          <w:szCs w:val="32"/>
        </w:rPr>
      </w:pPr>
      <w:r>
        <w:rPr>
          <w:rFonts w:eastAsia="仿宋_GB2312"/>
          <w:sz w:val="32"/>
          <w:szCs w:val="32"/>
        </w:rPr>
        <w:t>　　1．请财政提高绩效预算项目经费。</w:t>
      </w:r>
    </w:p>
    <w:p>
      <w:pPr>
        <w:spacing w:line="610" w:lineRule="exact"/>
        <w:rPr>
          <w:rFonts w:eastAsia="仿宋_GB2312"/>
          <w:sz w:val="32"/>
          <w:szCs w:val="32"/>
        </w:rPr>
      </w:pPr>
      <w:r>
        <w:rPr>
          <w:rFonts w:eastAsia="仿宋_GB2312"/>
          <w:sz w:val="32"/>
          <w:szCs w:val="32"/>
        </w:rPr>
        <w:t>　　2．要按照《中华人民共和国预算法》及其实施条例的相关规定，科学编制预算，避免年中大幅追加以及超预算。同时严格预算执行，规范部门预算收支核算，一是制定和完善各项支出标准，严格按项目和进度执行预算，增强预算的约束力和严肃性。</w:t>
      </w:r>
    </w:p>
    <w:p>
      <w:pPr>
        <w:spacing w:line="610" w:lineRule="exact"/>
        <w:rPr>
          <w:rFonts w:eastAsia="仿宋_GB2312"/>
          <w:sz w:val="32"/>
          <w:szCs w:val="32"/>
        </w:rPr>
      </w:pPr>
      <w:r>
        <w:rPr>
          <w:rFonts w:eastAsia="仿宋_GB2312"/>
          <w:sz w:val="32"/>
          <w:szCs w:val="32"/>
        </w:rPr>
        <w:t>　　3．落实预算执行分析，及时了解预算执行差异，合理调整、纠正预算执行偏差，切实提高部门预算收支管理水平。</w:t>
      </w:r>
    </w:p>
    <w:p>
      <w:pPr>
        <w:spacing w:line="610" w:lineRule="exact"/>
        <w:rPr>
          <w:rFonts w:eastAsia="仿宋_GB2312"/>
          <w:sz w:val="32"/>
          <w:szCs w:val="32"/>
        </w:rPr>
      </w:pPr>
      <w:r>
        <w:rPr>
          <w:rFonts w:eastAsia="仿宋_GB2312"/>
          <w:sz w:val="32"/>
          <w:szCs w:val="32"/>
        </w:rPr>
        <w:t>　　4．完善绩效评价体系，加强监督检查和考核工作。进一步探索完善项目绩效评价指标体系，研究、关注绩效管理理论与实践发展的新思路、新动向，进一步完善项目绩效评价指标体系，增强绩效评价结果的可比性、可信度。加强对绩效管理工作的跟踪督查，做到绩效管理有依据、按程序、有奖惩，实现绩效管理的规范化、常态化。</w:t>
      </w:r>
    </w:p>
    <w:p>
      <w:pPr>
        <w:spacing w:line="610" w:lineRule="exact"/>
        <w:rPr>
          <w:rFonts w:eastAsia="仿宋_GB2312"/>
          <w:sz w:val="32"/>
          <w:szCs w:val="32"/>
        </w:rPr>
      </w:pPr>
    </w:p>
    <w:p>
      <w:pPr>
        <w:spacing w:line="610" w:lineRule="exact"/>
        <w:ind w:left="2080" w:hanging="2080" w:hangingChars="650"/>
        <w:rPr>
          <w:rFonts w:eastAsia="仿宋_GB2312"/>
          <w:sz w:val="32"/>
          <w:szCs w:val="32"/>
        </w:rPr>
      </w:pPr>
      <w:r>
        <w:rPr>
          <w:rFonts w:eastAsia="仿宋_GB2312"/>
          <w:sz w:val="32"/>
          <w:szCs w:val="32"/>
        </w:rPr>
        <w:t>　　</w:t>
      </w: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ind w:left="2080" w:hanging="2080" w:hangingChars="650"/>
        <w:rPr>
          <w:rFonts w:eastAsia="仿宋_GB2312"/>
          <w:sz w:val="32"/>
          <w:szCs w:val="32"/>
        </w:rPr>
      </w:pPr>
    </w:p>
    <w:p>
      <w:pPr>
        <w:spacing w:line="610" w:lineRule="exact"/>
        <w:rPr>
          <w:rFonts w:eastAsia="仿宋_GB2312"/>
          <w:sz w:val="32"/>
          <w:szCs w:val="32"/>
        </w:rPr>
        <w:sectPr>
          <w:pgSz w:w="11906" w:h="16838"/>
          <w:pgMar w:top="1701" w:right="1474" w:bottom="1701" w:left="1588" w:header="851" w:footer="1134" w:gutter="0"/>
          <w:cols w:space="425" w:num="1"/>
          <w:docGrid w:type="linesAndChars" w:linePitch="312" w:charSpace="0"/>
        </w:sectPr>
      </w:pPr>
    </w:p>
    <w:p>
      <w:pPr>
        <w:spacing w:line="610" w:lineRule="exact"/>
        <w:rPr>
          <w:rFonts w:eastAsia="黑体"/>
          <w:sz w:val="32"/>
          <w:szCs w:val="32"/>
        </w:rPr>
      </w:pPr>
      <w:r>
        <w:rPr>
          <w:rFonts w:eastAsia="黑体"/>
          <w:sz w:val="32"/>
          <w:szCs w:val="32"/>
        </w:rPr>
        <w:t>附件1</w:t>
      </w:r>
    </w:p>
    <w:p>
      <w:pPr>
        <w:spacing w:line="610" w:lineRule="exact"/>
        <w:jc w:val="center"/>
        <w:rPr>
          <w:rFonts w:eastAsia="黑体"/>
          <w:sz w:val="44"/>
          <w:szCs w:val="44"/>
        </w:rPr>
      </w:pPr>
      <w:r>
        <w:rPr>
          <w:rFonts w:eastAsia="方正小标宋简体"/>
          <w:kern w:val="0"/>
          <w:sz w:val="44"/>
          <w:szCs w:val="44"/>
        </w:rPr>
        <w:t>2024年区发展改革局部门整体支出绩效评价指标体系</w:t>
      </w:r>
    </w:p>
    <w:tbl>
      <w:tblPr>
        <w:tblStyle w:val="15"/>
        <w:tblW w:w="1469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53"/>
        <w:gridCol w:w="863"/>
        <w:gridCol w:w="536"/>
        <w:gridCol w:w="440"/>
        <w:gridCol w:w="440"/>
        <w:gridCol w:w="440"/>
        <w:gridCol w:w="1572"/>
        <w:gridCol w:w="3026"/>
        <w:gridCol w:w="558"/>
        <w:gridCol w:w="559"/>
        <w:gridCol w:w="1764"/>
        <w:gridCol w:w="2389"/>
        <w:gridCol w:w="969"/>
        <w:gridCol w:w="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2086" w:type="dxa"/>
            <w:gridSpan w:val="3"/>
            <w:shd w:val="clear" w:color="auto" w:fill="auto"/>
            <w:noWrap w:val="0"/>
            <w:vAlign w:val="center"/>
          </w:tcPr>
          <w:p>
            <w:pPr>
              <w:spacing w:line="240" w:lineRule="exact"/>
              <w:jc w:val="center"/>
              <w:rPr>
                <w:rFonts w:eastAsia="仿宋_GB2312"/>
                <w:b/>
                <w:bCs/>
                <w:kern w:val="0"/>
                <w:szCs w:val="21"/>
              </w:rPr>
            </w:pPr>
            <w:r>
              <w:rPr>
                <w:rFonts w:eastAsia="仿宋_GB2312"/>
                <w:b/>
                <w:bCs/>
                <w:kern w:val="0"/>
                <w:szCs w:val="21"/>
              </w:rPr>
              <w:t>绩效指标</w:t>
            </w:r>
          </w:p>
        </w:tc>
        <w:tc>
          <w:tcPr>
            <w:tcW w:w="440" w:type="dxa"/>
            <w:vMerge w:val="restart"/>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指标分值</w:t>
            </w:r>
          </w:p>
        </w:tc>
        <w:tc>
          <w:tcPr>
            <w:tcW w:w="440" w:type="dxa"/>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目标值</w:t>
            </w:r>
          </w:p>
        </w:tc>
        <w:tc>
          <w:tcPr>
            <w:tcW w:w="440" w:type="dxa"/>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完成值</w:t>
            </w:r>
          </w:p>
        </w:tc>
        <w:tc>
          <w:tcPr>
            <w:tcW w:w="1572" w:type="dxa"/>
            <w:vMerge w:val="restart"/>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指标解释</w:t>
            </w:r>
          </w:p>
        </w:tc>
        <w:tc>
          <w:tcPr>
            <w:tcW w:w="3026" w:type="dxa"/>
            <w:vMerge w:val="restart"/>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计分标准</w:t>
            </w:r>
          </w:p>
        </w:tc>
        <w:tc>
          <w:tcPr>
            <w:tcW w:w="1117" w:type="dxa"/>
            <w:gridSpan w:val="2"/>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评价属性</w:t>
            </w:r>
          </w:p>
        </w:tc>
        <w:tc>
          <w:tcPr>
            <w:tcW w:w="1764" w:type="dxa"/>
            <w:vMerge w:val="restart"/>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备注</w:t>
            </w:r>
          </w:p>
        </w:tc>
        <w:tc>
          <w:tcPr>
            <w:tcW w:w="2389" w:type="dxa"/>
            <w:vMerge w:val="restart"/>
            <w:shd w:val="clear" w:color="auto" w:fill="FFFFFF"/>
            <w:noWrap w:val="0"/>
            <w:vAlign w:val="center"/>
          </w:tcPr>
          <w:p>
            <w:pPr>
              <w:spacing w:line="240" w:lineRule="exact"/>
              <w:jc w:val="center"/>
              <w:rPr>
                <w:rFonts w:eastAsia="仿宋_GB2312"/>
                <w:b/>
                <w:kern w:val="0"/>
                <w:szCs w:val="21"/>
              </w:rPr>
            </w:pPr>
            <w:r>
              <w:rPr>
                <w:rFonts w:eastAsia="仿宋_GB2312"/>
                <w:b/>
                <w:kern w:val="0"/>
                <w:szCs w:val="21"/>
              </w:rPr>
              <w:t>依据资料</w:t>
            </w:r>
          </w:p>
        </w:tc>
        <w:tc>
          <w:tcPr>
            <w:tcW w:w="0" w:type="auto"/>
            <w:vMerge w:val="restart"/>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评价过程（只写扣分项的原因）</w:t>
            </w:r>
          </w:p>
        </w:tc>
        <w:tc>
          <w:tcPr>
            <w:tcW w:w="489" w:type="dxa"/>
            <w:vMerge w:val="restart"/>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0" w:type="auto"/>
            <w:shd w:val="clear" w:color="auto" w:fill="auto"/>
            <w:noWrap w:val="0"/>
            <w:vAlign w:val="center"/>
          </w:tcPr>
          <w:p>
            <w:pPr>
              <w:spacing w:line="240" w:lineRule="exact"/>
              <w:jc w:val="center"/>
              <w:rPr>
                <w:rFonts w:hint="eastAsia" w:eastAsia="仿宋_GB2312"/>
                <w:b/>
                <w:bCs/>
                <w:kern w:val="0"/>
                <w:szCs w:val="21"/>
              </w:rPr>
            </w:pPr>
            <w:r>
              <w:rPr>
                <w:rFonts w:eastAsia="仿宋_GB2312"/>
                <w:b/>
                <w:bCs/>
                <w:kern w:val="0"/>
                <w:szCs w:val="21"/>
              </w:rPr>
              <w:t>一级</w:t>
            </w:r>
          </w:p>
          <w:p>
            <w:pPr>
              <w:spacing w:line="240" w:lineRule="exact"/>
              <w:jc w:val="center"/>
              <w:rPr>
                <w:rFonts w:eastAsia="仿宋_GB2312"/>
                <w:b/>
                <w:bCs/>
                <w:kern w:val="0"/>
                <w:szCs w:val="21"/>
              </w:rPr>
            </w:pPr>
            <w:r>
              <w:rPr>
                <w:rFonts w:eastAsia="仿宋_GB2312"/>
                <w:b/>
                <w:bCs/>
                <w:kern w:val="0"/>
                <w:szCs w:val="21"/>
              </w:rPr>
              <w:t>指标</w:t>
            </w:r>
          </w:p>
        </w:tc>
        <w:tc>
          <w:tcPr>
            <w:tcW w:w="863" w:type="dxa"/>
            <w:shd w:val="clear" w:color="auto" w:fill="auto"/>
            <w:noWrap w:val="0"/>
            <w:vAlign w:val="center"/>
          </w:tcPr>
          <w:p>
            <w:pPr>
              <w:spacing w:line="240" w:lineRule="exact"/>
              <w:jc w:val="center"/>
              <w:rPr>
                <w:rFonts w:eastAsia="仿宋_GB2312"/>
                <w:b/>
                <w:bCs/>
                <w:kern w:val="0"/>
                <w:szCs w:val="21"/>
              </w:rPr>
            </w:pPr>
            <w:r>
              <w:rPr>
                <w:rFonts w:eastAsia="仿宋_GB2312"/>
                <w:b/>
                <w:bCs/>
                <w:kern w:val="0"/>
                <w:szCs w:val="21"/>
              </w:rPr>
              <w:t>二级</w:t>
            </w:r>
          </w:p>
          <w:p>
            <w:pPr>
              <w:spacing w:line="240" w:lineRule="exact"/>
              <w:jc w:val="center"/>
              <w:rPr>
                <w:rFonts w:eastAsia="仿宋_GB2312"/>
                <w:b/>
                <w:bCs/>
                <w:kern w:val="0"/>
                <w:szCs w:val="21"/>
              </w:rPr>
            </w:pPr>
            <w:r>
              <w:rPr>
                <w:rFonts w:eastAsia="仿宋_GB2312"/>
                <w:b/>
                <w:bCs/>
                <w:kern w:val="0"/>
                <w:szCs w:val="21"/>
              </w:rPr>
              <w:t>指标</w:t>
            </w:r>
          </w:p>
        </w:tc>
        <w:tc>
          <w:tcPr>
            <w:tcW w:w="536" w:type="dxa"/>
            <w:shd w:val="clear" w:color="auto" w:fill="auto"/>
            <w:noWrap w:val="0"/>
            <w:vAlign w:val="center"/>
          </w:tcPr>
          <w:p>
            <w:pPr>
              <w:spacing w:line="240" w:lineRule="exact"/>
              <w:jc w:val="center"/>
              <w:rPr>
                <w:rFonts w:eastAsia="仿宋_GB2312"/>
                <w:b/>
                <w:bCs/>
                <w:kern w:val="0"/>
                <w:szCs w:val="21"/>
              </w:rPr>
            </w:pPr>
            <w:r>
              <w:rPr>
                <w:rFonts w:eastAsia="仿宋_GB2312"/>
                <w:b/>
                <w:bCs/>
                <w:kern w:val="0"/>
                <w:szCs w:val="21"/>
              </w:rPr>
              <w:t>三级指标</w:t>
            </w:r>
          </w:p>
        </w:tc>
        <w:tc>
          <w:tcPr>
            <w:tcW w:w="440" w:type="dxa"/>
            <w:vMerge w:val="continue"/>
            <w:shd w:val="clear" w:color="auto" w:fill="auto"/>
            <w:noWrap w:val="0"/>
            <w:vAlign w:val="center"/>
          </w:tcPr>
          <w:p>
            <w:pPr>
              <w:spacing w:line="240" w:lineRule="exact"/>
              <w:jc w:val="left"/>
              <w:rPr>
                <w:rFonts w:eastAsia="仿宋_GB2312"/>
                <w:b/>
                <w:bCs/>
                <w:kern w:val="0"/>
                <w:szCs w:val="21"/>
              </w:rPr>
            </w:pPr>
          </w:p>
        </w:tc>
        <w:tc>
          <w:tcPr>
            <w:tcW w:w="440" w:type="dxa"/>
            <w:shd w:val="clear" w:color="auto" w:fill="FFFFFF"/>
            <w:noWrap w:val="0"/>
            <w:vAlign w:val="center"/>
          </w:tcPr>
          <w:p>
            <w:pPr>
              <w:spacing w:line="240" w:lineRule="exact"/>
              <w:jc w:val="center"/>
              <w:rPr>
                <w:rFonts w:eastAsia="仿宋_GB2312"/>
                <w:b/>
                <w:bCs/>
                <w:kern w:val="0"/>
                <w:szCs w:val="21"/>
              </w:rPr>
            </w:pPr>
          </w:p>
        </w:tc>
        <w:tc>
          <w:tcPr>
            <w:tcW w:w="440" w:type="dxa"/>
            <w:shd w:val="clear" w:color="auto" w:fill="FFFFFF"/>
            <w:noWrap w:val="0"/>
            <w:vAlign w:val="center"/>
          </w:tcPr>
          <w:p>
            <w:pPr>
              <w:spacing w:line="240" w:lineRule="exact"/>
              <w:jc w:val="center"/>
              <w:rPr>
                <w:rFonts w:eastAsia="仿宋_GB2312"/>
                <w:b/>
                <w:bCs/>
                <w:kern w:val="0"/>
                <w:szCs w:val="21"/>
              </w:rPr>
            </w:pPr>
          </w:p>
        </w:tc>
        <w:tc>
          <w:tcPr>
            <w:tcW w:w="1572" w:type="dxa"/>
            <w:vMerge w:val="continue"/>
            <w:shd w:val="clear" w:color="auto" w:fill="auto"/>
            <w:noWrap w:val="0"/>
            <w:vAlign w:val="center"/>
          </w:tcPr>
          <w:p>
            <w:pPr>
              <w:spacing w:line="240" w:lineRule="exact"/>
              <w:jc w:val="left"/>
              <w:rPr>
                <w:rFonts w:eastAsia="仿宋_GB2312"/>
                <w:b/>
                <w:bCs/>
                <w:kern w:val="0"/>
                <w:szCs w:val="21"/>
              </w:rPr>
            </w:pPr>
          </w:p>
        </w:tc>
        <w:tc>
          <w:tcPr>
            <w:tcW w:w="3026" w:type="dxa"/>
            <w:vMerge w:val="continue"/>
            <w:shd w:val="clear" w:color="auto" w:fill="auto"/>
            <w:noWrap w:val="0"/>
            <w:vAlign w:val="center"/>
          </w:tcPr>
          <w:p>
            <w:pPr>
              <w:spacing w:line="240" w:lineRule="exact"/>
              <w:jc w:val="left"/>
              <w:rPr>
                <w:rFonts w:eastAsia="仿宋_GB2312"/>
                <w:b/>
                <w:bCs/>
                <w:kern w:val="0"/>
                <w:szCs w:val="21"/>
              </w:rPr>
            </w:pPr>
          </w:p>
        </w:tc>
        <w:tc>
          <w:tcPr>
            <w:tcW w:w="558" w:type="dxa"/>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定性</w:t>
            </w:r>
          </w:p>
          <w:p>
            <w:pPr>
              <w:spacing w:line="240" w:lineRule="exact"/>
              <w:jc w:val="center"/>
              <w:rPr>
                <w:rFonts w:eastAsia="仿宋_GB2312"/>
                <w:b/>
                <w:bCs/>
                <w:kern w:val="0"/>
                <w:szCs w:val="21"/>
              </w:rPr>
            </w:pPr>
            <w:r>
              <w:rPr>
                <w:rFonts w:eastAsia="仿宋_GB2312"/>
                <w:b/>
                <w:bCs/>
                <w:kern w:val="0"/>
                <w:szCs w:val="21"/>
              </w:rPr>
              <w:t>评价</w:t>
            </w:r>
          </w:p>
        </w:tc>
        <w:tc>
          <w:tcPr>
            <w:tcW w:w="559" w:type="dxa"/>
            <w:shd w:val="clear" w:color="auto" w:fill="FFFFFF"/>
            <w:noWrap w:val="0"/>
            <w:vAlign w:val="center"/>
          </w:tcPr>
          <w:p>
            <w:pPr>
              <w:spacing w:line="240" w:lineRule="exact"/>
              <w:jc w:val="center"/>
              <w:rPr>
                <w:rFonts w:eastAsia="仿宋_GB2312"/>
                <w:b/>
                <w:bCs/>
                <w:kern w:val="0"/>
                <w:szCs w:val="21"/>
              </w:rPr>
            </w:pPr>
            <w:r>
              <w:rPr>
                <w:rFonts w:eastAsia="仿宋_GB2312"/>
                <w:b/>
                <w:bCs/>
                <w:kern w:val="0"/>
                <w:szCs w:val="21"/>
              </w:rPr>
              <w:t>定量</w:t>
            </w:r>
          </w:p>
          <w:p>
            <w:pPr>
              <w:spacing w:line="240" w:lineRule="exact"/>
              <w:jc w:val="center"/>
              <w:rPr>
                <w:rFonts w:eastAsia="仿宋_GB2312"/>
                <w:b/>
                <w:bCs/>
                <w:kern w:val="0"/>
                <w:szCs w:val="21"/>
              </w:rPr>
            </w:pPr>
            <w:r>
              <w:rPr>
                <w:rFonts w:eastAsia="仿宋_GB2312"/>
                <w:b/>
                <w:bCs/>
                <w:kern w:val="0"/>
                <w:szCs w:val="21"/>
              </w:rPr>
              <w:t>评价</w:t>
            </w:r>
          </w:p>
        </w:tc>
        <w:tc>
          <w:tcPr>
            <w:tcW w:w="1764" w:type="dxa"/>
            <w:vMerge w:val="continue"/>
            <w:noWrap w:val="0"/>
            <w:vAlign w:val="center"/>
          </w:tcPr>
          <w:p>
            <w:pPr>
              <w:spacing w:line="240" w:lineRule="exact"/>
              <w:jc w:val="left"/>
              <w:rPr>
                <w:rFonts w:eastAsia="仿宋_GB2312"/>
                <w:b/>
                <w:bCs/>
                <w:kern w:val="0"/>
                <w:szCs w:val="21"/>
              </w:rPr>
            </w:pPr>
          </w:p>
        </w:tc>
        <w:tc>
          <w:tcPr>
            <w:tcW w:w="2389" w:type="dxa"/>
            <w:vMerge w:val="continue"/>
            <w:noWrap w:val="0"/>
            <w:vAlign w:val="center"/>
          </w:tcPr>
          <w:p>
            <w:pPr>
              <w:spacing w:line="240" w:lineRule="exact"/>
              <w:jc w:val="left"/>
              <w:rPr>
                <w:rFonts w:eastAsia="仿宋_GB2312"/>
                <w:b/>
                <w:kern w:val="0"/>
                <w:szCs w:val="21"/>
              </w:rPr>
            </w:pPr>
          </w:p>
        </w:tc>
        <w:tc>
          <w:tcPr>
            <w:tcW w:w="0" w:type="auto"/>
            <w:vMerge w:val="continue"/>
            <w:noWrap w:val="0"/>
            <w:vAlign w:val="center"/>
          </w:tcPr>
          <w:p>
            <w:pPr>
              <w:spacing w:line="240" w:lineRule="exact"/>
              <w:jc w:val="left"/>
              <w:rPr>
                <w:rFonts w:eastAsia="仿宋_GB2312"/>
                <w:b/>
                <w:bCs/>
                <w:kern w:val="0"/>
                <w:szCs w:val="21"/>
              </w:rPr>
            </w:pPr>
          </w:p>
        </w:tc>
        <w:tc>
          <w:tcPr>
            <w:tcW w:w="489" w:type="dxa"/>
            <w:vMerge w:val="continue"/>
            <w:noWrap w:val="0"/>
            <w:vAlign w:val="center"/>
          </w:tcPr>
          <w:p>
            <w:pPr>
              <w:spacing w:line="240" w:lineRule="exact"/>
              <w:jc w:val="center"/>
              <w:rPr>
                <w:rFonts w:eastAsia="仿宋_GB2312"/>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restart"/>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部门预算管理（80分）</w:t>
            </w:r>
          </w:p>
        </w:tc>
        <w:tc>
          <w:tcPr>
            <w:tcW w:w="863" w:type="dxa"/>
            <w:vMerge w:val="restart"/>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预算</w:t>
            </w:r>
          </w:p>
          <w:p>
            <w:pPr>
              <w:spacing w:line="240" w:lineRule="exact"/>
              <w:jc w:val="center"/>
              <w:rPr>
                <w:rFonts w:eastAsia="仿宋_GB2312"/>
                <w:bCs/>
                <w:kern w:val="0"/>
                <w:szCs w:val="21"/>
              </w:rPr>
            </w:pPr>
            <w:r>
              <w:rPr>
                <w:rFonts w:eastAsia="仿宋_GB2312"/>
                <w:bCs/>
                <w:kern w:val="0"/>
                <w:szCs w:val="21"/>
              </w:rPr>
              <w:t>编制</w:t>
            </w:r>
          </w:p>
          <w:p>
            <w:pPr>
              <w:spacing w:line="240" w:lineRule="exact"/>
              <w:jc w:val="center"/>
              <w:rPr>
                <w:rFonts w:eastAsia="仿宋_GB2312"/>
                <w:bCs/>
                <w:kern w:val="0"/>
                <w:szCs w:val="21"/>
              </w:rPr>
            </w:pPr>
            <w:r>
              <w:rPr>
                <w:rFonts w:eastAsia="仿宋_GB2312"/>
                <w:bCs/>
                <w:kern w:val="0"/>
                <w:szCs w:val="21"/>
              </w:rPr>
              <w:t>（30分）</w:t>
            </w:r>
          </w:p>
        </w:tc>
        <w:tc>
          <w:tcPr>
            <w:tcW w:w="536"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目标制定</w:t>
            </w:r>
          </w:p>
        </w:tc>
        <w:tc>
          <w:tcPr>
            <w:tcW w:w="440"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40" w:lineRule="exact"/>
              <w:jc w:val="center"/>
              <w:rPr>
                <w:rFonts w:eastAsia="仿宋_GB2312"/>
                <w:bCs/>
                <w:kern w:val="0"/>
                <w:szCs w:val="21"/>
              </w:rPr>
            </w:pPr>
          </w:p>
        </w:tc>
        <w:tc>
          <w:tcPr>
            <w:tcW w:w="440" w:type="dxa"/>
            <w:shd w:val="clear" w:color="auto" w:fill="auto"/>
            <w:noWrap w:val="0"/>
            <w:vAlign w:val="center"/>
          </w:tcPr>
          <w:p>
            <w:pPr>
              <w:spacing w:line="240" w:lineRule="exact"/>
              <w:jc w:val="center"/>
              <w:rPr>
                <w:rFonts w:eastAsia="仿宋_GB2312"/>
                <w:bCs/>
                <w:kern w:val="0"/>
                <w:szCs w:val="21"/>
              </w:rPr>
            </w:pPr>
          </w:p>
        </w:tc>
        <w:tc>
          <w:tcPr>
            <w:tcW w:w="1572"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评价部门绩效目标是否要素完整、细化量化。</w:t>
            </w:r>
          </w:p>
        </w:tc>
        <w:tc>
          <w:tcPr>
            <w:tcW w:w="3026"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 xml:space="preserve">1.绩效目标编制要素完整的，得5分，否则酌情扣分。                                                       2.绩效指标细化量化的，得5分，否则酌情扣分。                                                                    </w:t>
            </w:r>
          </w:p>
        </w:tc>
        <w:tc>
          <w:tcPr>
            <w:tcW w:w="558"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w:t>
            </w:r>
          </w:p>
        </w:tc>
        <w:tc>
          <w:tcPr>
            <w:tcW w:w="55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40" w:lineRule="exact"/>
              <w:jc w:val="left"/>
              <w:rPr>
                <w:rFonts w:eastAsia="仿宋_GB2312"/>
                <w:bCs/>
                <w:kern w:val="0"/>
                <w:szCs w:val="21"/>
              </w:rPr>
            </w:pPr>
          </w:p>
        </w:tc>
        <w:tc>
          <w:tcPr>
            <w:tcW w:w="2389" w:type="dxa"/>
            <w:shd w:val="clear" w:color="auto" w:fill="FFFFFF"/>
            <w:noWrap w:val="0"/>
            <w:vAlign w:val="center"/>
          </w:tcPr>
          <w:p>
            <w:pPr>
              <w:spacing w:line="240" w:lineRule="exact"/>
              <w:jc w:val="left"/>
              <w:rPr>
                <w:rFonts w:eastAsia="仿宋_GB2312"/>
                <w:bCs/>
                <w:kern w:val="0"/>
                <w:szCs w:val="21"/>
              </w:rPr>
            </w:pPr>
            <w:r>
              <w:rPr>
                <w:rFonts w:eastAsia="仿宋_GB2312"/>
                <w:bCs/>
                <w:kern w:val="0"/>
                <w:szCs w:val="21"/>
              </w:rPr>
              <w:t>要素指目标的完成指标及效益指标、满意度指标是否填写完整，根据年初制定目标财政局的要求。指标细化量化指该定量表达的是否表达。</w:t>
            </w:r>
          </w:p>
        </w:tc>
        <w:tc>
          <w:tcPr>
            <w:tcW w:w="0" w:type="auto"/>
            <w:shd w:val="clear" w:color="auto" w:fill="auto"/>
            <w:noWrap w:val="0"/>
            <w:vAlign w:val="center"/>
          </w:tcPr>
          <w:p>
            <w:pPr>
              <w:spacing w:line="240" w:lineRule="exact"/>
              <w:jc w:val="left"/>
              <w:rPr>
                <w:rFonts w:eastAsia="仿宋_GB2312"/>
                <w:bCs/>
                <w:kern w:val="0"/>
                <w:szCs w:val="21"/>
              </w:rPr>
            </w:pPr>
          </w:p>
        </w:tc>
        <w:tc>
          <w:tcPr>
            <w:tcW w:w="48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continue"/>
            <w:shd w:val="clear" w:color="auto" w:fill="auto"/>
            <w:noWrap w:val="0"/>
            <w:vAlign w:val="center"/>
          </w:tcPr>
          <w:p>
            <w:pPr>
              <w:spacing w:line="240" w:lineRule="exact"/>
              <w:jc w:val="left"/>
              <w:rPr>
                <w:rFonts w:eastAsia="仿宋_GB2312"/>
                <w:bCs/>
                <w:kern w:val="0"/>
                <w:szCs w:val="21"/>
              </w:rPr>
            </w:pPr>
          </w:p>
        </w:tc>
        <w:tc>
          <w:tcPr>
            <w:tcW w:w="863" w:type="dxa"/>
            <w:vMerge w:val="continue"/>
            <w:shd w:val="clear" w:color="auto" w:fill="auto"/>
            <w:noWrap w:val="0"/>
            <w:vAlign w:val="center"/>
          </w:tcPr>
          <w:p>
            <w:pPr>
              <w:spacing w:line="240" w:lineRule="exact"/>
              <w:jc w:val="left"/>
              <w:rPr>
                <w:rFonts w:eastAsia="仿宋_GB2312"/>
                <w:bCs/>
                <w:kern w:val="0"/>
                <w:szCs w:val="21"/>
              </w:rPr>
            </w:pPr>
          </w:p>
        </w:tc>
        <w:tc>
          <w:tcPr>
            <w:tcW w:w="536"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目标完成</w:t>
            </w:r>
          </w:p>
        </w:tc>
        <w:tc>
          <w:tcPr>
            <w:tcW w:w="440"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40" w:lineRule="exact"/>
              <w:jc w:val="center"/>
              <w:rPr>
                <w:rFonts w:eastAsia="仿宋_GB2312"/>
                <w:bCs/>
                <w:kern w:val="0"/>
                <w:szCs w:val="21"/>
              </w:rPr>
            </w:pPr>
          </w:p>
        </w:tc>
        <w:tc>
          <w:tcPr>
            <w:tcW w:w="440" w:type="dxa"/>
            <w:shd w:val="clear" w:color="auto" w:fill="auto"/>
            <w:noWrap w:val="0"/>
            <w:vAlign w:val="center"/>
          </w:tcPr>
          <w:p>
            <w:pPr>
              <w:spacing w:line="240" w:lineRule="exact"/>
              <w:jc w:val="center"/>
              <w:rPr>
                <w:rFonts w:eastAsia="仿宋_GB2312"/>
                <w:bCs/>
                <w:kern w:val="0"/>
                <w:szCs w:val="21"/>
              </w:rPr>
            </w:pPr>
          </w:p>
        </w:tc>
        <w:tc>
          <w:tcPr>
            <w:tcW w:w="1572"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评价部门绩效目标实际实现程度与预期目标的偏离度。</w:t>
            </w:r>
          </w:p>
        </w:tc>
        <w:tc>
          <w:tcPr>
            <w:tcW w:w="3026"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以项目完成数量指标为核心，评价项目实际完成情况是否达到预期绩效目标，指标得分=达到预期绩效目标的部门项目个数/纳入绩效目标管理的部门预算项目个数*10</w:t>
            </w:r>
          </w:p>
        </w:tc>
        <w:tc>
          <w:tcPr>
            <w:tcW w:w="558" w:type="dxa"/>
            <w:shd w:val="clear" w:color="auto" w:fill="auto"/>
            <w:noWrap w:val="0"/>
            <w:vAlign w:val="center"/>
          </w:tcPr>
          <w:p>
            <w:pPr>
              <w:spacing w:line="240" w:lineRule="exact"/>
              <w:jc w:val="center"/>
              <w:rPr>
                <w:rFonts w:eastAsia="仿宋_GB2312"/>
                <w:bCs/>
                <w:kern w:val="0"/>
                <w:szCs w:val="21"/>
              </w:rPr>
            </w:pPr>
          </w:p>
        </w:tc>
        <w:tc>
          <w:tcPr>
            <w:tcW w:w="55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40" w:lineRule="exact"/>
              <w:jc w:val="left"/>
              <w:rPr>
                <w:rFonts w:hint="eastAsia" w:eastAsia="仿宋_GB2312"/>
                <w:bCs/>
                <w:kern w:val="0"/>
                <w:szCs w:val="21"/>
                <w:lang w:eastAsia="zh-CN"/>
              </w:rPr>
            </w:pPr>
            <w:r>
              <w:rPr>
                <w:rFonts w:eastAsia="仿宋_GB2312"/>
                <w:bCs/>
                <w:kern w:val="0"/>
                <w:szCs w:val="21"/>
              </w:rPr>
              <w:t>评价组评价范围为部门机关及至少2个下属单位的所有纳入绩效目标管理的部门预算项目，部门自评范围为部门所有纳入绩效目标管理的部门预算项目</w:t>
            </w:r>
            <w:r>
              <w:rPr>
                <w:rFonts w:hint="eastAsia" w:eastAsia="仿宋_GB2312"/>
                <w:bCs/>
                <w:kern w:val="0"/>
                <w:szCs w:val="21"/>
                <w:lang w:eastAsia="zh-CN"/>
              </w:rPr>
              <w:t>。</w:t>
            </w:r>
          </w:p>
        </w:tc>
        <w:tc>
          <w:tcPr>
            <w:tcW w:w="2389" w:type="dxa"/>
            <w:shd w:val="clear" w:color="auto" w:fill="FFFFFF"/>
            <w:noWrap w:val="0"/>
            <w:vAlign w:val="center"/>
          </w:tcPr>
          <w:p>
            <w:pPr>
              <w:spacing w:line="240" w:lineRule="exact"/>
              <w:jc w:val="left"/>
              <w:rPr>
                <w:rFonts w:eastAsia="仿宋_GB2312"/>
                <w:bCs/>
                <w:kern w:val="0"/>
                <w:szCs w:val="21"/>
              </w:rPr>
            </w:pPr>
            <w:r>
              <w:rPr>
                <w:rFonts w:eastAsia="仿宋_GB2312"/>
                <w:bCs/>
                <w:kern w:val="0"/>
                <w:szCs w:val="21"/>
              </w:rPr>
              <w:t>项目绩效目标申报表（数量指标）</w:t>
            </w:r>
          </w:p>
        </w:tc>
        <w:tc>
          <w:tcPr>
            <w:tcW w:w="0" w:type="auto"/>
            <w:shd w:val="clear" w:color="auto" w:fill="auto"/>
            <w:noWrap w:val="0"/>
            <w:vAlign w:val="center"/>
          </w:tcPr>
          <w:p>
            <w:pPr>
              <w:spacing w:line="240" w:lineRule="exact"/>
              <w:jc w:val="left"/>
              <w:rPr>
                <w:rFonts w:eastAsia="仿宋_GB2312"/>
                <w:bCs/>
                <w:kern w:val="0"/>
                <w:szCs w:val="21"/>
              </w:rPr>
            </w:pPr>
          </w:p>
        </w:tc>
        <w:tc>
          <w:tcPr>
            <w:tcW w:w="48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0" w:hRule="atLeast"/>
        </w:trPr>
        <w:tc>
          <w:tcPr>
            <w:tcW w:w="0" w:type="auto"/>
            <w:vMerge w:val="continue"/>
            <w:shd w:val="clear" w:color="auto" w:fill="auto"/>
            <w:noWrap w:val="0"/>
            <w:vAlign w:val="center"/>
          </w:tcPr>
          <w:p>
            <w:pPr>
              <w:spacing w:line="240" w:lineRule="exact"/>
              <w:jc w:val="left"/>
              <w:rPr>
                <w:rFonts w:eastAsia="仿宋_GB2312"/>
                <w:bCs/>
                <w:kern w:val="0"/>
                <w:szCs w:val="21"/>
              </w:rPr>
            </w:pPr>
          </w:p>
        </w:tc>
        <w:tc>
          <w:tcPr>
            <w:tcW w:w="863" w:type="dxa"/>
            <w:vMerge w:val="continue"/>
            <w:shd w:val="clear" w:color="auto" w:fill="auto"/>
            <w:noWrap w:val="0"/>
            <w:vAlign w:val="center"/>
          </w:tcPr>
          <w:p>
            <w:pPr>
              <w:spacing w:line="240" w:lineRule="exact"/>
              <w:jc w:val="left"/>
              <w:rPr>
                <w:rFonts w:eastAsia="仿宋_GB2312"/>
                <w:bCs/>
                <w:kern w:val="0"/>
                <w:szCs w:val="21"/>
              </w:rPr>
            </w:pPr>
          </w:p>
        </w:tc>
        <w:tc>
          <w:tcPr>
            <w:tcW w:w="536"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编制准确</w:t>
            </w:r>
          </w:p>
        </w:tc>
        <w:tc>
          <w:tcPr>
            <w:tcW w:w="440"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40" w:lineRule="exact"/>
              <w:jc w:val="center"/>
              <w:rPr>
                <w:rFonts w:eastAsia="仿宋_GB2312"/>
                <w:bCs/>
                <w:kern w:val="0"/>
                <w:szCs w:val="21"/>
              </w:rPr>
            </w:pPr>
          </w:p>
        </w:tc>
        <w:tc>
          <w:tcPr>
            <w:tcW w:w="440" w:type="dxa"/>
            <w:shd w:val="clear" w:color="auto" w:fill="auto"/>
            <w:noWrap w:val="0"/>
            <w:vAlign w:val="center"/>
          </w:tcPr>
          <w:p>
            <w:pPr>
              <w:spacing w:line="240" w:lineRule="exact"/>
              <w:jc w:val="center"/>
              <w:rPr>
                <w:rFonts w:eastAsia="仿宋_GB2312"/>
                <w:bCs/>
                <w:kern w:val="0"/>
                <w:szCs w:val="21"/>
              </w:rPr>
            </w:pPr>
          </w:p>
        </w:tc>
        <w:tc>
          <w:tcPr>
            <w:tcW w:w="1572"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评价部门年初预算编制是否科学准确。</w:t>
            </w:r>
          </w:p>
        </w:tc>
        <w:tc>
          <w:tcPr>
            <w:tcW w:w="3026"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指标得分=（1-（10×部门全年预算调剂金额/年初部门预算数））*10。其中：若部门全年预算调剂金额/年初部门预算数&gt;0.1，此项得0分。</w:t>
            </w:r>
          </w:p>
        </w:tc>
        <w:tc>
          <w:tcPr>
            <w:tcW w:w="558" w:type="dxa"/>
            <w:shd w:val="clear" w:color="auto" w:fill="auto"/>
            <w:noWrap w:val="0"/>
            <w:vAlign w:val="center"/>
          </w:tcPr>
          <w:p>
            <w:pPr>
              <w:spacing w:line="240" w:lineRule="exact"/>
              <w:jc w:val="left"/>
              <w:rPr>
                <w:rFonts w:eastAsia="仿宋_GB2312"/>
                <w:bCs/>
                <w:kern w:val="0"/>
                <w:szCs w:val="21"/>
              </w:rPr>
            </w:pPr>
          </w:p>
        </w:tc>
        <w:tc>
          <w:tcPr>
            <w:tcW w:w="55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40" w:lineRule="exact"/>
              <w:jc w:val="left"/>
              <w:rPr>
                <w:rFonts w:eastAsia="仿宋_GB2312"/>
                <w:bCs/>
                <w:kern w:val="0"/>
                <w:szCs w:val="21"/>
              </w:rPr>
            </w:pPr>
          </w:p>
        </w:tc>
        <w:tc>
          <w:tcPr>
            <w:tcW w:w="2389" w:type="dxa"/>
            <w:shd w:val="clear" w:color="auto" w:fill="FFFFFF"/>
            <w:noWrap w:val="0"/>
            <w:vAlign w:val="center"/>
          </w:tcPr>
          <w:p>
            <w:pPr>
              <w:spacing w:line="240" w:lineRule="exact"/>
              <w:jc w:val="left"/>
              <w:rPr>
                <w:rFonts w:eastAsia="仿宋_GB2312"/>
                <w:bCs/>
                <w:kern w:val="0"/>
                <w:szCs w:val="21"/>
              </w:rPr>
            </w:pPr>
            <w:r>
              <w:rPr>
                <w:rFonts w:eastAsia="仿宋_GB2312"/>
                <w:bCs/>
                <w:kern w:val="0"/>
                <w:szCs w:val="21"/>
              </w:rPr>
              <w:t>预算调剂金额：大平台中预算下达指标明细对账单—业务类型中“专项调剂”和“非专项调剂”绝对值合计数</w:t>
            </w:r>
            <w:r>
              <w:rPr>
                <w:rFonts w:eastAsia="仿宋_GB2312"/>
                <w:bCs/>
                <w:kern w:val="0"/>
                <w:szCs w:val="21"/>
              </w:rPr>
              <w:br w:type="textWrapping"/>
            </w:r>
            <w:r>
              <w:rPr>
                <w:rFonts w:eastAsia="仿宋_GB2312"/>
                <w:bCs/>
                <w:kern w:val="0"/>
                <w:szCs w:val="21"/>
              </w:rPr>
              <w:t>年初部门预算数：年初部门预算批复表，表1部门预算收支总表“本年支出合计”</w:t>
            </w:r>
          </w:p>
        </w:tc>
        <w:tc>
          <w:tcPr>
            <w:tcW w:w="0" w:type="auto"/>
            <w:shd w:val="clear" w:color="auto" w:fill="auto"/>
            <w:noWrap w:val="0"/>
            <w:vAlign w:val="center"/>
          </w:tcPr>
          <w:p>
            <w:pPr>
              <w:spacing w:line="240" w:lineRule="exact"/>
              <w:jc w:val="left"/>
              <w:rPr>
                <w:rFonts w:eastAsia="仿宋_GB2312"/>
                <w:bCs/>
                <w:kern w:val="0"/>
                <w:szCs w:val="21"/>
              </w:rPr>
            </w:pPr>
          </w:p>
        </w:tc>
        <w:tc>
          <w:tcPr>
            <w:tcW w:w="48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restart"/>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部门预算管理（80分）</w:t>
            </w:r>
          </w:p>
        </w:tc>
        <w:tc>
          <w:tcPr>
            <w:tcW w:w="863" w:type="dxa"/>
            <w:vMerge w:val="restart"/>
            <w:shd w:val="clear" w:color="auto" w:fill="auto"/>
            <w:noWrap w:val="0"/>
            <w:vAlign w:val="center"/>
          </w:tcPr>
          <w:p>
            <w:pPr>
              <w:spacing w:line="240" w:lineRule="exact"/>
              <w:jc w:val="center"/>
              <w:rPr>
                <w:rFonts w:hint="eastAsia" w:eastAsia="仿宋_GB2312"/>
                <w:bCs/>
                <w:kern w:val="0"/>
                <w:szCs w:val="21"/>
              </w:rPr>
            </w:pPr>
            <w:r>
              <w:rPr>
                <w:rFonts w:eastAsia="仿宋_GB2312"/>
                <w:bCs/>
                <w:kern w:val="0"/>
                <w:szCs w:val="21"/>
              </w:rPr>
              <w:t>预算</w:t>
            </w:r>
          </w:p>
          <w:p>
            <w:pPr>
              <w:spacing w:line="240" w:lineRule="exact"/>
              <w:jc w:val="center"/>
              <w:rPr>
                <w:rFonts w:hint="eastAsia" w:eastAsia="仿宋_GB2312"/>
                <w:bCs/>
                <w:kern w:val="0"/>
                <w:szCs w:val="21"/>
              </w:rPr>
            </w:pPr>
            <w:r>
              <w:rPr>
                <w:rFonts w:eastAsia="仿宋_GB2312"/>
                <w:bCs/>
                <w:kern w:val="0"/>
                <w:szCs w:val="21"/>
              </w:rPr>
              <w:t>执行</w:t>
            </w:r>
          </w:p>
          <w:p>
            <w:pPr>
              <w:spacing w:line="240" w:lineRule="exact"/>
              <w:jc w:val="center"/>
              <w:rPr>
                <w:rFonts w:eastAsia="仿宋_GB2312"/>
                <w:bCs/>
                <w:kern w:val="0"/>
                <w:szCs w:val="21"/>
              </w:rPr>
            </w:pPr>
            <w:r>
              <w:rPr>
                <w:rFonts w:eastAsia="仿宋_GB2312"/>
                <w:bCs/>
                <w:kern w:val="0"/>
                <w:szCs w:val="21"/>
              </w:rPr>
              <w:t>（30分）</w:t>
            </w:r>
          </w:p>
        </w:tc>
        <w:tc>
          <w:tcPr>
            <w:tcW w:w="536"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支出控制</w:t>
            </w:r>
          </w:p>
        </w:tc>
        <w:tc>
          <w:tcPr>
            <w:tcW w:w="440"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40" w:lineRule="exact"/>
              <w:jc w:val="center"/>
              <w:rPr>
                <w:rFonts w:eastAsia="仿宋_GB2312"/>
                <w:bCs/>
                <w:kern w:val="0"/>
                <w:szCs w:val="21"/>
              </w:rPr>
            </w:pPr>
          </w:p>
        </w:tc>
        <w:tc>
          <w:tcPr>
            <w:tcW w:w="440" w:type="dxa"/>
            <w:shd w:val="clear" w:color="auto" w:fill="auto"/>
            <w:noWrap w:val="0"/>
            <w:vAlign w:val="center"/>
          </w:tcPr>
          <w:p>
            <w:pPr>
              <w:spacing w:line="240" w:lineRule="exact"/>
              <w:jc w:val="center"/>
              <w:rPr>
                <w:rFonts w:eastAsia="仿宋_GB2312"/>
                <w:bCs/>
                <w:kern w:val="0"/>
                <w:szCs w:val="21"/>
              </w:rPr>
            </w:pPr>
          </w:p>
        </w:tc>
        <w:tc>
          <w:tcPr>
            <w:tcW w:w="1572"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部门公用经费及非定额公用支出控制情况。</w:t>
            </w:r>
          </w:p>
        </w:tc>
        <w:tc>
          <w:tcPr>
            <w:tcW w:w="3026"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 xml:space="preserve">计算部门日常公用经费、项目支出中“办公费、印刷费、水费、电费、物业管理费、差旅费、培训费、会议费”8个科目年初预算数与决算数偏差程度。                                              预决算偏差程度在10%以内的，得10分。偏差度在10%-20%之间的，得5分，偏差度超过20%的，不得分。                                           </w:t>
            </w:r>
          </w:p>
        </w:tc>
        <w:tc>
          <w:tcPr>
            <w:tcW w:w="558" w:type="dxa"/>
            <w:shd w:val="clear" w:color="auto" w:fill="auto"/>
            <w:noWrap w:val="0"/>
            <w:vAlign w:val="center"/>
          </w:tcPr>
          <w:p>
            <w:pPr>
              <w:spacing w:line="240" w:lineRule="exact"/>
              <w:jc w:val="left"/>
              <w:rPr>
                <w:rFonts w:eastAsia="仿宋_GB2312"/>
                <w:bCs/>
                <w:kern w:val="0"/>
                <w:szCs w:val="21"/>
              </w:rPr>
            </w:pPr>
          </w:p>
        </w:tc>
        <w:tc>
          <w:tcPr>
            <w:tcW w:w="55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40" w:lineRule="exact"/>
              <w:jc w:val="left"/>
              <w:rPr>
                <w:rFonts w:eastAsia="仿宋_GB2312"/>
                <w:bCs/>
                <w:kern w:val="0"/>
                <w:szCs w:val="21"/>
              </w:rPr>
            </w:pPr>
          </w:p>
        </w:tc>
        <w:tc>
          <w:tcPr>
            <w:tcW w:w="2389" w:type="dxa"/>
            <w:shd w:val="clear" w:color="auto" w:fill="FFFFFF"/>
            <w:noWrap w:val="0"/>
            <w:vAlign w:val="center"/>
          </w:tcPr>
          <w:p>
            <w:pPr>
              <w:spacing w:line="240" w:lineRule="exact"/>
              <w:jc w:val="left"/>
              <w:rPr>
                <w:rFonts w:eastAsia="仿宋_GB2312"/>
                <w:bCs/>
                <w:kern w:val="0"/>
                <w:szCs w:val="21"/>
              </w:rPr>
            </w:pPr>
            <w:r>
              <w:rPr>
                <w:rFonts w:eastAsia="仿宋_GB2312"/>
                <w:bCs/>
                <w:kern w:val="0"/>
                <w:szCs w:val="21"/>
              </w:rPr>
              <w:t>决算数：财政批复的决算套表-从决算科目里删选</w:t>
            </w:r>
            <w:r>
              <w:rPr>
                <w:rFonts w:eastAsia="仿宋_GB2312"/>
                <w:bCs/>
                <w:kern w:val="0"/>
                <w:szCs w:val="21"/>
              </w:rPr>
              <w:br w:type="textWrapping"/>
            </w:r>
            <w:r>
              <w:rPr>
                <w:rFonts w:eastAsia="仿宋_GB2312"/>
                <w:bCs/>
                <w:kern w:val="0"/>
                <w:szCs w:val="21"/>
              </w:rPr>
              <w:t>预算数：财政批复预算公开表</w:t>
            </w:r>
            <w:r>
              <w:rPr>
                <w:rFonts w:eastAsia="仿宋_GB2312"/>
                <w:bCs/>
                <w:kern w:val="0"/>
                <w:szCs w:val="21"/>
              </w:rPr>
              <w:br w:type="textWrapping"/>
            </w:r>
            <w:r>
              <w:rPr>
                <w:rFonts w:eastAsia="仿宋_GB2312"/>
                <w:bCs/>
                <w:kern w:val="0"/>
                <w:szCs w:val="21"/>
              </w:rPr>
              <w:t>偏差程度=（决算数-预算数）的绝对值/决算数*100%</w:t>
            </w:r>
          </w:p>
        </w:tc>
        <w:tc>
          <w:tcPr>
            <w:tcW w:w="0" w:type="auto"/>
            <w:shd w:val="clear" w:color="auto" w:fill="auto"/>
            <w:noWrap w:val="0"/>
            <w:vAlign w:val="center"/>
          </w:tcPr>
          <w:p>
            <w:pPr>
              <w:spacing w:line="240" w:lineRule="exact"/>
              <w:jc w:val="left"/>
              <w:rPr>
                <w:rFonts w:eastAsia="仿宋_GB2312"/>
                <w:bCs/>
                <w:kern w:val="0"/>
                <w:szCs w:val="21"/>
              </w:rPr>
            </w:pPr>
          </w:p>
        </w:tc>
        <w:tc>
          <w:tcPr>
            <w:tcW w:w="48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continue"/>
            <w:shd w:val="clear" w:color="auto" w:fill="auto"/>
            <w:noWrap w:val="0"/>
            <w:vAlign w:val="center"/>
          </w:tcPr>
          <w:p>
            <w:pPr>
              <w:spacing w:line="240" w:lineRule="exact"/>
              <w:jc w:val="left"/>
              <w:rPr>
                <w:rFonts w:eastAsia="仿宋_GB2312"/>
                <w:bCs/>
                <w:kern w:val="0"/>
                <w:szCs w:val="21"/>
              </w:rPr>
            </w:pPr>
          </w:p>
        </w:tc>
        <w:tc>
          <w:tcPr>
            <w:tcW w:w="863" w:type="dxa"/>
            <w:vMerge w:val="continue"/>
            <w:shd w:val="clear" w:color="auto" w:fill="auto"/>
            <w:noWrap w:val="0"/>
            <w:vAlign w:val="center"/>
          </w:tcPr>
          <w:p>
            <w:pPr>
              <w:spacing w:line="240" w:lineRule="exact"/>
              <w:jc w:val="left"/>
              <w:rPr>
                <w:rFonts w:eastAsia="仿宋_GB2312"/>
                <w:bCs/>
                <w:kern w:val="0"/>
                <w:szCs w:val="21"/>
              </w:rPr>
            </w:pPr>
          </w:p>
        </w:tc>
        <w:tc>
          <w:tcPr>
            <w:tcW w:w="536"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动态调整</w:t>
            </w:r>
          </w:p>
        </w:tc>
        <w:tc>
          <w:tcPr>
            <w:tcW w:w="440"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40" w:lineRule="exact"/>
              <w:jc w:val="center"/>
              <w:rPr>
                <w:rFonts w:eastAsia="仿宋_GB2312"/>
                <w:bCs/>
                <w:kern w:val="0"/>
                <w:szCs w:val="21"/>
              </w:rPr>
            </w:pPr>
          </w:p>
        </w:tc>
        <w:tc>
          <w:tcPr>
            <w:tcW w:w="440" w:type="dxa"/>
            <w:shd w:val="clear" w:color="auto" w:fill="auto"/>
            <w:noWrap w:val="0"/>
            <w:vAlign w:val="center"/>
          </w:tcPr>
          <w:p>
            <w:pPr>
              <w:spacing w:line="240" w:lineRule="exact"/>
              <w:jc w:val="center"/>
              <w:rPr>
                <w:rFonts w:eastAsia="仿宋_GB2312"/>
                <w:bCs/>
                <w:kern w:val="0"/>
                <w:szCs w:val="21"/>
              </w:rPr>
            </w:pPr>
          </w:p>
        </w:tc>
        <w:tc>
          <w:tcPr>
            <w:tcW w:w="1572"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评价部门开展绩效运行监控后，将绩效监控结果应用到预算调整的情况。</w:t>
            </w:r>
          </w:p>
        </w:tc>
        <w:tc>
          <w:tcPr>
            <w:tcW w:w="3026"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r>
              <w:rPr>
                <w:rFonts w:eastAsia="仿宋_GB2312"/>
                <w:bCs/>
                <w:kern w:val="0"/>
                <w:szCs w:val="21"/>
              </w:rPr>
              <w:br w:type="textWrapping"/>
            </w:r>
            <w:r>
              <w:rPr>
                <w:rFonts w:eastAsia="仿宋_GB2312"/>
                <w:bCs/>
                <w:kern w:val="0"/>
                <w:szCs w:val="21"/>
              </w:rPr>
              <w:t xml:space="preserve">3.当部门绩效监控调整取消额与结余注销额均为零时，得满分。   </w:t>
            </w:r>
          </w:p>
        </w:tc>
        <w:tc>
          <w:tcPr>
            <w:tcW w:w="558" w:type="dxa"/>
            <w:shd w:val="clear" w:color="auto" w:fill="auto"/>
            <w:noWrap w:val="0"/>
            <w:vAlign w:val="center"/>
          </w:tcPr>
          <w:p>
            <w:pPr>
              <w:spacing w:line="240" w:lineRule="exact"/>
              <w:jc w:val="left"/>
              <w:rPr>
                <w:rFonts w:eastAsia="仿宋_GB2312"/>
                <w:bCs/>
                <w:kern w:val="0"/>
                <w:szCs w:val="21"/>
              </w:rPr>
            </w:pPr>
          </w:p>
        </w:tc>
        <w:tc>
          <w:tcPr>
            <w:tcW w:w="55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40" w:lineRule="exact"/>
              <w:jc w:val="left"/>
              <w:rPr>
                <w:rFonts w:eastAsia="仿宋_GB2312"/>
                <w:bCs/>
                <w:kern w:val="0"/>
                <w:szCs w:val="21"/>
              </w:rPr>
            </w:pPr>
          </w:p>
        </w:tc>
        <w:tc>
          <w:tcPr>
            <w:tcW w:w="2389" w:type="dxa"/>
            <w:shd w:val="clear" w:color="auto" w:fill="FFFFFF"/>
            <w:noWrap w:val="0"/>
            <w:vAlign w:val="center"/>
          </w:tcPr>
          <w:p>
            <w:pPr>
              <w:spacing w:line="240" w:lineRule="exact"/>
              <w:jc w:val="left"/>
              <w:rPr>
                <w:rFonts w:eastAsia="仿宋_GB2312"/>
                <w:bCs/>
                <w:kern w:val="0"/>
                <w:szCs w:val="21"/>
              </w:rPr>
            </w:pPr>
            <w:r>
              <w:rPr>
                <w:rFonts w:eastAsia="仿宋_GB2312"/>
                <w:bCs/>
                <w:kern w:val="0"/>
                <w:szCs w:val="21"/>
              </w:rPr>
              <w:t>预决算套表（Z01调整预算数、CS01）</w:t>
            </w:r>
            <w:r>
              <w:rPr>
                <w:rFonts w:eastAsia="仿宋_GB2312"/>
                <w:bCs/>
                <w:kern w:val="0"/>
                <w:szCs w:val="21"/>
              </w:rPr>
              <w:br w:type="textWrapping"/>
            </w:r>
            <w:r>
              <w:rPr>
                <w:rFonts w:eastAsia="仿宋_GB2312"/>
                <w:bCs/>
                <w:kern w:val="0"/>
                <w:szCs w:val="21"/>
              </w:rPr>
              <w:t>年度预算总额：Z01总计调整预算数</w:t>
            </w:r>
            <w:r>
              <w:rPr>
                <w:rFonts w:eastAsia="仿宋_GB2312"/>
                <w:bCs/>
                <w:kern w:val="0"/>
                <w:szCs w:val="21"/>
              </w:rPr>
              <w:br w:type="textWrapping"/>
            </w:r>
            <w:r>
              <w:rPr>
                <w:rFonts w:eastAsia="仿宋_GB2312"/>
                <w:bCs/>
                <w:kern w:val="0"/>
                <w:szCs w:val="21"/>
              </w:rPr>
              <w:t>绩效监控调整取消额：调整前年初结转和结余-调整后年初结转和结余=0，则没有取消额</w:t>
            </w:r>
            <w:r>
              <w:rPr>
                <w:rFonts w:eastAsia="仿宋_GB2312"/>
                <w:bCs/>
                <w:kern w:val="0"/>
                <w:szCs w:val="21"/>
              </w:rPr>
              <w:br w:type="textWrapping"/>
            </w:r>
            <w:r>
              <w:rPr>
                <w:rFonts w:eastAsia="仿宋_GB2312"/>
                <w:bCs/>
                <w:kern w:val="0"/>
                <w:szCs w:val="21"/>
              </w:rPr>
              <w:t>预算结余注销额：归集上缴和缴回资金栏为0，表示当年没有注销，如果有数就是注销额</w:t>
            </w:r>
          </w:p>
        </w:tc>
        <w:tc>
          <w:tcPr>
            <w:tcW w:w="0" w:type="auto"/>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有财政统一减压资金(公务接待费)。</w:t>
            </w:r>
          </w:p>
        </w:tc>
        <w:tc>
          <w:tcPr>
            <w:tcW w:w="48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9" w:hRule="atLeast"/>
        </w:trPr>
        <w:tc>
          <w:tcPr>
            <w:tcW w:w="0" w:type="auto"/>
            <w:vMerge w:val="continue"/>
            <w:shd w:val="clear" w:color="auto" w:fill="auto"/>
            <w:noWrap w:val="0"/>
            <w:vAlign w:val="center"/>
          </w:tcPr>
          <w:p>
            <w:pPr>
              <w:spacing w:line="240" w:lineRule="exact"/>
              <w:jc w:val="left"/>
              <w:rPr>
                <w:rFonts w:eastAsia="仿宋_GB2312"/>
                <w:bCs/>
                <w:kern w:val="0"/>
                <w:szCs w:val="21"/>
              </w:rPr>
            </w:pPr>
          </w:p>
        </w:tc>
        <w:tc>
          <w:tcPr>
            <w:tcW w:w="863" w:type="dxa"/>
            <w:vMerge w:val="continue"/>
            <w:shd w:val="clear" w:color="auto" w:fill="auto"/>
            <w:noWrap w:val="0"/>
            <w:vAlign w:val="center"/>
          </w:tcPr>
          <w:p>
            <w:pPr>
              <w:spacing w:line="240" w:lineRule="exact"/>
              <w:jc w:val="left"/>
              <w:rPr>
                <w:rFonts w:eastAsia="仿宋_GB2312"/>
                <w:bCs/>
                <w:kern w:val="0"/>
                <w:szCs w:val="21"/>
              </w:rPr>
            </w:pPr>
          </w:p>
        </w:tc>
        <w:tc>
          <w:tcPr>
            <w:tcW w:w="536"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执行进度</w:t>
            </w:r>
          </w:p>
        </w:tc>
        <w:tc>
          <w:tcPr>
            <w:tcW w:w="440"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40" w:lineRule="exact"/>
              <w:jc w:val="center"/>
              <w:rPr>
                <w:rFonts w:eastAsia="仿宋_GB2312"/>
                <w:bCs/>
                <w:kern w:val="0"/>
                <w:szCs w:val="21"/>
              </w:rPr>
            </w:pPr>
          </w:p>
        </w:tc>
        <w:tc>
          <w:tcPr>
            <w:tcW w:w="440" w:type="dxa"/>
            <w:shd w:val="clear" w:color="auto" w:fill="auto"/>
            <w:noWrap w:val="0"/>
            <w:vAlign w:val="center"/>
          </w:tcPr>
          <w:p>
            <w:pPr>
              <w:spacing w:line="240" w:lineRule="exact"/>
              <w:jc w:val="center"/>
              <w:rPr>
                <w:rFonts w:eastAsia="仿宋_GB2312"/>
                <w:bCs/>
                <w:kern w:val="0"/>
                <w:szCs w:val="21"/>
              </w:rPr>
            </w:pPr>
          </w:p>
        </w:tc>
        <w:tc>
          <w:tcPr>
            <w:tcW w:w="1572"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评价部门在6、9、11月的预算执行情况。</w:t>
            </w:r>
          </w:p>
        </w:tc>
        <w:tc>
          <w:tcPr>
            <w:tcW w:w="3026" w:type="dxa"/>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558" w:type="dxa"/>
            <w:shd w:val="clear" w:color="auto" w:fill="auto"/>
            <w:noWrap w:val="0"/>
            <w:vAlign w:val="center"/>
          </w:tcPr>
          <w:p>
            <w:pPr>
              <w:spacing w:line="240" w:lineRule="exact"/>
              <w:jc w:val="left"/>
              <w:rPr>
                <w:rFonts w:eastAsia="仿宋_GB2312"/>
                <w:bCs/>
                <w:kern w:val="0"/>
                <w:szCs w:val="21"/>
              </w:rPr>
            </w:pPr>
          </w:p>
        </w:tc>
        <w:tc>
          <w:tcPr>
            <w:tcW w:w="55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40" w:lineRule="exact"/>
              <w:jc w:val="left"/>
              <w:rPr>
                <w:rFonts w:eastAsia="仿宋_GB2312"/>
                <w:bCs/>
                <w:kern w:val="0"/>
                <w:szCs w:val="21"/>
              </w:rPr>
            </w:pPr>
          </w:p>
        </w:tc>
        <w:tc>
          <w:tcPr>
            <w:tcW w:w="2389" w:type="dxa"/>
            <w:shd w:val="clear" w:color="auto" w:fill="FFFFFF"/>
            <w:noWrap w:val="0"/>
            <w:vAlign w:val="center"/>
          </w:tcPr>
          <w:p>
            <w:pPr>
              <w:spacing w:line="240" w:lineRule="exact"/>
              <w:jc w:val="left"/>
              <w:rPr>
                <w:rFonts w:eastAsia="仿宋_GB2312"/>
                <w:bCs/>
                <w:kern w:val="0"/>
                <w:szCs w:val="21"/>
              </w:rPr>
            </w:pPr>
            <w:r>
              <w:rPr>
                <w:rFonts w:eastAsia="仿宋_GB2312"/>
                <w:bCs/>
                <w:kern w:val="0"/>
                <w:szCs w:val="21"/>
              </w:rPr>
              <w:t>财政部门统一从国库总会计那取数字发送到各单位</w:t>
            </w:r>
          </w:p>
        </w:tc>
        <w:tc>
          <w:tcPr>
            <w:tcW w:w="0" w:type="auto"/>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去年财政资金紧张，导致部分经费支付进度缓慢，</w:t>
            </w:r>
          </w:p>
        </w:tc>
        <w:tc>
          <w:tcPr>
            <w:tcW w:w="489" w:type="dxa"/>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restart"/>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部门预算管理（80分）</w:t>
            </w:r>
          </w:p>
        </w:tc>
        <w:tc>
          <w:tcPr>
            <w:tcW w:w="863" w:type="dxa"/>
            <w:vMerge w:val="restart"/>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完成结果（20分）</w:t>
            </w:r>
          </w:p>
        </w:tc>
        <w:tc>
          <w:tcPr>
            <w:tcW w:w="536"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预算完成</w:t>
            </w:r>
          </w:p>
        </w:tc>
        <w:tc>
          <w:tcPr>
            <w:tcW w:w="440"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p>
        </w:tc>
        <w:tc>
          <w:tcPr>
            <w:tcW w:w="1572"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评价部门预算项目年终预算执行情况。</w:t>
            </w:r>
          </w:p>
        </w:tc>
        <w:tc>
          <w:tcPr>
            <w:tcW w:w="3026"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部门预算项目12月预算执行进度达到100%的，得10分，未达100%的，按照实际进度量化计算得分。(含所有下属单位)</w:t>
            </w:r>
          </w:p>
        </w:tc>
        <w:tc>
          <w:tcPr>
            <w:tcW w:w="558" w:type="dxa"/>
            <w:shd w:val="clear" w:color="auto" w:fill="auto"/>
            <w:noWrap w:val="0"/>
            <w:vAlign w:val="center"/>
          </w:tcPr>
          <w:p>
            <w:pPr>
              <w:spacing w:line="220" w:lineRule="exact"/>
              <w:jc w:val="center"/>
              <w:rPr>
                <w:rFonts w:eastAsia="仿宋_GB2312"/>
                <w:bCs/>
                <w:kern w:val="0"/>
                <w:szCs w:val="21"/>
              </w:rPr>
            </w:pPr>
          </w:p>
        </w:tc>
        <w:tc>
          <w:tcPr>
            <w:tcW w:w="55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20" w:lineRule="exact"/>
              <w:jc w:val="left"/>
              <w:rPr>
                <w:rFonts w:eastAsia="仿宋_GB2312"/>
                <w:bCs/>
                <w:kern w:val="0"/>
                <w:szCs w:val="21"/>
              </w:rPr>
            </w:pPr>
          </w:p>
        </w:tc>
        <w:tc>
          <w:tcPr>
            <w:tcW w:w="2389" w:type="dxa"/>
            <w:shd w:val="clear" w:color="auto" w:fill="FFFFFF"/>
            <w:noWrap w:val="0"/>
            <w:vAlign w:val="center"/>
          </w:tcPr>
          <w:p>
            <w:pPr>
              <w:spacing w:line="220" w:lineRule="exact"/>
              <w:jc w:val="left"/>
              <w:rPr>
                <w:rFonts w:eastAsia="仿宋_GB2312"/>
                <w:bCs/>
                <w:kern w:val="0"/>
                <w:szCs w:val="21"/>
              </w:rPr>
            </w:pPr>
            <w:r>
              <w:rPr>
                <w:rFonts w:eastAsia="仿宋_GB2312"/>
                <w:bCs/>
                <w:kern w:val="0"/>
                <w:szCs w:val="21"/>
              </w:rPr>
              <w:t>预决算套表（Z01调整预算数、决算数）；实际进度量化计算得分=80%*10=8</w:t>
            </w:r>
          </w:p>
        </w:tc>
        <w:tc>
          <w:tcPr>
            <w:tcW w:w="0" w:type="auto"/>
            <w:shd w:val="clear" w:color="auto" w:fill="auto"/>
            <w:noWrap w:val="0"/>
            <w:vAlign w:val="center"/>
          </w:tcPr>
          <w:p>
            <w:pPr>
              <w:spacing w:line="220" w:lineRule="exact"/>
              <w:jc w:val="left"/>
              <w:rPr>
                <w:rFonts w:eastAsia="仿宋_GB2312"/>
                <w:bCs/>
                <w:kern w:val="0"/>
                <w:szCs w:val="21"/>
              </w:rPr>
            </w:pPr>
          </w:p>
        </w:tc>
        <w:tc>
          <w:tcPr>
            <w:tcW w:w="48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continue"/>
            <w:shd w:val="clear" w:color="auto" w:fill="auto"/>
            <w:noWrap w:val="0"/>
            <w:vAlign w:val="center"/>
          </w:tcPr>
          <w:p>
            <w:pPr>
              <w:spacing w:line="240" w:lineRule="exact"/>
              <w:jc w:val="left"/>
              <w:rPr>
                <w:rFonts w:eastAsia="仿宋_GB2312"/>
                <w:bCs/>
                <w:kern w:val="0"/>
                <w:szCs w:val="21"/>
              </w:rPr>
            </w:pPr>
          </w:p>
        </w:tc>
        <w:tc>
          <w:tcPr>
            <w:tcW w:w="863" w:type="dxa"/>
            <w:vMerge w:val="continue"/>
            <w:shd w:val="clear" w:color="auto" w:fill="auto"/>
            <w:noWrap w:val="0"/>
            <w:vAlign w:val="center"/>
          </w:tcPr>
          <w:p>
            <w:pPr>
              <w:spacing w:line="220" w:lineRule="exact"/>
              <w:jc w:val="left"/>
              <w:rPr>
                <w:rFonts w:eastAsia="仿宋_GB2312"/>
                <w:bCs/>
                <w:kern w:val="0"/>
                <w:szCs w:val="21"/>
              </w:rPr>
            </w:pPr>
          </w:p>
        </w:tc>
        <w:tc>
          <w:tcPr>
            <w:tcW w:w="536"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违规记录</w:t>
            </w:r>
          </w:p>
        </w:tc>
        <w:tc>
          <w:tcPr>
            <w:tcW w:w="440"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p>
        </w:tc>
        <w:tc>
          <w:tcPr>
            <w:tcW w:w="1572"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根据审计监督、财政检查结果反映部门上一年度部门预算管理是否合规。</w:t>
            </w:r>
          </w:p>
        </w:tc>
        <w:tc>
          <w:tcPr>
            <w:tcW w:w="3026"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依据上一年度审计监督、财政检查结果，出现部门预算管理方面违纪违规问题的，每个问题扣0.5分，直至扣完。</w:t>
            </w:r>
          </w:p>
        </w:tc>
        <w:tc>
          <w:tcPr>
            <w:tcW w:w="558" w:type="dxa"/>
            <w:shd w:val="clear" w:color="auto" w:fill="auto"/>
            <w:noWrap w:val="0"/>
            <w:vAlign w:val="center"/>
          </w:tcPr>
          <w:p>
            <w:pPr>
              <w:spacing w:line="220" w:lineRule="exact"/>
              <w:jc w:val="left"/>
              <w:rPr>
                <w:rFonts w:eastAsia="仿宋_GB2312"/>
                <w:bCs/>
                <w:kern w:val="0"/>
                <w:szCs w:val="21"/>
              </w:rPr>
            </w:pPr>
          </w:p>
        </w:tc>
        <w:tc>
          <w:tcPr>
            <w:tcW w:w="55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20" w:lineRule="exact"/>
              <w:jc w:val="left"/>
              <w:rPr>
                <w:rFonts w:eastAsia="仿宋_GB2312"/>
                <w:bCs/>
                <w:kern w:val="0"/>
                <w:szCs w:val="21"/>
              </w:rPr>
            </w:pPr>
          </w:p>
        </w:tc>
        <w:tc>
          <w:tcPr>
            <w:tcW w:w="2389" w:type="dxa"/>
            <w:shd w:val="clear" w:color="auto" w:fill="FFFFFF"/>
            <w:noWrap w:val="0"/>
            <w:vAlign w:val="center"/>
          </w:tcPr>
          <w:p>
            <w:pPr>
              <w:spacing w:line="220" w:lineRule="exact"/>
              <w:jc w:val="left"/>
              <w:rPr>
                <w:rFonts w:eastAsia="仿宋_GB2312"/>
                <w:bCs/>
                <w:kern w:val="0"/>
                <w:szCs w:val="21"/>
              </w:rPr>
            </w:pPr>
            <w:r>
              <w:rPr>
                <w:rFonts w:eastAsia="仿宋_GB2312"/>
                <w:bCs/>
                <w:kern w:val="0"/>
                <w:szCs w:val="21"/>
              </w:rPr>
              <w:t>上一年度的审计监督、财政检查报告</w:t>
            </w:r>
          </w:p>
        </w:tc>
        <w:tc>
          <w:tcPr>
            <w:tcW w:w="0" w:type="auto"/>
            <w:shd w:val="clear" w:color="auto" w:fill="auto"/>
            <w:noWrap w:val="0"/>
            <w:vAlign w:val="center"/>
          </w:tcPr>
          <w:p>
            <w:pPr>
              <w:spacing w:line="220" w:lineRule="exact"/>
              <w:jc w:val="left"/>
              <w:rPr>
                <w:rFonts w:eastAsia="仿宋_GB2312"/>
                <w:bCs/>
                <w:kern w:val="0"/>
                <w:szCs w:val="21"/>
              </w:rPr>
            </w:pPr>
          </w:p>
        </w:tc>
        <w:tc>
          <w:tcPr>
            <w:tcW w:w="48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restart"/>
            <w:shd w:val="clear" w:color="auto" w:fill="auto"/>
            <w:noWrap w:val="0"/>
            <w:vAlign w:val="center"/>
          </w:tcPr>
          <w:p>
            <w:pPr>
              <w:spacing w:line="240" w:lineRule="exact"/>
              <w:jc w:val="center"/>
              <w:rPr>
                <w:rFonts w:eastAsia="仿宋_GB2312"/>
                <w:bCs/>
                <w:kern w:val="0"/>
                <w:szCs w:val="21"/>
              </w:rPr>
            </w:pPr>
            <w:r>
              <w:rPr>
                <w:rFonts w:eastAsia="仿宋_GB2312"/>
                <w:bCs/>
                <w:kern w:val="0"/>
                <w:szCs w:val="21"/>
              </w:rPr>
              <w:t>绩效结果应用（10分）</w:t>
            </w:r>
          </w:p>
        </w:tc>
        <w:tc>
          <w:tcPr>
            <w:tcW w:w="863" w:type="dxa"/>
            <w:vMerge w:val="restart"/>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信息公开（6分）</w:t>
            </w:r>
          </w:p>
        </w:tc>
        <w:tc>
          <w:tcPr>
            <w:tcW w:w="536"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目标公开</w:t>
            </w:r>
          </w:p>
        </w:tc>
        <w:tc>
          <w:tcPr>
            <w:tcW w:w="440"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3</w:t>
            </w:r>
          </w:p>
        </w:tc>
        <w:tc>
          <w:tcPr>
            <w:tcW w:w="440"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p>
        </w:tc>
        <w:tc>
          <w:tcPr>
            <w:tcW w:w="1572"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评价部门绩效目标是否按要求向社会公开。</w:t>
            </w:r>
          </w:p>
        </w:tc>
        <w:tc>
          <w:tcPr>
            <w:tcW w:w="3026"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按要求随同预算公开的，得3分。</w:t>
            </w:r>
          </w:p>
        </w:tc>
        <w:tc>
          <w:tcPr>
            <w:tcW w:w="558" w:type="dxa"/>
            <w:shd w:val="clear" w:color="auto" w:fill="auto"/>
            <w:noWrap w:val="0"/>
            <w:vAlign w:val="center"/>
          </w:tcPr>
          <w:p>
            <w:pPr>
              <w:spacing w:line="220" w:lineRule="exact"/>
              <w:jc w:val="center"/>
              <w:rPr>
                <w:rFonts w:eastAsia="仿宋_GB2312"/>
                <w:bCs/>
                <w:kern w:val="0"/>
                <w:szCs w:val="21"/>
              </w:rPr>
            </w:pPr>
          </w:p>
        </w:tc>
        <w:tc>
          <w:tcPr>
            <w:tcW w:w="55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20" w:lineRule="exact"/>
              <w:jc w:val="left"/>
              <w:rPr>
                <w:rFonts w:eastAsia="仿宋_GB2312"/>
                <w:bCs/>
                <w:kern w:val="0"/>
                <w:szCs w:val="21"/>
              </w:rPr>
            </w:pPr>
          </w:p>
        </w:tc>
        <w:tc>
          <w:tcPr>
            <w:tcW w:w="2389"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人民政府信息公开网—预决算公开栏</w:t>
            </w:r>
          </w:p>
        </w:tc>
        <w:tc>
          <w:tcPr>
            <w:tcW w:w="0" w:type="auto"/>
            <w:shd w:val="clear" w:color="auto" w:fill="auto"/>
            <w:noWrap w:val="0"/>
            <w:vAlign w:val="center"/>
          </w:tcPr>
          <w:p>
            <w:pPr>
              <w:spacing w:line="220" w:lineRule="exact"/>
              <w:jc w:val="left"/>
              <w:rPr>
                <w:rFonts w:eastAsia="仿宋_GB2312"/>
                <w:bCs/>
                <w:kern w:val="0"/>
                <w:szCs w:val="21"/>
              </w:rPr>
            </w:pPr>
          </w:p>
        </w:tc>
        <w:tc>
          <w:tcPr>
            <w:tcW w:w="48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continue"/>
            <w:shd w:val="clear" w:color="auto" w:fill="auto"/>
            <w:noWrap w:val="0"/>
            <w:vAlign w:val="center"/>
          </w:tcPr>
          <w:p>
            <w:pPr>
              <w:spacing w:line="240" w:lineRule="exact"/>
              <w:jc w:val="left"/>
              <w:rPr>
                <w:rFonts w:eastAsia="仿宋_GB2312"/>
                <w:bCs/>
                <w:kern w:val="0"/>
                <w:szCs w:val="21"/>
              </w:rPr>
            </w:pPr>
          </w:p>
        </w:tc>
        <w:tc>
          <w:tcPr>
            <w:tcW w:w="863" w:type="dxa"/>
            <w:vMerge w:val="continue"/>
            <w:shd w:val="clear" w:color="auto" w:fill="auto"/>
            <w:noWrap w:val="0"/>
            <w:vAlign w:val="center"/>
          </w:tcPr>
          <w:p>
            <w:pPr>
              <w:spacing w:line="220" w:lineRule="exact"/>
              <w:jc w:val="left"/>
              <w:rPr>
                <w:rFonts w:eastAsia="仿宋_GB2312"/>
                <w:bCs/>
                <w:kern w:val="0"/>
                <w:szCs w:val="21"/>
              </w:rPr>
            </w:pPr>
          </w:p>
        </w:tc>
        <w:tc>
          <w:tcPr>
            <w:tcW w:w="536"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自评公开</w:t>
            </w:r>
          </w:p>
        </w:tc>
        <w:tc>
          <w:tcPr>
            <w:tcW w:w="440"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3</w:t>
            </w:r>
          </w:p>
        </w:tc>
        <w:tc>
          <w:tcPr>
            <w:tcW w:w="440"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p>
        </w:tc>
        <w:tc>
          <w:tcPr>
            <w:tcW w:w="1572" w:type="dxa"/>
            <w:shd w:val="clear" w:color="auto" w:fill="auto"/>
            <w:noWrap w:val="0"/>
            <w:vAlign w:val="center"/>
          </w:tcPr>
          <w:p>
            <w:pPr>
              <w:spacing w:line="220" w:lineRule="exact"/>
              <w:jc w:val="left"/>
              <w:rPr>
                <w:rFonts w:eastAsia="仿宋_GB2312"/>
                <w:bCs/>
                <w:spacing w:val="-8"/>
                <w:kern w:val="0"/>
                <w:szCs w:val="21"/>
              </w:rPr>
            </w:pPr>
            <w:r>
              <w:rPr>
                <w:rFonts w:eastAsia="仿宋_GB2312"/>
                <w:bCs/>
                <w:spacing w:val="-8"/>
                <w:kern w:val="0"/>
                <w:szCs w:val="21"/>
              </w:rPr>
              <w:t>评价部门是否按要求将部门整体绩效自评情况和自行组织的评价情况向社会公开。</w:t>
            </w:r>
          </w:p>
        </w:tc>
        <w:tc>
          <w:tcPr>
            <w:tcW w:w="3026"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按要求随同决算公开的，得3分。</w:t>
            </w:r>
          </w:p>
        </w:tc>
        <w:tc>
          <w:tcPr>
            <w:tcW w:w="558"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w:t>
            </w:r>
          </w:p>
        </w:tc>
        <w:tc>
          <w:tcPr>
            <w:tcW w:w="559" w:type="dxa"/>
            <w:shd w:val="clear" w:color="auto" w:fill="auto"/>
            <w:noWrap w:val="0"/>
            <w:vAlign w:val="center"/>
          </w:tcPr>
          <w:p>
            <w:pPr>
              <w:spacing w:line="220" w:lineRule="exact"/>
              <w:jc w:val="left"/>
              <w:rPr>
                <w:rFonts w:eastAsia="仿宋_GB2312"/>
                <w:bCs/>
                <w:kern w:val="0"/>
                <w:szCs w:val="21"/>
              </w:rPr>
            </w:pPr>
          </w:p>
        </w:tc>
        <w:tc>
          <w:tcPr>
            <w:tcW w:w="1764" w:type="dxa"/>
            <w:shd w:val="clear" w:color="auto" w:fill="auto"/>
            <w:noWrap w:val="0"/>
            <w:vAlign w:val="center"/>
          </w:tcPr>
          <w:p>
            <w:pPr>
              <w:spacing w:line="220" w:lineRule="exact"/>
              <w:jc w:val="left"/>
              <w:rPr>
                <w:rFonts w:eastAsia="仿宋_GB2312"/>
                <w:bCs/>
                <w:kern w:val="0"/>
                <w:szCs w:val="21"/>
              </w:rPr>
            </w:pPr>
          </w:p>
        </w:tc>
        <w:tc>
          <w:tcPr>
            <w:tcW w:w="2389"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人民政府信息公开网—预决算公开栏</w:t>
            </w:r>
          </w:p>
        </w:tc>
        <w:tc>
          <w:tcPr>
            <w:tcW w:w="0" w:type="auto"/>
            <w:shd w:val="clear" w:color="auto" w:fill="auto"/>
            <w:noWrap w:val="0"/>
            <w:vAlign w:val="center"/>
          </w:tcPr>
          <w:p>
            <w:pPr>
              <w:spacing w:line="220" w:lineRule="exact"/>
              <w:jc w:val="left"/>
              <w:rPr>
                <w:rFonts w:eastAsia="仿宋_GB2312"/>
                <w:bCs/>
                <w:kern w:val="0"/>
                <w:szCs w:val="21"/>
              </w:rPr>
            </w:pPr>
          </w:p>
        </w:tc>
        <w:tc>
          <w:tcPr>
            <w:tcW w:w="48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continue"/>
            <w:shd w:val="clear" w:color="auto" w:fill="auto"/>
            <w:noWrap w:val="0"/>
            <w:vAlign w:val="center"/>
          </w:tcPr>
          <w:p>
            <w:pPr>
              <w:spacing w:line="240" w:lineRule="exact"/>
              <w:jc w:val="left"/>
              <w:rPr>
                <w:rFonts w:eastAsia="仿宋_GB2312"/>
                <w:bCs/>
                <w:kern w:val="0"/>
                <w:szCs w:val="21"/>
              </w:rPr>
            </w:pPr>
          </w:p>
        </w:tc>
        <w:tc>
          <w:tcPr>
            <w:tcW w:w="863" w:type="dxa"/>
            <w:vMerge w:val="restart"/>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整改反馈（4分）</w:t>
            </w:r>
          </w:p>
        </w:tc>
        <w:tc>
          <w:tcPr>
            <w:tcW w:w="536"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结果整改</w:t>
            </w:r>
          </w:p>
        </w:tc>
        <w:tc>
          <w:tcPr>
            <w:tcW w:w="440"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2</w:t>
            </w:r>
          </w:p>
        </w:tc>
        <w:tc>
          <w:tcPr>
            <w:tcW w:w="440"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p>
        </w:tc>
        <w:tc>
          <w:tcPr>
            <w:tcW w:w="1572" w:type="dxa"/>
            <w:shd w:val="clear" w:color="auto" w:fill="auto"/>
            <w:noWrap w:val="0"/>
            <w:vAlign w:val="center"/>
          </w:tcPr>
          <w:p>
            <w:pPr>
              <w:spacing w:line="220" w:lineRule="exact"/>
              <w:jc w:val="left"/>
              <w:rPr>
                <w:rFonts w:eastAsia="仿宋_GB2312"/>
                <w:bCs/>
                <w:spacing w:val="-8"/>
                <w:kern w:val="0"/>
                <w:szCs w:val="21"/>
              </w:rPr>
            </w:pPr>
            <w:r>
              <w:rPr>
                <w:rFonts w:eastAsia="仿宋_GB2312"/>
                <w:bCs/>
                <w:spacing w:val="-8"/>
                <w:kern w:val="0"/>
                <w:szCs w:val="21"/>
              </w:rPr>
              <w:t>评价部门根据绩效管理结果整改问题、完善政策、改进管理的情况。</w:t>
            </w:r>
          </w:p>
        </w:tc>
        <w:tc>
          <w:tcPr>
            <w:tcW w:w="3026"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针对绩效管理过程中（包括绩效目标核查、绩效监控核查和重点绩效评价）提出的问题，发现一处未整改的，扣1分，直至扣完。</w:t>
            </w:r>
          </w:p>
        </w:tc>
        <w:tc>
          <w:tcPr>
            <w:tcW w:w="558"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w:t>
            </w:r>
          </w:p>
        </w:tc>
        <w:tc>
          <w:tcPr>
            <w:tcW w:w="559" w:type="dxa"/>
            <w:shd w:val="clear" w:color="auto" w:fill="auto"/>
            <w:noWrap w:val="0"/>
            <w:vAlign w:val="center"/>
          </w:tcPr>
          <w:p>
            <w:pPr>
              <w:spacing w:line="220" w:lineRule="exact"/>
              <w:jc w:val="left"/>
              <w:rPr>
                <w:rFonts w:eastAsia="仿宋_GB2312"/>
                <w:bCs/>
                <w:kern w:val="0"/>
                <w:szCs w:val="21"/>
              </w:rPr>
            </w:pPr>
          </w:p>
        </w:tc>
        <w:tc>
          <w:tcPr>
            <w:tcW w:w="1764" w:type="dxa"/>
            <w:shd w:val="clear" w:color="auto" w:fill="auto"/>
            <w:noWrap w:val="0"/>
            <w:vAlign w:val="center"/>
          </w:tcPr>
          <w:p>
            <w:pPr>
              <w:spacing w:line="220" w:lineRule="exact"/>
              <w:jc w:val="left"/>
              <w:rPr>
                <w:rFonts w:eastAsia="仿宋_GB2312"/>
                <w:bCs/>
                <w:kern w:val="0"/>
                <w:szCs w:val="21"/>
              </w:rPr>
            </w:pPr>
          </w:p>
        </w:tc>
        <w:tc>
          <w:tcPr>
            <w:tcW w:w="2389"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结果整改说明、整改报告，现场检查</w:t>
            </w:r>
          </w:p>
        </w:tc>
        <w:tc>
          <w:tcPr>
            <w:tcW w:w="0" w:type="auto"/>
            <w:shd w:val="clear" w:color="auto" w:fill="auto"/>
            <w:noWrap w:val="0"/>
            <w:vAlign w:val="center"/>
          </w:tcPr>
          <w:p>
            <w:pPr>
              <w:spacing w:line="220" w:lineRule="exact"/>
              <w:jc w:val="left"/>
              <w:rPr>
                <w:rFonts w:eastAsia="仿宋_GB2312"/>
                <w:bCs/>
                <w:kern w:val="0"/>
                <w:szCs w:val="21"/>
              </w:rPr>
            </w:pPr>
          </w:p>
        </w:tc>
        <w:tc>
          <w:tcPr>
            <w:tcW w:w="48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vMerge w:val="continue"/>
            <w:shd w:val="clear" w:color="auto" w:fill="auto"/>
            <w:noWrap w:val="0"/>
            <w:vAlign w:val="center"/>
          </w:tcPr>
          <w:p>
            <w:pPr>
              <w:spacing w:line="240" w:lineRule="exact"/>
              <w:jc w:val="left"/>
              <w:rPr>
                <w:rFonts w:eastAsia="仿宋_GB2312"/>
                <w:bCs/>
                <w:kern w:val="0"/>
                <w:szCs w:val="21"/>
              </w:rPr>
            </w:pPr>
          </w:p>
        </w:tc>
        <w:tc>
          <w:tcPr>
            <w:tcW w:w="863" w:type="dxa"/>
            <w:vMerge w:val="continue"/>
            <w:shd w:val="clear" w:color="auto" w:fill="auto"/>
            <w:noWrap w:val="0"/>
            <w:vAlign w:val="center"/>
          </w:tcPr>
          <w:p>
            <w:pPr>
              <w:spacing w:line="220" w:lineRule="exact"/>
              <w:jc w:val="left"/>
              <w:rPr>
                <w:rFonts w:eastAsia="仿宋_GB2312"/>
                <w:bCs/>
                <w:kern w:val="0"/>
                <w:szCs w:val="21"/>
              </w:rPr>
            </w:pPr>
          </w:p>
        </w:tc>
        <w:tc>
          <w:tcPr>
            <w:tcW w:w="536"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应用反馈</w:t>
            </w:r>
          </w:p>
        </w:tc>
        <w:tc>
          <w:tcPr>
            <w:tcW w:w="440"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2</w:t>
            </w:r>
          </w:p>
        </w:tc>
        <w:tc>
          <w:tcPr>
            <w:tcW w:w="440"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p>
        </w:tc>
        <w:tc>
          <w:tcPr>
            <w:tcW w:w="1572" w:type="dxa"/>
            <w:shd w:val="clear" w:color="auto" w:fill="auto"/>
            <w:noWrap w:val="0"/>
            <w:vAlign w:val="center"/>
          </w:tcPr>
          <w:p>
            <w:pPr>
              <w:spacing w:line="220" w:lineRule="exact"/>
              <w:jc w:val="left"/>
              <w:rPr>
                <w:rFonts w:eastAsia="仿宋_GB2312"/>
                <w:bCs/>
                <w:spacing w:val="-8"/>
                <w:kern w:val="0"/>
                <w:szCs w:val="21"/>
              </w:rPr>
            </w:pPr>
            <w:r>
              <w:rPr>
                <w:rFonts w:eastAsia="仿宋_GB2312"/>
                <w:bCs/>
                <w:spacing w:val="-8"/>
                <w:kern w:val="0"/>
                <w:szCs w:val="21"/>
              </w:rPr>
              <w:t>评价部门按要求及时向财政部门反馈结果应用情况。</w:t>
            </w:r>
          </w:p>
        </w:tc>
        <w:tc>
          <w:tcPr>
            <w:tcW w:w="3026"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部门在规定时间内向财政部门反馈应用绩效结果报告的，得满分，否则不得分。</w:t>
            </w:r>
          </w:p>
        </w:tc>
        <w:tc>
          <w:tcPr>
            <w:tcW w:w="558"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w:t>
            </w:r>
          </w:p>
        </w:tc>
        <w:tc>
          <w:tcPr>
            <w:tcW w:w="55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20" w:lineRule="exact"/>
              <w:jc w:val="left"/>
              <w:rPr>
                <w:rFonts w:eastAsia="仿宋_GB2312"/>
                <w:bCs/>
                <w:kern w:val="0"/>
                <w:szCs w:val="21"/>
              </w:rPr>
            </w:pPr>
          </w:p>
        </w:tc>
        <w:tc>
          <w:tcPr>
            <w:tcW w:w="2389"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根据财政部门要求反馈的时间限制。</w:t>
            </w:r>
          </w:p>
        </w:tc>
        <w:tc>
          <w:tcPr>
            <w:tcW w:w="0" w:type="auto"/>
            <w:shd w:val="clear" w:color="auto" w:fill="auto"/>
            <w:noWrap w:val="0"/>
            <w:vAlign w:val="center"/>
          </w:tcPr>
          <w:p>
            <w:pPr>
              <w:spacing w:line="220" w:lineRule="exact"/>
              <w:jc w:val="left"/>
              <w:rPr>
                <w:rFonts w:eastAsia="仿宋_GB2312"/>
                <w:bCs/>
                <w:kern w:val="0"/>
                <w:szCs w:val="21"/>
              </w:rPr>
            </w:pPr>
          </w:p>
        </w:tc>
        <w:tc>
          <w:tcPr>
            <w:tcW w:w="48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0" w:type="auto"/>
            <w:shd w:val="clear" w:color="auto" w:fill="auto"/>
            <w:noWrap w:val="0"/>
            <w:vAlign w:val="center"/>
          </w:tcPr>
          <w:p>
            <w:pPr>
              <w:spacing w:line="240" w:lineRule="exact"/>
              <w:jc w:val="left"/>
              <w:rPr>
                <w:rFonts w:eastAsia="仿宋_GB2312"/>
                <w:bCs/>
                <w:kern w:val="0"/>
                <w:szCs w:val="21"/>
              </w:rPr>
            </w:pPr>
            <w:r>
              <w:rPr>
                <w:rFonts w:eastAsia="仿宋_GB2312"/>
                <w:bCs/>
                <w:kern w:val="0"/>
                <w:szCs w:val="21"/>
              </w:rPr>
              <w:t>自评质量（10分）</w:t>
            </w:r>
          </w:p>
        </w:tc>
        <w:tc>
          <w:tcPr>
            <w:tcW w:w="863"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自评质量（10分）</w:t>
            </w:r>
          </w:p>
        </w:tc>
        <w:tc>
          <w:tcPr>
            <w:tcW w:w="536"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自评准确</w:t>
            </w:r>
          </w:p>
        </w:tc>
        <w:tc>
          <w:tcPr>
            <w:tcW w:w="440"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10</w:t>
            </w:r>
          </w:p>
        </w:tc>
        <w:tc>
          <w:tcPr>
            <w:tcW w:w="440"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p>
        </w:tc>
        <w:tc>
          <w:tcPr>
            <w:tcW w:w="1572"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评价部门整体支出自评准确率。</w:t>
            </w:r>
          </w:p>
        </w:tc>
        <w:tc>
          <w:tcPr>
            <w:tcW w:w="3026" w:type="dxa"/>
            <w:shd w:val="clear" w:color="auto" w:fill="auto"/>
            <w:noWrap w:val="0"/>
            <w:vAlign w:val="center"/>
          </w:tcPr>
          <w:p>
            <w:pPr>
              <w:spacing w:line="220" w:lineRule="exact"/>
              <w:jc w:val="left"/>
              <w:rPr>
                <w:rFonts w:eastAsia="仿宋_GB2312"/>
                <w:bCs/>
                <w:kern w:val="0"/>
                <w:szCs w:val="21"/>
              </w:rPr>
            </w:pPr>
            <w:r>
              <w:rPr>
                <w:rFonts w:eastAsia="仿宋_GB2312"/>
                <w:bCs/>
                <w:kern w:val="0"/>
                <w:szCs w:val="21"/>
              </w:rPr>
              <w:t>部门整体支出自评得分与评价组抽查得分差异在5%以内的，不扣分；在5%-10%之间的，扣4分，在10%-20%的，扣8分，在20%以上的，扣10分。（部门在自评时，此项指标无需打分，部门自评满分为90分）</w:t>
            </w:r>
          </w:p>
        </w:tc>
        <w:tc>
          <w:tcPr>
            <w:tcW w:w="558" w:type="dxa"/>
            <w:shd w:val="clear" w:color="auto" w:fill="auto"/>
            <w:noWrap w:val="0"/>
            <w:vAlign w:val="center"/>
          </w:tcPr>
          <w:p>
            <w:pPr>
              <w:spacing w:line="220" w:lineRule="exact"/>
              <w:jc w:val="left"/>
              <w:rPr>
                <w:rFonts w:eastAsia="仿宋_GB2312"/>
                <w:bCs/>
                <w:kern w:val="0"/>
                <w:szCs w:val="21"/>
              </w:rPr>
            </w:pPr>
          </w:p>
        </w:tc>
        <w:tc>
          <w:tcPr>
            <w:tcW w:w="55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w:t>
            </w:r>
          </w:p>
        </w:tc>
        <w:tc>
          <w:tcPr>
            <w:tcW w:w="1764" w:type="dxa"/>
            <w:shd w:val="clear" w:color="auto" w:fill="auto"/>
            <w:noWrap w:val="0"/>
            <w:vAlign w:val="center"/>
          </w:tcPr>
          <w:p>
            <w:pPr>
              <w:spacing w:line="220" w:lineRule="exact"/>
              <w:jc w:val="left"/>
              <w:rPr>
                <w:rFonts w:eastAsia="仿宋_GB2312"/>
                <w:bCs/>
                <w:kern w:val="0"/>
                <w:szCs w:val="21"/>
              </w:rPr>
            </w:pPr>
          </w:p>
        </w:tc>
        <w:tc>
          <w:tcPr>
            <w:tcW w:w="2389" w:type="dxa"/>
            <w:shd w:val="clear" w:color="auto" w:fill="auto"/>
            <w:noWrap w:val="0"/>
            <w:vAlign w:val="center"/>
          </w:tcPr>
          <w:p>
            <w:pPr>
              <w:spacing w:line="220" w:lineRule="exact"/>
              <w:jc w:val="left"/>
              <w:rPr>
                <w:rFonts w:eastAsia="仿宋_GB2312"/>
                <w:bCs/>
                <w:kern w:val="0"/>
                <w:szCs w:val="21"/>
              </w:rPr>
            </w:pPr>
          </w:p>
        </w:tc>
        <w:tc>
          <w:tcPr>
            <w:tcW w:w="0" w:type="auto"/>
            <w:shd w:val="clear" w:color="auto" w:fill="auto"/>
            <w:noWrap w:val="0"/>
            <w:vAlign w:val="center"/>
          </w:tcPr>
          <w:p>
            <w:pPr>
              <w:spacing w:line="220" w:lineRule="exact"/>
              <w:jc w:val="left"/>
              <w:rPr>
                <w:rFonts w:eastAsia="仿宋_GB2312"/>
                <w:bCs/>
                <w:kern w:val="0"/>
                <w:szCs w:val="21"/>
              </w:rPr>
            </w:pPr>
          </w:p>
        </w:tc>
        <w:tc>
          <w:tcPr>
            <w:tcW w:w="489" w:type="dxa"/>
            <w:shd w:val="clear" w:color="auto" w:fill="auto"/>
            <w:noWrap w:val="0"/>
            <w:vAlign w:val="center"/>
          </w:tcPr>
          <w:p>
            <w:pPr>
              <w:spacing w:line="220" w:lineRule="exact"/>
              <w:jc w:val="center"/>
              <w:rPr>
                <w:rFonts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 w:hRule="atLeast"/>
        </w:trPr>
        <w:tc>
          <w:tcPr>
            <w:tcW w:w="1550" w:type="dxa"/>
            <w:gridSpan w:val="2"/>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自评总分</w:t>
            </w:r>
          </w:p>
        </w:tc>
        <w:tc>
          <w:tcPr>
            <w:tcW w:w="536"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90</w:t>
            </w:r>
          </w:p>
        </w:tc>
        <w:tc>
          <w:tcPr>
            <w:tcW w:w="440" w:type="dxa"/>
            <w:shd w:val="clear" w:color="auto" w:fill="auto"/>
            <w:noWrap w:val="0"/>
            <w:vAlign w:val="center"/>
          </w:tcPr>
          <w:p>
            <w:pPr>
              <w:spacing w:line="220" w:lineRule="exact"/>
              <w:jc w:val="center"/>
              <w:rPr>
                <w:rFonts w:eastAsia="仿宋_GB2312"/>
                <w:bCs/>
                <w:kern w:val="0"/>
                <w:szCs w:val="21"/>
              </w:rPr>
            </w:pPr>
          </w:p>
        </w:tc>
        <w:tc>
          <w:tcPr>
            <w:tcW w:w="440" w:type="dxa"/>
            <w:shd w:val="clear" w:color="auto" w:fill="auto"/>
            <w:noWrap w:val="0"/>
            <w:vAlign w:val="center"/>
          </w:tcPr>
          <w:p>
            <w:pPr>
              <w:spacing w:line="220" w:lineRule="exact"/>
              <w:jc w:val="center"/>
              <w:rPr>
                <w:rFonts w:eastAsia="仿宋_GB2312"/>
                <w:bCs/>
                <w:kern w:val="0"/>
                <w:szCs w:val="21"/>
              </w:rPr>
            </w:pPr>
          </w:p>
        </w:tc>
        <w:tc>
          <w:tcPr>
            <w:tcW w:w="1572" w:type="dxa"/>
            <w:shd w:val="clear" w:color="auto" w:fill="auto"/>
            <w:noWrap w:val="0"/>
            <w:vAlign w:val="center"/>
          </w:tcPr>
          <w:p>
            <w:pPr>
              <w:spacing w:line="220" w:lineRule="exact"/>
              <w:jc w:val="left"/>
              <w:rPr>
                <w:rFonts w:eastAsia="仿宋_GB2312"/>
                <w:bCs/>
                <w:kern w:val="0"/>
                <w:szCs w:val="21"/>
              </w:rPr>
            </w:pPr>
          </w:p>
        </w:tc>
        <w:tc>
          <w:tcPr>
            <w:tcW w:w="3026" w:type="dxa"/>
            <w:shd w:val="clear" w:color="auto" w:fill="auto"/>
            <w:noWrap w:val="0"/>
            <w:vAlign w:val="center"/>
          </w:tcPr>
          <w:p>
            <w:pPr>
              <w:spacing w:line="220" w:lineRule="exact"/>
              <w:jc w:val="left"/>
              <w:rPr>
                <w:rFonts w:eastAsia="仿宋_GB2312"/>
                <w:bCs/>
                <w:kern w:val="0"/>
                <w:szCs w:val="21"/>
              </w:rPr>
            </w:pPr>
          </w:p>
        </w:tc>
        <w:tc>
          <w:tcPr>
            <w:tcW w:w="558" w:type="dxa"/>
            <w:shd w:val="clear" w:color="auto" w:fill="auto"/>
            <w:noWrap w:val="0"/>
            <w:vAlign w:val="center"/>
          </w:tcPr>
          <w:p>
            <w:pPr>
              <w:spacing w:line="220" w:lineRule="exact"/>
              <w:jc w:val="left"/>
              <w:rPr>
                <w:rFonts w:eastAsia="仿宋_GB2312"/>
                <w:bCs/>
                <w:kern w:val="0"/>
                <w:szCs w:val="21"/>
              </w:rPr>
            </w:pPr>
          </w:p>
        </w:tc>
        <w:tc>
          <w:tcPr>
            <w:tcW w:w="559" w:type="dxa"/>
            <w:shd w:val="clear" w:color="auto" w:fill="auto"/>
            <w:noWrap w:val="0"/>
            <w:vAlign w:val="center"/>
          </w:tcPr>
          <w:p>
            <w:pPr>
              <w:spacing w:line="220" w:lineRule="exact"/>
              <w:jc w:val="left"/>
              <w:rPr>
                <w:rFonts w:eastAsia="仿宋_GB2312"/>
                <w:bCs/>
                <w:kern w:val="0"/>
                <w:szCs w:val="21"/>
              </w:rPr>
            </w:pPr>
          </w:p>
        </w:tc>
        <w:tc>
          <w:tcPr>
            <w:tcW w:w="1764" w:type="dxa"/>
            <w:shd w:val="clear" w:color="auto" w:fill="auto"/>
            <w:noWrap w:val="0"/>
            <w:vAlign w:val="center"/>
          </w:tcPr>
          <w:p>
            <w:pPr>
              <w:spacing w:line="220" w:lineRule="exact"/>
              <w:jc w:val="left"/>
              <w:rPr>
                <w:rFonts w:eastAsia="仿宋_GB2312"/>
                <w:bCs/>
                <w:kern w:val="0"/>
                <w:szCs w:val="21"/>
              </w:rPr>
            </w:pPr>
          </w:p>
        </w:tc>
        <w:tc>
          <w:tcPr>
            <w:tcW w:w="2389" w:type="dxa"/>
            <w:shd w:val="clear" w:color="auto" w:fill="auto"/>
            <w:noWrap w:val="0"/>
            <w:vAlign w:val="center"/>
          </w:tcPr>
          <w:p>
            <w:pPr>
              <w:spacing w:line="220" w:lineRule="exact"/>
              <w:jc w:val="left"/>
              <w:rPr>
                <w:rFonts w:eastAsia="仿宋_GB2312"/>
                <w:bCs/>
                <w:kern w:val="0"/>
                <w:szCs w:val="21"/>
              </w:rPr>
            </w:pPr>
          </w:p>
        </w:tc>
        <w:tc>
          <w:tcPr>
            <w:tcW w:w="0" w:type="auto"/>
            <w:shd w:val="clear" w:color="auto" w:fill="auto"/>
            <w:noWrap w:val="0"/>
            <w:vAlign w:val="center"/>
          </w:tcPr>
          <w:p>
            <w:pPr>
              <w:spacing w:line="220" w:lineRule="exact"/>
              <w:jc w:val="left"/>
              <w:rPr>
                <w:rFonts w:eastAsia="仿宋_GB2312"/>
                <w:bCs/>
                <w:kern w:val="0"/>
                <w:szCs w:val="21"/>
              </w:rPr>
            </w:pPr>
          </w:p>
        </w:tc>
        <w:tc>
          <w:tcPr>
            <w:tcW w:w="489" w:type="dxa"/>
            <w:shd w:val="clear" w:color="auto" w:fill="auto"/>
            <w:noWrap w:val="0"/>
            <w:vAlign w:val="center"/>
          </w:tcPr>
          <w:p>
            <w:pPr>
              <w:spacing w:line="220" w:lineRule="exact"/>
              <w:jc w:val="center"/>
              <w:rPr>
                <w:rFonts w:eastAsia="仿宋_GB2312"/>
                <w:bCs/>
                <w:kern w:val="0"/>
                <w:szCs w:val="21"/>
              </w:rPr>
            </w:pPr>
            <w:r>
              <w:rPr>
                <w:rFonts w:eastAsia="仿宋_GB2312"/>
                <w:bCs/>
                <w:kern w:val="0"/>
                <w:szCs w:val="21"/>
              </w:rPr>
              <w:t>86</w:t>
            </w:r>
          </w:p>
        </w:tc>
      </w:tr>
    </w:tbl>
    <w:p>
      <w:pPr>
        <w:spacing w:line="100" w:lineRule="exact"/>
        <w:rPr>
          <w:rFonts w:eastAsia="黑体"/>
          <w:sz w:val="32"/>
          <w:szCs w:val="32"/>
        </w:rPr>
        <w:sectPr>
          <w:pgSz w:w="16838" w:h="11906" w:orient="landscape"/>
          <w:pgMar w:top="1588" w:right="1134" w:bottom="1474" w:left="1134" w:header="851" w:footer="1134" w:gutter="0"/>
          <w:cols w:space="425" w:num="1"/>
          <w:docGrid w:type="linesAndChars" w:linePitch="312" w:charSpace="0"/>
        </w:sectPr>
      </w:pPr>
    </w:p>
    <w:p>
      <w:pPr>
        <w:autoSpaceDE w:val="0"/>
        <w:snapToGrid w:val="0"/>
        <w:spacing w:line="700" w:lineRule="exact"/>
        <w:jc w:val="center"/>
        <w:rPr>
          <w:rFonts w:eastAsia="方正小标宋简体"/>
          <w:sz w:val="44"/>
          <w:szCs w:val="44"/>
        </w:rPr>
      </w:pPr>
      <w:r>
        <w:rPr>
          <w:rFonts w:eastAsia="方正小标宋简体"/>
          <w:sz w:val="44"/>
          <w:szCs w:val="44"/>
        </w:rPr>
        <w:t>船山区发展和改革局项目支出绩效自评报告</w:t>
      </w:r>
    </w:p>
    <w:p>
      <w:pPr>
        <w:autoSpaceDE w:val="0"/>
        <w:snapToGrid w:val="0"/>
        <w:spacing w:line="700" w:lineRule="exact"/>
        <w:jc w:val="center"/>
        <w:rPr>
          <w:rFonts w:eastAsia="楷体_GB2312"/>
          <w:sz w:val="32"/>
          <w:szCs w:val="32"/>
        </w:rPr>
      </w:pPr>
      <w:r>
        <w:rPr>
          <w:rFonts w:eastAsia="楷体_GB2312"/>
          <w:sz w:val="32"/>
          <w:szCs w:val="32"/>
        </w:rPr>
        <w:t>（区委财经委员会办公室日常工作项目）</w:t>
      </w:r>
    </w:p>
    <w:p>
      <w:pPr>
        <w:autoSpaceDE w:val="0"/>
        <w:snapToGrid w:val="0"/>
        <w:spacing w:line="600" w:lineRule="exact"/>
        <w:ind w:firstLine="640" w:firstLineChars="200"/>
        <w:rPr>
          <w:rFonts w:eastAsia="仿宋_GB2312"/>
          <w:sz w:val="32"/>
          <w:szCs w:val="32"/>
        </w:rPr>
      </w:pPr>
      <w:r>
        <w:rPr>
          <w:rFonts w:eastAsia="仿宋_GB2312"/>
          <w:sz w:val="32"/>
          <w:szCs w:val="32"/>
        </w:rPr>
        <w:t xml:space="preserve"> </w:t>
      </w:r>
    </w:p>
    <w:p>
      <w:pPr>
        <w:autoSpaceDE w:val="0"/>
        <w:snapToGrid w:val="0"/>
        <w:spacing w:line="600" w:lineRule="exact"/>
        <w:ind w:firstLine="640" w:firstLineChars="200"/>
        <w:rPr>
          <w:rFonts w:eastAsia="黑体"/>
          <w:sz w:val="32"/>
          <w:szCs w:val="32"/>
        </w:rPr>
      </w:pPr>
      <w:r>
        <w:rPr>
          <w:rFonts w:eastAsia="黑体"/>
          <w:sz w:val="32"/>
          <w:szCs w:val="32"/>
        </w:rPr>
        <w:t>一、基本情况</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（一）项目概况</w:t>
      </w:r>
    </w:p>
    <w:p>
      <w:pPr>
        <w:spacing w:line="600" w:lineRule="exact"/>
        <w:ind w:firstLine="640" w:firstLineChars="200"/>
        <w:rPr>
          <w:rFonts w:eastAsia="仿宋_GB2312"/>
          <w:sz w:val="32"/>
          <w:szCs w:val="32"/>
        </w:rPr>
      </w:pPr>
      <w:r>
        <w:rPr>
          <w:rFonts w:eastAsia="仿宋_GB2312"/>
          <w:bCs/>
          <w:sz w:val="32"/>
          <w:szCs w:val="32"/>
        </w:rPr>
        <w:t>1．区委财经办日常工作</w:t>
      </w:r>
      <w:r>
        <w:rPr>
          <w:rFonts w:eastAsia="仿宋_GB2312"/>
          <w:sz w:val="32"/>
          <w:szCs w:val="32"/>
        </w:rPr>
        <w:t>。根据《区委财经委员会工作规则》，区委财经委员会办公室主要负责做好区委财经委员会会议承办工作，提请区委研究经济政策制定、区本级公共资金管理、区本级政府投资项目管理、区本级国有资产管理、区本级招商引资等重大事项。</w:t>
      </w:r>
    </w:p>
    <w:p>
      <w:pPr>
        <w:autoSpaceDE w:val="0"/>
        <w:adjustRightInd w:val="0"/>
        <w:snapToGrid w:val="0"/>
        <w:spacing w:line="600" w:lineRule="exact"/>
        <w:ind w:firstLine="640" w:firstLineChars="200"/>
        <w:rPr>
          <w:rFonts w:eastAsia="仿宋_GB2312"/>
          <w:sz w:val="32"/>
          <w:szCs w:val="32"/>
        </w:rPr>
      </w:pPr>
      <w:r>
        <w:rPr>
          <w:rFonts w:eastAsia="仿宋_GB2312"/>
          <w:bCs/>
          <w:sz w:val="32"/>
          <w:szCs w:val="32"/>
        </w:rPr>
        <w:t>2．区信用体系建设联席会议办公室日常工作。</w:t>
      </w:r>
      <w:r>
        <w:rPr>
          <w:rFonts w:eastAsia="仿宋_GB2312"/>
          <w:sz w:val="32"/>
          <w:szCs w:val="32"/>
        </w:rPr>
        <w:t>统筹协调全区社会信用体系建设相关工作；推进信用信息资源整合和交换，推动信用信息的开放和应用；指导、督促部门落实信用体系建设政策措施；开展信用文化建设和诚信宣传工作。</w:t>
      </w:r>
    </w:p>
    <w:p>
      <w:pPr>
        <w:autoSpaceDE w:val="0"/>
        <w:spacing w:line="600" w:lineRule="exact"/>
        <w:ind w:firstLine="640" w:firstLineChars="200"/>
        <w:rPr>
          <w:rFonts w:eastAsia="仿宋_GB2312"/>
          <w:sz w:val="32"/>
          <w:szCs w:val="32"/>
        </w:rPr>
      </w:pPr>
      <w:r>
        <w:rPr>
          <w:rFonts w:eastAsia="仿宋_GB2312"/>
          <w:bCs/>
          <w:sz w:val="32"/>
          <w:szCs w:val="32"/>
        </w:rPr>
        <w:t>3．遂宁市船山高新技术产业园区扩区工作。</w:t>
      </w:r>
      <w:r>
        <w:rPr>
          <w:rFonts w:eastAsia="仿宋_GB2312"/>
          <w:sz w:val="32"/>
          <w:szCs w:val="32"/>
        </w:rPr>
        <w:t>根据区委、区政府工作安排，牵头开展船山高新区扩区工作，统筹协调开展调度会议、资料印制、对接汇报、业务指导等工作。</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（二）项目实施情况</w:t>
      </w:r>
    </w:p>
    <w:p>
      <w:pPr>
        <w:spacing w:line="600" w:lineRule="exact"/>
        <w:ind w:firstLine="640" w:firstLineChars="200"/>
        <w:rPr>
          <w:rFonts w:eastAsia="仿宋_GB2312"/>
          <w:sz w:val="32"/>
          <w:szCs w:val="32"/>
        </w:rPr>
      </w:pPr>
      <w:r>
        <w:rPr>
          <w:rFonts w:eastAsia="仿宋_GB2312"/>
          <w:bCs/>
          <w:sz w:val="32"/>
          <w:szCs w:val="32"/>
        </w:rPr>
        <w:t>一是</w:t>
      </w:r>
      <w:r>
        <w:rPr>
          <w:rFonts w:eastAsia="仿宋_GB2312"/>
          <w:sz w:val="32"/>
          <w:szCs w:val="32"/>
        </w:rPr>
        <w:t>2023年共承办区委财经委员会会议10次，共讨论研究42个议题，会后及时印发会议纪要。</w:t>
      </w:r>
    </w:p>
    <w:p>
      <w:pPr>
        <w:spacing w:line="600" w:lineRule="exact"/>
        <w:ind w:firstLine="640" w:firstLineChars="200"/>
        <w:rPr>
          <w:rFonts w:eastAsia="仿宋_GB2312"/>
          <w:sz w:val="32"/>
          <w:szCs w:val="32"/>
        </w:rPr>
      </w:pPr>
      <w:r>
        <w:rPr>
          <w:rFonts w:eastAsia="仿宋_GB2312"/>
          <w:bCs/>
          <w:sz w:val="32"/>
          <w:szCs w:val="32"/>
        </w:rPr>
        <w:t>二是</w:t>
      </w:r>
      <w:r>
        <w:rPr>
          <w:rFonts w:eastAsia="仿宋_GB2312"/>
          <w:sz w:val="32"/>
          <w:szCs w:val="32"/>
        </w:rPr>
        <w:t>印制各类信用知识宣传折页1万3千余份、宣传海报500余张、诚信手提袋、中性笔等宣传小礼品6600余份。组织开展培训会2次。</w:t>
      </w:r>
    </w:p>
    <w:p>
      <w:pPr>
        <w:spacing w:line="600" w:lineRule="exact"/>
        <w:ind w:firstLine="640" w:firstLineChars="200"/>
        <w:rPr>
          <w:rFonts w:eastAsia="仿宋_GB2312"/>
          <w:sz w:val="32"/>
          <w:szCs w:val="32"/>
        </w:rPr>
      </w:pPr>
      <w:r>
        <w:rPr>
          <w:rFonts w:eastAsia="仿宋_GB2312"/>
          <w:bCs/>
          <w:sz w:val="32"/>
          <w:szCs w:val="32"/>
        </w:rPr>
        <w:t>三是</w:t>
      </w:r>
      <w:r>
        <w:rPr>
          <w:rFonts w:eastAsia="仿宋_GB2312"/>
          <w:sz w:val="32"/>
          <w:szCs w:val="32"/>
        </w:rPr>
        <w:t>梳理了3大类32项扩区工作任务，形成任务清单，开展调度会议30余次，编印《扩区发展规划》10本。赴省发改委对接汇报工作10余次，及时了解政策及工作进展情况。</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（三）资金投入使用情况</w:t>
      </w:r>
    </w:p>
    <w:p>
      <w:pPr>
        <w:spacing w:line="600" w:lineRule="exact"/>
        <w:ind w:firstLine="640" w:firstLineChars="200"/>
        <w:rPr>
          <w:rFonts w:eastAsia="仿宋_GB2312"/>
          <w:sz w:val="32"/>
          <w:szCs w:val="32"/>
        </w:rPr>
      </w:pPr>
      <w:r>
        <w:rPr>
          <w:rFonts w:eastAsia="仿宋_GB2312"/>
          <w:sz w:val="32"/>
          <w:szCs w:val="32"/>
        </w:rPr>
        <w:t>该项目年初预算金额为3万元，全年费用支出总额为2.81万元，包括资料打印费1万元、差旅费0.2万元、会议室租赁费0.2万元、其他交通费用0.21万元、宣传费1.2万元。与预算基本相符。</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（四）项目绩效目标</w:t>
      </w:r>
    </w:p>
    <w:p>
      <w:pPr>
        <w:spacing w:line="600" w:lineRule="exact"/>
        <w:ind w:firstLine="640" w:firstLineChars="200"/>
        <w:rPr>
          <w:rFonts w:eastAsia="仿宋_GB2312"/>
          <w:sz w:val="32"/>
          <w:szCs w:val="32"/>
        </w:rPr>
      </w:pPr>
      <w:r>
        <w:rPr>
          <w:rFonts w:eastAsia="仿宋_GB2312"/>
          <w:bCs/>
          <w:sz w:val="32"/>
          <w:szCs w:val="32"/>
        </w:rPr>
        <w:t>1．</w:t>
      </w:r>
      <w:r>
        <w:rPr>
          <w:rFonts w:eastAsia="仿宋_GB2312"/>
          <w:sz w:val="32"/>
          <w:szCs w:val="32"/>
        </w:rPr>
        <w:t>区委财经委员会会议是区委对全区经济工作集中统一领导、加快推动全面转型高质量发展的一项重要制度安排，重大事项的研究有利于科学推动全区经济社会发展。</w:t>
      </w:r>
    </w:p>
    <w:p>
      <w:pPr>
        <w:spacing w:line="600" w:lineRule="exact"/>
        <w:ind w:firstLine="640" w:firstLineChars="200"/>
        <w:rPr>
          <w:rFonts w:eastAsia="仿宋_GB2312"/>
          <w:sz w:val="32"/>
          <w:szCs w:val="32"/>
        </w:rPr>
      </w:pPr>
      <w:r>
        <w:rPr>
          <w:rFonts w:eastAsia="仿宋_GB2312"/>
          <w:bCs/>
          <w:sz w:val="32"/>
          <w:szCs w:val="32"/>
        </w:rPr>
        <w:t>2．</w:t>
      </w:r>
      <w:r>
        <w:rPr>
          <w:rFonts w:eastAsia="仿宋_GB2312"/>
          <w:sz w:val="32"/>
          <w:szCs w:val="32"/>
        </w:rPr>
        <w:t>社会信用体系建设是弘扬社会主义核心价值观、构建诚信社会、优化营商环境的重要内容，加强宣传有利于提升公民文明素养和社会文明程度，营造“知信、守信、用信、重信”的良好氛围具有重要的现实意义。</w:t>
      </w:r>
    </w:p>
    <w:p>
      <w:pPr>
        <w:spacing w:line="600" w:lineRule="exact"/>
        <w:ind w:firstLine="640" w:firstLineChars="200"/>
        <w:rPr>
          <w:rFonts w:eastAsia="仿宋_GB2312"/>
          <w:sz w:val="32"/>
          <w:szCs w:val="32"/>
        </w:rPr>
      </w:pPr>
      <w:r>
        <w:rPr>
          <w:rFonts w:eastAsia="仿宋_GB2312"/>
          <w:bCs/>
          <w:sz w:val="32"/>
          <w:szCs w:val="32"/>
        </w:rPr>
        <w:t>3．</w:t>
      </w:r>
      <w:r>
        <w:rPr>
          <w:rFonts w:eastAsia="仿宋_GB2312"/>
          <w:sz w:val="32"/>
          <w:szCs w:val="32"/>
        </w:rPr>
        <w:t>扩区成功后，将为船山区拓展3.91平方公里工业发展空间。</w:t>
      </w:r>
    </w:p>
    <w:p>
      <w:pPr>
        <w:autoSpaceDE w:val="0"/>
        <w:snapToGrid w:val="0"/>
        <w:spacing w:line="600" w:lineRule="exact"/>
        <w:ind w:firstLine="640" w:firstLineChars="200"/>
        <w:rPr>
          <w:rFonts w:eastAsia="黑体"/>
          <w:sz w:val="32"/>
          <w:szCs w:val="32"/>
        </w:rPr>
      </w:pPr>
      <w:r>
        <w:rPr>
          <w:rFonts w:eastAsia="黑体"/>
          <w:sz w:val="32"/>
          <w:szCs w:val="32"/>
        </w:rPr>
        <w:t>二、评价工作开展情况</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（一）评价组织情况</w:t>
      </w:r>
    </w:p>
    <w:p>
      <w:pPr>
        <w:autoSpaceDE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按照区财政局《关于开展2024年部门、项目、政策支出绩效自评工作的通知》要求，2023年我局绩效评价工作由财务室牵头负责，各项目负责业务股室配合。第一阶段为前期准备：由局财务室牵头，组织有关业务股室明确工作责任；第二阶段为业务股室自评：根据上一阶段任务布置，业务股室按照要求展开自评工作，并将评价结果报财务室；第三阶段为定性终评，并出具评价报告：财务室在各业务股室自评的基础上，查阅相关文件资料和财务凭证，对收集资料进行定量定性分析，综合评议后形成评价结论，出具绩效评价报告。</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（二）评价指标体系</w:t>
      </w:r>
    </w:p>
    <w:p>
      <w:pPr>
        <w:autoSpaceDE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按照《2024年区级项目支出绩效评价指标体系》确定评价指标细则。</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（村）评价方法</w:t>
      </w:r>
    </w:p>
    <w:p>
      <w:pPr>
        <w:autoSpaceDE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使用分级评分法、是否评分法、缺（错）项扣分法、比率分值法、分级评分法等方法。</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（四）评价标准</w:t>
      </w:r>
    </w:p>
    <w:p>
      <w:pPr>
        <w:pStyle w:val="19"/>
        <w:widowControl w:val="0"/>
        <w:autoSpaceDE w:val="0"/>
        <w:spacing w:before="0" w:after="0" w:line="600" w:lineRule="exact"/>
        <w:ind w:firstLine="640" w:firstLineChars="200"/>
        <w:jc w:val="both"/>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按照年初该项目工作目标制定要求，结合《2024年区级项目支出绩效评价指标体系》评价要点综合评价。</w:t>
      </w:r>
    </w:p>
    <w:p>
      <w:pPr>
        <w:autoSpaceDE w:val="0"/>
        <w:snapToGrid w:val="0"/>
        <w:spacing w:line="600" w:lineRule="exact"/>
        <w:ind w:firstLine="640" w:firstLineChars="200"/>
        <w:rPr>
          <w:rFonts w:eastAsia="黑体"/>
          <w:sz w:val="32"/>
          <w:szCs w:val="32"/>
        </w:rPr>
      </w:pPr>
      <w:r>
        <w:rPr>
          <w:rFonts w:eastAsia="黑体"/>
          <w:sz w:val="32"/>
          <w:szCs w:val="32"/>
        </w:rPr>
        <w:t>三、综合评价结论（附评分表）</w:t>
      </w:r>
    </w:p>
    <w:p>
      <w:pPr>
        <w:autoSpaceDE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经过前面的绩效分析，我局2023年</w:t>
      </w:r>
      <w:r>
        <w:rPr>
          <w:rFonts w:eastAsia="仿宋_GB2312"/>
          <w:sz w:val="32"/>
          <w:szCs w:val="32"/>
        </w:rPr>
        <w:t>区委财经办日常工作</w:t>
      </w:r>
      <w:r>
        <w:rPr>
          <w:rFonts w:eastAsia="仿宋_GB2312"/>
          <w:kern w:val="0"/>
          <w:sz w:val="32"/>
          <w:szCs w:val="32"/>
        </w:rPr>
        <w:t>项目支出绩效自评得分</w:t>
      </w:r>
      <w:r>
        <w:rPr>
          <w:rFonts w:eastAsia="仿宋_GB2312"/>
          <w:sz w:val="32"/>
          <w:szCs w:val="32"/>
        </w:rPr>
        <w:t>99.3</w:t>
      </w:r>
      <w:r>
        <w:rPr>
          <w:rFonts w:eastAsia="仿宋_GB2312"/>
          <w:kern w:val="0"/>
          <w:sz w:val="32"/>
          <w:szCs w:val="32"/>
        </w:rPr>
        <w:t>分。</w:t>
      </w:r>
    </w:p>
    <w:p>
      <w:pPr>
        <w:autoSpaceDE w:val="0"/>
        <w:snapToGrid w:val="0"/>
        <w:spacing w:line="600" w:lineRule="exact"/>
        <w:ind w:firstLine="640" w:firstLineChars="200"/>
        <w:rPr>
          <w:rFonts w:eastAsia="黑体"/>
          <w:bCs/>
          <w:sz w:val="32"/>
          <w:szCs w:val="32"/>
        </w:rPr>
      </w:pPr>
      <w:r>
        <w:rPr>
          <w:rFonts w:eastAsia="黑体"/>
          <w:bCs/>
          <w:sz w:val="32"/>
          <w:szCs w:val="32"/>
        </w:rPr>
        <w:t>四、绩效评价分析</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（一）项目决策情况</w:t>
      </w:r>
    </w:p>
    <w:p>
      <w:pPr>
        <w:spacing w:line="600" w:lineRule="exact"/>
        <w:ind w:firstLine="640" w:firstLineChars="200"/>
        <w:rPr>
          <w:rFonts w:eastAsia="仿宋_GB2312"/>
          <w:sz w:val="32"/>
          <w:szCs w:val="32"/>
        </w:rPr>
      </w:pPr>
      <w:r>
        <w:rPr>
          <w:rFonts w:eastAsia="仿宋_GB2312"/>
          <w:sz w:val="32"/>
          <w:szCs w:val="32"/>
        </w:rPr>
        <w:t>根据工作任务，提出资金申请，经党组会审定后由财经办秘书股报请区财政预算批准同意，资金共计3万元，实际支付2.81万元，符合资金审批流程。</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（二）项目管理情况</w:t>
      </w:r>
    </w:p>
    <w:p>
      <w:pPr>
        <w:autoSpaceDE w:val="0"/>
        <w:adjustRightInd w:val="0"/>
        <w:snapToGrid w:val="0"/>
        <w:spacing w:line="600" w:lineRule="exact"/>
        <w:ind w:firstLine="640" w:firstLineChars="200"/>
        <w:rPr>
          <w:rFonts w:eastAsia="仿宋_GB2312"/>
          <w:sz w:val="32"/>
          <w:szCs w:val="32"/>
        </w:rPr>
      </w:pPr>
      <w:r>
        <w:rPr>
          <w:rFonts w:eastAsia="仿宋_GB2312"/>
          <w:sz w:val="32"/>
          <w:szCs w:val="32"/>
        </w:rPr>
        <w:t>1．项目财务管理情况。</w:t>
      </w:r>
    </w:p>
    <w:p>
      <w:pPr>
        <w:spacing w:line="600" w:lineRule="exact"/>
        <w:ind w:firstLine="640" w:firstLineChars="200"/>
        <w:rPr>
          <w:rFonts w:eastAsia="仿宋_GB2312"/>
          <w:sz w:val="32"/>
          <w:szCs w:val="32"/>
        </w:rPr>
      </w:pPr>
      <w:r>
        <w:rPr>
          <w:rFonts w:eastAsia="仿宋_GB2312"/>
          <w:sz w:val="32"/>
          <w:szCs w:val="32"/>
        </w:rPr>
        <w:t>财务管理制度健全，执行制度严格合规，资金专款专用，资金支付依据和开支标准合法合规，严格按项目内容支出，未改变用途，账目清楚，确保专款专用，杜绝挪用、截留现象发生，资金使用效益高。</w:t>
      </w:r>
    </w:p>
    <w:p>
      <w:pPr>
        <w:autoSpaceDE w:val="0"/>
        <w:adjustRightInd w:val="0"/>
        <w:snapToGrid w:val="0"/>
        <w:spacing w:line="600" w:lineRule="exact"/>
        <w:ind w:firstLine="640" w:firstLineChars="200"/>
        <w:rPr>
          <w:rFonts w:eastAsia="仿宋_GB2312"/>
          <w:sz w:val="32"/>
          <w:szCs w:val="32"/>
        </w:rPr>
      </w:pPr>
      <w:r>
        <w:rPr>
          <w:rFonts w:eastAsia="仿宋_GB2312"/>
          <w:sz w:val="32"/>
          <w:szCs w:val="32"/>
        </w:rPr>
        <w:t>2．项目管理情况。</w:t>
      </w:r>
    </w:p>
    <w:p>
      <w:pPr>
        <w:spacing w:line="600" w:lineRule="exact"/>
        <w:ind w:firstLine="640" w:firstLineChars="200"/>
        <w:rPr>
          <w:rFonts w:eastAsia="仿宋_GB2312"/>
          <w:sz w:val="32"/>
          <w:szCs w:val="32"/>
        </w:rPr>
      </w:pPr>
      <w:r>
        <w:rPr>
          <w:rFonts w:eastAsia="仿宋_GB2312"/>
          <w:sz w:val="32"/>
          <w:szCs w:val="32"/>
        </w:rPr>
        <w:t>项目严格按照《四川省社会信用体系建设2023年工作要点》《区委财经委员会工作规则》等文件及相关管理办法要求组织实施，遵循相关法律法规，全程公开透明，合法合规。</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（三）项目产出情况</w:t>
      </w:r>
    </w:p>
    <w:p>
      <w:pPr>
        <w:autoSpaceDE w:val="0"/>
        <w:adjustRightInd w:val="0"/>
        <w:snapToGrid w:val="0"/>
        <w:spacing w:line="600" w:lineRule="exact"/>
        <w:ind w:firstLine="640" w:firstLineChars="200"/>
        <w:rPr>
          <w:rFonts w:eastAsia="仿宋_GB2312"/>
          <w:sz w:val="32"/>
          <w:szCs w:val="32"/>
        </w:rPr>
      </w:pPr>
      <w:r>
        <w:rPr>
          <w:rFonts w:eastAsia="仿宋_GB2312"/>
          <w:sz w:val="32"/>
          <w:szCs w:val="32"/>
        </w:rPr>
        <w:t>项目实施进度按照相关文件要求进行。一是围绕区委中心工作，及时制定区委财经委员会会议方案，拟定上会议题后，按程序报请区委财经委员会审批，严把政治关、政策关、内容关、格式关、文字关，区委财经委员会程序规范、高效有序召开。二是印制宣传品，开展集中宣传活动，向群众分发宣传品；同时通知成员单位按需领取宣传品，强化宣传效果。三是督促指导各相关单位积极开展扩区前期论证工作，已顺利通过省政府常务会审议。</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（四）项目效益情况</w:t>
      </w:r>
    </w:p>
    <w:p>
      <w:pPr>
        <w:spacing w:line="600" w:lineRule="exact"/>
        <w:ind w:firstLine="640" w:firstLineChars="200"/>
        <w:rPr>
          <w:rFonts w:eastAsia="仿宋_GB2312"/>
          <w:sz w:val="32"/>
          <w:szCs w:val="32"/>
        </w:rPr>
      </w:pPr>
      <w:r>
        <w:rPr>
          <w:rFonts w:eastAsia="仿宋_GB2312"/>
          <w:sz w:val="32"/>
          <w:szCs w:val="32"/>
        </w:rPr>
        <w:t>一是区委财经委员会会议是区委对全区经济工作集中统一领导、加快推动全面转型高质量发展的一项重要制度安排。二是对我区弘扬社会主义核心价值观，传承中华民族传统美德，提升公民文明素养和社会文明程度，营造“知信、守信、用信、重信”的良好氛围具有重要的现实意义。三是扩区成功后，将为船山区拓展3.91平方公里工业发展空间。</w:t>
      </w:r>
    </w:p>
    <w:p>
      <w:pPr>
        <w:autoSpaceDE w:val="0"/>
        <w:snapToGrid w:val="0"/>
        <w:spacing w:line="600" w:lineRule="exact"/>
        <w:ind w:firstLine="640" w:firstLineChars="200"/>
        <w:rPr>
          <w:rFonts w:eastAsia="黑体"/>
          <w:sz w:val="32"/>
          <w:szCs w:val="32"/>
        </w:rPr>
      </w:pPr>
      <w:r>
        <w:rPr>
          <w:rFonts w:eastAsia="黑体"/>
          <w:sz w:val="32"/>
          <w:szCs w:val="32"/>
        </w:rPr>
        <w:t>五、存在主要问题</w:t>
      </w:r>
    </w:p>
    <w:p>
      <w:pPr>
        <w:autoSpaceDE w:val="0"/>
        <w:adjustRightInd w:val="0"/>
        <w:snapToGrid w:val="0"/>
        <w:spacing w:line="600" w:lineRule="exact"/>
        <w:ind w:firstLine="640" w:firstLineChars="200"/>
        <w:rPr>
          <w:rFonts w:eastAsia="仿宋_GB2312"/>
          <w:sz w:val="32"/>
          <w:szCs w:val="32"/>
        </w:rPr>
      </w:pPr>
      <w:r>
        <w:rPr>
          <w:rFonts w:eastAsia="仿宋_GB2312"/>
          <w:kern w:val="0"/>
          <w:sz w:val="32"/>
          <w:szCs w:val="32"/>
        </w:rPr>
        <w:t>无。</w:t>
      </w:r>
    </w:p>
    <w:p>
      <w:pPr>
        <w:autoSpaceDE w:val="0"/>
        <w:snapToGrid w:val="0"/>
        <w:spacing w:line="600" w:lineRule="exact"/>
        <w:ind w:firstLine="640" w:firstLineChars="200"/>
        <w:rPr>
          <w:rFonts w:eastAsia="黑体"/>
          <w:sz w:val="32"/>
          <w:szCs w:val="32"/>
        </w:rPr>
      </w:pPr>
      <w:r>
        <w:rPr>
          <w:rFonts w:eastAsia="黑体"/>
          <w:sz w:val="32"/>
          <w:szCs w:val="32"/>
        </w:rPr>
        <w:t>六、相关措施建议</w:t>
      </w:r>
    </w:p>
    <w:p>
      <w:pPr>
        <w:autoSpaceDE w:val="0"/>
        <w:spacing w:line="600" w:lineRule="exact"/>
        <w:ind w:firstLine="640" w:firstLineChars="200"/>
        <w:rPr>
          <w:rFonts w:eastAsia="仿宋_GB2312"/>
          <w:kern w:val="0"/>
          <w:sz w:val="32"/>
          <w:szCs w:val="32"/>
        </w:rPr>
      </w:pPr>
      <w:r>
        <w:rPr>
          <w:rFonts w:eastAsia="仿宋_GB2312"/>
          <w:kern w:val="0"/>
          <w:sz w:val="32"/>
          <w:szCs w:val="32"/>
        </w:rPr>
        <w:t>无。</w:t>
      </w:r>
    </w:p>
    <w:p>
      <w:pPr>
        <w:spacing w:line="600" w:lineRule="exact"/>
        <w:rPr>
          <w:rFonts w:eastAsia="仿宋_GB2312"/>
          <w:sz w:val="32"/>
          <w:szCs w:val="32"/>
        </w:rPr>
        <w:sectPr>
          <w:pgSz w:w="11906" w:h="16838"/>
          <w:pgMar w:top="1701" w:right="1474" w:bottom="1701" w:left="1588" w:header="851" w:footer="1134" w:gutter="0"/>
          <w:cols w:space="425" w:num="1"/>
          <w:docGrid w:type="linesAndChars" w:linePitch="312" w:charSpace="0"/>
        </w:sectPr>
      </w:pPr>
    </w:p>
    <w:p>
      <w:pPr>
        <w:autoSpaceDE w:val="0"/>
        <w:snapToGrid w:val="0"/>
        <w:spacing w:line="700" w:lineRule="exact"/>
        <w:jc w:val="center"/>
        <w:rPr>
          <w:rFonts w:eastAsia="方正小标宋简体"/>
          <w:sz w:val="44"/>
          <w:szCs w:val="44"/>
        </w:rPr>
      </w:pPr>
      <w:r>
        <w:rPr>
          <w:rFonts w:eastAsia="方正小标宋简体"/>
          <w:sz w:val="44"/>
          <w:szCs w:val="44"/>
        </w:rPr>
        <w:t>船山区发展和改革局项目支出绩效自评报告</w:t>
      </w:r>
    </w:p>
    <w:p>
      <w:pPr>
        <w:autoSpaceDE w:val="0"/>
        <w:snapToGrid w:val="0"/>
        <w:spacing w:line="700" w:lineRule="exact"/>
        <w:jc w:val="center"/>
        <w:rPr>
          <w:rFonts w:eastAsia="楷体_GB2312"/>
          <w:sz w:val="32"/>
          <w:szCs w:val="32"/>
        </w:rPr>
      </w:pPr>
      <w:r>
        <w:rPr>
          <w:rFonts w:eastAsia="楷体_GB2312"/>
          <w:sz w:val="32"/>
          <w:szCs w:val="32"/>
        </w:rPr>
        <w:t>（全区节能减排工作经费项目）</w:t>
      </w:r>
    </w:p>
    <w:p>
      <w:pPr>
        <w:autoSpaceDE w:val="0"/>
        <w:snapToGrid w:val="0"/>
        <w:spacing w:line="600" w:lineRule="exact"/>
        <w:ind w:firstLine="640" w:firstLineChars="200"/>
        <w:jc w:val="left"/>
        <w:rPr>
          <w:rFonts w:eastAsia="仿宋_GB2312"/>
          <w:b/>
          <w:sz w:val="32"/>
          <w:szCs w:val="32"/>
        </w:rPr>
      </w:pPr>
      <w:r>
        <w:rPr>
          <w:rFonts w:eastAsia="仿宋_GB2312"/>
          <w:b/>
          <w:sz w:val="32"/>
          <w:szCs w:val="32"/>
        </w:rPr>
        <w:t xml:space="preserve"> </w:t>
      </w:r>
    </w:p>
    <w:p>
      <w:pPr>
        <w:autoSpaceDE w:val="0"/>
        <w:snapToGrid w:val="0"/>
        <w:spacing w:line="600" w:lineRule="exact"/>
        <w:ind w:firstLine="640" w:firstLineChars="200"/>
        <w:jc w:val="left"/>
        <w:rPr>
          <w:rFonts w:eastAsia="黑体"/>
          <w:sz w:val="32"/>
          <w:szCs w:val="32"/>
        </w:rPr>
      </w:pPr>
      <w:r>
        <w:rPr>
          <w:rFonts w:eastAsia="黑体"/>
          <w:sz w:val="32"/>
          <w:szCs w:val="32"/>
        </w:rPr>
        <w:t>一、基本情况</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（一）项目概况</w:t>
      </w:r>
    </w:p>
    <w:p>
      <w:pPr>
        <w:autoSpaceDE w:val="0"/>
        <w:spacing w:line="600" w:lineRule="exact"/>
        <w:ind w:firstLine="640" w:firstLineChars="200"/>
        <w:rPr>
          <w:rFonts w:eastAsia="仿宋_GB2312"/>
          <w:sz w:val="32"/>
          <w:szCs w:val="32"/>
        </w:rPr>
      </w:pPr>
      <w:r>
        <w:rPr>
          <w:rFonts w:eastAsia="仿宋_GB2312"/>
          <w:sz w:val="32"/>
          <w:szCs w:val="32"/>
        </w:rPr>
        <w:t>为深入贯彻落实党中央、国务院关于碳达峰、碳中和战略部署，围绕“三城”“三都”建设目标，加速升腾“成渝之星”，加快建设绿色低碳新高地、川渝合作“桥头堡”，如期实现碳达峰、碳中和，保障全区节能减排工作全面完成。需对拟招引项目开展能耗评估、开展节能宣传活动、对重点用能单位抽查并实施节能管理、安全检查、节能监察等。</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（二）项目实施情况</w:t>
      </w:r>
    </w:p>
    <w:p>
      <w:pPr>
        <w:autoSpaceDE w:val="0"/>
        <w:adjustRightInd w:val="0"/>
        <w:snapToGrid w:val="0"/>
        <w:spacing w:line="600" w:lineRule="exact"/>
        <w:ind w:firstLine="640" w:firstLineChars="200"/>
        <w:rPr>
          <w:rFonts w:eastAsia="仿宋_GB2312"/>
          <w:sz w:val="32"/>
          <w:szCs w:val="32"/>
        </w:rPr>
      </w:pPr>
      <w:r>
        <w:rPr>
          <w:rFonts w:eastAsia="仿宋_GB2312"/>
          <w:sz w:val="32"/>
          <w:szCs w:val="32"/>
        </w:rPr>
        <w:t>对拟招引项目开展能耗评估，开展节能宣传活动2次，对重点用能单位抽查并实施节能管理，开展节能监察1次，编制《遂宁市船山区碳达峰实施方案》。</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（三）资金投入使用情况</w:t>
      </w:r>
    </w:p>
    <w:p>
      <w:pPr>
        <w:spacing w:line="600" w:lineRule="exact"/>
        <w:ind w:firstLine="640" w:firstLineChars="200"/>
        <w:rPr>
          <w:rFonts w:eastAsia="仿宋_GB2312"/>
          <w:sz w:val="32"/>
          <w:szCs w:val="32"/>
        </w:rPr>
      </w:pPr>
      <w:r>
        <w:rPr>
          <w:rFonts w:eastAsia="仿宋_GB2312"/>
          <w:sz w:val="32"/>
          <w:szCs w:val="32"/>
        </w:rPr>
        <w:t>该项目全年预算25万元，实际支付14.71万元，其中：其它交通费0.5万元、其它商品和服务支出1.46万元、印刷费0.5万元、差旅费0.3万元、委托业务费11.95万元，与预算相差10.29万元，因为《遂宁市碳达峰实施方案》于2024年4月才印发，我区《遂宁市船山区碳达峰实施方案》预计2024年9月印发,剩余委托业务费将于2024年进行支付。</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（四）项目绩效目标</w:t>
      </w:r>
    </w:p>
    <w:p>
      <w:pPr>
        <w:spacing w:line="600" w:lineRule="exact"/>
        <w:ind w:firstLine="640" w:firstLineChars="200"/>
        <w:rPr>
          <w:rFonts w:eastAsia="仿宋_GB2312"/>
          <w:sz w:val="32"/>
          <w:szCs w:val="32"/>
        </w:rPr>
      </w:pPr>
      <w:r>
        <w:rPr>
          <w:rFonts w:eastAsia="仿宋_GB2312"/>
          <w:sz w:val="32"/>
          <w:szCs w:val="32"/>
        </w:rPr>
        <w:t>该项目实施，完成入驻项目的能耗评估、开展节能宣传3次，对3个重点用能单位抽查并实施节能管理，开展节能监察1次。</w:t>
      </w:r>
    </w:p>
    <w:p>
      <w:pPr>
        <w:autoSpaceDE w:val="0"/>
        <w:snapToGrid w:val="0"/>
        <w:spacing w:line="600" w:lineRule="exact"/>
        <w:ind w:firstLine="640" w:firstLineChars="200"/>
        <w:rPr>
          <w:rFonts w:eastAsia="黑体"/>
          <w:sz w:val="32"/>
          <w:szCs w:val="32"/>
        </w:rPr>
      </w:pPr>
      <w:r>
        <w:rPr>
          <w:rFonts w:eastAsia="黑体"/>
          <w:sz w:val="32"/>
          <w:szCs w:val="32"/>
        </w:rPr>
        <w:t>二、评价工作开展情况</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（一）评价组织情况</w:t>
      </w:r>
    </w:p>
    <w:p>
      <w:pPr>
        <w:autoSpaceDE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按照区财政局《关于开展2024年部门、项目、政策支出绩效自评工作的通知》要求，2023年我局绩效评价工作由财务室牵头负责，各项目负责业务股室配合。第一阶段为前期准备：由局财务室牵头，组织有关业务股室明确工作责任；第二阶段为业务股室自评：根据上一阶段任务布置，业务股室按照要求展开自评工作，并将评价结果报财务室；第三阶段为定性终评，并出具评价报告：财务室在各业务股室自评的基础上，查阅相关文件资料和财务凭证，对收集资料进行定量定性分析，综合评议后形成评价结论，出具绩效评价报告。</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（二）评价指标体系</w:t>
      </w:r>
    </w:p>
    <w:p>
      <w:pPr>
        <w:autoSpaceDE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按照《2024年区级项目支出绩效评价指标体系》确定评价指标细则。</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（三）评价方法</w:t>
      </w:r>
    </w:p>
    <w:p>
      <w:pPr>
        <w:autoSpaceDE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使用分级评分法、是否评分法、缺（错）项扣分法、比率分值法、分级评分法等方法。</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（四）评价标准</w:t>
      </w:r>
    </w:p>
    <w:p>
      <w:pPr>
        <w:pStyle w:val="19"/>
        <w:widowControl w:val="0"/>
        <w:autoSpaceDE w:val="0"/>
        <w:spacing w:before="0" w:after="0" w:line="600" w:lineRule="exact"/>
        <w:ind w:right="0" w:firstLine="640" w:firstLineChars="200"/>
        <w:jc w:val="left"/>
        <w:rPr>
          <w:rFonts w:ascii="Times New Roman" w:hAnsi="Times New Roman" w:eastAsia="仿宋_GB2312" w:cs="Times New Roman"/>
          <w:color w:val="auto"/>
          <w:kern w:val="0"/>
          <w:sz w:val="32"/>
          <w:szCs w:val="32"/>
          <w:lang w:val="en-US" w:eastAsia="zh-CN" w:bidi="ar-SA"/>
        </w:rPr>
      </w:pPr>
      <w:r>
        <w:rPr>
          <w:rFonts w:ascii="Times New Roman" w:hAnsi="Times New Roman" w:eastAsia="仿宋_GB2312" w:cs="Times New Roman"/>
          <w:color w:val="auto"/>
          <w:kern w:val="0"/>
          <w:sz w:val="32"/>
          <w:szCs w:val="32"/>
          <w:lang w:val="en-US" w:eastAsia="zh-CN" w:bidi="ar-SA"/>
        </w:rPr>
        <w:t>按照年初该项目工作目标制定要求，结合《2024年区级项目支出绩效评价指标体系》评价要点综合评价。</w:t>
      </w:r>
    </w:p>
    <w:p>
      <w:pPr>
        <w:autoSpaceDE w:val="0"/>
        <w:snapToGrid w:val="0"/>
        <w:spacing w:line="600" w:lineRule="exact"/>
        <w:ind w:firstLine="640" w:firstLineChars="200"/>
        <w:rPr>
          <w:rFonts w:eastAsia="黑体"/>
          <w:sz w:val="32"/>
          <w:szCs w:val="32"/>
        </w:rPr>
      </w:pPr>
      <w:r>
        <w:rPr>
          <w:rFonts w:eastAsia="黑体"/>
          <w:sz w:val="32"/>
          <w:szCs w:val="32"/>
        </w:rPr>
        <w:t>三、综合评价结论（附评分表）</w:t>
      </w:r>
    </w:p>
    <w:p>
      <w:pPr>
        <w:autoSpaceDE w:val="0"/>
        <w:adjustRightInd w:val="0"/>
        <w:snapToGrid w:val="0"/>
        <w:spacing w:line="600" w:lineRule="exact"/>
        <w:ind w:firstLine="640" w:firstLineChars="200"/>
        <w:rPr>
          <w:rFonts w:eastAsia="仿宋_GB2312"/>
          <w:kern w:val="0"/>
          <w:sz w:val="32"/>
          <w:szCs w:val="32"/>
        </w:rPr>
      </w:pPr>
      <w:r>
        <w:rPr>
          <w:rFonts w:eastAsia="仿宋_GB2312"/>
          <w:kern w:val="0"/>
          <w:sz w:val="32"/>
          <w:szCs w:val="32"/>
        </w:rPr>
        <w:t>经过前面的绩效分析，我局</w:t>
      </w:r>
      <w:r>
        <w:rPr>
          <w:rFonts w:eastAsia="仿宋_GB2312"/>
          <w:sz w:val="32"/>
          <w:szCs w:val="32"/>
        </w:rPr>
        <w:t>2023全区节能减排工作经费项目支出绩效自评得分97.53分</w:t>
      </w:r>
      <w:r>
        <w:rPr>
          <w:rFonts w:eastAsia="仿宋_GB2312"/>
          <w:kern w:val="0"/>
          <w:sz w:val="32"/>
          <w:szCs w:val="32"/>
        </w:rPr>
        <w:t>。</w:t>
      </w:r>
    </w:p>
    <w:p>
      <w:pPr>
        <w:autoSpaceDE w:val="0"/>
        <w:snapToGrid w:val="0"/>
        <w:spacing w:line="600" w:lineRule="exact"/>
        <w:ind w:firstLine="640" w:firstLineChars="200"/>
        <w:rPr>
          <w:rFonts w:eastAsia="黑体"/>
          <w:sz w:val="32"/>
          <w:szCs w:val="32"/>
        </w:rPr>
      </w:pPr>
      <w:r>
        <w:rPr>
          <w:rFonts w:eastAsia="黑体"/>
          <w:sz w:val="32"/>
          <w:szCs w:val="32"/>
        </w:rPr>
        <w:t>四、绩效评价分析</w:t>
      </w:r>
    </w:p>
    <w:p>
      <w:pPr>
        <w:autoSpaceDE w:val="0"/>
        <w:snapToGrid w:val="0"/>
        <w:spacing w:line="600" w:lineRule="exact"/>
        <w:ind w:firstLine="640" w:firstLineChars="200"/>
        <w:rPr>
          <w:rFonts w:eastAsia="黑体"/>
          <w:sz w:val="32"/>
          <w:szCs w:val="32"/>
        </w:rPr>
      </w:pPr>
      <w:r>
        <w:rPr>
          <w:rFonts w:eastAsia="楷体_GB2312"/>
          <w:bCs/>
          <w:sz w:val="32"/>
          <w:szCs w:val="32"/>
        </w:rPr>
        <w:t>（一）项目决策情况</w:t>
      </w:r>
    </w:p>
    <w:p>
      <w:pPr>
        <w:spacing w:line="600" w:lineRule="exact"/>
        <w:ind w:firstLine="640" w:firstLineChars="200"/>
        <w:rPr>
          <w:rFonts w:eastAsia="仿宋_GB2312"/>
          <w:sz w:val="32"/>
          <w:szCs w:val="32"/>
        </w:rPr>
      </w:pPr>
      <w:r>
        <w:rPr>
          <w:rFonts w:eastAsia="仿宋_GB2312"/>
          <w:sz w:val="32"/>
          <w:szCs w:val="32"/>
        </w:rPr>
        <w:t>根据工作任务，提出资金申请，经党组会审定后由农村经济股报请区财政预算批准同意，资金共计25万元，实际支付14.71万元，符合资金审批流程。</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（二）项目管理情况</w:t>
      </w:r>
    </w:p>
    <w:p>
      <w:pPr>
        <w:autoSpaceDE w:val="0"/>
        <w:adjustRightInd w:val="0"/>
        <w:snapToGrid w:val="0"/>
        <w:spacing w:line="600" w:lineRule="exact"/>
        <w:ind w:firstLine="640" w:firstLineChars="200"/>
        <w:rPr>
          <w:rFonts w:eastAsia="仿宋_GB2312"/>
          <w:sz w:val="32"/>
          <w:szCs w:val="32"/>
        </w:rPr>
      </w:pPr>
      <w:r>
        <w:rPr>
          <w:rFonts w:eastAsia="仿宋_GB2312"/>
          <w:sz w:val="32"/>
          <w:szCs w:val="32"/>
        </w:rPr>
        <w:t>1．项目财务管理情况。</w:t>
      </w:r>
    </w:p>
    <w:p>
      <w:pPr>
        <w:spacing w:line="600" w:lineRule="exact"/>
        <w:ind w:firstLine="640" w:firstLineChars="200"/>
        <w:rPr>
          <w:rFonts w:eastAsia="仿宋_GB2312"/>
          <w:sz w:val="32"/>
          <w:szCs w:val="32"/>
        </w:rPr>
      </w:pPr>
      <w:r>
        <w:rPr>
          <w:rFonts w:eastAsia="仿宋_GB2312"/>
          <w:sz w:val="32"/>
          <w:szCs w:val="32"/>
        </w:rPr>
        <w:t>财务管理制度健全，执行制度严格合规，资金专款专用，资金支付依据和开支标准合法合规，严格按项目内容支出，未改变用途，账目清楚，确保专款专用，杜绝挪用、截留现象发生，资金使用效益高。</w:t>
      </w:r>
    </w:p>
    <w:p>
      <w:pPr>
        <w:autoSpaceDE w:val="0"/>
        <w:adjustRightInd w:val="0"/>
        <w:snapToGrid w:val="0"/>
        <w:spacing w:line="600" w:lineRule="exact"/>
        <w:ind w:firstLine="640" w:firstLineChars="200"/>
        <w:rPr>
          <w:rFonts w:eastAsia="仿宋_GB2312"/>
          <w:sz w:val="32"/>
          <w:szCs w:val="32"/>
        </w:rPr>
      </w:pPr>
      <w:r>
        <w:rPr>
          <w:rFonts w:eastAsia="仿宋_GB2312"/>
          <w:sz w:val="32"/>
          <w:szCs w:val="32"/>
        </w:rPr>
        <w:t>2．项目管理情况。</w:t>
      </w:r>
    </w:p>
    <w:p>
      <w:pPr>
        <w:spacing w:line="600" w:lineRule="exact"/>
        <w:ind w:firstLine="640" w:firstLineChars="200"/>
        <w:rPr>
          <w:rFonts w:eastAsia="仿宋_GB2312"/>
          <w:sz w:val="32"/>
          <w:szCs w:val="32"/>
        </w:rPr>
      </w:pPr>
      <w:r>
        <w:rPr>
          <w:rFonts w:eastAsia="仿宋_GB2312"/>
          <w:sz w:val="32"/>
          <w:szCs w:val="32"/>
        </w:rPr>
        <w:t>项目严格按照《中华人民共和国节</w:t>
      </w:r>
      <w:r>
        <w:rPr>
          <w:rFonts w:hint="eastAsia" w:eastAsia="仿宋_GB2312"/>
          <w:sz w:val="32"/>
          <w:szCs w:val="32"/>
          <w:lang w:eastAsia="zh-CN"/>
        </w:rPr>
        <w:t>约</w:t>
      </w:r>
      <w:r>
        <w:rPr>
          <w:rFonts w:eastAsia="仿宋_GB2312"/>
          <w:sz w:val="32"/>
          <w:szCs w:val="32"/>
        </w:rPr>
        <w:t>能</w:t>
      </w:r>
      <w:r>
        <w:rPr>
          <w:rFonts w:hint="eastAsia" w:eastAsia="仿宋_GB2312"/>
          <w:sz w:val="32"/>
          <w:szCs w:val="32"/>
          <w:lang w:eastAsia="zh-CN"/>
        </w:rPr>
        <w:t>源</w:t>
      </w:r>
      <w:r>
        <w:rPr>
          <w:rFonts w:eastAsia="仿宋_GB2312"/>
          <w:sz w:val="32"/>
          <w:szCs w:val="32"/>
        </w:rPr>
        <w:t>法》</w:t>
      </w:r>
      <w:bookmarkStart w:id="139" w:name="_GoBack"/>
      <w:bookmarkEnd w:id="139"/>
      <w:r>
        <w:rPr>
          <w:rFonts w:eastAsia="仿宋_GB2312"/>
          <w:sz w:val="32"/>
          <w:szCs w:val="32"/>
        </w:rPr>
        <w:t>《四川省固定资产投资项目节能审查实施办法》《节能监察办法》等文件及相关管理办法要求组织实施，严格按项目内容支出，未改变用途，账目清楚，确保专款专用，杜绝挪用、截留现象发生，资金使用效益高。</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（三）项目产出情况</w:t>
      </w:r>
    </w:p>
    <w:p>
      <w:pPr>
        <w:autoSpaceDE w:val="0"/>
        <w:adjustRightInd w:val="0"/>
        <w:snapToGrid w:val="0"/>
        <w:spacing w:line="600" w:lineRule="exact"/>
        <w:ind w:firstLine="640" w:firstLineChars="200"/>
        <w:rPr>
          <w:rFonts w:eastAsia="仿宋_GB2312"/>
          <w:sz w:val="32"/>
          <w:szCs w:val="32"/>
        </w:rPr>
      </w:pPr>
      <w:r>
        <w:rPr>
          <w:rFonts w:eastAsia="仿宋_GB2312"/>
          <w:sz w:val="32"/>
          <w:szCs w:val="32"/>
        </w:rPr>
        <w:t>完成入驻项目的能耗评估、开展节能宣传3次，对3个重点用能单位抽查并实施节能管理，开展节能监察1次。</w:t>
      </w:r>
    </w:p>
    <w:p>
      <w:pPr>
        <w:autoSpaceDE w:val="0"/>
        <w:adjustRightInd w:val="0"/>
        <w:snapToGrid w:val="0"/>
        <w:spacing w:line="600" w:lineRule="exact"/>
        <w:ind w:firstLine="640" w:firstLineChars="200"/>
        <w:rPr>
          <w:rFonts w:eastAsia="楷体_GB2312"/>
          <w:bCs/>
          <w:sz w:val="32"/>
          <w:szCs w:val="32"/>
        </w:rPr>
      </w:pPr>
      <w:r>
        <w:rPr>
          <w:rFonts w:eastAsia="楷体_GB2312"/>
          <w:bCs/>
          <w:sz w:val="32"/>
          <w:szCs w:val="32"/>
        </w:rPr>
        <w:t>（四）项目效益情况</w:t>
      </w:r>
    </w:p>
    <w:p>
      <w:pPr>
        <w:spacing w:line="600" w:lineRule="exact"/>
        <w:ind w:firstLine="640" w:firstLineChars="200"/>
        <w:rPr>
          <w:rFonts w:eastAsia="仿宋_GB2312"/>
          <w:sz w:val="32"/>
          <w:szCs w:val="32"/>
        </w:rPr>
      </w:pPr>
      <w:r>
        <w:rPr>
          <w:rFonts w:eastAsia="仿宋_GB2312"/>
          <w:sz w:val="32"/>
          <w:szCs w:val="32"/>
        </w:rPr>
        <w:t>通过对项目的实施，一是完成驻项目的能耗评估，帮助招商企业顺利落地建设暨运营；二是开展节能宣传3次，结合工作实际，制定宣传工作方案，动员全社会人群加入节能降碳工作中，鼓励和倡导大家从身边做起、从自我做起，活动现场共发放宣传资料5000余份；三是对3个重点用能单位抽查并实施节能管理，做到节能有效。四是对1家重点用能单位开展节能监察。2023年我区单位GDP能耗下降7.3%。</w:t>
      </w:r>
    </w:p>
    <w:p>
      <w:pPr>
        <w:autoSpaceDE w:val="0"/>
        <w:snapToGrid w:val="0"/>
        <w:spacing w:line="600" w:lineRule="exact"/>
        <w:ind w:firstLine="640" w:firstLineChars="200"/>
        <w:rPr>
          <w:rFonts w:eastAsia="黑体"/>
          <w:sz w:val="32"/>
          <w:szCs w:val="32"/>
        </w:rPr>
      </w:pPr>
      <w:r>
        <w:rPr>
          <w:rFonts w:eastAsia="黑体"/>
          <w:sz w:val="32"/>
          <w:szCs w:val="32"/>
        </w:rPr>
        <w:t>五、存在主要问题</w:t>
      </w:r>
    </w:p>
    <w:p>
      <w:pPr>
        <w:autoSpaceDE w:val="0"/>
        <w:adjustRightInd w:val="0"/>
        <w:snapToGrid w:val="0"/>
        <w:spacing w:line="600" w:lineRule="exact"/>
        <w:ind w:firstLine="640" w:firstLineChars="200"/>
        <w:rPr>
          <w:rFonts w:eastAsia="仿宋_GB2312"/>
          <w:sz w:val="32"/>
          <w:szCs w:val="32"/>
        </w:rPr>
      </w:pPr>
      <w:r>
        <w:rPr>
          <w:rFonts w:eastAsia="仿宋_GB2312"/>
          <w:kern w:val="0"/>
          <w:sz w:val="32"/>
          <w:szCs w:val="32"/>
        </w:rPr>
        <w:t>无。</w:t>
      </w:r>
    </w:p>
    <w:p>
      <w:pPr>
        <w:autoSpaceDE w:val="0"/>
        <w:snapToGrid w:val="0"/>
        <w:spacing w:line="600" w:lineRule="exact"/>
        <w:ind w:firstLine="640" w:firstLineChars="200"/>
        <w:rPr>
          <w:rFonts w:eastAsia="黑体"/>
          <w:sz w:val="32"/>
          <w:szCs w:val="32"/>
        </w:rPr>
      </w:pPr>
      <w:r>
        <w:rPr>
          <w:rFonts w:eastAsia="黑体"/>
          <w:sz w:val="32"/>
          <w:szCs w:val="32"/>
        </w:rPr>
        <w:t>六、相关措施建议</w:t>
      </w:r>
    </w:p>
    <w:p>
      <w:pPr>
        <w:autoSpaceDE w:val="0"/>
        <w:spacing w:line="600" w:lineRule="exact"/>
        <w:ind w:firstLine="640" w:firstLineChars="200"/>
        <w:rPr>
          <w:rFonts w:eastAsia="仿宋_GB2312"/>
          <w:kern w:val="0"/>
          <w:sz w:val="32"/>
          <w:szCs w:val="32"/>
        </w:rPr>
      </w:pPr>
      <w:r>
        <w:rPr>
          <w:rFonts w:eastAsia="仿宋_GB2312"/>
          <w:kern w:val="0"/>
          <w:sz w:val="32"/>
          <w:szCs w:val="32"/>
        </w:rPr>
        <w:t>无。</w:t>
      </w:r>
    </w:p>
    <w:p>
      <w:pPr>
        <w:spacing w:line="600" w:lineRule="exact"/>
        <w:ind w:firstLine="640" w:firstLineChars="200"/>
        <w:rPr>
          <w:rFonts w:eastAsia="仿宋_GB2312"/>
          <w:sz w:val="32"/>
          <w:szCs w:val="32"/>
        </w:rPr>
      </w:pPr>
    </w:p>
    <w:p>
      <w:pPr>
        <w:spacing w:line="600" w:lineRule="exact"/>
        <w:rPr>
          <w:rFonts w:eastAsia="仿宋_GB2312"/>
          <w:sz w:val="32"/>
          <w:szCs w:val="32"/>
        </w:rPr>
        <w:sectPr>
          <w:pgSz w:w="11906" w:h="16838"/>
          <w:pgMar w:top="1701" w:right="1474" w:bottom="1701" w:left="1588" w:header="851" w:footer="1134" w:gutter="0"/>
          <w:cols w:space="425" w:num="1"/>
          <w:docGrid w:type="linesAndChars" w:linePitch="312" w:charSpace="0"/>
        </w:sectPr>
      </w:pPr>
    </w:p>
    <w:bookmarkEnd w:id="95"/>
    <w:bookmarkEnd w:id="96"/>
    <w:p>
      <w:pPr>
        <w:spacing w:line="600" w:lineRule="exact"/>
        <w:jc w:val="center"/>
        <w:outlineLvl w:val="0"/>
        <w:rPr>
          <w:rFonts w:hint="eastAsia" w:ascii="仿宋" w:hAnsi="仿宋" w:eastAsia="仿宋"/>
          <w:b w:val="0"/>
          <w:color w:val="auto"/>
          <w:highlight w:val="none"/>
        </w:rPr>
      </w:pPr>
      <w:bookmarkStart w:id="98" w:name="_Toc32096"/>
      <w:bookmarkStart w:id="99" w:name="_Toc17223"/>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93"/>
      <w:bookmarkEnd w:id="97"/>
      <w:bookmarkEnd w:id="98"/>
      <w:bookmarkEnd w:id="99"/>
      <w:bookmarkStart w:id="100" w:name="_Toc15396619"/>
    </w:p>
    <w:p>
      <w:pPr>
        <w:pStyle w:val="6"/>
        <w:rPr>
          <w:rFonts w:ascii="仿宋" w:hAnsi="仿宋" w:eastAsia="仿宋"/>
          <w:color w:val="auto"/>
          <w:highlight w:val="none"/>
        </w:rPr>
      </w:pPr>
      <w:bookmarkStart w:id="101" w:name="_Toc12568"/>
      <w:bookmarkStart w:id="102" w:name="_Toc18551"/>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100"/>
      <w:bookmarkEnd w:id="101"/>
      <w:bookmarkEnd w:id="102"/>
    </w:p>
    <w:p>
      <w:pPr>
        <w:pStyle w:val="6"/>
        <w:rPr>
          <w:rFonts w:ascii="仿宋" w:hAnsi="仿宋" w:eastAsia="仿宋"/>
          <w:color w:val="auto"/>
          <w:highlight w:val="none"/>
        </w:rPr>
      </w:pPr>
      <w:bookmarkStart w:id="103" w:name="_Toc15084"/>
      <w:bookmarkStart w:id="104" w:name="_Toc16066"/>
      <w:bookmarkStart w:id="105"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103"/>
      <w:bookmarkEnd w:id="104"/>
      <w:bookmarkEnd w:id="105"/>
    </w:p>
    <w:p>
      <w:pPr>
        <w:pStyle w:val="6"/>
        <w:rPr>
          <w:rFonts w:ascii="仿宋" w:hAnsi="仿宋" w:eastAsia="仿宋"/>
          <w:color w:val="auto"/>
          <w:highlight w:val="none"/>
        </w:rPr>
      </w:pPr>
      <w:bookmarkStart w:id="106" w:name="_Toc19975"/>
      <w:bookmarkStart w:id="107" w:name="_Toc21473"/>
      <w:bookmarkStart w:id="108"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106"/>
      <w:bookmarkEnd w:id="107"/>
      <w:bookmarkEnd w:id="108"/>
    </w:p>
    <w:p>
      <w:pPr>
        <w:pStyle w:val="6"/>
        <w:rPr>
          <w:rFonts w:ascii="仿宋" w:hAnsi="仿宋" w:eastAsia="仿宋"/>
          <w:b w:val="0"/>
          <w:color w:val="auto"/>
          <w:highlight w:val="none"/>
        </w:rPr>
      </w:pPr>
      <w:bookmarkStart w:id="109" w:name="_Toc28788"/>
      <w:bookmarkStart w:id="110" w:name="_Toc17310"/>
      <w:bookmarkStart w:id="111"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109"/>
      <w:bookmarkEnd w:id="110"/>
      <w:bookmarkEnd w:id="111"/>
    </w:p>
    <w:p>
      <w:pPr>
        <w:pStyle w:val="6"/>
        <w:rPr>
          <w:rStyle w:val="31"/>
          <w:rFonts w:ascii="仿宋" w:hAnsi="仿宋" w:eastAsia="仿宋"/>
          <w:b w:val="0"/>
          <w:bCs w:val="0"/>
          <w:color w:val="auto"/>
          <w:highlight w:val="none"/>
        </w:rPr>
      </w:pPr>
      <w:bookmarkStart w:id="112" w:name="_Toc15396623"/>
      <w:bookmarkStart w:id="113" w:name="_Toc31516"/>
      <w:bookmarkStart w:id="114" w:name="_Toc21526"/>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112"/>
      <w:bookmarkEnd w:id="113"/>
      <w:bookmarkEnd w:id="114"/>
      <w:bookmarkStart w:id="115" w:name="_Toc15396624"/>
    </w:p>
    <w:p>
      <w:pPr>
        <w:pStyle w:val="6"/>
        <w:rPr>
          <w:rFonts w:ascii="仿宋" w:hAnsi="仿宋" w:eastAsia="仿宋"/>
          <w:color w:val="auto"/>
          <w:highlight w:val="none"/>
        </w:rPr>
      </w:pPr>
      <w:bookmarkStart w:id="116" w:name="_Toc7532"/>
      <w:bookmarkStart w:id="117" w:name="_Toc5419"/>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115"/>
      <w:bookmarkEnd w:id="116"/>
      <w:bookmarkEnd w:id="117"/>
    </w:p>
    <w:p>
      <w:pPr>
        <w:pStyle w:val="6"/>
        <w:rPr>
          <w:rFonts w:ascii="仿宋" w:hAnsi="仿宋" w:eastAsia="仿宋"/>
          <w:color w:val="auto"/>
          <w:highlight w:val="none"/>
        </w:rPr>
      </w:pPr>
      <w:bookmarkStart w:id="118" w:name="_Toc26598"/>
      <w:bookmarkStart w:id="119" w:name="_Toc1361"/>
      <w:bookmarkStart w:id="120"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118"/>
      <w:bookmarkEnd w:id="119"/>
      <w:bookmarkEnd w:id="120"/>
    </w:p>
    <w:p>
      <w:pPr>
        <w:pStyle w:val="6"/>
        <w:rPr>
          <w:rFonts w:ascii="仿宋" w:hAnsi="仿宋" w:eastAsia="仿宋"/>
          <w:color w:val="auto"/>
          <w:highlight w:val="none"/>
        </w:rPr>
      </w:pPr>
      <w:bookmarkStart w:id="121" w:name="_Toc15396626"/>
      <w:bookmarkStart w:id="122" w:name="_Toc9590"/>
      <w:bookmarkStart w:id="123" w:name="_Toc24600"/>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121"/>
      <w:bookmarkEnd w:id="122"/>
      <w:bookmarkEnd w:id="123"/>
    </w:p>
    <w:p>
      <w:pPr>
        <w:pStyle w:val="6"/>
        <w:rPr>
          <w:rFonts w:ascii="仿宋" w:hAnsi="仿宋" w:eastAsia="仿宋"/>
          <w:color w:val="auto"/>
          <w:highlight w:val="none"/>
        </w:rPr>
      </w:pPr>
      <w:bookmarkStart w:id="124" w:name="_Toc15396627"/>
      <w:bookmarkStart w:id="125" w:name="_Toc23437"/>
      <w:bookmarkStart w:id="126" w:name="_Toc9329"/>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124"/>
      <w:bookmarkEnd w:id="125"/>
      <w:bookmarkEnd w:id="126"/>
    </w:p>
    <w:p>
      <w:pPr>
        <w:pStyle w:val="6"/>
        <w:rPr>
          <w:rFonts w:ascii="仿宋" w:hAnsi="仿宋" w:eastAsia="仿宋"/>
          <w:color w:val="auto"/>
          <w:highlight w:val="none"/>
        </w:rPr>
      </w:pPr>
      <w:bookmarkStart w:id="127" w:name="_Toc15396628"/>
      <w:bookmarkStart w:id="128" w:name="_Toc15422"/>
      <w:bookmarkStart w:id="129" w:name="_Toc13740"/>
      <w:r>
        <w:rPr>
          <w:rStyle w:val="31"/>
          <w:rFonts w:hint="eastAsia" w:ascii="仿宋" w:hAnsi="仿宋" w:eastAsia="仿宋"/>
          <w:b w:val="0"/>
          <w:bCs w:val="0"/>
          <w:color w:val="auto"/>
          <w:highlight w:val="none"/>
        </w:rPr>
        <w:t>十、</w:t>
      </w:r>
      <w:bookmarkEnd w:id="127"/>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128"/>
      <w:bookmarkEnd w:id="129"/>
    </w:p>
    <w:p>
      <w:pPr>
        <w:pStyle w:val="6"/>
        <w:rPr>
          <w:rFonts w:ascii="仿宋" w:hAnsi="仿宋" w:eastAsia="仿宋"/>
          <w:color w:val="auto"/>
          <w:highlight w:val="none"/>
        </w:rPr>
      </w:pPr>
      <w:bookmarkStart w:id="130" w:name="_Toc15396629"/>
      <w:bookmarkStart w:id="131" w:name="_Toc30692"/>
      <w:bookmarkStart w:id="132" w:name="_Toc32173"/>
      <w:r>
        <w:rPr>
          <w:rStyle w:val="31"/>
          <w:rFonts w:hint="eastAsia" w:ascii="仿宋" w:hAnsi="仿宋" w:eastAsia="仿宋"/>
          <w:b w:val="0"/>
          <w:bCs w:val="0"/>
          <w:color w:val="auto"/>
          <w:highlight w:val="none"/>
        </w:rPr>
        <w:t>十一、</w:t>
      </w:r>
      <w:bookmarkEnd w:id="130"/>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31"/>
      <w:bookmarkEnd w:id="132"/>
    </w:p>
    <w:p>
      <w:pPr>
        <w:pStyle w:val="6"/>
        <w:rPr>
          <w:rFonts w:ascii="仿宋" w:hAnsi="仿宋" w:eastAsia="仿宋"/>
          <w:color w:val="auto"/>
          <w:highlight w:val="none"/>
        </w:rPr>
      </w:pPr>
      <w:bookmarkStart w:id="133" w:name="_Toc15396630"/>
      <w:bookmarkStart w:id="134" w:name="_Toc14540"/>
      <w:bookmarkStart w:id="135" w:name="_Toc11828"/>
      <w:r>
        <w:rPr>
          <w:rStyle w:val="31"/>
          <w:rFonts w:hint="eastAsia" w:ascii="仿宋" w:hAnsi="仿宋" w:eastAsia="仿宋"/>
          <w:b w:val="0"/>
          <w:bCs w:val="0"/>
          <w:color w:val="auto"/>
          <w:highlight w:val="none"/>
        </w:rPr>
        <w:t>十二、</w:t>
      </w:r>
      <w:bookmarkEnd w:id="133"/>
      <w:r>
        <w:rPr>
          <w:rStyle w:val="31"/>
          <w:rFonts w:hint="eastAsia" w:ascii="仿宋" w:hAnsi="仿宋" w:eastAsia="仿宋"/>
          <w:b w:val="0"/>
          <w:bCs w:val="0"/>
          <w:color w:val="auto"/>
          <w:highlight w:val="none"/>
          <w:lang w:eastAsia="zh-CN"/>
        </w:rPr>
        <w:t>国有资本经营预算财政拨款支出决算表</w:t>
      </w:r>
      <w:bookmarkEnd w:id="134"/>
      <w:bookmarkEnd w:id="135"/>
    </w:p>
    <w:p>
      <w:pPr>
        <w:pStyle w:val="6"/>
        <w:rPr>
          <w:rFonts w:hint="eastAsia" w:eastAsia="仿宋"/>
          <w:color w:val="auto"/>
          <w:highlight w:val="none"/>
          <w:lang w:eastAsia="zh-CN"/>
        </w:rPr>
      </w:pPr>
      <w:bookmarkStart w:id="136" w:name="_Toc15396631"/>
      <w:bookmarkStart w:id="137" w:name="_Toc14411"/>
      <w:bookmarkStart w:id="138" w:name="_Toc19293"/>
      <w:r>
        <w:rPr>
          <w:rStyle w:val="31"/>
          <w:rFonts w:hint="eastAsia" w:ascii="仿宋" w:hAnsi="仿宋" w:eastAsia="仿宋"/>
          <w:b w:val="0"/>
          <w:bCs w:val="0"/>
          <w:color w:val="auto"/>
          <w:highlight w:val="none"/>
        </w:rPr>
        <w:t>十三、</w:t>
      </w:r>
      <w:bookmarkEnd w:id="136"/>
      <w:r>
        <w:rPr>
          <w:rStyle w:val="31"/>
          <w:rFonts w:hint="eastAsia" w:ascii="仿宋" w:hAnsi="仿宋" w:eastAsia="仿宋"/>
          <w:b w:val="0"/>
          <w:bCs w:val="0"/>
          <w:color w:val="auto"/>
          <w:highlight w:val="none"/>
          <w:lang w:eastAsia="zh-CN"/>
        </w:rPr>
        <w:t>财政拨款“三公”经费支出决算表</w:t>
      </w:r>
      <w:bookmarkEnd w:id="137"/>
      <w:bookmarkEnd w:id="138"/>
    </w:p>
    <w:sectPr>
      <w:headerReference r:id="rId8" w:type="first"/>
      <w:footerReference r:id="rId10" w:type="first"/>
      <w:headerReference r:id="rId7" w:type="default"/>
      <w:footerReference r:id="rId9"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firstLine="280" w:firstLineChars="100"/>
      <w:jc w:val="right"/>
      <w:rPr>
        <w:rFonts w:hint="eastAsia" w:ascii="Times New Roman" w:hAnsi="Times New Roman"/>
        <w:sz w:val="28"/>
        <w:szCs w:val="28"/>
      </w:rPr>
    </w:pPr>
    <w:r>
      <w:rPr>
        <w:rFonts w:hint="eastAsia" w:ascii="Times New Roman" w:hAnsi="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sz w:val="28"/>
        <w:szCs w:val="28"/>
      </w:rPr>
    </w:pPr>
    <w:r>
      <w:rPr>
        <w:kern w:val="0"/>
        <w:sz w:val="28"/>
        <w:szCs w:val="21"/>
      </w:rPr>
      <w:t xml:space="preserve">— </w:t>
    </w:r>
    <w:r>
      <w:rPr>
        <w:kern w:val="0"/>
        <w:sz w:val="28"/>
        <w:szCs w:val="21"/>
      </w:rPr>
      <w:fldChar w:fldCharType="begin"/>
    </w:r>
    <w:r>
      <w:rPr>
        <w:kern w:val="0"/>
        <w:sz w:val="28"/>
        <w:szCs w:val="21"/>
      </w:rPr>
      <w:instrText xml:space="preserve"> PAGE </w:instrText>
    </w:r>
    <w:r>
      <w:rPr>
        <w:kern w:val="0"/>
        <w:sz w:val="28"/>
        <w:szCs w:val="21"/>
      </w:rPr>
      <w:fldChar w:fldCharType="separate"/>
    </w:r>
    <w:r>
      <w:rPr>
        <w:kern w:val="0"/>
        <w:sz w:val="28"/>
        <w:szCs w:val="21"/>
      </w:rPr>
      <w:t>5</w:t>
    </w:r>
    <w:r>
      <w:rPr>
        <w:kern w:val="0"/>
        <w:sz w:val="28"/>
        <w:szCs w:val="21"/>
      </w:rPr>
      <w:fldChar w:fldCharType="end"/>
    </w:r>
    <w:r>
      <w:rPr>
        <w:kern w:val="0"/>
        <w:sz w:val="28"/>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280" w:firstLineChars="100"/>
      <w:rPr>
        <w:sz w:val="28"/>
        <w:szCs w:val="28"/>
      </w:rPr>
    </w:pPr>
    <w:r>
      <w:rPr>
        <w:kern w:val="0"/>
        <w:sz w:val="28"/>
        <w:szCs w:val="21"/>
      </w:rPr>
      <w:t xml:space="preserve">— </w:t>
    </w:r>
    <w:r>
      <w:rPr>
        <w:kern w:val="0"/>
        <w:sz w:val="28"/>
        <w:szCs w:val="21"/>
      </w:rPr>
      <w:fldChar w:fldCharType="begin"/>
    </w:r>
    <w:r>
      <w:rPr>
        <w:kern w:val="0"/>
        <w:sz w:val="28"/>
        <w:szCs w:val="21"/>
      </w:rPr>
      <w:instrText xml:space="preserve"> PAGE </w:instrText>
    </w:r>
    <w:r>
      <w:rPr>
        <w:kern w:val="0"/>
        <w:sz w:val="28"/>
        <w:szCs w:val="21"/>
      </w:rPr>
      <w:fldChar w:fldCharType="separate"/>
    </w:r>
    <w:r>
      <w:rPr>
        <w:kern w:val="0"/>
        <w:sz w:val="28"/>
        <w:szCs w:val="21"/>
      </w:rPr>
      <w:t>6</w:t>
    </w:r>
    <w:r>
      <w:rPr>
        <w:kern w:val="0"/>
        <w:sz w:val="28"/>
        <w:szCs w:val="21"/>
      </w:rPr>
      <w:fldChar w:fldCharType="end"/>
    </w:r>
    <w:r>
      <w:rPr>
        <w:kern w:val="0"/>
        <w:sz w:val="28"/>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9"/>
                    </w:pP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5426285D"/>
    <w:multiLevelType w:val="singleLevel"/>
    <w:tmpl w:val="5426285D"/>
    <w:lvl w:ilvl="0" w:tentative="0">
      <w:start w:val="1"/>
      <w:numFmt w:val="chineseCounting"/>
      <w:suff w:val="nothing"/>
      <w:lvlText w:val="%1、"/>
      <w:lvlJc w:val="left"/>
      <w:rPr>
        <w:rFonts w:hint="eastAsia"/>
      </w:rPr>
    </w:lvl>
  </w:abstractNum>
  <w:abstractNum w:abstractNumId="4">
    <w:nsid w:val="622DEE1B"/>
    <w:multiLevelType w:val="multilevel"/>
    <w:tmpl w:val="622DEE1B"/>
    <w:lvl w:ilvl="0" w:tentative="0">
      <w:start w:val="1"/>
      <w:numFmt w:val="decimal"/>
      <w:suff w:val="nothing"/>
      <w:lvlText w:val="%1．"/>
      <w:lvlJc w:val="left"/>
      <w:pPr>
        <w:ind w:left="20" w:firstLine="400"/>
      </w:pPr>
      <w:rPr>
        <w:rFonts w:hint="default"/>
        <w:b/>
        <w:bCs/>
        <w:color w:val="000000" w:themeColor="text1"/>
        <w:sz w:val="32"/>
        <w:szCs w:val="32"/>
        <w14:textFill>
          <w14:solidFill>
            <w14:schemeClr w14:val="tx1"/>
          </w14:solidFill>
        </w14:textFill>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5OTA4MTZhYWJhZDUzMDI2NDY0ZjUxNDE2MDZkNTYifQ=="/>
    <w:docVar w:name="KSO_WPS_MARK_KEY" w:val="a7959835-b2e7-40fb-938e-868a20414c46"/>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90F"/>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578F8"/>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57F43"/>
    <w:rsid w:val="015975B8"/>
    <w:rsid w:val="015D0D5E"/>
    <w:rsid w:val="01AA656E"/>
    <w:rsid w:val="02143E91"/>
    <w:rsid w:val="02565064"/>
    <w:rsid w:val="02AE1145"/>
    <w:rsid w:val="03582B96"/>
    <w:rsid w:val="044A4E08"/>
    <w:rsid w:val="045C354F"/>
    <w:rsid w:val="04DE21B6"/>
    <w:rsid w:val="066E0107"/>
    <w:rsid w:val="06C2023C"/>
    <w:rsid w:val="07996F6E"/>
    <w:rsid w:val="087D75A3"/>
    <w:rsid w:val="08F0445F"/>
    <w:rsid w:val="08F359BB"/>
    <w:rsid w:val="0A2032A3"/>
    <w:rsid w:val="0A28329A"/>
    <w:rsid w:val="0A3E3AE7"/>
    <w:rsid w:val="0B8909A2"/>
    <w:rsid w:val="0BAA0C93"/>
    <w:rsid w:val="0D722BDB"/>
    <w:rsid w:val="0EDD34DE"/>
    <w:rsid w:val="0EEE2999"/>
    <w:rsid w:val="0F98263C"/>
    <w:rsid w:val="0FEF479D"/>
    <w:rsid w:val="101860EC"/>
    <w:rsid w:val="10B437AF"/>
    <w:rsid w:val="10C055FF"/>
    <w:rsid w:val="116C60D7"/>
    <w:rsid w:val="118107EC"/>
    <w:rsid w:val="12AC000C"/>
    <w:rsid w:val="12FF007A"/>
    <w:rsid w:val="134753CA"/>
    <w:rsid w:val="13D50BC4"/>
    <w:rsid w:val="13E76BAD"/>
    <w:rsid w:val="142C4F60"/>
    <w:rsid w:val="159811FB"/>
    <w:rsid w:val="15DB3DE7"/>
    <w:rsid w:val="15E2762C"/>
    <w:rsid w:val="16140C59"/>
    <w:rsid w:val="16A668AC"/>
    <w:rsid w:val="16BA2357"/>
    <w:rsid w:val="16BB723D"/>
    <w:rsid w:val="16FE39CC"/>
    <w:rsid w:val="1720040C"/>
    <w:rsid w:val="1845756E"/>
    <w:rsid w:val="18465778"/>
    <w:rsid w:val="18583BD5"/>
    <w:rsid w:val="18A312F5"/>
    <w:rsid w:val="18FD29B2"/>
    <w:rsid w:val="191B5E56"/>
    <w:rsid w:val="19452B03"/>
    <w:rsid w:val="19670574"/>
    <w:rsid w:val="1B19589E"/>
    <w:rsid w:val="1B5F6D02"/>
    <w:rsid w:val="1B7B0307"/>
    <w:rsid w:val="1BE8440E"/>
    <w:rsid w:val="1D0A08EC"/>
    <w:rsid w:val="1D155CEE"/>
    <w:rsid w:val="1D626360"/>
    <w:rsid w:val="1D82273B"/>
    <w:rsid w:val="1E171C0E"/>
    <w:rsid w:val="1F3D6EF1"/>
    <w:rsid w:val="1FE355A3"/>
    <w:rsid w:val="1FF35744"/>
    <w:rsid w:val="21306E61"/>
    <w:rsid w:val="22F66C12"/>
    <w:rsid w:val="23502079"/>
    <w:rsid w:val="23860B96"/>
    <w:rsid w:val="23D762F6"/>
    <w:rsid w:val="23DA1943"/>
    <w:rsid w:val="240371BF"/>
    <w:rsid w:val="26053291"/>
    <w:rsid w:val="26106CAD"/>
    <w:rsid w:val="26200EE3"/>
    <w:rsid w:val="26437835"/>
    <w:rsid w:val="26D91AFA"/>
    <w:rsid w:val="271D517B"/>
    <w:rsid w:val="2833717A"/>
    <w:rsid w:val="29FD04D3"/>
    <w:rsid w:val="2A0D7002"/>
    <w:rsid w:val="2ACB46DB"/>
    <w:rsid w:val="2AF33D9B"/>
    <w:rsid w:val="2B053181"/>
    <w:rsid w:val="2C8A61B5"/>
    <w:rsid w:val="2CAA641C"/>
    <w:rsid w:val="2CB0732E"/>
    <w:rsid w:val="2DF04E50"/>
    <w:rsid w:val="2F040D46"/>
    <w:rsid w:val="2F9628CC"/>
    <w:rsid w:val="2F9632D3"/>
    <w:rsid w:val="313D3B26"/>
    <w:rsid w:val="319F7F4E"/>
    <w:rsid w:val="31A4245D"/>
    <w:rsid w:val="3304709D"/>
    <w:rsid w:val="34930017"/>
    <w:rsid w:val="359A1346"/>
    <w:rsid w:val="3626685F"/>
    <w:rsid w:val="36AA5135"/>
    <w:rsid w:val="375B4FF3"/>
    <w:rsid w:val="376D39B2"/>
    <w:rsid w:val="37E16F03"/>
    <w:rsid w:val="381F2D33"/>
    <w:rsid w:val="38D469F0"/>
    <w:rsid w:val="396B6FBC"/>
    <w:rsid w:val="3A5B7882"/>
    <w:rsid w:val="3A762E16"/>
    <w:rsid w:val="3AA8211B"/>
    <w:rsid w:val="3B781D15"/>
    <w:rsid w:val="3BC2588F"/>
    <w:rsid w:val="3CD17675"/>
    <w:rsid w:val="3D2F6121"/>
    <w:rsid w:val="3D566414"/>
    <w:rsid w:val="3D98207C"/>
    <w:rsid w:val="3D9A41BC"/>
    <w:rsid w:val="3DB67A9D"/>
    <w:rsid w:val="3E09704E"/>
    <w:rsid w:val="3E78745D"/>
    <w:rsid w:val="3EA11583"/>
    <w:rsid w:val="3ECF60F0"/>
    <w:rsid w:val="3ED43E04"/>
    <w:rsid w:val="3EF43DA9"/>
    <w:rsid w:val="4025259D"/>
    <w:rsid w:val="40421A0F"/>
    <w:rsid w:val="404B5C4A"/>
    <w:rsid w:val="41C459DB"/>
    <w:rsid w:val="42552DB0"/>
    <w:rsid w:val="42D71A17"/>
    <w:rsid w:val="44933762"/>
    <w:rsid w:val="44C164DB"/>
    <w:rsid w:val="44E268DA"/>
    <w:rsid w:val="467F7C08"/>
    <w:rsid w:val="468679DC"/>
    <w:rsid w:val="47133D28"/>
    <w:rsid w:val="472D3883"/>
    <w:rsid w:val="47523D62"/>
    <w:rsid w:val="47873F01"/>
    <w:rsid w:val="488C6E00"/>
    <w:rsid w:val="489C1C4C"/>
    <w:rsid w:val="490D6193"/>
    <w:rsid w:val="4A0660C2"/>
    <w:rsid w:val="4A2D17DA"/>
    <w:rsid w:val="4A471230"/>
    <w:rsid w:val="4A550964"/>
    <w:rsid w:val="4A5635B7"/>
    <w:rsid w:val="4A627F82"/>
    <w:rsid w:val="4A6B7ED8"/>
    <w:rsid w:val="4AB10DA0"/>
    <w:rsid w:val="4ABB73A5"/>
    <w:rsid w:val="4B0E749A"/>
    <w:rsid w:val="4B4F25DA"/>
    <w:rsid w:val="4B931ED3"/>
    <w:rsid w:val="4BCB7F7E"/>
    <w:rsid w:val="4BE068DB"/>
    <w:rsid w:val="4C234941"/>
    <w:rsid w:val="4C261319"/>
    <w:rsid w:val="4C364EAE"/>
    <w:rsid w:val="4C87439C"/>
    <w:rsid w:val="4D577224"/>
    <w:rsid w:val="4DCF4F40"/>
    <w:rsid w:val="4EAB630A"/>
    <w:rsid w:val="4ECE2238"/>
    <w:rsid w:val="4F3401A7"/>
    <w:rsid w:val="50E00876"/>
    <w:rsid w:val="5115752C"/>
    <w:rsid w:val="511E5F1A"/>
    <w:rsid w:val="52407BEE"/>
    <w:rsid w:val="527E2B0B"/>
    <w:rsid w:val="52EC118E"/>
    <w:rsid w:val="537E6D0A"/>
    <w:rsid w:val="53FA5565"/>
    <w:rsid w:val="553920BD"/>
    <w:rsid w:val="559B4D88"/>
    <w:rsid w:val="560721BC"/>
    <w:rsid w:val="57D52DDB"/>
    <w:rsid w:val="580D3810"/>
    <w:rsid w:val="58784EF1"/>
    <w:rsid w:val="58B85F34"/>
    <w:rsid w:val="58E93394"/>
    <w:rsid w:val="591F21D3"/>
    <w:rsid w:val="594A0D94"/>
    <w:rsid w:val="597247B4"/>
    <w:rsid w:val="5AF30F60"/>
    <w:rsid w:val="5AF92295"/>
    <w:rsid w:val="5B7200D7"/>
    <w:rsid w:val="5C647B53"/>
    <w:rsid w:val="5CAD316D"/>
    <w:rsid w:val="5CAE3F0C"/>
    <w:rsid w:val="5CD71FC4"/>
    <w:rsid w:val="5CD728D9"/>
    <w:rsid w:val="5DAA7FFC"/>
    <w:rsid w:val="5E8F2D4E"/>
    <w:rsid w:val="5F865A9E"/>
    <w:rsid w:val="602A1C86"/>
    <w:rsid w:val="60E80B35"/>
    <w:rsid w:val="61702669"/>
    <w:rsid w:val="62693905"/>
    <w:rsid w:val="62EF3563"/>
    <w:rsid w:val="63F024E1"/>
    <w:rsid w:val="63FC3A5A"/>
    <w:rsid w:val="64FE29DC"/>
    <w:rsid w:val="664D3F43"/>
    <w:rsid w:val="67346B89"/>
    <w:rsid w:val="673B53C3"/>
    <w:rsid w:val="67EE08F1"/>
    <w:rsid w:val="683A01CF"/>
    <w:rsid w:val="685972D9"/>
    <w:rsid w:val="6922251C"/>
    <w:rsid w:val="698A4530"/>
    <w:rsid w:val="69A2602B"/>
    <w:rsid w:val="6AB9362D"/>
    <w:rsid w:val="6AE83F12"/>
    <w:rsid w:val="6C4A05C8"/>
    <w:rsid w:val="6C5659BD"/>
    <w:rsid w:val="6C5F1FA0"/>
    <w:rsid w:val="6CD12C2E"/>
    <w:rsid w:val="6CEC72FC"/>
    <w:rsid w:val="6CF41871"/>
    <w:rsid w:val="6DA25E53"/>
    <w:rsid w:val="6DD60CCB"/>
    <w:rsid w:val="6E3B0980"/>
    <w:rsid w:val="6E7E3605"/>
    <w:rsid w:val="6FE70C3C"/>
    <w:rsid w:val="6FF5CC65"/>
    <w:rsid w:val="705861FF"/>
    <w:rsid w:val="709967A6"/>
    <w:rsid w:val="715C0E4B"/>
    <w:rsid w:val="71752277"/>
    <w:rsid w:val="71EC253A"/>
    <w:rsid w:val="72734D90"/>
    <w:rsid w:val="72AB41A3"/>
    <w:rsid w:val="72F5541E"/>
    <w:rsid w:val="734A4BC0"/>
    <w:rsid w:val="7386251A"/>
    <w:rsid w:val="73AD73D5"/>
    <w:rsid w:val="73B6EB34"/>
    <w:rsid w:val="742362B1"/>
    <w:rsid w:val="744731E5"/>
    <w:rsid w:val="74C74C56"/>
    <w:rsid w:val="75596BC4"/>
    <w:rsid w:val="766D3B19"/>
    <w:rsid w:val="76E3355F"/>
    <w:rsid w:val="778769C8"/>
    <w:rsid w:val="77BE1F2D"/>
    <w:rsid w:val="788D4C14"/>
    <w:rsid w:val="79EE5BA4"/>
    <w:rsid w:val="7A894339"/>
    <w:rsid w:val="7ACD48B0"/>
    <w:rsid w:val="7AD70DE5"/>
    <w:rsid w:val="7BAC4FAB"/>
    <w:rsid w:val="7CA43904"/>
    <w:rsid w:val="7D2E642E"/>
    <w:rsid w:val="7EEF11D3"/>
    <w:rsid w:val="7EF93F08"/>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autoRedefine/>
    <w:unhideWhenUsed/>
    <w:qFormat/>
    <w:uiPriority w:val="99"/>
    <w:pPr>
      <w:ind w:firstLine="420" w:firstLineChars="200"/>
    </w:pPr>
  </w:style>
  <w:style w:type="paragraph" w:styleId="4">
    <w:name w:val="Body Text Indent"/>
    <w:basedOn w:val="1"/>
    <w:next w:val="3"/>
    <w:autoRedefine/>
    <w:qFormat/>
    <w:uiPriority w:val="0"/>
    <w:pPr>
      <w:spacing w:after="120"/>
      <w:ind w:leftChars="200"/>
    </w:pPr>
    <w:rPr>
      <w:rFonts w:ascii="仿宋_GB2312"/>
      <w:szCs w:val="32"/>
    </w:rPr>
  </w:style>
  <w:style w:type="paragraph" w:styleId="8">
    <w:name w:val="Body Text"/>
    <w:basedOn w:val="1"/>
    <w:link w:val="27"/>
    <w:autoRedefine/>
    <w:qFormat/>
    <w:uiPriority w:val="99"/>
    <w:pPr>
      <w:spacing w:beforeLines="30"/>
    </w:pPr>
    <w:rPr>
      <w:rFonts w:ascii="仿宋_GB2312" w:eastAsia="仿宋_GB2312"/>
      <w:kern w:val="0"/>
      <w:sz w:val="30"/>
    </w:r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3"/>
    <w:autoRedefine/>
    <w:semiHidden/>
    <w:unhideWhenUsed/>
    <w:qFormat/>
    <w:uiPriority w:val="99"/>
    <w:rPr>
      <w:sz w:val="18"/>
      <w:szCs w:val="18"/>
    </w:rPr>
  </w:style>
  <w:style w:type="paragraph" w:styleId="11">
    <w:name w:val="footer"/>
    <w:basedOn w:val="1"/>
    <w:link w:val="25"/>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character" w:styleId="17">
    <w:name w:val="Strong"/>
    <w:basedOn w:val="16"/>
    <w:autoRedefine/>
    <w:qFormat/>
    <w:uiPriority w:val="99"/>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paragraph" w:customStyle="1" w:styleId="19">
    <w:name w:val="章标题"/>
    <w:basedOn w:val="1"/>
    <w:next w:val="1"/>
    <w:autoRedefine/>
    <w:qFormat/>
    <w:uiPriority w:val="2441"/>
    <w:pPr>
      <w:widowControl/>
      <w:spacing w:before="158" w:after="153" w:line="323" w:lineRule="atLeast"/>
      <w:ind w:left="0" w:right="-120" w:firstLine="0"/>
      <w:jc w:val="center"/>
      <w:textAlignment w:val="baseline"/>
    </w:pPr>
    <w:rPr>
      <w:color w:val="FF0000"/>
      <w:sz w:val="18"/>
      <w:szCs w:val="18"/>
    </w:rPr>
  </w:style>
  <w:style w:type="paragraph" w:customStyle="1" w:styleId="20">
    <w:name w:val="节标题"/>
    <w:basedOn w:val="1"/>
    <w:next w:val="1"/>
    <w:autoRedefine/>
    <w:qFormat/>
    <w:uiPriority w:val="2441"/>
    <w:pPr>
      <w:widowControl/>
      <w:spacing w:line="289" w:lineRule="atLeast"/>
      <w:jc w:val="center"/>
      <w:textAlignment w:val="baseline"/>
    </w:pPr>
    <w:rPr>
      <w:color w:val="000000"/>
      <w:sz w:val="28"/>
      <w:szCs w:val="28"/>
    </w:rPr>
  </w:style>
  <w:style w:type="paragraph" w:customStyle="1" w:styleId="21">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6"/>
    <w:autoRedefine/>
    <w:semiHidden/>
    <w:qFormat/>
    <w:uiPriority w:val="99"/>
    <w:rPr>
      <w:rFonts w:ascii="Times New Roman" w:hAnsi="Times New Roman"/>
      <w:sz w:val="18"/>
      <w:szCs w:val="18"/>
    </w:rPr>
  </w:style>
  <w:style w:type="character" w:customStyle="1" w:styleId="23">
    <w:name w:val="页眉 Char"/>
    <w:link w:val="12"/>
    <w:autoRedefine/>
    <w:semiHidden/>
    <w:qFormat/>
    <w:locked/>
    <w:uiPriority w:val="99"/>
    <w:rPr>
      <w:sz w:val="18"/>
    </w:rPr>
  </w:style>
  <w:style w:type="character" w:customStyle="1" w:styleId="24">
    <w:name w:val="Footer Char"/>
    <w:basedOn w:val="16"/>
    <w:autoRedefine/>
    <w:semiHidden/>
    <w:qFormat/>
    <w:uiPriority w:val="99"/>
    <w:rPr>
      <w:rFonts w:ascii="Times New Roman" w:hAnsi="Times New Roman"/>
      <w:sz w:val="18"/>
      <w:szCs w:val="18"/>
    </w:rPr>
  </w:style>
  <w:style w:type="character" w:customStyle="1" w:styleId="25">
    <w:name w:val="页脚 Char"/>
    <w:link w:val="11"/>
    <w:autoRedefine/>
    <w:qFormat/>
    <w:locked/>
    <w:uiPriority w:val="99"/>
    <w:rPr>
      <w:sz w:val="18"/>
    </w:rPr>
  </w:style>
  <w:style w:type="character" w:customStyle="1" w:styleId="26">
    <w:name w:val="Body Text Char"/>
    <w:basedOn w:val="16"/>
    <w:autoRedefine/>
    <w:semiHidden/>
    <w:qFormat/>
    <w:uiPriority w:val="99"/>
    <w:rPr>
      <w:rFonts w:ascii="Times New Roman" w:hAnsi="Times New Roman"/>
      <w:szCs w:val="24"/>
    </w:rPr>
  </w:style>
  <w:style w:type="character" w:customStyle="1" w:styleId="27">
    <w:name w:val="正文文本 Char"/>
    <w:link w:val="8"/>
    <w:autoRedefine/>
    <w:qFormat/>
    <w:locked/>
    <w:uiPriority w:val="99"/>
    <w:rPr>
      <w:rFonts w:ascii="仿宋_GB2312" w:hAnsi="Times New Roman" w:eastAsia="仿宋_GB2312"/>
      <w:sz w:val="24"/>
    </w:rPr>
  </w:style>
  <w:style w:type="paragraph" w:customStyle="1" w:styleId="28">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autoRedefine/>
    <w:qFormat/>
    <w:uiPriority w:val="34"/>
    <w:pPr>
      <w:ind w:firstLine="420" w:firstLineChars="200"/>
    </w:pPr>
  </w:style>
  <w:style w:type="character" w:customStyle="1" w:styleId="30">
    <w:name w:val="标题 1 Char"/>
    <w:basedOn w:val="16"/>
    <w:link w:val="5"/>
    <w:autoRedefine/>
    <w:qFormat/>
    <w:uiPriority w:val="9"/>
    <w:rPr>
      <w:rFonts w:ascii="Times New Roman" w:hAnsi="Times New Roman"/>
      <w:b/>
      <w:bCs/>
      <w:kern w:val="44"/>
      <w:sz w:val="44"/>
      <w:szCs w:val="44"/>
    </w:rPr>
  </w:style>
  <w:style w:type="character" w:customStyle="1" w:styleId="31">
    <w:name w:val="标题 2 Char"/>
    <w:basedOn w:val="16"/>
    <w:link w:val="6"/>
    <w:autoRedefine/>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10"/>
    <w:autoRedefine/>
    <w:semiHidden/>
    <w:qFormat/>
    <w:uiPriority w:val="99"/>
    <w:rPr>
      <w:rFonts w:ascii="Times New Roman" w:hAnsi="Times New Roman"/>
      <w:kern w:val="2"/>
      <w:sz w:val="18"/>
      <w:szCs w:val="18"/>
    </w:rPr>
  </w:style>
  <w:style w:type="character" w:customStyle="1" w:styleId="34">
    <w:name w:val="标题 3 Char"/>
    <w:basedOn w:val="16"/>
    <w:link w:val="7"/>
    <w:autoRedefine/>
    <w:qFormat/>
    <w:uiPriority w:val="9"/>
    <w:rPr>
      <w:rFonts w:ascii="Times New Roman" w:hAnsi="Times New Roman"/>
      <w:b/>
      <w:bCs/>
      <w:kern w:val="2"/>
      <w:sz w:val="32"/>
      <w:szCs w:val="32"/>
    </w:rPr>
  </w:style>
  <w:style w:type="paragraph" w:customStyle="1" w:styleId="35">
    <w:name w:val="TOC Heading"/>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37">
    <w:name w:val="正文1"/>
    <w:autoRedefine/>
    <w:qFormat/>
    <w:uiPriority w:val="0"/>
    <w:pPr>
      <w:widowControl w:val="0"/>
      <w:suppressAutoHyphens w:val="0"/>
      <w:bidi w:val="0"/>
      <w:spacing w:before="0" w:after="0"/>
      <w:jc w:val="both"/>
    </w:pPr>
    <w:rPr>
      <w:rFonts w:ascii="Times New Roman" w:hAnsi="Times New Roman" w:eastAsia="宋体" w:cs="Times New Roman"/>
      <w:color w:val="auto"/>
      <w:kern w:val="2"/>
      <w:sz w:val="21"/>
      <w:szCs w:val="21"/>
      <w:lang w:val="en-US" w:eastAsia="zh-CN" w:bidi="ar-SA"/>
    </w:rPr>
  </w:style>
  <w:style w:type="paragraph" w:customStyle="1" w:styleId="38">
    <w:name w:val="WPSOffice手动目录 1"/>
    <w:autoRedefine/>
    <w:qFormat/>
    <w:uiPriority w:val="0"/>
    <w:pPr>
      <w:ind w:leftChars="0"/>
    </w:pPr>
    <w:rPr>
      <w:rFonts w:ascii="Times New Roman" w:hAnsi="Times New Roman" w:eastAsia="宋体" w:cs="Times New Roman"/>
      <w:sz w:val="20"/>
      <w:szCs w:val="20"/>
    </w:rPr>
  </w:style>
  <w:style w:type="paragraph" w:customStyle="1" w:styleId="39">
    <w:name w:val="WPSOffice手动目录 2"/>
    <w:autoRedefine/>
    <w:qFormat/>
    <w:uiPriority w:val="0"/>
    <w:pPr>
      <w:ind w:leftChars="200"/>
    </w:pPr>
    <w:rPr>
      <w:rFonts w:ascii="Times New Roman" w:hAnsi="Times New Roman" w:eastAsia="宋体" w:cs="Times New Roman"/>
      <w:sz w:val="20"/>
      <w:szCs w:val="20"/>
    </w:rPr>
  </w:style>
  <w:style w:type="paragraph" w:customStyle="1" w:styleId="40">
    <w:name w:val="WPSOffice手动目录 3"/>
    <w:autoRedefine/>
    <w:qFormat/>
    <w:uiPriority w:val="0"/>
    <w:pPr>
      <w:ind w:leftChars="400"/>
    </w:pPr>
    <w:rPr>
      <w:rFonts w:ascii="Times New Roman" w:hAnsi="Times New Roman" w:eastAsia="宋体" w:cs="Times New Roman"/>
      <w:sz w:val="20"/>
      <w:szCs w:val="20"/>
    </w:rPr>
  </w:style>
  <w:style w:type="character" w:customStyle="1" w:styleId="41">
    <w:name w:val="font31"/>
    <w:basedOn w:val="16"/>
    <w:autoRedefine/>
    <w:qFormat/>
    <w:uiPriority w:val="0"/>
    <w:rPr>
      <w:rFonts w:hint="default" w:ascii="仿宋_GB2312" w:eastAsia="仿宋_GB2312" w:cs="仿宋_GB2312"/>
      <w:color w:val="000000"/>
      <w:sz w:val="16"/>
      <w:szCs w:val="16"/>
      <w:u w:val="none"/>
    </w:rPr>
  </w:style>
  <w:style w:type="character" w:customStyle="1" w:styleId="42">
    <w:name w:val="font51"/>
    <w:basedOn w:val="16"/>
    <w:autoRedefine/>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AppData\Local\Temp\Rar$DIa21772.46723\2023-130001-&#22235;&#24029;&#30465;&#36930;&#23425;&#24066;&#33337;&#23665;&#21306;&#21457;&#23637;&#21644;&#25913;&#38761;&#23616;&#20915;&#31639;&#25209;&#22797;&#25253;&#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AppData\Local\Temp\Rar$DIa21772.46723\2023-130001-&#22235;&#24029;&#30465;&#36930;&#23425;&#24066;&#33337;&#23665;&#21306;&#21457;&#23637;&#21644;&#25913;&#38761;&#23616;&#20915;&#31639;&#25209;&#22797;&#25253;&#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AppData\Local\Temp\Rar$DIa21772.46723\2023-130001-&#22235;&#24029;&#30465;&#36930;&#23425;&#24066;&#33337;&#23665;&#21306;&#21457;&#23637;&#21644;&#25913;&#38761;&#23616;&#20915;&#31639;&#25209;&#22797;&#25253;&#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33609;&#3129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收、支决算总计变动情况图</a:t>
            </a:r>
            <a:endParaRPr b="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[工作簿1]Sheet1!$A$1:$B$1</c:f>
              <c:strCache>
                <c:ptCount val="2"/>
                <c:pt idx="0">
                  <c:v>2022年</c:v>
                </c:pt>
                <c:pt idx="1">
                  <c:v>2023年</c:v>
                </c:pt>
              </c:strCache>
            </c:strRef>
          </c:cat>
          <c:val>
            <c:numRef>
              <c:f>[工作簿1]Sheet1!$A$2:$B$2</c:f>
              <c:numCache>
                <c:formatCode>General</c:formatCode>
                <c:ptCount val="2"/>
                <c:pt idx="0">
                  <c:v>22580.29</c:v>
                </c:pt>
                <c:pt idx="1">
                  <c:v>17422.92</c:v>
                </c:pt>
              </c:numCache>
            </c:numRef>
          </c:val>
        </c:ser>
        <c:dLbls>
          <c:showLegendKey val="0"/>
          <c:showVal val="1"/>
          <c:showCatName val="0"/>
          <c:showSerName val="0"/>
          <c:showPercent val="0"/>
          <c:showBubbleSize val="0"/>
        </c:dLbls>
        <c:gapWidth val="246"/>
        <c:overlap val="-28"/>
        <c:axId val="210679050"/>
        <c:axId val="393895778"/>
      </c:barChart>
      <c:catAx>
        <c:axId val="2106790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895778"/>
        <c:crosses val="autoZero"/>
        <c:auto val="1"/>
        <c:lblAlgn val="ctr"/>
        <c:lblOffset val="100"/>
        <c:noMultiLvlLbl val="0"/>
      </c:catAx>
      <c:valAx>
        <c:axId val="393895778"/>
        <c:scaling>
          <c:orientation val="minMax"/>
          <c:max val="30000"/>
        </c:scaling>
        <c:delete val="0"/>
        <c:axPos val="l"/>
        <c:majorGridlines>
          <c:spPr>
            <a:ln w="9525" cap="flat" cmpd="sng" algn="ctr">
              <a:solidFill>
                <a:schemeClr val="lt1">
                  <a:lumMod val="90200"/>
                </a:schemeClr>
              </a:solidFill>
              <a:round/>
            </a:ln>
            <a:effectLst/>
          </c:spPr>
        </c:majorGridlines>
        <c:numFmt formatCode="#,##0.00_);[Red]\(#,##0.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0679050"/>
        <c:crosses val="autoZero"/>
        <c:crossBetween val="between"/>
        <c:majorUnit val="5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收入决算结构图</a:t>
            </a:r>
            <a:endParaRPr b="0"/>
          </a:p>
        </c:rich>
      </c:tx>
      <c:layout>
        <c:manualLayout>
          <c:xMode val="edge"/>
          <c:yMode val="edge"/>
          <c:x val="0.358421052631579"/>
          <c:y val="0.0240740740740741"/>
        </c:manualLayout>
      </c:layout>
      <c:overlay val="0"/>
      <c:spPr>
        <a:noFill/>
        <a:ln>
          <a:noFill/>
        </a:ln>
        <a:effectLst/>
      </c:spPr>
    </c:title>
    <c:autoTitleDeleted val="0"/>
    <c:plotArea>
      <c:layout/>
      <c:pieChart>
        <c:varyColors val="1"/>
        <c:ser>
          <c:idx val="0"/>
          <c:order val="0"/>
          <c:tx>
            <c:strRef>
              <c:f>'[2023-130001-四川省遂宁市船山区发展和改革局决算批复报表.xls]PF01 收入支出决算批复表'!$O$8</c:f>
              <c:strCache>
                <c:ptCount val="1"/>
                <c:pt idx="0">
                  <c:v>列3</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'[2023-130001-四川省遂宁市船山区发展和改革局决算批复报表.xls]PF01 收入支出决算批复表'!$M$9:$M$11</c:f>
              <c:strCache>
                <c:ptCount val="3"/>
                <c:pt idx="0" c:formatCode="#,##0.000000">
                  <c:v>一般公共预算财政拨款收入</c:v>
                </c:pt>
                <c:pt idx="1" c:formatCode="#,##0.000000">
                  <c:v>政府性基金预算财政拨款收入</c:v>
                </c:pt>
                <c:pt idx="2" c:formatCode="#,##0.000000">
                  <c:v>其他收入</c:v>
                </c:pt>
              </c:strCache>
            </c:strRef>
          </c:cat>
          <c:val>
            <c:numRef>
              <c:f>'[2023-130001-四川省遂宁市船山区发展和改革局决算批复报表.xls]PF01 收入支出决算批复表'!$O$9:$O$11</c:f>
              <c:numCache>
                <c:formatCode>0.00%</c:formatCode>
                <c:ptCount val="3"/>
                <c:pt idx="0">
                  <c:v>0.108487028392133</c:v>
                </c:pt>
                <c:pt idx="1">
                  <c:v>0.580440451872303</c:v>
                </c:pt>
                <c:pt idx="2">
                  <c:v>0.311072519735564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支出决算结构图</a:t>
            </a:r>
            <a:endParaRPr b="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'[2023-130001-四川省遂宁市船山区发展和改革局决算批复报表.xls]PF03 支出决算批复表'!$H$52:$H$53</c:f>
              <c:strCache>
                <c:ptCount val="2"/>
                <c:pt idx="0">
                  <c:v>基本支出</c:v>
                </c:pt>
                <c:pt idx="1">
                  <c:v>项目支出</c:v>
                </c:pt>
              </c:strCache>
            </c:strRef>
          </c:cat>
          <c:val>
            <c:numRef>
              <c:f>'[2023-130001-四川省遂宁市船山区发展和改革局决算批复报表.xls]PF03 支出决算批复表'!$I$52:$I$53</c:f>
              <c:numCache>
                <c:formatCode>0.00%</c:formatCode>
                <c:ptCount val="2"/>
                <c:pt idx="0">
                  <c:v>0.043</c:v>
                </c:pt>
                <c:pt idx="1">
                  <c:v>0.957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b="0"/>
              <a:t>财政拨款收、支决算总计变动情况</a:t>
            </a:r>
            <a:endParaRPr b="0"/>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'[2023-130001-四川省遂宁市船山区发展和改革局决算批复报表.xls]PF04 财政拨款收入支出决算批复表'!$H$42:$H$43</c:f>
              <c:strCache>
                <c:ptCount val="2"/>
                <c:pt idx="0">
                  <c:v>2022年</c:v>
                </c:pt>
                <c:pt idx="1">
                  <c:v>2023年</c:v>
                </c:pt>
              </c:strCache>
            </c:strRef>
          </c:cat>
          <c:val>
            <c:numRef>
              <c:f>'[2023-130001-四川省遂宁市船山区发展和改革局决算批复报表.xls]PF04 财政拨款收入支出决算批复表'!$I$42:$I$43</c:f>
              <c:numCache>
                <c:formatCode>General</c:formatCode>
                <c:ptCount val="2"/>
                <c:pt idx="0">
                  <c:v>18037.72</c:v>
                </c:pt>
                <c:pt idx="1" c:formatCode="#,##0.00">
                  <c:v>11702.88</c:v>
                </c:pt>
              </c:numCache>
            </c:numRef>
          </c:val>
        </c:ser>
        <c:dLbls>
          <c:showLegendKey val="0"/>
          <c:showVal val="1"/>
          <c:showCatName val="0"/>
          <c:showSerName val="0"/>
          <c:showPercent val="0"/>
          <c:showBubbleSize val="0"/>
        </c:dLbls>
        <c:gapWidth val="246"/>
        <c:overlap val="-28"/>
        <c:axId val="951485527"/>
        <c:axId val="393617494"/>
      </c:barChart>
      <c:catAx>
        <c:axId val="9514855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3617494"/>
        <c:crosses val="autoZero"/>
        <c:auto val="1"/>
        <c:lblAlgn val="ctr"/>
        <c:lblOffset val="100"/>
        <c:noMultiLvlLbl val="0"/>
      </c:catAx>
      <c:valAx>
        <c:axId val="393617494"/>
        <c:scaling>
          <c:orientation val="minMax"/>
        </c:scaling>
        <c:delete val="0"/>
        <c:axPos val="l"/>
        <c:majorGridlines>
          <c:spPr>
            <a:ln w="9525" cap="flat" cmpd="sng" algn="ctr">
              <a:solidFill>
                <a:schemeClr val="lt1">
                  <a:lumMod val="90200"/>
                </a:schemeClr>
              </a:solidFill>
              <a:round/>
            </a:ln>
            <a:effectLst/>
          </c:spPr>
        </c:majorGridlines>
        <c:numFmt formatCode="#,##0.00_);[Red]\(#,##0.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4855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[工作簿1]Sheet1!$F$35:$F$36</c:f>
              <c:strCache>
                <c:ptCount val="2"/>
                <c:pt idx="0">
                  <c:v>2022年</c:v>
                </c:pt>
                <c:pt idx="1">
                  <c:v>2023年</c:v>
                </c:pt>
              </c:strCache>
            </c:strRef>
          </c:cat>
          <c:val>
            <c:numRef>
              <c:f>[工作簿1]Sheet1!$G$35:$G$36</c:f>
              <c:numCache>
                <c:formatCode>General</c:formatCode>
                <c:ptCount val="2"/>
                <c:pt idx="0">
                  <c:v>1637.72</c:v>
                </c:pt>
                <c:pt idx="1">
                  <c:v>1842.88</c:v>
                </c:pt>
              </c:numCache>
            </c:numRef>
          </c:val>
        </c:ser>
        <c:dLbls>
          <c:showLegendKey val="0"/>
          <c:showVal val="1"/>
          <c:showCatName val="0"/>
          <c:showSerName val="0"/>
          <c:showPercent val="0"/>
          <c:showBubbleSize val="0"/>
        </c:dLbls>
        <c:gapWidth val="246"/>
        <c:overlap val="-28"/>
        <c:axId val="514226741"/>
        <c:axId val="908908821"/>
      </c:barChart>
      <c:catAx>
        <c:axId val="5142267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908821"/>
        <c:crosses val="autoZero"/>
        <c:auto val="1"/>
        <c:lblAlgn val="ctr"/>
        <c:lblOffset val="100"/>
        <c:noMultiLvlLbl val="0"/>
      </c:catAx>
      <c:valAx>
        <c:axId val="908908821"/>
        <c:scaling>
          <c:orientation val="minMax"/>
          <c:max val="2400"/>
          <c:min val="800"/>
        </c:scaling>
        <c:delete val="0"/>
        <c:axPos val="l"/>
        <c:majorGridlines>
          <c:spPr>
            <a:ln w="9525" cap="flat" cmpd="sng" algn="ctr">
              <a:solidFill>
                <a:schemeClr val="lt1">
                  <a:lumMod val="90200"/>
                </a:schemeClr>
              </a:solidFill>
              <a:round/>
            </a:ln>
            <a:effectLst/>
          </c:spPr>
        </c:majorGridlines>
        <c:numFmt formatCode="#,##0.00_);[Red]\(#,##0.0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422674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[工作簿1]Sheet1!$C$50:$C$55</c:f>
              <c:strCache>
                <c:ptCount val="6"/>
                <c:pt idx="0">
                  <c:v>一般公共服务支出</c:v>
                </c:pt>
                <c:pt idx="1">
                  <c:v>社会保障和就业支出</c:v>
                </c:pt>
                <c:pt idx="2">
                  <c:v>卫生健康支出</c:v>
                </c:pt>
                <c:pt idx="3">
                  <c:v>农林水支出</c:v>
                </c:pt>
                <c:pt idx="4">
                  <c:v>住房保障支出</c:v>
                </c:pt>
                <c:pt idx="5">
                  <c:v>粮油物资储备支出</c:v>
                </c:pt>
              </c:strCache>
            </c:strRef>
          </c:cat>
          <c:val>
            <c:numRef>
              <c:f>[工作簿1]Sheet1!$D$50:$D$55</c:f>
              <c:numCache>
                <c:formatCode>0.00%</c:formatCode>
                <c:ptCount val="6"/>
                <c:pt idx="0">
                  <c:v>0.3214</c:v>
                </c:pt>
                <c:pt idx="1">
                  <c:v>0.0396</c:v>
                </c:pt>
                <c:pt idx="2">
                  <c:v>0.1064</c:v>
                </c:pt>
                <c:pt idx="3">
                  <c:v>0.458</c:v>
                </c:pt>
                <c:pt idx="4">
                  <c:v>0.022</c:v>
                </c:pt>
                <c:pt idx="5">
                  <c:v>0.0526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437767943427348"/>
                  <c:y val="0.02758288687932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[草稿图表.xlsx]Sheet1!$C$81:$C$83</c:f>
              <c:strCache>
                <c:ptCount val="3"/>
                <c:pt idx="0">
                  <c:v>公务接待费</c:v>
                </c:pt>
                <c:pt idx="1">
                  <c:v>公务用车购置及运行维护费</c:v>
                </c:pt>
                <c:pt idx="2">
                  <c:v>因公出国（境）费</c:v>
                </c:pt>
              </c:strCache>
            </c:strRef>
          </c:cat>
          <c:val>
            <c:numRef>
              <c:f>[草稿图表.xlsx]Sheet1!$D$81:$D$83</c:f>
              <c:numCache>
                <c:formatCode>0.00%</c:formatCode>
                <c:ptCount val="3"/>
                <c:pt idx="0">
                  <c:v>0.0315</c:v>
                </c:pt>
                <c:pt idx="1">
                  <c:v>0.9685</c:v>
                </c:pt>
                <c:pt idx="2"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22146</Words>
  <Characters>23653</Characters>
  <Lines>61</Lines>
  <Paragraphs>17</Paragraphs>
  <TotalTime>5</TotalTime>
  <ScaleCrop>false</ScaleCrop>
  <LinksUpToDate>false</LinksUpToDate>
  <CharactersWithSpaces>24315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未</cp:lastModifiedBy>
  <cp:lastPrinted>2023-07-31T02:35:00Z</cp:lastPrinted>
  <dcterms:modified xsi:type="dcterms:W3CDTF">2024-09-13T07:27:51Z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5B886E81075D4E1AB63FF3F1AF77DFF5_13</vt:lpwstr>
  </property>
</Properties>
</file>