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77193"/>
      <w:bookmarkStart w:id="3" w:name="_Toc15377425"/>
      <w:bookmarkStart w:id="4" w:name="_Toc17719"/>
      <w:bookmarkStart w:id="5" w:name="_Toc15378441"/>
      <w:bookmarkStart w:id="6"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25317"/>
      <w:bookmarkStart w:id="8" w:name="_Toc15396476"/>
      <w:bookmarkStart w:id="9" w:name="_Toc15396598"/>
      <w:bookmarkStart w:id="10" w:name="_Toc15306268"/>
      <w:bookmarkStart w:id="11" w:name="_Toc15378442"/>
      <w:bookmarkStart w:id="12" w:name="_Toc15377426"/>
      <w:bookmarkStart w:id="13" w:name="_Toc15377194"/>
      <w:r>
        <w:rPr>
          <w:rFonts w:hint="eastAsia" w:ascii="方正小标宋简体" w:hAnsi="方正小标宋简体" w:eastAsia="方正小标宋简体" w:cs="方正小标宋简体"/>
          <w:color w:val="auto"/>
          <w:sz w:val="72"/>
          <w:szCs w:val="72"/>
          <w:highlight w:val="none"/>
        </w:rPr>
        <w:t>四川省遂宁市船山区</w:t>
      </w:r>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4" w:name="_Toc21033"/>
      <w:r>
        <w:rPr>
          <w:rFonts w:hint="eastAsia" w:ascii="方正小标宋简体" w:hAnsi="方正小标宋简体" w:eastAsia="方正小标宋简体" w:cs="方正小标宋简体"/>
          <w:color w:val="auto"/>
          <w:sz w:val="72"/>
          <w:szCs w:val="72"/>
          <w:highlight w:val="none"/>
        </w:rPr>
        <w:t>公路运输管理所</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 xml:space="preserve">9 </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54281"/>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37"/>
            <w:tabs>
              <w:tab w:val="right" w:leader="dot" w:pos="8306"/>
            </w:tabs>
            <w:rPr>
              <w:b/>
            </w:rPr>
          </w:pPr>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"1-2" \h \u </w:instrText>
          </w:r>
          <w:r>
            <w:rPr>
              <w:rFonts w:hint="eastAsia" w:ascii="黑体" w:hAnsi="黑体" w:eastAsia="黑体"/>
              <w:b w:val="0"/>
              <w:color w:val="auto"/>
              <w:highlight w:val="none"/>
            </w:rPr>
            <w:fldChar w:fldCharType="separate"/>
          </w: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_Toc17719 </w:instrText>
          </w:r>
          <w:r>
            <w:rPr>
              <w:rFonts w:hint="eastAsia" w:ascii="黑体" w:hAnsi="黑体" w:eastAsia="黑体"/>
              <w:b/>
              <w:highlight w:val="none"/>
            </w:rPr>
            <w:fldChar w:fldCharType="separate"/>
          </w:r>
          <w:r>
            <w:rPr>
              <w:rFonts w:hint="eastAsia" w:ascii="方正小标宋简体" w:hAnsi="方正小标宋简体" w:eastAsia="方正小标宋简体" w:cs="方正小标宋简体"/>
              <w:b/>
              <w:szCs w:val="72"/>
              <w:highlight w:val="none"/>
            </w:rPr>
            <w:t>20</w:t>
          </w:r>
          <w:r>
            <w:rPr>
              <w:rFonts w:hint="eastAsia" w:ascii="方正小标宋简体" w:hAnsi="方正小标宋简体" w:eastAsia="方正小标宋简体" w:cs="方正小标宋简体"/>
              <w:b/>
              <w:szCs w:val="72"/>
              <w:highlight w:val="none"/>
              <w:lang w:val="en-US" w:eastAsia="zh-CN"/>
            </w:rPr>
            <w:t>23</w:t>
          </w:r>
          <w:r>
            <w:rPr>
              <w:rFonts w:hint="eastAsia" w:ascii="方正小标宋简体" w:hAnsi="方正小标宋简体" w:eastAsia="方正小标宋简体" w:cs="方正小标宋简体"/>
              <w:b/>
              <w:szCs w:val="72"/>
              <w:highlight w:val="none"/>
            </w:rPr>
            <w:t>年度</w:t>
          </w:r>
          <w:r>
            <w:rPr>
              <w:b/>
            </w:rPr>
            <w:tab/>
          </w:r>
          <w:r>
            <w:rPr>
              <w:b/>
            </w:rPr>
            <w:fldChar w:fldCharType="begin"/>
          </w:r>
          <w:r>
            <w:rPr>
              <w:b/>
            </w:rPr>
            <w:instrText xml:space="preserve"> PAGEREF _Toc17719 \h </w:instrText>
          </w:r>
          <w:r>
            <w:rPr>
              <w:b/>
            </w:rPr>
            <w:fldChar w:fldCharType="separate"/>
          </w:r>
          <w:r>
            <w:rPr>
              <w:b/>
            </w:rPr>
            <w:t>1</w:t>
          </w:r>
          <w:r>
            <w:rPr>
              <w:b/>
            </w:rPr>
            <w:fldChar w:fldCharType="end"/>
          </w:r>
          <w:r>
            <w:rPr>
              <w:rFonts w:hint="eastAsia" w:ascii="黑体" w:hAnsi="黑体" w:eastAsia="黑体"/>
              <w:b/>
              <w:color w:val="auto"/>
              <w:highlight w:val="none"/>
            </w:rPr>
            <w:fldChar w:fldCharType="end"/>
          </w:r>
        </w:p>
        <w:p>
          <w:pPr>
            <w:pStyle w:val="37"/>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_Toc25317 </w:instrText>
          </w:r>
          <w:r>
            <w:rPr>
              <w:rFonts w:hint="eastAsia" w:ascii="黑体" w:hAnsi="黑体" w:eastAsia="黑体"/>
              <w:b/>
              <w:highlight w:val="none"/>
            </w:rPr>
            <w:fldChar w:fldCharType="separate"/>
          </w:r>
          <w:r>
            <w:rPr>
              <w:rFonts w:hint="eastAsia" w:ascii="方正小标宋简体" w:hAnsi="方正小标宋简体" w:eastAsia="方正小标宋简体" w:cs="方正小标宋简体"/>
              <w:b/>
              <w:szCs w:val="72"/>
              <w:highlight w:val="none"/>
            </w:rPr>
            <w:t>四川省遂宁市船山区</w:t>
          </w:r>
          <w:r>
            <w:rPr>
              <w:b/>
            </w:rPr>
            <w:tab/>
          </w:r>
          <w:r>
            <w:rPr>
              <w:b/>
            </w:rPr>
            <w:fldChar w:fldCharType="begin"/>
          </w:r>
          <w:r>
            <w:rPr>
              <w:b/>
            </w:rPr>
            <w:instrText xml:space="preserve"> PAGEREF _Toc25317 \h </w:instrText>
          </w:r>
          <w:r>
            <w:rPr>
              <w:b/>
            </w:rPr>
            <w:fldChar w:fldCharType="separate"/>
          </w:r>
          <w:r>
            <w:rPr>
              <w:b/>
            </w:rPr>
            <w:t>1</w:t>
          </w:r>
          <w:r>
            <w:rPr>
              <w:b/>
            </w:rPr>
            <w:fldChar w:fldCharType="end"/>
          </w:r>
          <w:r>
            <w:rPr>
              <w:rFonts w:hint="eastAsia" w:ascii="黑体" w:hAnsi="黑体" w:eastAsia="黑体"/>
              <w:b/>
              <w:color w:val="auto"/>
              <w:highlight w:val="none"/>
            </w:rPr>
            <w:fldChar w:fldCharType="end"/>
          </w:r>
        </w:p>
        <w:p>
          <w:pPr>
            <w:pStyle w:val="37"/>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_Toc21033 </w:instrText>
          </w:r>
          <w:r>
            <w:rPr>
              <w:rFonts w:hint="eastAsia" w:ascii="黑体" w:hAnsi="黑体" w:eastAsia="黑体"/>
              <w:b/>
              <w:highlight w:val="none"/>
            </w:rPr>
            <w:fldChar w:fldCharType="separate"/>
          </w:r>
          <w:r>
            <w:rPr>
              <w:rFonts w:hint="eastAsia" w:ascii="方正小标宋简体" w:hAnsi="方正小标宋简体" w:eastAsia="方正小标宋简体" w:cs="方正小标宋简体"/>
              <w:b/>
              <w:szCs w:val="72"/>
              <w:highlight w:val="none"/>
            </w:rPr>
            <w:t>公路运输管理所</w:t>
          </w:r>
          <w:r>
            <w:rPr>
              <w:rFonts w:hint="eastAsia" w:ascii="方正小标宋简体" w:hAnsi="方正小标宋简体" w:eastAsia="方正小标宋简体" w:cs="方正小标宋简体"/>
              <w:b/>
              <w:szCs w:val="72"/>
              <w:highlight w:val="none"/>
              <w:lang w:eastAsia="zh-CN"/>
            </w:rPr>
            <w:t>单位</w:t>
          </w:r>
          <w:r>
            <w:rPr>
              <w:rFonts w:hint="eastAsia" w:ascii="方正小标宋简体" w:hAnsi="方正小标宋简体" w:eastAsia="方正小标宋简体" w:cs="方正小标宋简体"/>
              <w:b/>
              <w:szCs w:val="72"/>
              <w:highlight w:val="none"/>
            </w:rPr>
            <w:t>决算</w:t>
          </w:r>
          <w:r>
            <w:rPr>
              <w:b/>
            </w:rPr>
            <w:tab/>
          </w:r>
          <w:r>
            <w:rPr>
              <w:b/>
            </w:rPr>
            <w:fldChar w:fldCharType="begin"/>
          </w:r>
          <w:r>
            <w:rPr>
              <w:b/>
            </w:rPr>
            <w:instrText xml:space="preserve"> PAGEREF _Toc21033 \h </w:instrText>
          </w:r>
          <w:r>
            <w:rPr>
              <w:b/>
            </w:rPr>
            <w:fldChar w:fldCharType="separate"/>
          </w:r>
          <w:r>
            <w:rPr>
              <w:b/>
            </w:rPr>
            <w:t>1</w:t>
          </w:r>
          <w:r>
            <w:rPr>
              <w:b/>
            </w:rPr>
            <w:fldChar w:fldCharType="end"/>
          </w:r>
          <w:r>
            <w:rPr>
              <w:rFonts w:hint="eastAsia" w:ascii="黑体" w:hAnsi="黑体" w:eastAsia="黑体"/>
              <w:b/>
              <w:color w:val="auto"/>
              <w:highlight w:val="none"/>
            </w:rPr>
            <w:fldChar w:fldCharType="end"/>
          </w:r>
        </w:p>
        <w:p>
          <w:pPr>
            <w:pStyle w:val="37"/>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_Toc2024 </w:instrText>
          </w:r>
          <w:r>
            <w:rPr>
              <w:rFonts w:hint="eastAsia" w:ascii="黑体" w:hAnsi="黑体" w:eastAsia="黑体"/>
              <w:b/>
              <w:highlight w:val="none"/>
            </w:rPr>
            <w:fldChar w:fldCharType="separate"/>
          </w:r>
          <w:r>
            <w:rPr>
              <w:rFonts w:hint="eastAsia" w:ascii="黑体" w:hAnsi="黑体" w:eastAsia="黑体"/>
              <w:b/>
              <w:highlight w:val="none"/>
            </w:rPr>
            <w:t xml:space="preserve">第一部分 </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_Toc2024 \h </w:instrText>
          </w:r>
          <w:r>
            <w:rPr>
              <w:b/>
            </w:rPr>
            <w:fldChar w:fldCharType="separate"/>
          </w:r>
          <w:r>
            <w:rPr>
              <w:b/>
            </w:rPr>
            <w:t>1</w:t>
          </w:r>
          <w:r>
            <w:rPr>
              <w:b/>
            </w:rPr>
            <w:fldChar w:fldCharType="end"/>
          </w:r>
          <w:r>
            <w:rPr>
              <w:rFonts w:hint="eastAsia" w:ascii="黑体" w:hAnsi="黑体" w:eastAsia="黑体"/>
              <w:b/>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_Toc1720 </w:instrText>
          </w:r>
          <w:r>
            <w:rPr>
              <w:rFonts w:hint="eastAsia" w:ascii="黑体" w:hAnsi="黑体" w:eastAsia="黑体"/>
              <w:highlight w:val="none"/>
            </w:rPr>
            <w:fldChar w:fldCharType="separate"/>
          </w:r>
          <w:r>
            <w:rPr>
              <w:rFonts w:hint="eastAsia" w:ascii="黑体" w:hAnsi="黑体" w:eastAsia="黑体"/>
              <w:bCs w:val="0"/>
              <w:highlight w:val="none"/>
              <w:lang w:eastAsia="zh-CN"/>
            </w:rPr>
            <w:t>一、 主要职责</w:t>
          </w:r>
          <w:r>
            <w:tab/>
          </w:r>
          <w:r>
            <w:fldChar w:fldCharType="begin"/>
          </w:r>
          <w:r>
            <w:instrText xml:space="preserve"> PAGEREF _Toc1720 \h </w:instrText>
          </w:r>
          <w:r>
            <w:fldChar w:fldCharType="separate"/>
          </w:r>
          <w:r>
            <w:t>1</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_Toc27148 </w:instrText>
          </w:r>
          <w:r>
            <w:rPr>
              <w:rFonts w:hint="eastAsia" w:ascii="黑体" w:hAnsi="黑体" w:eastAsia="黑体"/>
              <w:highlight w:val="none"/>
            </w:rPr>
            <w:fldChar w:fldCharType="separate"/>
          </w:r>
          <w:r>
            <w:rPr>
              <w:rFonts w:hint="eastAsia" w:ascii="黑体" w:hAnsi="黑体" w:eastAsia="黑体"/>
              <w:highlight w:val="none"/>
              <w:lang w:val="en-US" w:eastAsia="zh-CN"/>
            </w:rPr>
            <w:t>二、 机构设置</w:t>
          </w:r>
          <w:r>
            <w:tab/>
          </w:r>
          <w:r>
            <w:fldChar w:fldCharType="begin"/>
          </w:r>
          <w:r>
            <w:instrText xml:space="preserve"> PAGEREF _Toc27148 \h </w:instrText>
          </w:r>
          <w:r>
            <w:fldChar w:fldCharType="separate"/>
          </w:r>
          <w:r>
            <w:t>1</w:t>
          </w:r>
          <w:r>
            <w:fldChar w:fldCharType="end"/>
          </w:r>
          <w:r>
            <w:rPr>
              <w:rFonts w:hint="eastAsia" w:ascii="黑体" w:hAnsi="黑体" w:eastAsia="黑体"/>
              <w:color w:val="auto"/>
              <w:highlight w:val="none"/>
            </w:rPr>
            <w:fldChar w:fldCharType="end"/>
          </w:r>
        </w:p>
        <w:p>
          <w:pPr>
            <w:pStyle w:val="37"/>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_Toc8442 </w:instrText>
          </w:r>
          <w:r>
            <w:rPr>
              <w:rFonts w:hint="eastAsia" w:ascii="黑体" w:hAnsi="黑体" w:eastAsia="黑体"/>
              <w:b/>
              <w:highlight w:val="none"/>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_Toc8442 \h </w:instrText>
          </w:r>
          <w:r>
            <w:rPr>
              <w:b/>
            </w:rPr>
            <w:fldChar w:fldCharType="separate"/>
          </w:r>
          <w:r>
            <w:rPr>
              <w:b/>
            </w:rPr>
            <w:t>2</w:t>
          </w:r>
          <w:r>
            <w:rPr>
              <w:b/>
            </w:rPr>
            <w:fldChar w:fldCharType="end"/>
          </w:r>
          <w:r>
            <w:rPr>
              <w:rFonts w:hint="eastAsia" w:ascii="黑体" w:hAnsi="黑体" w:eastAsia="黑体"/>
              <w:b/>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_Toc6371 </w:instrText>
          </w:r>
          <w:r>
            <w:rPr>
              <w:rFonts w:hint="eastAsia" w:ascii="黑体" w:hAnsi="黑体" w:eastAsia="黑体"/>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_Toc6371 \h </w:instrText>
          </w:r>
          <w:r>
            <w:fldChar w:fldCharType="separate"/>
          </w:r>
          <w:r>
            <w:t>2</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_Toc23737 </w:instrText>
          </w:r>
          <w:r>
            <w:rPr>
              <w:rFonts w:hint="eastAsia" w:ascii="黑体" w:hAnsi="黑体" w:eastAsia="黑体"/>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_Toc23737 \h </w:instrText>
          </w:r>
          <w:r>
            <w:fldChar w:fldCharType="separate"/>
          </w:r>
          <w:r>
            <w:t>2</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_Toc18802 </w:instrText>
          </w:r>
          <w:r>
            <w:rPr>
              <w:rFonts w:hint="eastAsia" w:ascii="黑体" w:hAnsi="黑体" w:eastAsia="黑体"/>
              <w:highlight w:val="none"/>
            </w:rPr>
            <w:fldChar w:fldCharType="separate"/>
          </w:r>
          <w:r>
            <w:rPr>
              <w:rFonts w:ascii="仿宋" w:hAnsi="仿宋" w:eastAsia="仿宋"/>
              <w:szCs w:val="32"/>
              <w:highlight w:val="none"/>
            </w:rPr>
            <w:t>20</w:t>
          </w:r>
          <w:r>
            <w:rPr>
              <w:rFonts w:hint="eastAsia" w:ascii="仿宋" w:hAnsi="仿宋" w:eastAsia="仿宋"/>
              <w:szCs w:val="32"/>
              <w:highlight w:val="none"/>
              <w:lang w:val="en-US" w:eastAsia="zh-CN"/>
            </w:rPr>
            <w:t>23</w:t>
          </w:r>
          <w:r>
            <w:rPr>
              <w:rFonts w:hint="eastAsia" w:ascii="仿宋" w:hAnsi="仿宋" w:eastAsia="仿宋"/>
              <w:szCs w:val="32"/>
              <w:highlight w:val="none"/>
            </w:rPr>
            <w:t>年本年收入合计858.63万元，其中：一般公共预算财政拨款收入853.62万元，占</w:t>
          </w:r>
          <w:r>
            <w:rPr>
              <w:rFonts w:hint="eastAsia" w:ascii="仿宋" w:hAnsi="仿宋" w:eastAsia="仿宋" w:cs="仿宋"/>
              <w:szCs w:val="32"/>
              <w:lang w:val="en-US" w:eastAsia="zh-CN"/>
            </w:rPr>
            <w:t>99.42%</w:t>
          </w:r>
          <w:r>
            <w:rPr>
              <w:rFonts w:hint="eastAsia" w:ascii="仿宋" w:hAnsi="仿宋" w:eastAsia="仿宋"/>
              <w:szCs w:val="32"/>
              <w:highlight w:val="none"/>
            </w:rPr>
            <w:t>；其他收入5.01万元，占</w:t>
          </w:r>
          <w:r>
            <w:rPr>
              <w:rFonts w:hint="eastAsia" w:ascii="仿宋" w:hAnsi="仿宋" w:eastAsia="仿宋" w:cs="仿宋"/>
              <w:szCs w:val="32"/>
              <w:lang w:val="en-US" w:eastAsia="zh-CN"/>
            </w:rPr>
            <w:t>0.58%</w:t>
          </w:r>
          <w:r>
            <w:rPr>
              <w:rFonts w:hint="eastAsia" w:ascii="仿宋" w:hAnsi="仿宋" w:eastAsia="仿宋"/>
              <w:szCs w:val="32"/>
              <w:highlight w:val="none"/>
            </w:rPr>
            <w:t>。</w:t>
          </w:r>
          <w:r>
            <w:tab/>
          </w:r>
          <w:r>
            <w:fldChar w:fldCharType="begin"/>
          </w:r>
          <w:r>
            <w:instrText xml:space="preserve"> PAGEREF _Toc18802 \h </w:instrText>
          </w:r>
          <w:r>
            <w:fldChar w:fldCharType="separate"/>
          </w:r>
          <w:r>
            <w:t>2</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_Toc27082 </w:instrText>
          </w:r>
          <w:r>
            <w:rPr>
              <w:rFonts w:hint="eastAsia" w:ascii="黑体" w:hAnsi="黑体" w:eastAsia="黑体"/>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_Toc27082 \h </w:instrText>
          </w:r>
          <w:r>
            <w:fldChar w:fldCharType="separate"/>
          </w:r>
          <w:r>
            <w:t>3</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_Toc26540 </w:instrText>
          </w:r>
          <w:r>
            <w:rPr>
              <w:rFonts w:hint="eastAsia" w:ascii="黑体" w:hAnsi="黑体" w:eastAsia="黑体"/>
              <w:highlight w:val="none"/>
            </w:rPr>
            <w:fldChar w:fldCharType="separate"/>
          </w:r>
          <w:r>
            <w:rPr>
              <w:rFonts w:ascii="仿宋" w:hAnsi="仿宋" w:eastAsia="仿宋"/>
              <w:szCs w:val="32"/>
              <w:highlight w:val="none"/>
            </w:rPr>
            <w:t>20</w:t>
          </w:r>
          <w:r>
            <w:rPr>
              <w:rFonts w:hint="eastAsia" w:ascii="仿宋" w:hAnsi="仿宋" w:eastAsia="仿宋"/>
              <w:szCs w:val="32"/>
              <w:highlight w:val="none"/>
              <w:lang w:val="en-US" w:eastAsia="zh-CN"/>
            </w:rPr>
            <w:t>23</w:t>
          </w:r>
          <w:r>
            <w:rPr>
              <w:rFonts w:hint="eastAsia" w:ascii="仿宋" w:hAnsi="仿宋" w:eastAsia="仿宋"/>
              <w:szCs w:val="32"/>
              <w:highlight w:val="none"/>
            </w:rPr>
            <w:t>年本年支出合计</w:t>
          </w:r>
          <w:r>
            <w:rPr>
              <w:rFonts w:hint="eastAsia" w:ascii="仿宋" w:hAnsi="仿宋" w:eastAsia="仿宋" w:cs="仿宋"/>
              <w:szCs w:val="32"/>
              <w:lang w:val="en-US" w:eastAsia="zh-CN"/>
            </w:rPr>
            <w:t>883.69</w:t>
          </w:r>
          <w:r>
            <w:rPr>
              <w:rFonts w:hint="eastAsia" w:ascii="仿宋" w:hAnsi="仿宋" w:eastAsia="仿宋"/>
              <w:szCs w:val="32"/>
              <w:highlight w:val="none"/>
            </w:rPr>
            <w:t>万元，其中：基本支出</w:t>
          </w:r>
          <w:r>
            <w:rPr>
              <w:rFonts w:hint="eastAsia" w:ascii="仿宋" w:hAnsi="仿宋" w:eastAsia="仿宋" w:cs="仿宋"/>
              <w:szCs w:val="32"/>
              <w:lang w:val="en-US" w:eastAsia="zh-CN"/>
            </w:rPr>
            <w:t>331.23</w:t>
          </w:r>
          <w:r>
            <w:rPr>
              <w:rFonts w:hint="eastAsia" w:ascii="仿宋" w:hAnsi="仿宋" w:eastAsia="仿宋"/>
              <w:szCs w:val="32"/>
              <w:highlight w:val="none"/>
            </w:rPr>
            <w:t>万元，占</w:t>
          </w:r>
          <w:r>
            <w:rPr>
              <w:rFonts w:hint="eastAsia" w:ascii="仿宋" w:hAnsi="仿宋" w:eastAsia="仿宋" w:cs="仿宋"/>
              <w:szCs w:val="32"/>
              <w:lang w:val="en-US" w:eastAsia="zh-CN"/>
            </w:rPr>
            <w:t>37.48%</w:t>
          </w:r>
          <w:r>
            <w:rPr>
              <w:rFonts w:hint="eastAsia" w:ascii="仿宋" w:hAnsi="仿宋" w:eastAsia="仿宋"/>
              <w:szCs w:val="32"/>
              <w:highlight w:val="none"/>
            </w:rPr>
            <w:t>；项目支出</w:t>
          </w:r>
          <w:r>
            <w:rPr>
              <w:rFonts w:hint="eastAsia" w:ascii="仿宋" w:hAnsi="仿宋" w:eastAsia="仿宋" w:cs="仿宋"/>
              <w:szCs w:val="32"/>
              <w:lang w:val="en-US" w:eastAsia="zh-CN"/>
            </w:rPr>
            <w:t>552.46</w:t>
          </w:r>
          <w:r>
            <w:rPr>
              <w:rFonts w:hint="eastAsia" w:ascii="仿宋" w:hAnsi="仿宋" w:eastAsia="仿宋"/>
              <w:szCs w:val="32"/>
              <w:highlight w:val="none"/>
            </w:rPr>
            <w:t>万元，占</w:t>
          </w:r>
          <w:r>
            <w:rPr>
              <w:rFonts w:hint="eastAsia" w:ascii="仿宋" w:hAnsi="仿宋" w:eastAsia="仿宋" w:cs="仿宋"/>
              <w:szCs w:val="32"/>
              <w:lang w:val="en-US" w:eastAsia="zh-CN"/>
            </w:rPr>
            <w:t>62.52%</w:t>
          </w:r>
          <w:r>
            <w:rPr>
              <w:rFonts w:hint="eastAsia" w:ascii="仿宋" w:hAnsi="仿宋" w:eastAsia="仿宋"/>
              <w:szCs w:val="32"/>
              <w:highlight w:val="none"/>
            </w:rPr>
            <w:t>。</w:t>
          </w:r>
          <w:r>
            <w:tab/>
          </w:r>
          <w:r>
            <w:fldChar w:fldCharType="begin"/>
          </w:r>
          <w:r>
            <w:instrText xml:space="preserve"> PAGEREF _Toc26540 \h </w:instrText>
          </w:r>
          <w:r>
            <w:fldChar w:fldCharType="separate"/>
          </w:r>
          <w:r>
            <w:t>3</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_Toc23030 </w:instrText>
          </w:r>
          <w:r>
            <w:rPr>
              <w:rFonts w:hint="eastAsia" w:ascii="黑体" w:hAnsi="黑体" w:eastAsia="黑体"/>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_Toc23030 \h </w:instrText>
          </w:r>
          <w:r>
            <w:fldChar w:fldCharType="separate"/>
          </w:r>
          <w:r>
            <w:t>3</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_Toc25911 </w:instrText>
          </w:r>
          <w:r>
            <w:rPr>
              <w:rFonts w:hint="eastAsia" w:ascii="黑体" w:hAnsi="黑体" w:eastAsia="黑体"/>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_Toc25911 \h </w:instrText>
          </w:r>
          <w:r>
            <w:fldChar w:fldCharType="separate"/>
          </w:r>
          <w:r>
            <w:t>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_Toc27465 </w:instrText>
          </w:r>
          <w:r>
            <w:rPr>
              <w:rFonts w:hint="eastAsia" w:ascii="黑体" w:hAnsi="黑体" w:eastAsia="黑体"/>
              <w:highlight w:val="none"/>
            </w:rPr>
            <w:fldChar w:fldCharType="separate"/>
          </w:r>
          <w:r>
            <w:rPr>
              <w:rFonts w:hint="eastAsia" w:ascii="仿宋" w:hAnsi="仿宋" w:eastAsia="仿宋"/>
              <w:szCs w:val="32"/>
              <w:highlight w:val="none"/>
            </w:rPr>
            <w:t>20</w:t>
          </w:r>
          <w:r>
            <w:rPr>
              <w:rFonts w:hint="eastAsia" w:ascii="仿宋" w:hAnsi="仿宋" w:eastAsia="仿宋"/>
              <w:szCs w:val="32"/>
              <w:highlight w:val="none"/>
              <w:lang w:val="en-US" w:eastAsia="zh-CN"/>
            </w:rPr>
            <w:t>23</w:t>
          </w:r>
          <w:r>
            <w:rPr>
              <w:rFonts w:hint="eastAsia" w:ascii="仿宋" w:hAnsi="仿宋" w:eastAsia="仿宋"/>
              <w:szCs w:val="32"/>
              <w:highlight w:val="none"/>
              <w:lang w:eastAsia="zh-CN"/>
            </w:rPr>
            <w:t>一</w:t>
          </w:r>
          <w:r>
            <w:rPr>
              <w:rFonts w:hint="eastAsia" w:ascii="仿宋" w:hAnsi="仿宋" w:eastAsia="仿宋"/>
              <w:szCs w:val="32"/>
              <w:highlight w:val="none"/>
            </w:rPr>
            <w:t>般公共预算支出决算数为853.62</w:t>
          </w:r>
          <w:r>
            <w:rPr>
              <w:rFonts w:hint="eastAsia" w:ascii="仿宋" w:hAnsi="仿宋" w:eastAsia="仿宋"/>
              <w:szCs w:val="32"/>
              <w:highlight w:val="none"/>
              <w:lang w:eastAsia="zh-CN"/>
            </w:rPr>
            <w:t>万元</w:t>
          </w:r>
          <w:r>
            <w:rPr>
              <w:rFonts w:hint="eastAsia" w:ascii="仿宋" w:hAnsi="仿宋" w:eastAsia="仿宋"/>
              <w:szCs w:val="32"/>
              <w:highlight w:val="none"/>
            </w:rPr>
            <w:t>，</w:t>
          </w:r>
          <w:r>
            <w:rPr>
              <w:rFonts w:hint="eastAsia" w:ascii="仿宋" w:hAnsi="仿宋" w:eastAsia="仿宋"/>
              <w:bCs/>
              <w:szCs w:val="32"/>
              <w:highlight w:val="none"/>
            </w:rPr>
            <w:t>完成预算</w:t>
          </w:r>
          <w:r>
            <w:rPr>
              <w:rFonts w:hint="eastAsia" w:ascii="仿宋" w:hAnsi="仿宋" w:eastAsia="仿宋"/>
              <w:bCs/>
              <w:szCs w:val="32"/>
              <w:highlight w:val="none"/>
              <w:lang w:val="en-US" w:eastAsia="zh-CN"/>
            </w:rPr>
            <w:t>100</w:t>
          </w:r>
          <w:r>
            <w:rPr>
              <w:rFonts w:ascii="仿宋" w:hAnsi="仿宋" w:eastAsia="仿宋"/>
              <w:bCs/>
              <w:szCs w:val="32"/>
              <w:highlight w:val="none"/>
            </w:rPr>
            <w:t>%</w:t>
          </w:r>
          <w:r>
            <w:rPr>
              <w:rFonts w:hint="eastAsia" w:ascii="仿宋" w:hAnsi="仿宋" w:eastAsia="仿宋"/>
              <w:bCs/>
              <w:szCs w:val="32"/>
              <w:highlight w:val="none"/>
            </w:rPr>
            <w:t>。其中：</w:t>
          </w:r>
          <w:r>
            <w:tab/>
          </w:r>
          <w:r>
            <w:fldChar w:fldCharType="begin"/>
          </w:r>
          <w:r>
            <w:instrText xml:space="preserve"> PAGEREF _Toc27465 \h </w:instrText>
          </w:r>
          <w:r>
            <w:fldChar w:fldCharType="separate"/>
          </w:r>
          <w:r>
            <w:t>5</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_Toc14079 </w:instrText>
          </w:r>
          <w:r>
            <w:rPr>
              <w:rFonts w:hint="eastAsia" w:ascii="黑体" w:hAnsi="黑体" w:eastAsia="黑体"/>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_Toc14079 \h </w:instrText>
          </w:r>
          <w:r>
            <w:fldChar w:fldCharType="separate"/>
          </w:r>
          <w:r>
            <w:t>7</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_Toc31179 </w:instrText>
          </w:r>
          <w:r>
            <w:rPr>
              <w:rFonts w:hint="eastAsia" w:ascii="黑体" w:hAnsi="黑体" w:eastAsia="黑体"/>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_Toc31179 \h </w:instrText>
          </w:r>
          <w:r>
            <w:fldChar w:fldCharType="separate"/>
          </w:r>
          <w:r>
            <w:t>7</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_Toc16532 </w:instrText>
          </w:r>
          <w:r>
            <w:rPr>
              <w:rFonts w:hint="eastAsia" w:ascii="黑体" w:hAnsi="黑体" w:eastAsia="黑体"/>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_Toc16532 \h </w:instrText>
          </w:r>
          <w:r>
            <w:fldChar w:fldCharType="separate"/>
          </w:r>
          <w:r>
            <w:t>9</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_Toc31711 </w:instrText>
          </w:r>
          <w:r>
            <w:rPr>
              <w:rFonts w:hint="eastAsia" w:ascii="黑体" w:hAnsi="黑体" w:eastAsia="黑体"/>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_Toc31711 \h </w:instrText>
          </w:r>
          <w:r>
            <w:fldChar w:fldCharType="separate"/>
          </w:r>
          <w:r>
            <w:t>9</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_Toc9081 </w:instrText>
          </w:r>
          <w:r>
            <w:rPr>
              <w:rFonts w:hint="eastAsia" w:ascii="黑体" w:hAnsi="黑体" w:eastAsia="黑体"/>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_Toc9081 \h </w:instrText>
          </w:r>
          <w:r>
            <w:fldChar w:fldCharType="separate"/>
          </w:r>
          <w:r>
            <w:t>9</w:t>
          </w:r>
          <w:r>
            <w:fldChar w:fldCharType="end"/>
          </w:r>
          <w:r>
            <w:rPr>
              <w:rFonts w:hint="eastAsia" w:ascii="黑体" w:hAnsi="黑体" w:eastAsia="黑体"/>
              <w:color w:val="auto"/>
              <w:highlight w:val="none"/>
            </w:rPr>
            <w:fldChar w:fldCharType="end"/>
          </w:r>
        </w:p>
        <w:p>
          <w:pPr>
            <w:pStyle w:val="37"/>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_Toc18155 </w:instrText>
          </w:r>
          <w:r>
            <w:rPr>
              <w:rFonts w:hint="eastAsia" w:ascii="黑体" w:hAnsi="黑体" w:eastAsia="黑体"/>
              <w:b/>
              <w:highlight w:val="none"/>
            </w:rPr>
            <w:fldChar w:fldCharType="separate"/>
          </w:r>
          <w:r>
            <w:rPr>
              <w:rFonts w:hint="eastAsia" w:ascii="黑体" w:hAnsi="黑体" w:eastAsia="黑体" w:cs="黑体"/>
              <w:b/>
              <w:szCs w:val="44"/>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_Toc18155 \h </w:instrText>
          </w:r>
          <w:r>
            <w:rPr>
              <w:b/>
            </w:rPr>
            <w:fldChar w:fldCharType="separate"/>
          </w:r>
          <w:r>
            <w:rPr>
              <w:b/>
            </w:rPr>
            <w:t>12</w:t>
          </w:r>
          <w:r>
            <w:rPr>
              <w:b/>
            </w:rPr>
            <w:fldChar w:fldCharType="end"/>
          </w:r>
          <w:r>
            <w:rPr>
              <w:rFonts w:hint="eastAsia" w:ascii="黑体" w:hAnsi="黑体" w:eastAsia="黑体"/>
              <w:b/>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_Toc22975 </w:instrText>
          </w:r>
          <w:r>
            <w:rPr>
              <w:rFonts w:hint="eastAsia" w:ascii="黑体" w:hAnsi="黑体" w:eastAsia="黑体"/>
              <w:highlight w:val="none"/>
            </w:rPr>
            <w:fldChar w:fldCharType="separate"/>
          </w:r>
          <w:r>
            <w:rPr>
              <w:rFonts w:hint="default" w:ascii="仿宋_GB2312" w:eastAsia="仿宋_GB2312"/>
              <w:szCs w:val="32"/>
            </w:rPr>
            <w:t xml:space="preserve">1． </w:t>
          </w:r>
          <w:r>
            <w:rPr>
              <w:rFonts w:hint="eastAsia" w:ascii="仿宋_GB2312" w:eastAsia="仿宋_GB2312"/>
              <w:szCs w:val="32"/>
              <w:highlight w:val="none"/>
            </w:rPr>
            <w:t>财政拨款收入：指单位从同级财政部门取得的财政预算资金。</w:t>
          </w:r>
          <w:r>
            <w:tab/>
          </w:r>
          <w:r>
            <w:fldChar w:fldCharType="begin"/>
          </w:r>
          <w:r>
            <w:instrText xml:space="preserve"> PAGEREF _Toc22975 \h </w:instrText>
          </w:r>
          <w:r>
            <w:fldChar w:fldCharType="separate"/>
          </w:r>
          <w:r>
            <w:t>12</w:t>
          </w:r>
          <w:r>
            <w:fldChar w:fldCharType="end"/>
          </w:r>
          <w:r>
            <w:rPr>
              <w:rFonts w:hint="eastAsia" w:ascii="黑体" w:hAnsi="黑体" w:eastAsia="黑体"/>
              <w:color w:val="auto"/>
              <w:highlight w:val="none"/>
            </w:rPr>
            <w:fldChar w:fldCharType="end"/>
          </w:r>
        </w:p>
        <w:p>
          <w:pPr>
            <w:pStyle w:val="37"/>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_Toc1527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_Toc1527 \h </w:instrText>
          </w:r>
          <w:r>
            <w:rPr>
              <w:b/>
            </w:rPr>
            <w:fldChar w:fldCharType="separate"/>
          </w:r>
          <w:r>
            <w:rPr>
              <w:b/>
            </w:rPr>
            <w:t>16</w:t>
          </w:r>
          <w:r>
            <w:rPr>
              <w:b/>
            </w:rPr>
            <w:fldChar w:fldCharType="end"/>
          </w:r>
          <w:r>
            <w:rPr>
              <w:rFonts w:hint="eastAsia" w:ascii="黑体" w:hAnsi="黑体" w:eastAsia="黑体"/>
              <w:b/>
              <w:color w:val="auto"/>
              <w:highlight w:val="none"/>
            </w:rPr>
            <w:fldChar w:fldCharType="end"/>
          </w:r>
        </w:p>
        <w:p>
          <w:pPr>
            <w:pStyle w:val="37"/>
            <w:tabs>
              <w:tab w:val="right" w:leader="dot" w:pos="8306"/>
            </w:tabs>
            <w:rPr>
              <w:b/>
            </w:rPr>
          </w:pPr>
          <w:r>
            <w:rPr>
              <w:rFonts w:hint="eastAsia" w:ascii="黑体" w:hAnsi="黑体" w:eastAsia="黑体"/>
              <w:b/>
              <w:color w:val="auto"/>
              <w:highlight w:val="none"/>
            </w:rPr>
            <w:fldChar w:fldCharType="begin"/>
          </w:r>
          <w:r>
            <w:rPr>
              <w:rFonts w:hint="eastAsia" w:ascii="黑体" w:hAnsi="黑体" w:eastAsia="黑体"/>
              <w:b/>
              <w:highlight w:val="none"/>
            </w:rPr>
            <w:instrText xml:space="preserve"> HYPERLINK \l _Toc32419 </w:instrText>
          </w:r>
          <w:r>
            <w:rPr>
              <w:rFonts w:hint="eastAsia" w:ascii="黑体" w:hAnsi="黑体" w:eastAsia="黑体"/>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_Toc32419 \h </w:instrText>
          </w:r>
          <w:r>
            <w:rPr>
              <w:b/>
            </w:rPr>
            <w:fldChar w:fldCharType="separate"/>
          </w:r>
          <w:r>
            <w:rPr>
              <w:b/>
            </w:rPr>
            <w:t>24</w:t>
          </w:r>
          <w:r>
            <w:rPr>
              <w:b/>
            </w:rPr>
            <w:fldChar w:fldCharType="end"/>
          </w:r>
          <w:r>
            <w:rPr>
              <w:rFonts w:hint="eastAsia" w:ascii="黑体" w:hAnsi="黑体" w:eastAsia="黑体"/>
              <w:b/>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_Toc23125 </w:instrText>
          </w:r>
          <w:r>
            <w:rPr>
              <w:rFonts w:hint="eastAsia" w:ascii="黑体" w:hAnsi="黑体" w:eastAsia="黑体"/>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_Toc23125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_Toc32015 </w:instrText>
          </w:r>
          <w:r>
            <w:rPr>
              <w:rFonts w:hint="eastAsia" w:ascii="黑体" w:hAnsi="黑体" w:eastAsia="黑体"/>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_Toc32015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_Toc7838 </w:instrText>
          </w:r>
          <w:r>
            <w:rPr>
              <w:rFonts w:hint="eastAsia" w:ascii="黑体" w:hAnsi="黑体" w:eastAsia="黑体"/>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_Toc7838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_Toc23340 </w:instrText>
          </w:r>
          <w:r>
            <w:rPr>
              <w:rFonts w:hint="eastAsia" w:ascii="黑体" w:hAnsi="黑体" w:eastAsia="黑体"/>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_Toc23340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_Toc18052 </w:instrText>
          </w:r>
          <w:r>
            <w:rPr>
              <w:rFonts w:hint="eastAsia" w:ascii="黑体" w:hAnsi="黑体" w:eastAsia="黑体"/>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_Toc18052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_Toc21345 </w:instrText>
          </w:r>
          <w:r>
            <w:rPr>
              <w:rFonts w:hint="eastAsia" w:ascii="黑体" w:hAnsi="黑体" w:eastAsia="黑体"/>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_Toc21345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_Toc27212 </w:instrText>
          </w:r>
          <w:r>
            <w:rPr>
              <w:rFonts w:hint="eastAsia" w:ascii="黑体" w:hAnsi="黑体" w:eastAsia="黑体"/>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_Toc27212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_Toc11894 </w:instrText>
          </w:r>
          <w:r>
            <w:rPr>
              <w:rFonts w:hint="eastAsia" w:ascii="黑体" w:hAnsi="黑体" w:eastAsia="黑体"/>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_Toc11894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_Toc17126 </w:instrText>
          </w:r>
          <w:r>
            <w:rPr>
              <w:rFonts w:hint="eastAsia" w:ascii="黑体" w:hAnsi="黑体" w:eastAsia="黑体"/>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_Toc17126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_Toc12218 </w:instrText>
          </w:r>
          <w:r>
            <w:rPr>
              <w:rFonts w:hint="eastAsia" w:ascii="黑体" w:hAnsi="黑体" w:eastAsia="黑体"/>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_Toc12218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_Toc17409 </w:instrText>
          </w:r>
          <w:r>
            <w:rPr>
              <w:rFonts w:hint="eastAsia" w:ascii="黑体" w:hAnsi="黑体" w:eastAsia="黑体"/>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_Toc17409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_Toc11093 </w:instrText>
          </w:r>
          <w:r>
            <w:rPr>
              <w:rFonts w:hint="eastAsia" w:ascii="黑体" w:hAnsi="黑体" w:eastAsia="黑体"/>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_Toc11093 \h </w:instrText>
          </w:r>
          <w:r>
            <w:fldChar w:fldCharType="separate"/>
          </w:r>
          <w:r>
            <w:t>24</w:t>
          </w:r>
          <w:r>
            <w:fldChar w:fldCharType="end"/>
          </w:r>
          <w:r>
            <w:rPr>
              <w:rFonts w:hint="eastAsia" w:ascii="黑体" w:hAnsi="黑体" w:eastAsia="黑体"/>
              <w:color w:val="auto"/>
              <w:highlight w:val="none"/>
            </w:rPr>
            <w:fldChar w:fldCharType="end"/>
          </w:r>
        </w:p>
        <w:p>
          <w:pPr>
            <w:pStyle w:val="38"/>
            <w:tabs>
              <w:tab w:val="right" w:leader="dot" w:pos="830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_Toc11152 </w:instrText>
          </w:r>
          <w:r>
            <w:rPr>
              <w:rFonts w:hint="eastAsia" w:ascii="黑体" w:hAnsi="黑体" w:eastAsia="黑体"/>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_Toc11152 \h </w:instrText>
          </w:r>
          <w:r>
            <w:fldChar w:fldCharType="separate"/>
          </w:r>
          <w:r>
            <w:t>24</w:t>
          </w:r>
          <w:r>
            <w:fldChar w:fldCharType="end"/>
          </w:r>
          <w:r>
            <w:rPr>
              <w:rFonts w:hint="eastAsia" w:ascii="黑体" w:hAnsi="黑体" w:eastAsia="黑体"/>
              <w:color w:val="auto"/>
              <w:highlight w:val="none"/>
            </w:rPr>
            <w:fldChar w:fldCharType="end"/>
          </w:r>
        </w:p>
        <w:p>
          <w:pPr>
            <w:pStyle w:val="2"/>
            <w:jc w:val="center"/>
            <w:outlineLvl w:val="9"/>
            <w:rPr>
              <w:rFonts w:hint="eastAsia" w:ascii="黑体" w:hAnsi="黑体" w:eastAsia="黑体" w:cs="Times New Roman"/>
              <w:b/>
              <w:bCs/>
              <w:color w:val="auto"/>
              <w:kern w:val="44"/>
              <w:sz w:val="44"/>
              <w:szCs w:val="44"/>
              <w:highlight w:val="none"/>
              <w:lang w:val="en-US" w:eastAsia="zh-CN" w:bidi="ar-SA"/>
            </w:rPr>
          </w:pPr>
          <w:r>
            <w:rPr>
              <w:rFonts w:hint="eastAsia" w:ascii="黑体" w:hAnsi="黑体" w:eastAsia="黑体"/>
              <w:b/>
              <w:color w:val="auto"/>
              <w:highlight w:val="none"/>
            </w:rPr>
            <w:fldChar w:fldCharType="end"/>
          </w:r>
        </w:p>
      </w:sdtContent>
    </w:sdt>
    <w:p>
      <w:pPr>
        <w:rPr>
          <w:rFonts w:hint="eastAsia"/>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2"/>
        <w:jc w:val="center"/>
        <w:rPr>
          <w:rFonts w:ascii="黑体" w:eastAsia="黑体"/>
          <w:color w:val="auto"/>
          <w:sz w:val="32"/>
          <w:szCs w:val="32"/>
          <w:highlight w:val="none"/>
        </w:rPr>
      </w:pPr>
      <w:bookmarkStart w:id="15" w:name="_Toc2024"/>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1"/>
          <w:rFonts w:hint="eastAsia" w:ascii="黑体" w:hAnsi="黑体" w:eastAsia="黑体"/>
          <w:b w:val="0"/>
          <w:bCs w:val="0"/>
          <w:color w:val="auto"/>
          <w:highlight w:val="none"/>
        </w:rPr>
        <w:t>概况</w:t>
      </w:r>
      <w:bookmarkEnd w:id="15"/>
    </w:p>
    <w:p>
      <w:pPr>
        <w:pStyle w:val="3"/>
        <w:numPr>
          <w:ilvl w:val="0"/>
          <w:numId w:val="1"/>
        </w:numPr>
        <w:rPr>
          <w:rStyle w:val="32"/>
          <w:rFonts w:hint="eastAsia" w:ascii="黑体" w:hAnsi="黑体" w:eastAsia="黑体"/>
          <w:b w:val="0"/>
          <w:bCs w:val="0"/>
          <w:color w:val="auto"/>
          <w:highlight w:val="none"/>
          <w:lang w:eastAsia="zh-CN"/>
        </w:rPr>
      </w:pPr>
      <w:bookmarkStart w:id="16" w:name="_Toc1720"/>
      <w:bookmarkStart w:id="17" w:name="_Toc15377197"/>
      <w:bookmarkStart w:id="18" w:name="_Toc15396600"/>
      <w:r>
        <w:rPr>
          <w:rStyle w:val="32"/>
          <w:rFonts w:hint="eastAsia" w:ascii="黑体" w:hAnsi="黑体" w:eastAsia="黑体"/>
          <w:b w:val="0"/>
          <w:bCs w:val="0"/>
          <w:color w:val="auto"/>
          <w:highlight w:val="none"/>
          <w:lang w:eastAsia="zh-CN"/>
        </w:rPr>
        <w:t>主要职责</w:t>
      </w:r>
      <w:bookmarkEnd w:id="16"/>
    </w:p>
    <w:p>
      <w:pPr>
        <w:spacing w:line="600" w:lineRule="exact"/>
        <w:ind w:firstLine="640" w:firstLineChars="200"/>
        <w:rPr>
          <w:rFonts w:hint="eastAsia"/>
          <w:b w:val="0"/>
          <w:bCs w:val="0"/>
          <w:highlight w:val="none"/>
          <w:lang w:eastAsia="zh-CN"/>
        </w:rPr>
      </w:pPr>
      <w:r>
        <w:rPr>
          <w:rFonts w:hint="eastAsia" w:ascii="仿宋" w:hAnsi="仿宋" w:eastAsia="仿宋" w:cs="仿宋"/>
          <w:b w:val="0"/>
          <w:bCs w:val="0"/>
          <w:sz w:val="32"/>
          <w:szCs w:val="32"/>
          <w:highlight w:val="none"/>
          <w:lang w:eastAsia="zh-CN"/>
        </w:rPr>
        <w:t>运管所</w:t>
      </w:r>
      <w:r>
        <w:rPr>
          <w:rFonts w:hint="eastAsia" w:ascii="仿宋" w:hAnsi="仿宋" w:eastAsia="仿宋" w:cs="仿宋"/>
          <w:b w:val="0"/>
          <w:bCs w:val="0"/>
          <w:sz w:val="32"/>
          <w:szCs w:val="32"/>
          <w:highlight w:val="none"/>
        </w:rPr>
        <w:t>贯彻执行国家和省市有关交通运输行业的方针、政策和</w:t>
      </w:r>
      <w:r>
        <w:rPr>
          <w:rFonts w:hint="eastAsia" w:ascii="仿宋" w:hAnsi="仿宋" w:eastAsia="仿宋" w:cs="仿宋"/>
          <w:b w:val="0"/>
          <w:bCs w:val="0"/>
          <w:sz w:val="32"/>
          <w:szCs w:val="32"/>
          <w:highlight w:val="none"/>
          <w:lang w:eastAsia="zh-CN"/>
        </w:rPr>
        <w:t>法律法规</w:t>
      </w:r>
      <w:r>
        <w:rPr>
          <w:rFonts w:hint="eastAsia" w:ascii="仿宋" w:hAnsi="仿宋" w:eastAsia="仿宋" w:cs="仿宋"/>
          <w:b w:val="0"/>
          <w:bCs w:val="0"/>
          <w:sz w:val="32"/>
          <w:szCs w:val="32"/>
          <w:highlight w:val="none"/>
        </w:rPr>
        <w:t>。参与拟定综合</w:t>
      </w:r>
      <w:r>
        <w:rPr>
          <w:rFonts w:hint="eastAsia" w:ascii="仿宋" w:hAnsi="仿宋" w:eastAsia="仿宋" w:cs="仿宋"/>
          <w:b w:val="0"/>
          <w:bCs w:val="0"/>
          <w:sz w:val="32"/>
          <w:szCs w:val="32"/>
          <w:highlight w:val="none"/>
          <w:lang w:eastAsia="zh-CN"/>
        </w:rPr>
        <w:t>交通运输体系</w:t>
      </w:r>
      <w:bookmarkStart w:id="101" w:name="_GoBack"/>
      <w:bookmarkEnd w:id="101"/>
      <w:r>
        <w:rPr>
          <w:rFonts w:hint="eastAsia" w:ascii="仿宋" w:hAnsi="仿宋" w:eastAsia="仿宋" w:cs="仿宋"/>
          <w:b w:val="0"/>
          <w:bCs w:val="0"/>
          <w:sz w:val="32"/>
          <w:szCs w:val="32"/>
          <w:highlight w:val="none"/>
        </w:rPr>
        <w:t>规划和物流业发展战略规划。负责本行业依法行政工作。承担辖区内道路运输管理的相关工作。负责辖区内危险品运输的监督管理工作， 指导交通运输行业审计工作。承担道路运输市场监管责任。组织监督道路运输有关政策技术标准和运营规范的贯彻实施，指导城乡运输管理工作，安全生产监督管理工作。按规定组织协调省、市、区重点物资和紧急客货运输。组织协调地方交通战备工作。监督实施交通运输科技政策，指导全区交通运输信息化建设，检测分析运行情况，开展相关统计工作并发布有关信息。指导运输行业及维修企业环境保护和节能减排工作。负责职责范围内的安全生产和职业健康、消防安全、生态环境保护等工作。</w:t>
      </w:r>
    </w:p>
    <w:p>
      <w:pPr>
        <w:rPr>
          <w:rFonts w:hint="eastAsia"/>
          <w:lang w:eastAsia="zh-CN"/>
        </w:rPr>
      </w:pPr>
    </w:p>
    <w:p>
      <w:pPr>
        <w:pStyle w:val="3"/>
        <w:numPr>
          <w:ilvl w:val="0"/>
          <w:numId w:val="1"/>
        </w:numPr>
        <w:ind w:left="0" w:leftChars="0" w:firstLine="0" w:firstLineChars="0"/>
        <w:rPr>
          <w:rFonts w:hint="eastAsia" w:ascii="黑体" w:hAnsi="黑体" w:eastAsia="黑体"/>
          <w:b w:val="0"/>
          <w:color w:val="auto"/>
          <w:highlight w:val="none"/>
          <w:lang w:val="en-US" w:eastAsia="zh-CN"/>
        </w:rPr>
      </w:pPr>
      <w:bookmarkStart w:id="19" w:name="_Toc27148"/>
      <w:r>
        <w:rPr>
          <w:rFonts w:hint="eastAsia" w:ascii="黑体" w:hAnsi="黑体" w:eastAsia="黑体"/>
          <w:b w:val="0"/>
          <w:color w:val="auto"/>
          <w:highlight w:val="none"/>
          <w:lang w:val="en-US" w:eastAsia="zh-CN"/>
        </w:rPr>
        <w:t>机构设置</w:t>
      </w:r>
      <w:bookmarkEnd w:id="19"/>
    </w:p>
    <w:p>
      <w:pPr>
        <w:spacing w:line="600" w:lineRule="exact"/>
        <w:ind w:firstLine="640" w:firstLineChars="200"/>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船山区</w:t>
      </w:r>
      <w:r>
        <w:rPr>
          <w:rFonts w:hint="eastAsia" w:ascii="仿宋" w:hAnsi="仿宋" w:eastAsia="仿宋" w:cs="仿宋"/>
          <w:b w:val="0"/>
          <w:bCs w:val="0"/>
          <w:sz w:val="32"/>
          <w:szCs w:val="32"/>
          <w:highlight w:val="none"/>
          <w:lang w:eastAsia="zh-CN"/>
        </w:rPr>
        <w:t>运管所</w:t>
      </w:r>
      <w:r>
        <w:rPr>
          <w:rFonts w:hint="eastAsia" w:ascii="仿宋" w:hAnsi="仿宋" w:eastAsia="仿宋" w:cs="仿宋"/>
          <w:b w:val="0"/>
          <w:bCs w:val="0"/>
          <w:sz w:val="32"/>
          <w:szCs w:val="32"/>
          <w:highlight w:val="none"/>
        </w:rPr>
        <w:t>系</w:t>
      </w:r>
      <w:r>
        <w:rPr>
          <w:rFonts w:hint="eastAsia" w:ascii="仿宋" w:hAnsi="仿宋" w:eastAsia="仿宋" w:cs="仿宋"/>
          <w:b w:val="0"/>
          <w:bCs w:val="0"/>
          <w:sz w:val="32"/>
          <w:szCs w:val="32"/>
          <w:highlight w:val="none"/>
          <w:lang w:eastAsia="zh-CN"/>
        </w:rPr>
        <w:t>船山区交运局下属单位</w:t>
      </w:r>
      <w:r>
        <w:rPr>
          <w:rFonts w:hint="eastAsia" w:ascii="仿宋" w:hAnsi="仿宋" w:eastAsia="仿宋" w:cs="仿宋"/>
          <w:b w:val="0"/>
          <w:bCs w:val="0"/>
          <w:sz w:val="32"/>
          <w:szCs w:val="32"/>
          <w:highlight w:val="none"/>
        </w:rPr>
        <w:t>，副科级参公事业单位，</w:t>
      </w:r>
      <w:r>
        <w:rPr>
          <w:rFonts w:hint="eastAsia" w:ascii="仿宋" w:hAnsi="仿宋" w:eastAsia="仿宋" w:cs="仿宋"/>
          <w:b w:val="0"/>
          <w:bCs w:val="0"/>
          <w:sz w:val="32"/>
          <w:szCs w:val="32"/>
          <w:highlight w:val="none"/>
          <w:lang w:eastAsia="zh-CN"/>
        </w:rPr>
        <w:t>核定</w:t>
      </w:r>
      <w:r>
        <w:rPr>
          <w:rFonts w:hint="eastAsia" w:ascii="仿宋" w:hAnsi="仿宋" w:eastAsia="仿宋" w:cs="仿宋"/>
          <w:b w:val="0"/>
          <w:bCs w:val="0"/>
          <w:sz w:val="32"/>
          <w:szCs w:val="32"/>
          <w:highlight w:val="none"/>
        </w:rPr>
        <w:t>编制数</w:t>
      </w:r>
      <w:r>
        <w:rPr>
          <w:rFonts w:hint="eastAsia" w:ascii="仿宋" w:hAnsi="仿宋" w:eastAsia="仿宋" w:cs="仿宋"/>
          <w:b w:val="0"/>
          <w:bCs w:val="0"/>
          <w:sz w:val="32"/>
          <w:szCs w:val="32"/>
          <w:highlight w:val="none"/>
          <w:lang w:val="en-US" w:eastAsia="zh-CN"/>
        </w:rPr>
        <w:t>19</w:t>
      </w:r>
      <w:r>
        <w:rPr>
          <w:rFonts w:hint="eastAsia" w:ascii="仿宋" w:hAnsi="仿宋" w:eastAsia="仿宋" w:cs="仿宋"/>
          <w:b w:val="0"/>
          <w:bCs w:val="0"/>
          <w:sz w:val="32"/>
          <w:szCs w:val="32"/>
          <w:highlight w:val="none"/>
        </w:rPr>
        <w:t>名，实有编制人员</w:t>
      </w:r>
      <w:r>
        <w:rPr>
          <w:rFonts w:hint="eastAsia" w:ascii="仿宋" w:hAnsi="仿宋" w:eastAsia="仿宋" w:cs="仿宋"/>
          <w:b w:val="0"/>
          <w:bCs w:val="0"/>
          <w:sz w:val="32"/>
          <w:szCs w:val="32"/>
          <w:highlight w:val="none"/>
          <w:lang w:val="en-US" w:eastAsia="zh-CN"/>
        </w:rPr>
        <w:t>12</w:t>
      </w:r>
      <w:r>
        <w:rPr>
          <w:rFonts w:hint="eastAsia" w:ascii="仿宋" w:hAnsi="仿宋" w:eastAsia="仿宋" w:cs="仿宋"/>
          <w:b w:val="0"/>
          <w:bCs w:val="0"/>
          <w:sz w:val="32"/>
          <w:szCs w:val="32"/>
          <w:highlight w:val="none"/>
        </w:rPr>
        <w:t>名</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财政全额拨款</w:t>
      </w:r>
      <w:r>
        <w:rPr>
          <w:rFonts w:hint="eastAsia" w:ascii="仿宋" w:hAnsi="仿宋" w:eastAsia="仿宋" w:cs="仿宋"/>
          <w:b w:val="0"/>
          <w:bCs w:val="0"/>
          <w:sz w:val="32"/>
          <w:szCs w:val="32"/>
          <w:highlight w:val="none"/>
          <w:lang w:eastAsia="zh-CN"/>
        </w:rPr>
        <w:t>二</w:t>
      </w:r>
      <w:r>
        <w:rPr>
          <w:rFonts w:hint="eastAsia" w:ascii="仿宋" w:hAnsi="仿宋" w:eastAsia="仿宋" w:cs="仿宋"/>
          <w:b w:val="0"/>
          <w:bCs w:val="0"/>
          <w:sz w:val="32"/>
          <w:szCs w:val="32"/>
          <w:highlight w:val="none"/>
        </w:rPr>
        <w:t>级预算单位，内设</w:t>
      </w:r>
      <w:r>
        <w:rPr>
          <w:rFonts w:hint="eastAsia" w:ascii="仿宋" w:hAnsi="仿宋" w:eastAsia="仿宋" w:cs="仿宋"/>
          <w:b w:val="0"/>
          <w:bCs w:val="0"/>
          <w:sz w:val="32"/>
          <w:szCs w:val="32"/>
          <w:highlight w:val="none"/>
          <w:lang w:val="en-US" w:eastAsia="zh-CN"/>
        </w:rPr>
        <w:t>股室</w:t>
      </w:r>
      <w:r>
        <w:rPr>
          <w:rFonts w:hint="eastAsia" w:ascii="仿宋" w:hAnsi="仿宋" w:eastAsia="仿宋" w:cs="仿宋"/>
          <w:b w:val="0"/>
          <w:bCs w:val="0"/>
          <w:sz w:val="32"/>
          <w:szCs w:val="32"/>
          <w:highlight w:val="none"/>
        </w:rPr>
        <w:t>：办公室、</w:t>
      </w:r>
      <w:r>
        <w:rPr>
          <w:rFonts w:hint="eastAsia" w:ascii="仿宋" w:hAnsi="仿宋" w:eastAsia="仿宋" w:cs="仿宋"/>
          <w:b w:val="0"/>
          <w:bCs w:val="0"/>
          <w:sz w:val="32"/>
          <w:szCs w:val="32"/>
          <w:highlight w:val="none"/>
          <w:lang w:eastAsia="zh-CN"/>
        </w:rPr>
        <w:t>运输</w:t>
      </w:r>
      <w:r>
        <w:rPr>
          <w:rFonts w:hint="eastAsia" w:ascii="仿宋" w:hAnsi="仿宋" w:eastAsia="仿宋" w:cs="仿宋"/>
          <w:b w:val="0"/>
          <w:bCs w:val="0"/>
          <w:sz w:val="32"/>
          <w:szCs w:val="32"/>
          <w:highlight w:val="none"/>
        </w:rPr>
        <w:t>股、</w:t>
      </w:r>
      <w:r>
        <w:rPr>
          <w:rFonts w:hint="eastAsia" w:ascii="仿宋" w:hAnsi="仿宋" w:eastAsia="仿宋" w:cs="仿宋"/>
          <w:b w:val="0"/>
          <w:bCs w:val="0"/>
          <w:sz w:val="32"/>
          <w:szCs w:val="32"/>
          <w:highlight w:val="none"/>
          <w:lang w:eastAsia="zh-CN"/>
        </w:rPr>
        <w:t>驾培</w:t>
      </w:r>
      <w:r>
        <w:rPr>
          <w:rFonts w:hint="eastAsia" w:ascii="仿宋" w:hAnsi="仿宋" w:eastAsia="仿宋" w:cs="仿宋"/>
          <w:b w:val="0"/>
          <w:bCs w:val="0"/>
          <w:sz w:val="32"/>
          <w:szCs w:val="32"/>
          <w:highlight w:val="none"/>
        </w:rPr>
        <w:t>股、</w:t>
      </w:r>
      <w:r>
        <w:rPr>
          <w:rFonts w:hint="eastAsia" w:ascii="仿宋" w:hAnsi="仿宋" w:eastAsia="仿宋" w:cs="仿宋"/>
          <w:b w:val="0"/>
          <w:bCs w:val="0"/>
          <w:sz w:val="32"/>
          <w:szCs w:val="32"/>
          <w:highlight w:val="none"/>
          <w:lang w:eastAsia="zh-CN"/>
        </w:rPr>
        <w:t>安全</w:t>
      </w:r>
      <w:r>
        <w:rPr>
          <w:rFonts w:hint="eastAsia" w:ascii="仿宋" w:hAnsi="仿宋" w:eastAsia="仿宋" w:cs="仿宋"/>
          <w:b w:val="0"/>
          <w:bCs w:val="0"/>
          <w:sz w:val="32"/>
          <w:szCs w:val="32"/>
          <w:highlight w:val="none"/>
        </w:rPr>
        <w:t>股</w:t>
      </w:r>
      <w:r>
        <w:rPr>
          <w:rFonts w:hint="eastAsia" w:ascii="仿宋" w:hAnsi="仿宋" w:eastAsia="仿宋" w:cs="仿宋"/>
          <w:b w:val="0"/>
          <w:bCs w:val="0"/>
          <w:sz w:val="32"/>
          <w:szCs w:val="32"/>
          <w:highlight w:val="none"/>
          <w:lang w:eastAsia="zh-CN"/>
        </w:rPr>
        <w:t>。</w:t>
      </w:r>
    </w:p>
    <w:p>
      <w:pPr>
        <w:spacing w:line="600" w:lineRule="exact"/>
        <w:ind w:firstLine="640" w:firstLineChars="200"/>
        <w:rPr>
          <w:rFonts w:ascii="仿宋" w:hAnsi="仿宋" w:eastAsia="仿宋"/>
          <w:color w:val="auto"/>
          <w:kern w:val="0"/>
          <w:sz w:val="32"/>
          <w:szCs w:val="32"/>
          <w:highlight w:val="none"/>
        </w:rPr>
      </w:pPr>
      <w:r>
        <w:rPr>
          <w:rFonts w:hint="eastAsia" w:ascii="仿宋" w:hAnsi="仿宋" w:eastAsia="仿宋" w:cs="仿宋"/>
          <w:b w:val="0"/>
          <w:bCs w:val="0"/>
          <w:sz w:val="32"/>
          <w:szCs w:val="32"/>
          <w:highlight w:val="none"/>
        </w:rPr>
        <w:t>运管所，行政工勤12人，实有人数12人，2023年较2022年减少7人。</w:t>
      </w:r>
      <w:bookmarkEnd w:id="17"/>
      <w:bookmarkEnd w:id="18"/>
    </w:p>
    <w:p>
      <w:pPr>
        <w:pStyle w:val="2"/>
        <w:ind w:right="440"/>
        <w:jc w:val="center"/>
        <w:rPr>
          <w:color w:val="auto"/>
          <w:highlight w:val="none"/>
        </w:rPr>
      </w:pPr>
      <w:bookmarkStart w:id="20" w:name="_Toc15396602"/>
      <w:bookmarkStart w:id="21" w:name="_Toc8442"/>
      <w:bookmarkStart w:id="22"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1"/>
          <w:rFonts w:hint="eastAsia" w:ascii="黑体" w:hAnsi="黑体" w:eastAsia="黑体"/>
          <w:b w:val="0"/>
          <w:bCs/>
          <w:color w:val="auto"/>
          <w:highlight w:val="none"/>
          <w:lang w:eastAsia="zh-CN"/>
        </w:rPr>
        <w:t>单位</w:t>
      </w:r>
      <w:r>
        <w:rPr>
          <w:rStyle w:val="31"/>
          <w:rFonts w:hint="eastAsia" w:ascii="黑体" w:hAnsi="黑体" w:eastAsia="黑体"/>
          <w:b w:val="0"/>
          <w:bCs/>
          <w:color w:val="auto"/>
          <w:highlight w:val="none"/>
        </w:rPr>
        <w:t>决算情况说明</w:t>
      </w:r>
      <w:bookmarkEnd w:id="20"/>
      <w:bookmarkEnd w:id="21"/>
      <w:bookmarkEnd w:id="22"/>
    </w:p>
    <w:p>
      <w:pPr>
        <w:pStyle w:val="30"/>
        <w:numPr>
          <w:ilvl w:val="0"/>
          <w:numId w:val="2"/>
        </w:numPr>
        <w:spacing w:line="600" w:lineRule="exact"/>
        <w:ind w:firstLineChars="0"/>
        <w:outlineLvl w:val="1"/>
        <w:rPr>
          <w:rStyle w:val="32"/>
          <w:rFonts w:ascii="黑体" w:hAnsi="黑体" w:eastAsia="黑体"/>
          <w:b w:val="0"/>
          <w:color w:val="auto"/>
          <w:highlight w:val="none"/>
        </w:rPr>
      </w:pPr>
      <w:bookmarkStart w:id="23" w:name="_Toc6371"/>
      <w:bookmarkStart w:id="24" w:name="_Toc15396603"/>
      <w:bookmarkStart w:id="25" w:name="_Toc15377205"/>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23"/>
      <w:bookmarkEnd w:id="24"/>
      <w:bookmarkEnd w:id="25"/>
    </w:p>
    <w:p>
      <w:p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s="仿宋"/>
          <w:sz w:val="32"/>
          <w:szCs w:val="32"/>
          <w:highlight w:val="none"/>
          <w:lang w:val="en-US" w:eastAsia="zh-CN"/>
        </w:rPr>
        <w:t>905.20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0.77</w:t>
      </w:r>
      <w:r>
        <w:rPr>
          <w:rFonts w:hint="eastAsia" w:ascii="仿宋" w:hAnsi="仿宋" w:eastAsia="仿宋" w:cs="仿宋"/>
          <w:sz w:val="32"/>
          <w:szCs w:val="32"/>
        </w:rPr>
        <w:t>万元</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0.08%</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highlight w:val="none"/>
          <w:lang w:val="en-US" w:eastAsia="zh-CN"/>
        </w:rPr>
        <w:t>2023年使用部分年初结转和其他收入结转结余。</w:t>
      </w:r>
    </w:p>
    <w:p>
      <w:pPr>
        <w:spacing w:line="600" w:lineRule="exact"/>
        <w:jc w:val="left"/>
        <w:rPr>
          <w:rFonts w:ascii="仿宋_GB2312" w:eastAsia="仿宋_GB2312"/>
          <w:color w:val="auto"/>
          <w:sz w:val="32"/>
          <w:szCs w:val="32"/>
          <w:highlight w:val="none"/>
        </w:rPr>
      </w:pPr>
    </w:p>
    <w:p>
      <w:pPr>
        <w:pStyle w:val="5"/>
        <w:rPr>
          <w:rFonts w:ascii="仿宋_GB2312" w:eastAsia="仿宋_GB2312"/>
          <w:color w:val="auto"/>
          <w:sz w:val="32"/>
          <w:szCs w:val="32"/>
          <w:highlight w:val="none"/>
        </w:rPr>
      </w:pPr>
      <w:r>
        <w:drawing>
          <wp:inline distT="0" distB="0" distL="114300" distR="114300">
            <wp:extent cx="5260340" cy="2529840"/>
            <wp:effectExtent l="4445" t="4445" r="12065" b="184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
        <w:rPr>
          <w:rFonts w:ascii="仿宋_GB2312" w:eastAsia="仿宋_GB2312"/>
          <w:color w:val="auto"/>
          <w:sz w:val="32"/>
          <w:szCs w:val="32"/>
          <w:highlight w:val="none"/>
        </w:rPr>
      </w:pPr>
    </w:p>
    <w:p>
      <w:pPr>
        <w:pStyle w:val="30"/>
        <w:numPr>
          <w:ilvl w:val="0"/>
          <w:numId w:val="2"/>
        </w:numPr>
        <w:spacing w:line="600" w:lineRule="exact"/>
        <w:ind w:firstLineChars="0"/>
        <w:outlineLvl w:val="1"/>
        <w:rPr>
          <w:rStyle w:val="32"/>
          <w:rFonts w:ascii="黑体" w:hAnsi="黑体" w:eastAsia="黑体"/>
          <w:b w:val="0"/>
          <w:color w:val="auto"/>
          <w:highlight w:val="none"/>
        </w:rPr>
      </w:pPr>
      <w:bookmarkStart w:id="26" w:name="_Toc15396604"/>
      <w:bookmarkStart w:id="27" w:name="_Toc23737"/>
      <w:bookmarkStart w:id="28" w:name="_Toc15377206"/>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26"/>
      <w:bookmarkEnd w:id="27"/>
      <w:bookmarkEnd w:id="28"/>
    </w:p>
    <w:p>
      <w:pPr>
        <w:spacing w:line="600" w:lineRule="exact"/>
        <w:ind w:firstLine="640" w:firstLineChars="200"/>
        <w:outlineLvl w:val="1"/>
        <w:rPr>
          <w:rFonts w:ascii="仿宋_GB2312" w:eastAsia="仿宋_GB2312"/>
          <w:color w:val="auto"/>
          <w:sz w:val="32"/>
          <w:szCs w:val="32"/>
          <w:highlight w:val="none"/>
        </w:rPr>
      </w:pPr>
      <w:bookmarkStart w:id="29" w:name="_Toc1880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年本年收入合计858.63万元，其中：一般公共预算财政拨款收入853.62万元，占</w:t>
      </w:r>
      <w:r>
        <w:rPr>
          <w:rFonts w:hint="eastAsia" w:ascii="仿宋" w:hAnsi="仿宋" w:eastAsia="仿宋" w:cs="仿宋"/>
          <w:sz w:val="32"/>
          <w:szCs w:val="32"/>
          <w:lang w:val="en-US" w:eastAsia="zh-CN"/>
        </w:rPr>
        <w:t>99.42%</w:t>
      </w:r>
      <w:r>
        <w:rPr>
          <w:rFonts w:hint="eastAsia" w:ascii="仿宋" w:hAnsi="仿宋" w:eastAsia="仿宋"/>
          <w:color w:val="auto"/>
          <w:sz w:val="32"/>
          <w:szCs w:val="32"/>
          <w:highlight w:val="none"/>
        </w:rPr>
        <w:t>；其他收入5.01万元，占</w:t>
      </w:r>
      <w:r>
        <w:rPr>
          <w:rFonts w:hint="eastAsia" w:ascii="仿宋" w:hAnsi="仿宋" w:eastAsia="仿宋" w:cs="仿宋"/>
          <w:sz w:val="32"/>
          <w:szCs w:val="32"/>
          <w:lang w:val="en-US" w:eastAsia="zh-CN"/>
        </w:rPr>
        <w:t>0.58%</w:t>
      </w:r>
      <w:r>
        <w:rPr>
          <w:rFonts w:hint="eastAsia" w:ascii="仿宋" w:hAnsi="仿宋" w:eastAsia="仿宋"/>
          <w:color w:val="auto"/>
          <w:sz w:val="32"/>
          <w:szCs w:val="32"/>
          <w:highlight w:val="none"/>
        </w:rPr>
        <w:t>。</w:t>
      </w:r>
      <w:bookmarkEnd w:id="29"/>
    </w:p>
    <w:p>
      <w:pPr>
        <w:pStyle w:val="5"/>
        <w:rPr>
          <w:rFonts w:ascii="仿宋_GB2312" w:eastAsia="仿宋_GB2312"/>
          <w:color w:val="auto"/>
          <w:sz w:val="32"/>
          <w:szCs w:val="32"/>
          <w:highlight w:val="none"/>
        </w:rPr>
      </w:pPr>
      <w:r>
        <w:drawing>
          <wp:inline distT="0" distB="0" distL="114300" distR="114300">
            <wp:extent cx="5174615" cy="2696210"/>
            <wp:effectExtent l="4445" t="4445" r="21590"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5"/>
        <w:rPr>
          <w:rFonts w:ascii="仿宋_GB2312" w:eastAsia="仿宋_GB2312"/>
          <w:color w:val="auto"/>
          <w:sz w:val="32"/>
          <w:szCs w:val="32"/>
          <w:highlight w:val="none"/>
        </w:rPr>
      </w:pPr>
    </w:p>
    <w:p>
      <w:pPr>
        <w:pStyle w:val="30"/>
        <w:numPr>
          <w:ilvl w:val="0"/>
          <w:numId w:val="2"/>
        </w:numPr>
        <w:spacing w:line="600" w:lineRule="exact"/>
        <w:ind w:firstLineChars="0"/>
        <w:outlineLvl w:val="1"/>
        <w:rPr>
          <w:rStyle w:val="32"/>
          <w:rFonts w:ascii="黑体" w:hAnsi="黑体" w:eastAsia="黑体"/>
          <w:b w:val="0"/>
          <w:color w:val="auto"/>
          <w:highlight w:val="none"/>
        </w:rPr>
      </w:pPr>
      <w:bookmarkStart w:id="30" w:name="_Toc15396605"/>
      <w:bookmarkStart w:id="31" w:name="_Toc15377207"/>
      <w:bookmarkStart w:id="32" w:name="_Toc27082"/>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30"/>
      <w:bookmarkEnd w:id="31"/>
      <w:bookmarkEnd w:id="32"/>
    </w:p>
    <w:p>
      <w:pPr>
        <w:spacing w:line="600" w:lineRule="exact"/>
        <w:ind w:firstLine="640" w:firstLineChars="200"/>
        <w:outlineLvl w:val="1"/>
        <w:rPr>
          <w:rFonts w:ascii="仿宋" w:hAnsi="仿宋" w:eastAsia="仿宋"/>
          <w:color w:val="auto"/>
          <w:sz w:val="32"/>
          <w:szCs w:val="32"/>
          <w:highlight w:val="none"/>
        </w:rPr>
      </w:pPr>
      <w:bookmarkStart w:id="33" w:name="_Toc2654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s="仿宋"/>
          <w:sz w:val="32"/>
          <w:szCs w:val="32"/>
          <w:lang w:val="en-US" w:eastAsia="zh-CN"/>
        </w:rPr>
        <w:t>883.69</w:t>
      </w:r>
      <w:r>
        <w:rPr>
          <w:rFonts w:hint="eastAsia" w:ascii="仿宋" w:hAnsi="仿宋" w:eastAsia="仿宋"/>
          <w:color w:val="auto"/>
          <w:sz w:val="32"/>
          <w:szCs w:val="32"/>
          <w:highlight w:val="none"/>
        </w:rPr>
        <w:t>万元，其中：基本支出</w:t>
      </w:r>
      <w:r>
        <w:rPr>
          <w:rFonts w:hint="eastAsia" w:ascii="仿宋" w:hAnsi="仿宋" w:eastAsia="仿宋" w:cs="仿宋"/>
          <w:sz w:val="32"/>
          <w:szCs w:val="32"/>
          <w:lang w:val="en-US" w:eastAsia="zh-CN"/>
        </w:rPr>
        <w:t>331.23</w:t>
      </w:r>
      <w:r>
        <w:rPr>
          <w:rFonts w:hint="eastAsia" w:ascii="仿宋" w:hAnsi="仿宋" w:eastAsia="仿宋"/>
          <w:color w:val="auto"/>
          <w:sz w:val="32"/>
          <w:szCs w:val="32"/>
          <w:highlight w:val="none"/>
        </w:rPr>
        <w:t>万元，占</w:t>
      </w:r>
      <w:r>
        <w:rPr>
          <w:rFonts w:hint="eastAsia" w:ascii="仿宋" w:hAnsi="仿宋" w:eastAsia="仿宋" w:cs="仿宋"/>
          <w:sz w:val="32"/>
          <w:szCs w:val="32"/>
          <w:lang w:val="en-US" w:eastAsia="zh-CN"/>
        </w:rPr>
        <w:t>37.48%</w:t>
      </w:r>
      <w:r>
        <w:rPr>
          <w:rFonts w:hint="eastAsia" w:ascii="仿宋" w:hAnsi="仿宋" w:eastAsia="仿宋"/>
          <w:color w:val="auto"/>
          <w:sz w:val="32"/>
          <w:szCs w:val="32"/>
          <w:highlight w:val="none"/>
        </w:rPr>
        <w:t>；项目支出</w:t>
      </w:r>
      <w:r>
        <w:rPr>
          <w:rFonts w:hint="eastAsia" w:ascii="仿宋" w:hAnsi="仿宋" w:eastAsia="仿宋" w:cs="仿宋"/>
          <w:sz w:val="32"/>
          <w:szCs w:val="32"/>
          <w:lang w:val="en-US" w:eastAsia="zh-CN"/>
        </w:rPr>
        <w:t>552.46</w:t>
      </w:r>
      <w:r>
        <w:rPr>
          <w:rFonts w:hint="eastAsia" w:ascii="仿宋" w:hAnsi="仿宋" w:eastAsia="仿宋"/>
          <w:color w:val="auto"/>
          <w:sz w:val="32"/>
          <w:szCs w:val="32"/>
          <w:highlight w:val="none"/>
        </w:rPr>
        <w:t>万元，占</w:t>
      </w:r>
      <w:r>
        <w:rPr>
          <w:rFonts w:hint="eastAsia" w:ascii="仿宋" w:hAnsi="仿宋" w:eastAsia="仿宋" w:cs="仿宋"/>
          <w:sz w:val="32"/>
          <w:szCs w:val="32"/>
          <w:lang w:val="en-US" w:eastAsia="zh-CN"/>
        </w:rPr>
        <w:t>62.52%</w:t>
      </w:r>
      <w:r>
        <w:rPr>
          <w:rFonts w:hint="eastAsia" w:ascii="仿宋" w:hAnsi="仿宋" w:eastAsia="仿宋"/>
          <w:color w:val="auto"/>
          <w:sz w:val="32"/>
          <w:szCs w:val="32"/>
          <w:highlight w:val="none"/>
        </w:rPr>
        <w:t>。</w:t>
      </w:r>
      <w:bookmarkEnd w:id="33"/>
    </w:p>
    <w:p>
      <w:pPr>
        <w:spacing w:line="600" w:lineRule="exact"/>
        <w:ind w:firstLine="640" w:firstLineChars="200"/>
        <w:outlineLvl w:val="9"/>
        <w:rPr>
          <w:rFonts w:ascii="仿宋_GB2312" w:eastAsia="仿宋_GB2312"/>
          <w:color w:val="auto"/>
          <w:sz w:val="32"/>
          <w:szCs w:val="32"/>
          <w:highlight w:val="none"/>
        </w:rPr>
      </w:pPr>
      <w:r>
        <w:rPr>
          <w:rFonts w:hint="eastAsia" w:ascii="仿宋" w:hAnsi="仿宋" w:eastAsia="仿宋"/>
          <w:color w:val="000000"/>
          <w:sz w:val="32"/>
          <w:szCs w:val="32"/>
          <w:lang w:eastAsia="zh-CN"/>
        </w:rPr>
        <w:drawing>
          <wp:anchor distT="0" distB="0" distL="114300" distR="114300" simplePos="0" relativeHeight="251660288" behindDoc="0" locked="0" layoutInCell="1" allowOverlap="1">
            <wp:simplePos x="0" y="0"/>
            <wp:positionH relativeFrom="column">
              <wp:posOffset>73025</wp:posOffset>
            </wp:positionH>
            <wp:positionV relativeFrom="paragraph">
              <wp:posOffset>379095</wp:posOffset>
            </wp:positionV>
            <wp:extent cx="5182870" cy="2508250"/>
            <wp:effectExtent l="4445" t="4445" r="13335" b="2095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Style w:val="32"/>
          <w:rFonts w:ascii="黑体" w:hAnsi="黑体" w:eastAsia="黑体"/>
          <w:b w:val="0"/>
          <w:color w:val="auto"/>
          <w:highlight w:val="none"/>
        </w:rPr>
      </w:pPr>
      <w:bookmarkStart w:id="34" w:name="_Toc15396606"/>
      <w:bookmarkStart w:id="35" w:name="_Toc15377208"/>
      <w:bookmarkStart w:id="36" w:name="_Toc23030"/>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34"/>
      <w:bookmarkEnd w:id="35"/>
      <w:bookmarkEnd w:id="36"/>
    </w:p>
    <w:p>
      <w:pPr>
        <w:spacing w:line="600" w:lineRule="exact"/>
        <w:ind w:firstLine="640"/>
        <w:rPr>
          <w:rFonts w:hint="eastAsia" w:ascii="仿宋" w:hAnsi="仿宋" w:eastAsia="仿宋"/>
          <w:color w:val="auto"/>
          <w:sz w:val="32"/>
          <w:szCs w:val="32"/>
          <w:highlight w:val="yellow"/>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s="仿宋"/>
          <w:sz w:val="32"/>
          <w:szCs w:val="32"/>
          <w:lang w:val="en-US" w:eastAsia="zh-CN"/>
        </w:rPr>
        <w:t>853.62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增加</w:t>
      </w:r>
      <w:r>
        <w:rPr>
          <w:rFonts w:hint="eastAsia" w:ascii="仿宋_GB2312" w:hAnsi="仿宋" w:eastAsia="仿宋_GB2312"/>
          <w:sz w:val="32"/>
          <w:szCs w:val="32"/>
          <w:lang w:val="en-US" w:eastAsia="zh-CN"/>
        </w:rPr>
        <w:t>26.63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_GB2312" w:hAnsi="仿宋" w:eastAsia="仿宋_GB2312"/>
          <w:sz w:val="32"/>
          <w:szCs w:val="32"/>
          <w:lang w:val="en-US" w:eastAsia="zh-CN"/>
        </w:rPr>
        <w:t>3.22%</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w:t>
      </w:r>
      <w:r>
        <w:rPr>
          <w:rFonts w:hint="eastAsia" w:ascii="仿宋" w:hAnsi="仿宋" w:eastAsia="仿宋"/>
          <w:color w:val="auto"/>
          <w:sz w:val="32"/>
          <w:szCs w:val="32"/>
          <w:highlight w:val="none"/>
          <w:lang w:val="en-US" w:eastAsia="zh-CN"/>
        </w:rPr>
        <w:t>2023年</w:t>
      </w:r>
      <w:r>
        <w:rPr>
          <w:rFonts w:hint="eastAsia" w:ascii="仿宋" w:hAnsi="仿宋" w:eastAsia="仿宋" w:cs="仿宋"/>
          <w:sz w:val="32"/>
          <w:szCs w:val="32"/>
          <w:highlight w:val="none"/>
          <w:lang w:eastAsia="zh-CN"/>
        </w:rPr>
        <w:t>增加对企业的补助。</w:t>
      </w:r>
    </w:p>
    <w:p>
      <w:pPr>
        <w:pStyle w:val="5"/>
      </w:pPr>
    </w:p>
    <w:p>
      <w:pPr>
        <w:pStyle w:val="5"/>
        <w:rPr>
          <w:rFonts w:ascii="仿宋" w:hAnsi="仿宋" w:eastAsia="仿宋"/>
          <w:b/>
          <w:color w:val="auto"/>
          <w:sz w:val="32"/>
          <w:szCs w:val="32"/>
          <w:highlight w:val="none"/>
        </w:rPr>
      </w:pPr>
      <w:r>
        <w:rPr>
          <w:rFonts w:hint="eastAsia" w:ascii="仿宋" w:hAnsi="仿宋" w:eastAsia="仿宋"/>
          <w:color w:val="auto"/>
          <w:sz w:val="32"/>
          <w:szCs w:val="32"/>
          <w:lang w:eastAsia="zh-CN"/>
        </w:rPr>
        <w:drawing>
          <wp:anchor distT="0" distB="0" distL="114300" distR="114300" simplePos="0" relativeHeight="251661312" behindDoc="0" locked="0" layoutInCell="1" allowOverlap="1">
            <wp:simplePos x="0" y="0"/>
            <wp:positionH relativeFrom="column">
              <wp:posOffset>66040</wp:posOffset>
            </wp:positionH>
            <wp:positionV relativeFrom="paragraph">
              <wp:posOffset>57150</wp:posOffset>
            </wp:positionV>
            <wp:extent cx="5269865" cy="2285365"/>
            <wp:effectExtent l="4445" t="4445" r="21590" b="1524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outlineLvl w:val="1"/>
        <w:rPr>
          <w:rStyle w:val="32"/>
          <w:rFonts w:ascii="黑体" w:hAnsi="黑体" w:eastAsia="黑体"/>
          <w:b w:val="0"/>
          <w:color w:val="auto"/>
          <w:highlight w:val="none"/>
        </w:rPr>
      </w:pPr>
      <w:bookmarkStart w:id="37" w:name="_Toc15377209"/>
      <w:bookmarkStart w:id="38" w:name="_Toc15396607"/>
      <w:bookmarkStart w:id="39" w:name="_Toc25911"/>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37"/>
      <w:bookmarkEnd w:id="38"/>
      <w:bookmarkEnd w:id="39"/>
    </w:p>
    <w:p>
      <w:pPr>
        <w:spacing w:line="600" w:lineRule="exact"/>
        <w:ind w:firstLine="643" w:firstLineChars="200"/>
        <w:outlineLvl w:val="2"/>
        <w:rPr>
          <w:rFonts w:ascii="仿宋" w:hAnsi="仿宋" w:eastAsia="仿宋"/>
          <w:b/>
          <w:color w:val="auto"/>
          <w:sz w:val="32"/>
          <w:szCs w:val="32"/>
          <w:highlight w:val="none"/>
        </w:rPr>
      </w:pPr>
      <w:bookmarkStart w:id="40" w:name="_Toc15377210"/>
      <w:r>
        <w:rPr>
          <w:rFonts w:hint="eastAsia" w:ascii="仿宋" w:hAnsi="仿宋" w:eastAsia="仿宋"/>
          <w:b/>
          <w:color w:val="auto"/>
          <w:sz w:val="32"/>
          <w:szCs w:val="32"/>
          <w:highlight w:val="none"/>
        </w:rPr>
        <w:t>（一）一般公共预算财政拨款支出决算总体情况</w:t>
      </w:r>
      <w:bookmarkEnd w:id="40"/>
    </w:p>
    <w:p>
      <w:pPr>
        <w:spacing w:line="600" w:lineRule="exact"/>
        <w:ind w:firstLine="640"/>
        <w:rPr>
          <w:rFonts w:hint="eastAsia" w:ascii="仿宋" w:hAnsi="仿宋" w:eastAsia="仿宋"/>
          <w:color w:val="auto"/>
          <w:sz w:val="32"/>
          <w:szCs w:val="32"/>
          <w:highlight w:val="yellow"/>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年一般公共预算财政拨款支出853.62万元，占本年支出合计的</w:t>
      </w:r>
      <w:r>
        <w:rPr>
          <w:rFonts w:hint="eastAsia" w:ascii="仿宋" w:hAnsi="仿宋" w:eastAsia="仿宋"/>
          <w:color w:val="auto"/>
          <w:sz w:val="32"/>
          <w:szCs w:val="32"/>
          <w:highlight w:val="none"/>
          <w:lang w:val="en-US" w:eastAsia="zh-CN"/>
        </w:rPr>
        <w:t>96.60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支出增加</w:t>
      </w:r>
      <w:r>
        <w:rPr>
          <w:rFonts w:hint="eastAsia" w:ascii="仿宋_GB2312" w:hAnsi="仿宋" w:eastAsia="仿宋_GB2312"/>
          <w:sz w:val="32"/>
          <w:szCs w:val="32"/>
          <w:highlight w:val="none"/>
          <w:lang w:val="en-US" w:eastAsia="zh-CN"/>
        </w:rPr>
        <w:t>26.63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_GB2312" w:hAnsi="仿宋" w:eastAsia="仿宋_GB2312"/>
          <w:sz w:val="32"/>
          <w:szCs w:val="32"/>
          <w:highlight w:val="none"/>
          <w:lang w:val="en-US" w:eastAsia="zh-CN"/>
        </w:rPr>
        <w:t>3.22%</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w:t>
      </w:r>
      <w:r>
        <w:rPr>
          <w:rFonts w:hint="eastAsia" w:ascii="仿宋" w:hAnsi="仿宋" w:eastAsia="仿宋" w:cs="仿宋"/>
          <w:sz w:val="32"/>
          <w:szCs w:val="32"/>
          <w:highlight w:val="none"/>
          <w:lang w:eastAsia="zh-CN"/>
        </w:rPr>
        <w:t>增加对企业的补助。</w:t>
      </w:r>
    </w:p>
    <w:p>
      <w:pPr>
        <w:spacing w:line="600" w:lineRule="exact"/>
        <w:ind w:firstLine="640" w:firstLineChars="200"/>
        <w:rPr>
          <w:rFonts w:ascii="仿宋" w:hAnsi="仿宋" w:eastAsia="仿宋"/>
          <w:color w:val="auto"/>
          <w:sz w:val="32"/>
          <w:szCs w:val="32"/>
          <w:highlight w:val="none"/>
        </w:rPr>
      </w:pPr>
      <w:r>
        <w:rPr>
          <w:rFonts w:hint="default" w:ascii="仿宋" w:hAnsi="仿宋" w:eastAsia="仿宋"/>
          <w:color w:val="000000"/>
          <w:sz w:val="32"/>
          <w:szCs w:val="32"/>
          <w:lang w:val="en-US" w:eastAsia="zh-CN"/>
        </w:rPr>
        <w:drawing>
          <wp:anchor distT="0" distB="0" distL="114300" distR="114300" simplePos="0" relativeHeight="251662336" behindDoc="0" locked="0" layoutInCell="1" allowOverlap="1">
            <wp:simplePos x="0" y="0"/>
            <wp:positionH relativeFrom="column">
              <wp:posOffset>68580</wp:posOffset>
            </wp:positionH>
            <wp:positionV relativeFrom="paragraph">
              <wp:posOffset>456565</wp:posOffset>
            </wp:positionV>
            <wp:extent cx="5270500" cy="2317750"/>
            <wp:effectExtent l="4445" t="4445" r="20955" b="2095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1" w:name="_Toc15377211"/>
      <w:r>
        <w:rPr>
          <w:rFonts w:hint="eastAsia" w:ascii="仿宋" w:hAnsi="仿宋" w:eastAsia="仿宋"/>
          <w:b/>
          <w:color w:val="auto"/>
          <w:sz w:val="32"/>
          <w:szCs w:val="32"/>
          <w:highlight w:val="none"/>
        </w:rPr>
        <w:t>（二）一般公共预算财政拨款支出决算结构情况</w:t>
      </w:r>
      <w:bookmarkEnd w:id="41"/>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s="仿宋"/>
          <w:sz w:val="32"/>
          <w:szCs w:val="32"/>
          <w:lang w:val="en-US" w:eastAsia="zh-CN"/>
        </w:rPr>
        <w:t>853.62</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33.7</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3.95%</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11.33万元，占</w:t>
      </w:r>
      <w:r>
        <w:rPr>
          <w:rFonts w:hint="eastAsia" w:ascii="仿宋" w:hAnsi="仿宋" w:eastAsia="仿宋"/>
          <w:color w:val="auto"/>
          <w:sz w:val="32"/>
          <w:szCs w:val="32"/>
          <w:highlight w:val="none"/>
          <w:lang w:val="en-US" w:eastAsia="zh-CN"/>
        </w:rPr>
        <w:t>1.33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eastAsia="zh-CN"/>
        </w:rPr>
        <w:t>交通运输支出</w:t>
      </w:r>
      <w:r>
        <w:rPr>
          <w:rFonts w:hint="eastAsia" w:ascii="仿宋" w:hAnsi="仿宋" w:eastAsia="仿宋"/>
          <w:color w:val="auto"/>
          <w:sz w:val="32"/>
          <w:szCs w:val="32"/>
          <w:highlight w:val="none"/>
          <w:lang w:val="en-US" w:eastAsia="zh-CN"/>
        </w:rPr>
        <w:t>792.09元，占92.79%；</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16.46万元，占</w:t>
      </w:r>
      <w:r>
        <w:rPr>
          <w:rFonts w:hint="eastAsia" w:ascii="仿宋" w:hAnsi="仿宋" w:eastAsia="仿宋"/>
          <w:color w:val="auto"/>
          <w:sz w:val="32"/>
          <w:szCs w:val="32"/>
          <w:highlight w:val="none"/>
          <w:lang w:val="en-US" w:eastAsia="zh-CN"/>
        </w:rPr>
        <w:t>1.93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5"/>
        <w:rPr>
          <w:rFonts w:hint="eastAsia" w:ascii="仿宋" w:hAnsi="仿宋" w:eastAsia="仿宋"/>
          <w:b/>
          <w:color w:val="auto"/>
          <w:sz w:val="32"/>
          <w:szCs w:val="32"/>
          <w:highlight w:val="none"/>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88900</wp:posOffset>
            </wp:positionH>
            <wp:positionV relativeFrom="paragraph">
              <wp:posOffset>579120</wp:posOffset>
            </wp:positionV>
            <wp:extent cx="5241290" cy="2766060"/>
            <wp:effectExtent l="4445" t="4445" r="12065" b="1079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bookmarkStart w:id="42" w:name="_Toc15377212"/>
    </w:p>
    <w:p>
      <w:pPr>
        <w:spacing w:line="600" w:lineRule="exact"/>
        <w:ind w:firstLine="643" w:firstLineChars="200"/>
        <w:outlineLvl w:val="9"/>
        <w:rPr>
          <w:rFonts w:hint="eastAsia" w:ascii="仿宋" w:hAnsi="仿宋" w:eastAsia="仿宋"/>
          <w:b/>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2"/>
    </w:p>
    <w:p>
      <w:pPr>
        <w:spacing w:line="600" w:lineRule="exact"/>
        <w:ind w:firstLine="643" w:firstLineChars="200"/>
        <w:outlineLvl w:val="1"/>
        <w:rPr>
          <w:rFonts w:ascii="仿宋" w:hAnsi="仿宋" w:eastAsia="仿宋"/>
          <w:color w:val="auto"/>
          <w:sz w:val="32"/>
          <w:szCs w:val="32"/>
          <w:highlight w:val="none"/>
        </w:rPr>
      </w:pPr>
      <w:bookmarkStart w:id="43" w:name="_Toc15377444"/>
      <w:bookmarkStart w:id="44" w:name="_Toc15377213"/>
      <w:bookmarkStart w:id="45" w:name="_Toc27465"/>
      <w:bookmarkStart w:id="46"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般公共预算支出决算数为853.62</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3"/>
      <w:bookmarkEnd w:id="44"/>
      <w:bookmarkEnd w:id="45"/>
      <w:bookmarkEnd w:id="46"/>
    </w:p>
    <w:p>
      <w:pPr>
        <w:numPr>
          <w:ilvl w:val="0"/>
          <w:numId w:val="3"/>
        </w:numPr>
        <w:spacing w:line="600" w:lineRule="exact"/>
        <w:ind w:left="0" w:leftChars="0" w:firstLine="397" w:firstLineChars="0"/>
        <w:rPr>
          <w:rStyle w:val="17"/>
          <w:rFonts w:hint="eastAsia" w:ascii="仿宋" w:hAnsi="仿宋" w:eastAsia="仿宋"/>
          <w:b w:val="0"/>
          <w:bCs/>
          <w:color w:val="auto"/>
          <w:sz w:val="32"/>
          <w:szCs w:val="32"/>
          <w:highlight w:val="none"/>
          <w:lang w:val="en-US" w:eastAsia="zh-CN"/>
        </w:rPr>
      </w:pPr>
      <w:r>
        <w:rPr>
          <w:rStyle w:val="17"/>
          <w:rFonts w:hint="eastAsia" w:ascii="仿宋" w:hAnsi="仿宋" w:eastAsia="仿宋"/>
          <w:b/>
          <w:bCs w:val="0"/>
          <w:color w:val="auto"/>
          <w:sz w:val="32"/>
          <w:szCs w:val="32"/>
          <w:highlight w:val="none"/>
          <w:lang w:val="en-US" w:eastAsia="zh-CN"/>
        </w:rPr>
        <w:t>社会保障和就业支出（208）行政事业单位养老支出（05）行政单位离退休（01）：</w:t>
      </w:r>
      <w:r>
        <w:rPr>
          <w:rStyle w:val="17"/>
          <w:rFonts w:hint="eastAsia" w:ascii="仿宋" w:hAnsi="仿宋" w:eastAsia="仿宋"/>
          <w:b w:val="0"/>
          <w:bCs/>
          <w:color w:val="auto"/>
          <w:sz w:val="32"/>
          <w:szCs w:val="32"/>
          <w:highlight w:val="none"/>
          <w:lang w:val="en-US" w:eastAsia="zh-CN"/>
        </w:rPr>
        <w:t xml:space="preserve"> 支出决算为2.36万元，完成预算100%，决算数与预算数持平。</w:t>
      </w:r>
    </w:p>
    <w:p>
      <w:pPr>
        <w:numPr>
          <w:ilvl w:val="0"/>
          <w:numId w:val="3"/>
        </w:numPr>
        <w:spacing w:line="600" w:lineRule="exact"/>
        <w:ind w:left="0" w:leftChars="0" w:firstLine="397" w:firstLineChars="0"/>
        <w:rPr>
          <w:rStyle w:val="17"/>
          <w:rFonts w:hint="eastAsia" w:ascii="仿宋" w:hAnsi="仿宋" w:eastAsia="仿宋"/>
          <w:b w:val="0"/>
          <w:bCs/>
          <w:color w:val="auto"/>
          <w:sz w:val="32"/>
          <w:szCs w:val="32"/>
          <w:highlight w:val="none"/>
          <w:lang w:val="en-US" w:eastAsia="zh-CN"/>
        </w:rPr>
      </w:pPr>
      <w:r>
        <w:rPr>
          <w:rStyle w:val="17"/>
          <w:rFonts w:hint="eastAsia" w:ascii="仿宋" w:hAnsi="仿宋" w:eastAsia="仿宋"/>
          <w:bCs/>
          <w:color w:val="auto"/>
          <w:sz w:val="32"/>
          <w:szCs w:val="32"/>
          <w:highlight w:val="none"/>
        </w:rPr>
        <w:t>社会保障和就业支出（208）行政事业单位养老支出（05）  机关事业单位基本养老保险缴费支出项（05）</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支出决算为19.99万元，完成预算100%，决算数与预算数持平。</w:t>
      </w:r>
      <w:r>
        <w:rPr>
          <w:rStyle w:val="17"/>
          <w:rFonts w:hint="eastAsia" w:ascii="仿宋" w:hAnsi="仿宋" w:eastAsia="仿宋"/>
          <w:b w:val="0"/>
          <w:bCs/>
          <w:color w:val="auto"/>
          <w:sz w:val="32"/>
          <w:szCs w:val="32"/>
          <w:highlight w:val="none"/>
          <w:lang w:val="en-US" w:eastAsia="zh-CN"/>
        </w:rPr>
        <w:t xml:space="preserve">             </w:t>
      </w:r>
    </w:p>
    <w:p>
      <w:pPr>
        <w:numPr>
          <w:ilvl w:val="0"/>
          <w:numId w:val="3"/>
        </w:numPr>
        <w:spacing w:line="600" w:lineRule="exact"/>
        <w:ind w:left="0" w:leftChars="0" w:firstLine="397" w:firstLineChars="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rPr>
        <w:t>社会保障和就业支出（208）行政事业单位养老支出（05）机关事业单位职业年金缴费支出（0</w:t>
      </w:r>
      <w:r>
        <w:rPr>
          <w:rStyle w:val="17"/>
          <w:rFonts w:hint="eastAsia" w:ascii="仿宋" w:hAnsi="仿宋" w:eastAsia="仿宋"/>
          <w:bCs/>
          <w:color w:val="auto"/>
          <w:sz w:val="32"/>
          <w:szCs w:val="32"/>
          <w:highlight w:val="none"/>
          <w:lang w:val="en-US" w:eastAsia="zh-CN"/>
        </w:rPr>
        <w:t>6</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支出决算为9.18万元，完成预算100%，决算数与预算数持平。</w:t>
      </w:r>
    </w:p>
    <w:p>
      <w:pPr>
        <w:numPr>
          <w:ilvl w:val="0"/>
          <w:numId w:val="3"/>
        </w:numPr>
        <w:spacing w:line="600" w:lineRule="exact"/>
        <w:ind w:left="0" w:leftChars="0" w:firstLine="397" w:firstLineChars="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rPr>
        <w:t>社会保障和就业支出（208</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残疾人事业（</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）残疾人就业（05）</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支出决算为1.52万元，完成预算100%，决算数与预算数持平。</w:t>
      </w:r>
    </w:p>
    <w:p>
      <w:pPr>
        <w:numPr>
          <w:ilvl w:val="0"/>
          <w:numId w:val="3"/>
        </w:numPr>
        <w:spacing w:line="600" w:lineRule="exact"/>
        <w:ind w:left="0" w:leftChars="0" w:firstLine="397" w:firstLineChars="0"/>
        <w:rPr>
          <w:rFonts w:ascii="仿宋" w:hAnsi="仿宋" w:eastAsia="仿宋"/>
          <w:bCs/>
          <w:color w:val="000000"/>
          <w:sz w:val="32"/>
          <w:szCs w:val="32"/>
        </w:rPr>
      </w:pPr>
      <w:r>
        <w:rPr>
          <w:rStyle w:val="17"/>
          <w:rFonts w:hint="eastAsia" w:ascii="仿宋" w:hAnsi="仿宋" w:eastAsia="仿宋"/>
          <w:bCs/>
          <w:color w:val="auto"/>
          <w:sz w:val="32"/>
          <w:szCs w:val="32"/>
          <w:highlight w:val="none"/>
        </w:rPr>
        <w:t>社会保障和就业支出（208）其他社会保障和就业支出（99）其他社会保障和就业支出（99）</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支出决算为0.69万元，完成预算100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，决算数与预算数持平。</w:t>
      </w:r>
    </w:p>
    <w:p>
      <w:pPr>
        <w:numPr>
          <w:ilvl w:val="0"/>
          <w:numId w:val="3"/>
        </w:numPr>
        <w:spacing w:line="600" w:lineRule="exact"/>
        <w:ind w:left="0" w:leftChars="0" w:firstLine="397" w:firstLineChars="0"/>
        <w:rPr>
          <w:rFonts w:ascii="仿宋" w:hAnsi="仿宋" w:eastAsia="仿宋"/>
          <w:bCs/>
          <w:color w:val="000000"/>
          <w:sz w:val="32"/>
          <w:szCs w:val="32"/>
        </w:rPr>
      </w:pPr>
      <w:r>
        <w:rPr>
          <w:rStyle w:val="17"/>
          <w:rFonts w:hint="eastAsia" w:ascii="仿宋" w:hAnsi="仿宋" w:eastAsia="仿宋"/>
          <w:bCs/>
          <w:color w:val="auto"/>
          <w:sz w:val="32"/>
          <w:szCs w:val="32"/>
          <w:highlight w:val="none"/>
        </w:rPr>
        <w:t>卫生健康支出（210）行政事业单位医疗（11）行政单位医疗（01）</w:t>
      </w:r>
      <w:r>
        <w:rPr>
          <w:rStyle w:val="17"/>
          <w:rFonts w:hint="eastAsia" w:ascii="仿宋" w:hAnsi="仿宋" w:eastAsia="仿宋"/>
          <w:bCs/>
          <w:color w:val="auto"/>
          <w:sz w:val="32"/>
          <w:szCs w:val="32"/>
          <w:highlight w:val="none"/>
          <w:lang w:eastAsia="zh-CN"/>
        </w:rPr>
        <w:t>：</w:t>
      </w:r>
      <w:r>
        <w:rPr>
          <w:rFonts w:hint="eastAsia" w:ascii="仿宋" w:hAnsi="仿宋" w:eastAsia="仿宋"/>
          <w:bCs/>
          <w:color w:val="000000"/>
          <w:sz w:val="32"/>
          <w:szCs w:val="32"/>
        </w:rPr>
        <w:t xml:space="preserve"> 支出决算为6.44万元，完成预算100%，决算数与预算数持平。</w:t>
      </w:r>
    </w:p>
    <w:p>
      <w:pPr>
        <w:numPr>
          <w:ilvl w:val="0"/>
          <w:numId w:val="3"/>
        </w:numPr>
        <w:spacing w:line="600" w:lineRule="exact"/>
        <w:ind w:left="0" w:leftChars="0" w:firstLine="397" w:firstLineChars="0"/>
        <w:rPr>
          <w:rFonts w:ascii="仿宋" w:hAnsi="仿宋" w:eastAsia="仿宋"/>
          <w:bCs/>
          <w:color w:val="000000"/>
          <w:sz w:val="32"/>
          <w:szCs w:val="32"/>
        </w:rPr>
      </w:pPr>
      <w:r>
        <w:rPr>
          <w:rStyle w:val="17"/>
          <w:rFonts w:hint="eastAsia" w:ascii="仿宋" w:hAnsi="仿宋" w:eastAsia="仿宋"/>
          <w:bCs/>
          <w:color w:val="auto"/>
          <w:sz w:val="32"/>
          <w:szCs w:val="32"/>
          <w:highlight w:val="none"/>
        </w:rPr>
        <w:t>卫生健康支出（210）行政事业单位医疗（11）公务员医疗补助（03）</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000000"/>
          <w:sz w:val="32"/>
          <w:szCs w:val="32"/>
        </w:rPr>
        <w:t>支出决算为4.89万元，完成预算100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，决算数与预算数持平。</w:t>
      </w:r>
    </w:p>
    <w:p>
      <w:pPr>
        <w:numPr>
          <w:ilvl w:val="0"/>
          <w:numId w:val="3"/>
        </w:numPr>
        <w:spacing w:line="600" w:lineRule="exact"/>
        <w:ind w:left="0" w:leftChars="0" w:firstLine="397" w:firstLineChars="0"/>
        <w:rPr>
          <w:rFonts w:hint="eastAsia" w:ascii="仿宋" w:hAnsi="仿宋" w:eastAsia="仿宋"/>
          <w:bCs/>
          <w:color w:val="000000"/>
          <w:sz w:val="32"/>
          <w:szCs w:val="32"/>
        </w:rPr>
      </w:pPr>
      <w:r>
        <w:rPr>
          <w:rFonts w:hint="eastAsia" w:ascii="仿宋" w:hAnsi="仿宋" w:eastAsia="仿宋"/>
          <w:b/>
          <w:bCs w:val="0"/>
          <w:color w:val="000000"/>
          <w:sz w:val="32"/>
          <w:szCs w:val="32"/>
        </w:rPr>
        <w:t>交通运输支出（214）公路水路运输（01）行政运行（01）：</w:t>
      </w:r>
      <w:r>
        <w:rPr>
          <w:rFonts w:hint="eastAsia" w:ascii="仿宋" w:hAnsi="仿宋" w:eastAsia="仿宋"/>
          <w:bCs/>
          <w:color w:val="000000"/>
          <w:sz w:val="32"/>
          <w:szCs w:val="32"/>
        </w:rPr>
        <w:t>支出决算为207.31万元，完成预算100%，决算数与预算数持平。</w:t>
      </w:r>
    </w:p>
    <w:p>
      <w:pPr>
        <w:numPr>
          <w:ilvl w:val="0"/>
          <w:numId w:val="3"/>
        </w:numPr>
        <w:spacing w:line="600" w:lineRule="exact"/>
        <w:ind w:left="0" w:leftChars="0" w:firstLine="397" w:firstLineChars="0"/>
        <w:rPr>
          <w:rFonts w:ascii="仿宋" w:hAnsi="仿宋" w:eastAsia="仿宋"/>
          <w:bCs/>
          <w:color w:val="000000"/>
          <w:sz w:val="32"/>
          <w:szCs w:val="32"/>
        </w:rPr>
      </w:pPr>
      <w:r>
        <w:rPr>
          <w:rFonts w:hint="eastAsia" w:ascii="仿宋" w:hAnsi="仿宋" w:eastAsia="仿宋"/>
          <w:b/>
          <w:bCs w:val="0"/>
          <w:color w:val="000000"/>
          <w:sz w:val="32"/>
          <w:szCs w:val="32"/>
        </w:rPr>
        <w:t>交通运输支出（214）公路水路运输（01）一般行政管理事务（02）：</w:t>
      </w:r>
      <w:r>
        <w:rPr>
          <w:rFonts w:hint="eastAsia" w:ascii="仿宋" w:hAnsi="仿宋" w:eastAsia="仿宋"/>
          <w:bCs/>
          <w:color w:val="000000"/>
          <w:sz w:val="32"/>
          <w:szCs w:val="32"/>
        </w:rPr>
        <w:t>支出决算为526.83万元，完成预算100%，决算数与预算数持平。</w:t>
      </w:r>
    </w:p>
    <w:p>
      <w:pPr>
        <w:numPr>
          <w:ilvl w:val="0"/>
          <w:numId w:val="3"/>
        </w:numPr>
        <w:spacing w:line="600" w:lineRule="exact"/>
        <w:ind w:left="0" w:leftChars="0" w:firstLine="397" w:firstLineChars="0"/>
        <w:rPr>
          <w:rFonts w:ascii="仿宋" w:hAnsi="仿宋" w:eastAsia="仿宋"/>
          <w:bCs/>
          <w:color w:val="000000"/>
          <w:sz w:val="32"/>
          <w:szCs w:val="32"/>
        </w:rPr>
      </w:pPr>
      <w:r>
        <w:rPr>
          <w:rFonts w:hint="eastAsia" w:ascii="仿宋" w:hAnsi="仿宋" w:eastAsia="仿宋"/>
          <w:b/>
          <w:bCs w:val="0"/>
          <w:color w:val="000000"/>
          <w:sz w:val="32"/>
          <w:szCs w:val="32"/>
        </w:rPr>
        <w:t>交通运输支出（214）公路水路运输（01</w:t>
      </w:r>
      <w:r>
        <w:rPr>
          <w:rFonts w:hint="eastAsia" w:ascii="仿宋" w:hAnsi="仿宋" w:eastAsia="仿宋"/>
          <w:b/>
          <w:bCs w:val="0"/>
          <w:color w:val="000000"/>
          <w:sz w:val="32"/>
          <w:szCs w:val="32"/>
          <w:lang w:eastAsia="zh-CN"/>
        </w:rPr>
        <w:t>）</w:t>
      </w:r>
      <w:r>
        <w:rPr>
          <w:rFonts w:hint="eastAsia" w:ascii="仿宋" w:hAnsi="仿宋" w:eastAsia="仿宋"/>
          <w:b/>
          <w:bCs w:val="0"/>
          <w:color w:val="000000"/>
          <w:sz w:val="32"/>
          <w:szCs w:val="32"/>
        </w:rPr>
        <w:t>其他公路水路运输支出（99）：</w:t>
      </w:r>
      <w:r>
        <w:rPr>
          <w:rFonts w:hint="eastAsia" w:ascii="仿宋" w:hAnsi="仿宋" w:eastAsia="仿宋"/>
          <w:bCs/>
          <w:color w:val="000000"/>
          <w:sz w:val="32"/>
          <w:szCs w:val="32"/>
        </w:rPr>
        <w:t>支出决算为57.95万元，</w:t>
      </w:r>
      <w:r>
        <w:rPr>
          <w:rFonts w:hint="eastAsia" w:ascii="仿宋" w:hAnsi="仿宋" w:eastAsia="仿宋"/>
          <w:bCs/>
          <w:color w:val="000000"/>
          <w:sz w:val="32"/>
          <w:szCs w:val="32"/>
          <w:lang w:eastAsia="zh-CN"/>
        </w:rPr>
        <w:t>完成</w:t>
      </w:r>
      <w:r>
        <w:rPr>
          <w:rFonts w:hint="eastAsia" w:ascii="仿宋" w:hAnsi="仿宋" w:eastAsia="仿宋"/>
          <w:bCs/>
          <w:color w:val="000000"/>
          <w:sz w:val="32"/>
          <w:szCs w:val="32"/>
        </w:rPr>
        <w:t>预算100%，决算数与预算数持平。</w:t>
      </w:r>
    </w:p>
    <w:p>
      <w:pPr>
        <w:numPr>
          <w:ilvl w:val="0"/>
          <w:numId w:val="3"/>
        </w:numPr>
        <w:spacing w:line="600" w:lineRule="exact"/>
        <w:ind w:left="0" w:leftChars="0" w:firstLine="397" w:firstLineChars="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rPr>
        <w:t>住房保障支出（</w:t>
      </w:r>
      <w:r>
        <w:rPr>
          <w:rStyle w:val="17"/>
          <w:rFonts w:hint="eastAsia" w:ascii="仿宋" w:hAnsi="仿宋" w:eastAsia="仿宋"/>
          <w:bCs/>
          <w:color w:val="auto"/>
          <w:sz w:val="32"/>
          <w:szCs w:val="32"/>
          <w:highlight w:val="none"/>
          <w:lang w:val="en-US" w:eastAsia="zh-CN"/>
        </w:rPr>
        <w:t>221</w:t>
      </w:r>
      <w:r>
        <w:rPr>
          <w:rStyle w:val="17"/>
          <w:rFonts w:hint="eastAsia" w:ascii="仿宋" w:hAnsi="仿宋" w:eastAsia="仿宋"/>
          <w:bCs/>
          <w:color w:val="auto"/>
          <w:sz w:val="32"/>
          <w:szCs w:val="32"/>
          <w:highlight w:val="none"/>
        </w:rPr>
        <w:t>）住房</w:t>
      </w:r>
      <w:r>
        <w:rPr>
          <w:rStyle w:val="17"/>
          <w:rFonts w:hint="eastAsia" w:ascii="仿宋" w:hAnsi="仿宋" w:eastAsia="仿宋"/>
          <w:bCs/>
          <w:color w:val="auto"/>
          <w:sz w:val="32"/>
          <w:szCs w:val="32"/>
          <w:highlight w:val="none"/>
          <w:lang w:eastAsia="zh-CN"/>
        </w:rPr>
        <w:t>改革</w:t>
      </w:r>
      <w:r>
        <w:rPr>
          <w:rStyle w:val="17"/>
          <w:rFonts w:hint="eastAsia" w:ascii="仿宋" w:hAnsi="仿宋" w:eastAsia="仿宋"/>
          <w:bCs/>
          <w:color w:val="auto"/>
          <w:sz w:val="32"/>
          <w:szCs w:val="32"/>
          <w:highlight w:val="none"/>
        </w:rPr>
        <w:t>支出（02）住房公积金（01）：</w:t>
      </w:r>
      <w:r>
        <w:rPr>
          <w:rStyle w:val="17"/>
          <w:rFonts w:hint="eastAsia" w:ascii="仿宋" w:hAnsi="仿宋" w:eastAsia="仿宋"/>
          <w:b w:val="0"/>
          <w:bCs/>
          <w:color w:val="000000"/>
          <w:sz w:val="32"/>
          <w:szCs w:val="32"/>
        </w:rPr>
        <w:t>支出决算为16.46万元，完成预算100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，决算数与预算数持平。</w:t>
      </w:r>
    </w:p>
    <w:p>
      <w:pPr>
        <w:numPr>
          <w:ilvl w:val="0"/>
          <w:numId w:val="0"/>
        </w:numPr>
        <w:spacing w:line="600" w:lineRule="exact"/>
        <w:ind w:left="397" w:leftChars="0"/>
        <w:rPr>
          <w:rFonts w:ascii="仿宋" w:hAnsi="仿宋" w:eastAsia="仿宋"/>
          <w:b/>
          <w:color w:val="auto"/>
          <w:sz w:val="32"/>
          <w:szCs w:val="32"/>
          <w:highlight w:val="none"/>
        </w:rPr>
      </w:pPr>
    </w:p>
    <w:p>
      <w:pPr>
        <w:tabs>
          <w:tab w:val="right" w:pos="8306"/>
        </w:tabs>
        <w:spacing w:line="600" w:lineRule="exact"/>
        <w:ind w:firstLine="640"/>
        <w:outlineLvl w:val="1"/>
        <w:rPr>
          <w:rStyle w:val="32"/>
          <w:color w:val="auto"/>
          <w:highlight w:val="none"/>
        </w:rPr>
      </w:pPr>
      <w:bookmarkStart w:id="47" w:name="_Toc15396608"/>
      <w:bookmarkStart w:id="48" w:name="_Toc15377214"/>
      <w:bookmarkStart w:id="49" w:name="_Toc1407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47"/>
      <w:bookmarkEnd w:id="48"/>
      <w:bookmarkEnd w:id="49"/>
      <w:r>
        <w:rPr>
          <w:rStyle w:val="32"/>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326.79</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人员经费298.82万元，主要包括：基本工资、津贴补贴、奖金、机关事业单位基本养老保险缴费、职业年金缴费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职工基本医疗保险缴费、公务员医疗补助缴费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其他对个人和家庭的补助支出。</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27.97</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eastAsia="zh-CN"/>
        </w:rPr>
        <w:t>、印刷费、水费、电费、</w:t>
      </w:r>
      <w:r>
        <w:rPr>
          <w:rFonts w:hint="eastAsia" w:ascii="仿宋" w:hAnsi="仿宋" w:eastAsia="仿宋"/>
          <w:color w:val="auto"/>
          <w:sz w:val="32"/>
          <w:szCs w:val="32"/>
          <w:highlight w:val="none"/>
        </w:rPr>
        <w:t>邮电费、 差旅费</w:t>
      </w:r>
      <w:r>
        <w:rPr>
          <w:rFonts w:hint="eastAsia" w:ascii="仿宋" w:hAnsi="仿宋" w:eastAsia="仿宋"/>
          <w:color w:val="auto"/>
          <w:sz w:val="32"/>
          <w:szCs w:val="32"/>
          <w:highlight w:val="none"/>
          <w:lang w:eastAsia="zh-CN"/>
        </w:rPr>
        <w:t>、维修（护）费、</w:t>
      </w:r>
      <w:r>
        <w:rPr>
          <w:rFonts w:hint="eastAsia" w:ascii="仿宋" w:hAnsi="仿宋" w:eastAsia="仿宋"/>
          <w:color w:val="auto"/>
          <w:sz w:val="32"/>
          <w:szCs w:val="32"/>
          <w:highlight w:val="none"/>
        </w:rPr>
        <w:t>会议费</w:t>
      </w:r>
      <w:r>
        <w:rPr>
          <w:rFonts w:hint="eastAsia" w:ascii="仿宋" w:hAnsi="仿宋" w:eastAsia="仿宋"/>
          <w:color w:val="auto"/>
          <w:sz w:val="32"/>
          <w:szCs w:val="32"/>
          <w:highlight w:val="none"/>
          <w:lang w:eastAsia="zh-CN"/>
        </w:rPr>
        <w:t>、培训费、</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eastAsia="zh-CN"/>
        </w:rPr>
        <w:t>、工会经费、</w:t>
      </w:r>
      <w:r>
        <w:rPr>
          <w:rFonts w:hint="eastAsia" w:ascii="仿宋" w:hAnsi="仿宋" w:eastAsia="仿宋"/>
          <w:color w:val="auto"/>
          <w:sz w:val="32"/>
          <w:szCs w:val="32"/>
          <w:highlight w:val="none"/>
        </w:rPr>
        <w:t>福利费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公务用车运行维护费、其他交通费用</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w:t>
      </w:r>
    </w:p>
    <w:p>
      <w:pPr>
        <w:spacing w:line="600" w:lineRule="exact"/>
        <w:ind w:firstLine="645"/>
        <w:rPr>
          <w:rFonts w:hint="eastAsia" w:ascii="仿宋" w:hAnsi="仿宋" w:eastAsia="仿宋"/>
          <w:color w:val="auto"/>
          <w:sz w:val="32"/>
          <w:szCs w:val="32"/>
          <w:highlight w:val="none"/>
        </w:rPr>
      </w:pPr>
    </w:p>
    <w:p>
      <w:pPr>
        <w:pStyle w:val="13"/>
      </w:pPr>
    </w:p>
    <w:p>
      <w:pPr>
        <w:spacing w:line="600" w:lineRule="exact"/>
        <w:ind w:firstLine="640"/>
        <w:outlineLvl w:val="1"/>
        <w:rPr>
          <w:rStyle w:val="32"/>
          <w:rFonts w:ascii="黑体" w:hAnsi="黑体" w:eastAsia="黑体"/>
          <w:b w:val="0"/>
          <w:color w:val="auto"/>
          <w:highlight w:val="none"/>
        </w:rPr>
      </w:pPr>
      <w:bookmarkStart w:id="50" w:name="_Toc15396609"/>
      <w:bookmarkStart w:id="51" w:name="_Toc15377215"/>
      <w:bookmarkStart w:id="52" w:name="_Toc31179"/>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50"/>
      <w:bookmarkEnd w:id="51"/>
      <w:bookmarkEnd w:id="52"/>
    </w:p>
    <w:p>
      <w:pPr>
        <w:spacing w:line="600" w:lineRule="exact"/>
        <w:ind w:firstLine="640"/>
        <w:outlineLvl w:val="2"/>
        <w:rPr>
          <w:rFonts w:ascii="仿宋" w:hAnsi="仿宋" w:eastAsia="仿宋"/>
          <w:b/>
          <w:color w:val="auto"/>
          <w:sz w:val="32"/>
          <w:szCs w:val="32"/>
          <w:highlight w:val="none"/>
        </w:rPr>
      </w:pPr>
      <w:bookmarkStart w:id="53" w:name="_Toc15377216"/>
      <w:r>
        <w:rPr>
          <w:rFonts w:hint="eastAsia" w:ascii="仿宋" w:hAnsi="仿宋" w:eastAsia="仿宋"/>
          <w:b/>
          <w:color w:val="auto"/>
          <w:sz w:val="32"/>
          <w:szCs w:val="32"/>
          <w:highlight w:val="none"/>
        </w:rPr>
        <w:t>（一）“三公”经费财政拨款支出决算总体情况说明</w:t>
      </w:r>
      <w:bookmarkEnd w:id="5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1.35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减少0.88万元，下降39.46%。</w:t>
      </w:r>
      <w:r>
        <w:rPr>
          <w:rFonts w:hint="eastAsia" w:ascii="仿宋" w:hAnsi="仿宋" w:eastAsia="仿宋"/>
          <w:color w:val="auto"/>
          <w:sz w:val="32"/>
          <w:szCs w:val="32"/>
          <w:highlight w:val="none"/>
        </w:rPr>
        <w:t>决算数与预算数持平。</w:t>
      </w:r>
    </w:p>
    <w:p>
      <w:pPr>
        <w:spacing w:line="600" w:lineRule="exact"/>
        <w:ind w:firstLine="640"/>
        <w:outlineLvl w:val="2"/>
        <w:rPr>
          <w:rFonts w:ascii="仿宋" w:hAnsi="仿宋" w:eastAsia="仿宋"/>
          <w:b/>
          <w:color w:val="auto"/>
          <w:sz w:val="32"/>
          <w:szCs w:val="32"/>
          <w:highlight w:val="none"/>
        </w:rPr>
      </w:pPr>
      <w:bookmarkStart w:id="54" w:name="_Toc15377217"/>
      <w:r>
        <w:rPr>
          <w:rFonts w:hint="eastAsia" w:ascii="仿宋" w:hAnsi="仿宋" w:eastAsia="仿宋"/>
          <w:b/>
          <w:color w:val="auto"/>
          <w:sz w:val="32"/>
          <w:szCs w:val="32"/>
          <w:highlight w:val="none"/>
        </w:rPr>
        <w:t>（二）“三公”经费财政拨款支出决算具体情况说明</w:t>
      </w:r>
      <w:bookmarkEnd w:id="54"/>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5"/>
        <w:rPr>
          <w:rFonts w:hint="eastAsia" w:ascii="仿宋" w:hAnsi="仿宋" w:eastAsia="仿宋"/>
          <w:color w:val="auto"/>
          <w:sz w:val="32"/>
          <w:szCs w:val="32"/>
          <w:highlight w:val="none"/>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65405</wp:posOffset>
            </wp:positionH>
            <wp:positionV relativeFrom="paragraph">
              <wp:posOffset>292100</wp:posOffset>
            </wp:positionV>
            <wp:extent cx="5080000" cy="2380615"/>
            <wp:effectExtent l="5080" t="4445" r="20320" b="1524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numPr>
          <w:ilvl w:val="0"/>
          <w:numId w:val="0"/>
        </w:numPr>
        <w:spacing w:line="600" w:lineRule="exact"/>
        <w:ind w:firstLine="643" w:firstLineChars="200"/>
        <w:rPr>
          <w:rFonts w:hint="eastAsia" w:ascii="仿宋_GB2312" w:eastAsia="仿宋_GB2312"/>
          <w:b/>
          <w:color w:val="000000"/>
          <w:sz w:val="32"/>
          <w:szCs w:val="32"/>
          <w:lang w:val="en-US"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000000"/>
          <w:sz w:val="32"/>
          <w:szCs w:val="32"/>
          <w:lang w:val="en-US" w:eastAsia="zh-CN"/>
        </w:rPr>
        <w:t>2023年未安</w:t>
      </w:r>
      <w:r>
        <w:rPr>
          <w:rFonts w:hint="eastAsia" w:ascii="仿宋_GB2312" w:eastAsia="仿宋_GB2312"/>
          <w:b w:val="0"/>
          <w:bCs w:val="0"/>
          <w:color w:val="000000"/>
          <w:sz w:val="32"/>
          <w:szCs w:val="32"/>
          <w:lang w:val="en-US" w:eastAsia="zh-CN"/>
        </w:rPr>
        <w:t>排</w:t>
      </w:r>
      <w:r>
        <w:rPr>
          <w:rFonts w:hint="eastAsia" w:ascii="仿宋_GB2312" w:eastAsia="仿宋_GB2312"/>
          <w:b w:val="0"/>
          <w:bCs w:val="0"/>
          <w:color w:val="000000"/>
          <w:sz w:val="32"/>
          <w:szCs w:val="32"/>
        </w:rPr>
        <w:t>因公出国（境）经费支出</w:t>
      </w:r>
      <w:r>
        <w:rPr>
          <w:rFonts w:hint="eastAsia" w:ascii="仿宋_GB2312" w:eastAsia="仿宋_GB2312"/>
          <w:b/>
          <w:color w:val="000000"/>
          <w:sz w:val="32"/>
          <w:szCs w:val="32"/>
          <w:lang w:val="en-US" w:eastAsia="zh-CN"/>
        </w:rPr>
        <w:t>。</w:t>
      </w:r>
    </w:p>
    <w:p>
      <w:pPr>
        <w:spacing w:line="600" w:lineRule="exact"/>
        <w:ind w:firstLine="643" w:firstLineChars="200"/>
        <w:rPr>
          <w:rFonts w:hint="eastAsia" w:ascii="仿宋_GB2312" w:eastAsia="仿宋_GB2312"/>
          <w:b/>
          <w:color w:val="auto"/>
          <w:sz w:val="32"/>
          <w:szCs w:val="32"/>
          <w:highlight w:val="yellow"/>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1.13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0.13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下降</w:t>
      </w:r>
      <w:r>
        <w:rPr>
          <w:rFonts w:hint="eastAsia" w:ascii="仿宋_GB2312" w:eastAsia="仿宋_GB2312"/>
          <w:color w:val="auto"/>
          <w:sz w:val="32"/>
          <w:szCs w:val="32"/>
          <w:highlight w:val="none"/>
          <w:lang w:val="en-US" w:eastAsia="zh-CN"/>
        </w:rPr>
        <w:t>10.32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响应号召，厉行节约。</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yellow"/>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1.13</w:t>
      </w:r>
      <w:r>
        <w:rPr>
          <w:rFonts w:hint="eastAsia" w:ascii="仿宋_GB2312" w:eastAsia="仿宋_GB2312"/>
          <w:color w:val="auto"/>
          <w:sz w:val="32"/>
          <w:szCs w:val="32"/>
          <w:highlight w:val="none"/>
        </w:rPr>
        <w:t>万元。</w:t>
      </w:r>
      <w:r>
        <w:rPr>
          <w:rFonts w:hint="eastAsia" w:ascii="仿宋" w:hAnsi="仿宋" w:eastAsia="仿宋"/>
          <w:color w:val="000000"/>
          <w:sz w:val="32"/>
          <w:szCs w:val="32"/>
          <w:highlight w:val="none"/>
        </w:rPr>
        <w:t>主要用于</w:t>
      </w:r>
      <w:r>
        <w:rPr>
          <w:rFonts w:hint="eastAsia" w:ascii="仿宋_GB2312" w:eastAsia="仿宋_GB2312"/>
          <w:color w:val="auto"/>
          <w:sz w:val="32"/>
          <w:szCs w:val="32"/>
          <w:highlight w:val="none"/>
          <w:lang w:eastAsia="zh-CN"/>
        </w:rPr>
        <w:t>运管所外出工作检查</w:t>
      </w:r>
      <w:r>
        <w:rPr>
          <w:rFonts w:hint="eastAsia" w:ascii="仿宋_GB2312" w:eastAsia="仿宋_GB2312"/>
          <w:color w:val="auto"/>
          <w:sz w:val="32"/>
          <w:szCs w:val="32"/>
          <w:highlight w:val="none"/>
        </w:rPr>
        <w:t>等所需的公务用车燃料费、维修费、过路过桥费、保险费等支出。</w:t>
      </w:r>
    </w:p>
    <w:p>
      <w:pPr>
        <w:numPr>
          <w:ilvl w:val="0"/>
          <w:numId w:val="4"/>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w:t>
      </w:r>
      <w:r>
        <w:rPr>
          <w:rFonts w:hint="eastAsia" w:ascii="仿宋_GB2312" w:eastAsia="仿宋_GB2312"/>
          <w:color w:val="auto"/>
          <w:sz w:val="32"/>
          <w:szCs w:val="32"/>
          <w:highlight w:val="none"/>
          <w:lang w:eastAsia="zh-CN"/>
        </w:rPr>
        <w:t>与上年持平</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执行公务、开展业务活动开支的交通费、住宿费、用餐费等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（接待具体项目、金额）。</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5" w:name="_Toc15396610"/>
      <w:bookmarkStart w:id="56" w:name="_Toc15377218"/>
    </w:p>
    <w:p>
      <w:pPr>
        <w:spacing w:line="600" w:lineRule="exact"/>
        <w:ind w:firstLine="640"/>
        <w:outlineLvl w:val="1"/>
        <w:rPr>
          <w:rStyle w:val="32"/>
          <w:rFonts w:ascii="黑体" w:hAnsi="黑体" w:eastAsia="黑体"/>
          <w:color w:val="auto"/>
          <w:highlight w:val="none"/>
        </w:rPr>
      </w:pPr>
      <w:bookmarkStart w:id="57" w:name="_Toc16532"/>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55"/>
      <w:bookmarkEnd w:id="56"/>
      <w:bookmarkEnd w:id="5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5"/>
        </w:numPr>
        <w:spacing w:line="600" w:lineRule="exact"/>
        <w:ind w:firstLine="640"/>
        <w:outlineLvl w:val="1"/>
        <w:rPr>
          <w:rStyle w:val="32"/>
          <w:rFonts w:ascii="黑体" w:hAnsi="黑体" w:eastAsia="黑体"/>
          <w:b w:val="0"/>
          <w:color w:val="auto"/>
          <w:highlight w:val="none"/>
        </w:rPr>
      </w:pPr>
      <w:bookmarkStart w:id="58" w:name="_Toc31711"/>
      <w:bookmarkStart w:id="59" w:name="_Toc15396611"/>
      <w:bookmarkStart w:id="60" w:name="_Toc15377219"/>
      <w:r>
        <w:rPr>
          <w:rStyle w:val="32"/>
          <w:rFonts w:hint="eastAsia" w:ascii="黑体" w:hAnsi="黑体" w:eastAsia="黑体"/>
          <w:b w:val="0"/>
          <w:color w:val="auto"/>
          <w:highlight w:val="none"/>
        </w:rPr>
        <w:t>国有资本经营预算支出决算情况说明</w:t>
      </w:r>
      <w:bookmarkEnd w:id="58"/>
      <w:bookmarkEnd w:id="59"/>
      <w:bookmarkEnd w:id="60"/>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5"/>
        </w:numPr>
        <w:spacing w:line="600" w:lineRule="exact"/>
        <w:ind w:firstLine="640"/>
        <w:outlineLvl w:val="1"/>
        <w:rPr>
          <w:rStyle w:val="32"/>
          <w:rFonts w:hint="eastAsia" w:ascii="黑体" w:hAnsi="黑体" w:eastAsia="黑体"/>
          <w:b w:val="0"/>
          <w:color w:val="auto"/>
          <w:highlight w:val="none"/>
        </w:rPr>
      </w:pPr>
      <w:bookmarkStart w:id="61" w:name="_Toc9081"/>
      <w:bookmarkStart w:id="62" w:name="_Toc15377221"/>
      <w:bookmarkStart w:id="63" w:name="_Toc15396612"/>
      <w:r>
        <w:rPr>
          <w:rStyle w:val="32"/>
          <w:rFonts w:hint="eastAsia" w:ascii="黑体" w:hAnsi="黑体" w:eastAsia="黑体"/>
          <w:b w:val="0"/>
          <w:color w:val="auto"/>
          <w:highlight w:val="none"/>
        </w:rPr>
        <w:t>其他重要事项的情况说明</w:t>
      </w:r>
      <w:bookmarkEnd w:id="61"/>
      <w:bookmarkEnd w:id="62"/>
      <w:bookmarkEnd w:id="63"/>
    </w:p>
    <w:p>
      <w:pPr>
        <w:spacing w:line="600" w:lineRule="exact"/>
        <w:ind w:firstLine="643" w:firstLineChars="200"/>
        <w:outlineLvl w:val="2"/>
        <w:rPr>
          <w:rFonts w:ascii="仿宋" w:hAnsi="仿宋" w:eastAsia="仿宋"/>
          <w:color w:val="auto"/>
          <w:sz w:val="32"/>
          <w:szCs w:val="32"/>
          <w:highlight w:val="none"/>
        </w:rPr>
      </w:pPr>
      <w:bookmarkStart w:id="64" w:name="_Toc15377222"/>
      <w:r>
        <w:rPr>
          <w:rFonts w:hint="eastAsia" w:ascii="仿宋" w:hAnsi="仿宋" w:eastAsia="仿宋"/>
          <w:b/>
          <w:color w:val="auto"/>
          <w:sz w:val="32"/>
          <w:szCs w:val="32"/>
          <w:highlight w:val="none"/>
        </w:rPr>
        <w:t>（一）机关运行经费支出情况</w:t>
      </w:r>
      <w:bookmarkEnd w:id="64"/>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船山区公路运输管理所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27.97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4.29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13.30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响应号召，厉行节约。</w:t>
      </w:r>
    </w:p>
    <w:p>
      <w:pPr>
        <w:spacing w:line="600" w:lineRule="exact"/>
        <w:ind w:firstLine="640" w:firstLineChars="200"/>
        <w:rPr>
          <w:rFonts w:hint="eastAsia" w:ascii="仿宋_GB2312" w:eastAsia="仿宋_GB2312"/>
          <w:color w:val="auto"/>
          <w:sz w:val="32"/>
          <w:szCs w:val="32"/>
          <w:highlight w:val="yellow"/>
          <w:lang w:eastAsia="zh-CN"/>
        </w:rPr>
      </w:pP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5" w:name="_Toc15377223"/>
      <w:r>
        <w:rPr>
          <w:rFonts w:hint="eastAsia" w:ascii="仿宋" w:hAnsi="仿宋" w:eastAsia="仿宋"/>
          <w:b/>
          <w:color w:val="auto"/>
          <w:sz w:val="32"/>
          <w:szCs w:val="32"/>
          <w:highlight w:val="none"/>
        </w:rPr>
        <w:t>（二）政府采购支出情况</w:t>
      </w:r>
      <w:bookmarkEnd w:id="65"/>
    </w:p>
    <w:p>
      <w:pPr>
        <w:spacing w:line="60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船山区公路运输管理所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hint="eastAsia" w:ascii="仿宋_GB2312" w:eastAsia="仿宋_GB2312"/>
          <w:color w:val="auto"/>
          <w:sz w:val="32"/>
          <w:szCs w:val="32"/>
          <w:highlight w:val="none"/>
        </w:rPr>
      </w:pP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6" w:name="_Toc15377224"/>
      <w:r>
        <w:rPr>
          <w:rFonts w:hint="eastAsia" w:ascii="仿宋" w:hAnsi="仿宋" w:eastAsia="仿宋"/>
          <w:b/>
          <w:color w:val="auto"/>
          <w:sz w:val="32"/>
          <w:szCs w:val="32"/>
          <w:highlight w:val="none"/>
        </w:rPr>
        <w:t>（三）国有资产占有使用情况</w:t>
      </w:r>
      <w:bookmarkEnd w:id="66"/>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船山区公路运输管理所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辆、执法执勤用车</w:t>
      </w:r>
      <w:r>
        <w:rPr>
          <w:rFonts w:hint="eastAsia" w:ascii="仿宋_GB2312" w:eastAsia="仿宋_GB2312"/>
          <w:color w:val="auto"/>
          <w:sz w:val="32"/>
          <w:szCs w:val="32"/>
          <w:highlight w:val="none"/>
          <w:lang w:val="en-US" w:eastAsia="zh-CN"/>
        </w:rPr>
        <w:t>4辆、</w:t>
      </w:r>
      <w:r>
        <w:rPr>
          <w:rFonts w:hint="eastAsia" w:ascii="仿宋_GB2312" w:eastAsia="仿宋_GB2312"/>
          <w:color w:val="auto"/>
          <w:sz w:val="32"/>
          <w:szCs w:val="32"/>
          <w:highlight w:val="none"/>
        </w:rPr>
        <w:t>特种专业技术用车</w:t>
      </w:r>
      <w:r>
        <w:rPr>
          <w:rFonts w:hint="eastAsia" w:ascii="仿宋_GB2312" w:eastAsia="仿宋_GB2312"/>
          <w:color w:val="auto"/>
          <w:sz w:val="32"/>
          <w:szCs w:val="32"/>
          <w:highlight w:val="none"/>
          <w:lang w:val="en-US" w:eastAsia="zh-CN"/>
        </w:rPr>
        <w:t>0辆、</w:t>
      </w:r>
      <w:r>
        <w:rPr>
          <w:rFonts w:hint="eastAsia" w:ascii="仿宋_GB2312" w:eastAsia="仿宋_GB2312"/>
          <w:color w:val="auto"/>
          <w:sz w:val="32"/>
          <w:szCs w:val="32"/>
          <w:highlight w:val="none"/>
        </w:rPr>
        <w:t>离退休干部用车</w:t>
      </w:r>
      <w:r>
        <w:rPr>
          <w:rFonts w:hint="eastAsia" w:ascii="仿宋_GB2312" w:eastAsia="仿宋_GB2312"/>
          <w:color w:val="auto"/>
          <w:sz w:val="32"/>
          <w:szCs w:val="32"/>
          <w:highlight w:val="none"/>
          <w:lang w:val="en-US" w:eastAsia="zh-CN"/>
        </w:rPr>
        <w:t>0辆、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 xml:space="preserve">辆 </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预算编制阶段，组织对安全经费、金通工程、农村客运补贴等</w:t>
      </w:r>
      <w:r>
        <w:rPr>
          <w:rFonts w:hint="eastAsia" w:ascii="仿宋_GB2312" w:hAnsi="Times New Roman" w:eastAsia="仿宋_GB2312" w:cs="Times New Roman"/>
          <w:color w:val="auto"/>
          <w:sz w:val="32"/>
          <w:szCs w:val="32"/>
          <w:highlight w:val="none"/>
          <w:lang w:val="en-US" w:eastAsia="zh-CN"/>
        </w:rPr>
        <w:t>共计</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pPr>
        <w:widowControl/>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pPr>
        <w:numPr>
          <w:ilvl w:val="0"/>
          <w:numId w:val="6"/>
        </w:numPr>
        <w:spacing w:line="600" w:lineRule="exact"/>
        <w:ind w:firstLine="660" w:firstLineChars="150"/>
        <w:jc w:val="center"/>
        <w:outlineLvl w:val="0"/>
        <w:rPr>
          <w:rStyle w:val="31"/>
          <w:rFonts w:ascii="黑体" w:hAnsi="黑体" w:eastAsia="黑体"/>
          <w:b w:val="0"/>
          <w:color w:val="auto"/>
          <w:highlight w:val="none"/>
        </w:rPr>
      </w:pPr>
      <w:bookmarkStart w:id="67" w:name="_Toc18155"/>
      <w:bookmarkStart w:id="68" w:name="_Toc15396613"/>
      <w:bookmarkStart w:id="69" w:name="_Toc15377225"/>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67"/>
      <w:bookmarkEnd w:id="68"/>
      <w:bookmarkEnd w:id="69"/>
    </w:p>
    <w:p>
      <w:pPr>
        <w:spacing w:line="600" w:lineRule="exact"/>
        <w:jc w:val="left"/>
        <w:rPr>
          <w:rFonts w:ascii="宋体"/>
          <w:b/>
          <w:color w:val="auto"/>
          <w:sz w:val="44"/>
          <w:szCs w:val="44"/>
          <w:highlight w:val="none"/>
        </w:rPr>
      </w:pPr>
    </w:p>
    <w:p>
      <w:pPr>
        <w:pStyle w:val="29"/>
        <w:numPr>
          <w:ilvl w:val="0"/>
          <w:numId w:val="7"/>
        </w:numPr>
        <w:spacing w:line="560" w:lineRule="exact"/>
        <w:ind w:left="0" w:leftChars="0" w:firstLine="400" w:firstLineChars="0"/>
        <w:outlineLvl w:val="1"/>
        <w:rPr>
          <w:rFonts w:ascii="仿宋_GB2312" w:eastAsia="仿宋_GB2312"/>
          <w:color w:val="auto"/>
          <w:sz w:val="32"/>
          <w:szCs w:val="32"/>
          <w:highlight w:val="none"/>
        </w:rPr>
      </w:pPr>
      <w:bookmarkStart w:id="70" w:name="_Toc22975"/>
      <w:r>
        <w:rPr>
          <w:rFonts w:hint="eastAsia" w:ascii="仿宋_GB2312" w:eastAsia="仿宋_GB2312"/>
          <w:color w:val="auto"/>
          <w:sz w:val="32"/>
          <w:szCs w:val="32"/>
          <w:highlight w:val="none"/>
        </w:rPr>
        <w:t>财政拨款收入：指单位从同级财政部门取得的财政预算资金。</w:t>
      </w:r>
      <w:bookmarkEnd w:id="70"/>
    </w:p>
    <w:p>
      <w:pPr>
        <w:pStyle w:val="29"/>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9"/>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9"/>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9"/>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9"/>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9"/>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9"/>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社会保障和就业支出（208）行政事业单位养老支出（05）行政单位离退休（01）</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反映行政单位（包括实行公务员管理的事业单位）开支的离退休经费。</w:t>
      </w:r>
    </w:p>
    <w:p>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社会保障和就业支出（208）行政事业单位养老支出（05）  机关事业单位基本养老保险缴费支出项（05）</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反映各级</w:t>
      </w:r>
      <w:r>
        <w:rPr>
          <w:rFonts w:hint="eastAsia" w:ascii="仿宋_GB2312" w:eastAsia="仿宋_GB2312"/>
          <w:color w:val="auto"/>
          <w:sz w:val="32"/>
          <w:szCs w:val="32"/>
          <w:highlight w:val="none"/>
          <w:lang w:eastAsia="zh-CN"/>
        </w:rPr>
        <w:t>财政部门</w:t>
      </w:r>
      <w:r>
        <w:rPr>
          <w:rFonts w:hint="eastAsia" w:ascii="仿宋_GB2312" w:eastAsia="仿宋_GB2312"/>
          <w:color w:val="auto"/>
          <w:sz w:val="32"/>
          <w:szCs w:val="32"/>
          <w:highlight w:val="none"/>
        </w:rPr>
        <w:t xml:space="preserve">对机关事业单位实施养老保险制度由单位实际缴纳的基本养老保险支出。             </w:t>
      </w:r>
    </w:p>
    <w:p>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社会保障和就业支出（208）行政事业单位养老支出（05）机关事业单位职业年金缴费支出（06）</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反</w:t>
      </w:r>
      <w:r>
        <w:rPr>
          <w:rFonts w:hint="eastAsia" w:ascii="仿宋_GB2312" w:eastAsia="仿宋_GB2312"/>
          <w:color w:val="auto"/>
          <w:sz w:val="32"/>
          <w:szCs w:val="32"/>
          <w:highlight w:val="none"/>
        </w:rPr>
        <w:t>映各级</w:t>
      </w:r>
      <w:r>
        <w:rPr>
          <w:rFonts w:hint="eastAsia" w:ascii="仿宋_GB2312" w:eastAsia="仿宋_GB2312"/>
          <w:color w:val="auto"/>
          <w:sz w:val="32"/>
          <w:szCs w:val="32"/>
          <w:highlight w:val="none"/>
          <w:lang w:eastAsia="zh-CN"/>
        </w:rPr>
        <w:t>财政部门</w:t>
      </w:r>
      <w:r>
        <w:rPr>
          <w:rFonts w:hint="eastAsia" w:ascii="仿宋_GB2312" w:eastAsia="仿宋_GB2312"/>
          <w:color w:val="auto"/>
          <w:sz w:val="32"/>
          <w:szCs w:val="32"/>
          <w:highlight w:val="none"/>
        </w:rPr>
        <w:t>对机关事业单位实施养老保险制度由单位实际缴纳的职业年金支出。</w:t>
      </w:r>
    </w:p>
    <w:p>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社会保障和就业支出（208）残疾人事业（11）残疾人就业（05）</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反映残疾人联合会用于残疾人就业方面的支出。</w:t>
      </w:r>
    </w:p>
    <w:p>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社会保障和就业支出（208）其他社会保障和就业支出（99）其他社会保障和就业支出（99）</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反映上述项目以外其他用于社会保障和就业方面的支出。</w:t>
      </w:r>
    </w:p>
    <w:p>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卫生健康支出（210）行政事业单位医疗（11）  行政单位医疗（01）</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反映</w:t>
      </w:r>
      <w:r>
        <w:rPr>
          <w:rFonts w:hint="eastAsia" w:ascii="仿宋_GB2312" w:eastAsia="仿宋_GB2312"/>
          <w:color w:val="auto"/>
          <w:sz w:val="32"/>
          <w:szCs w:val="32"/>
          <w:highlight w:val="none"/>
          <w:lang w:eastAsia="zh-CN"/>
        </w:rPr>
        <w:t>财政部门</w:t>
      </w:r>
      <w:r>
        <w:rPr>
          <w:rFonts w:hint="eastAsia" w:ascii="仿宋_GB2312" w:eastAsia="仿宋_GB2312"/>
          <w:color w:val="auto"/>
          <w:sz w:val="32"/>
          <w:szCs w:val="32"/>
          <w:highlight w:val="none"/>
        </w:rPr>
        <w:t>安排的行政单位（包括实行公务员管理的事业单位）基本医疗保险缴费经费，未参加医疗保险的行政单位公费医疗经费，按国家规定享受离休人员、红军老战士待遇人员的医疗经费。</w:t>
      </w:r>
    </w:p>
    <w:p>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卫生健康支出（210）行政事业单位医疗（11） 公务员医疗补助（03）</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反映</w:t>
      </w:r>
      <w:r>
        <w:rPr>
          <w:rFonts w:hint="eastAsia" w:ascii="仿宋_GB2312" w:eastAsia="仿宋_GB2312"/>
          <w:color w:val="auto"/>
          <w:sz w:val="32"/>
          <w:szCs w:val="32"/>
          <w:highlight w:val="none"/>
          <w:lang w:eastAsia="zh-CN"/>
        </w:rPr>
        <w:t>财政部门</w:t>
      </w:r>
      <w:r>
        <w:rPr>
          <w:rFonts w:hint="eastAsia" w:ascii="仿宋_GB2312" w:eastAsia="仿宋_GB2312"/>
          <w:color w:val="auto"/>
          <w:sz w:val="32"/>
          <w:szCs w:val="32"/>
          <w:highlight w:val="none"/>
        </w:rPr>
        <w:t>安排的公务员医疗补助经费。</w:t>
      </w:r>
    </w:p>
    <w:p>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交通运输支出（214）公路水路运输（01）  行政运行（01）：反映行政单位（包括实行公务员管理的事业单位）的基本支出。</w:t>
      </w:r>
    </w:p>
    <w:p>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交通运输支出（214）公路水路运输（01） 一般行政管理事务（02）：反映行政单位（包括实行公务员管理的事业单位）未单独设置项级科目的其他项目支出。</w:t>
      </w:r>
    </w:p>
    <w:p>
      <w:pPr>
        <w:numPr>
          <w:ilvl w:val="0"/>
          <w:numId w:val="7"/>
        </w:numPr>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交通运输支出（214）公路水路运输（01）其他公路水路运输支出（99）：指反映上述项目以外其他用于公路水路运输方面的支出。</w:t>
      </w:r>
    </w:p>
    <w:p>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住房保障支出（221）住房改革支出（02） 住房公积金（01）：反映行政事业单位按照人力资源和社会保障部、财政部规定的基本工资和津补贴以及规定比例为职工缴纳的住房公积金。</w:t>
      </w:r>
      <w:r>
        <w:rPr>
          <w:rFonts w:ascii="仿宋_GB2312" w:eastAsia="仿宋_GB2312"/>
          <w:color w:val="auto"/>
          <w:sz w:val="32"/>
          <w:szCs w:val="32"/>
          <w:highlight w:val="none"/>
        </w:rPr>
        <w:t xml:space="preserve"> </w:t>
      </w:r>
    </w:p>
    <w:p>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9"/>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9"/>
        <w:spacing w:line="560" w:lineRule="exact"/>
        <w:rPr>
          <w:rFonts w:ascii="仿宋_GB2312" w:eastAsia="仿宋_GB2312" w:cs="黑体"/>
          <w:color w:val="auto"/>
          <w:sz w:val="32"/>
          <w:szCs w:val="32"/>
          <w:highlight w:val="none"/>
        </w:rPr>
      </w:pPr>
    </w:p>
    <w:p>
      <w:pPr>
        <w:spacing w:line="600" w:lineRule="exact"/>
        <w:jc w:val="center"/>
        <w:outlineLvl w:val="9"/>
        <w:rPr>
          <w:rFonts w:ascii="宋体"/>
          <w:b/>
          <w:color w:val="auto"/>
          <w:sz w:val="44"/>
          <w:szCs w:val="44"/>
          <w:highlight w:val="none"/>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bookmarkStart w:id="71" w:name="_Toc15377226"/>
    </w:p>
    <w:p>
      <w:pPr>
        <w:spacing w:line="600" w:lineRule="exact"/>
        <w:jc w:val="center"/>
        <w:outlineLvl w:val="0"/>
        <w:rPr>
          <w:rStyle w:val="31"/>
          <w:rFonts w:ascii="黑体" w:hAnsi="黑体" w:eastAsia="黑体"/>
          <w:b w:val="0"/>
          <w:color w:val="auto"/>
          <w:highlight w:val="none"/>
        </w:rPr>
      </w:pPr>
      <w:bookmarkStart w:id="72" w:name="_Toc1527"/>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72"/>
    </w:p>
    <w:p>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yellow"/>
        </w:rPr>
      </w:pPr>
    </w:p>
    <w:tbl>
      <w:tblPr>
        <w:tblStyle w:val="15"/>
        <w:tblW w:w="14074" w:type="dxa"/>
        <w:tblInd w:w="0" w:type="dxa"/>
        <w:shd w:val="clear" w:color="auto" w:fill="auto"/>
        <w:tblLayout w:type="fixed"/>
        <w:tblCellMar>
          <w:top w:w="0" w:type="dxa"/>
          <w:left w:w="0" w:type="dxa"/>
          <w:bottom w:w="0" w:type="dxa"/>
          <w:right w:w="0" w:type="dxa"/>
        </w:tblCellMar>
      </w:tblPr>
      <w:tblGrid>
        <w:gridCol w:w="553"/>
        <w:gridCol w:w="1645"/>
        <w:gridCol w:w="1425"/>
        <w:gridCol w:w="1815"/>
        <w:gridCol w:w="423"/>
        <w:gridCol w:w="1346"/>
        <w:gridCol w:w="423"/>
        <w:gridCol w:w="878"/>
        <w:gridCol w:w="410"/>
        <w:gridCol w:w="371"/>
        <w:gridCol w:w="4785"/>
      </w:tblGrid>
      <w:tr>
        <w:tblPrEx>
          <w:shd w:val="clear" w:color="auto" w:fill="auto"/>
          <w:tblCellMar>
            <w:top w:w="0" w:type="dxa"/>
            <w:left w:w="0" w:type="dxa"/>
            <w:bottom w:w="0" w:type="dxa"/>
            <w:right w:w="0" w:type="dxa"/>
          </w:tblCellMar>
        </w:tblPrEx>
        <w:trPr>
          <w:trHeight w:val="286" w:hRule="atLeast"/>
        </w:trPr>
        <w:tc>
          <w:tcPr>
            <w:tcW w:w="1407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shd w:val="clear" w:color="auto" w:fill="auto"/>
          <w:tblCellMar>
            <w:top w:w="0" w:type="dxa"/>
            <w:left w:w="0" w:type="dxa"/>
            <w:bottom w:w="0" w:type="dxa"/>
            <w:right w:w="0" w:type="dxa"/>
          </w:tblCellMar>
        </w:tblPrEx>
        <w:trPr>
          <w:trHeight w:val="286" w:hRule="atLeast"/>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87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51090322T000000338610</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安全经费</w:t>
            </w:r>
          </w:p>
        </w:tc>
      </w:tr>
      <w:tr>
        <w:tblPrEx>
          <w:shd w:val="clear" w:color="auto" w:fill="auto"/>
          <w:tblCellMar>
            <w:top w:w="0" w:type="dxa"/>
            <w:left w:w="0" w:type="dxa"/>
            <w:bottom w:w="0" w:type="dxa"/>
            <w:right w:w="0" w:type="dxa"/>
          </w:tblCellMar>
        </w:tblPrEx>
        <w:trPr>
          <w:trHeight w:val="512" w:hRule="atLeast"/>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四川省遂宁市船山区交通运输局部门</w:t>
            </w:r>
          </w:p>
        </w:tc>
        <w:tc>
          <w:tcPr>
            <w:tcW w:w="87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5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四川省遂宁市船山区公路运输管理所</w:t>
            </w:r>
          </w:p>
        </w:tc>
      </w:tr>
      <w:tr>
        <w:tblPrEx>
          <w:shd w:val="clear" w:color="auto" w:fill="auto"/>
          <w:tblCellMar>
            <w:top w:w="0" w:type="dxa"/>
            <w:left w:w="0" w:type="dxa"/>
            <w:bottom w:w="0" w:type="dxa"/>
            <w:right w:w="0" w:type="dxa"/>
          </w:tblCellMar>
        </w:tblPrEx>
        <w:trPr>
          <w:trHeight w:val="286"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64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shd w:val="clear" w:color="auto" w:fill="auto"/>
          <w:tblCellMar>
            <w:top w:w="0" w:type="dxa"/>
            <w:left w:w="0" w:type="dxa"/>
            <w:bottom w:w="0" w:type="dxa"/>
            <w:right w:w="0" w:type="dxa"/>
          </w:tblCellMar>
        </w:tblPrEx>
        <w:trPr>
          <w:trHeight w:val="708"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543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2023年运管所预算5万元用于开展安全应急演练一次，安全检查租车90次，培训出差260人/次等工作，达到落实安全生产责任，确保辖区内道路运输企业无安全事故发生。</w:t>
            </w:r>
          </w:p>
        </w:tc>
        <w:tc>
          <w:tcPr>
            <w:tcW w:w="64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shd w:val="clear" w:color="auto" w:fill="auto"/>
          <w:tblCellMar>
            <w:top w:w="0" w:type="dxa"/>
            <w:left w:w="0" w:type="dxa"/>
            <w:bottom w:w="0" w:type="dxa"/>
            <w:right w:w="0" w:type="dxa"/>
          </w:tblCellMar>
        </w:tblPrEx>
        <w:trPr>
          <w:trHeight w:val="693"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87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1"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4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shd w:val="clear" w:color="auto" w:fill="auto"/>
          <w:tblCellMar>
            <w:top w:w="0" w:type="dxa"/>
            <w:left w:w="0" w:type="dxa"/>
            <w:bottom w:w="0" w:type="dxa"/>
            <w:right w:w="0" w:type="dxa"/>
          </w:tblCellMar>
        </w:tblPrEx>
        <w:trPr>
          <w:trHeight w:val="346"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shd w:val="clear" w:color="auto" w:fill="auto"/>
          <w:tblCellMar>
            <w:top w:w="0" w:type="dxa"/>
            <w:left w:w="0" w:type="dxa"/>
            <w:bottom w:w="0" w:type="dxa"/>
            <w:right w:w="0" w:type="dxa"/>
          </w:tblCellMar>
        </w:tblPrEx>
        <w:trPr>
          <w:trHeight w:val="391"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07"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361"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33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52" w:hRule="atLeast"/>
        </w:trPr>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4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shd w:val="clear" w:color="auto" w:fill="auto"/>
          <w:tblCellMar>
            <w:top w:w="0" w:type="dxa"/>
            <w:left w:w="0" w:type="dxa"/>
            <w:bottom w:w="0" w:type="dxa"/>
            <w:right w:w="0" w:type="dxa"/>
          </w:tblCellMar>
        </w:tblPrEx>
        <w:trPr>
          <w:trHeight w:val="452"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出差人次</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260</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33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演练参与率</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33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33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辖区运营环境满意率</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33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可持续发展指标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应急处理机制健全性</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好坏</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452"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辖区运营者满意度</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339" w:hRule="atLeast"/>
        </w:trPr>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安全应急成本</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286" w:hRule="atLeast"/>
        </w:trPr>
        <w:tc>
          <w:tcPr>
            <w:tcW w:w="850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52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shd w:val="clear" w:color="auto" w:fill="auto"/>
          <w:tblCellMar>
            <w:top w:w="0" w:type="dxa"/>
            <w:left w:w="0" w:type="dxa"/>
            <w:bottom w:w="0" w:type="dxa"/>
            <w:right w:w="0" w:type="dxa"/>
          </w:tblCellMar>
        </w:tblPrEx>
        <w:trPr>
          <w:trHeight w:val="572"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52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shd w:val="clear" w:color="auto" w:fill="auto"/>
          <w:tblCellMar>
            <w:top w:w="0" w:type="dxa"/>
            <w:left w:w="0" w:type="dxa"/>
            <w:bottom w:w="0" w:type="dxa"/>
            <w:right w:w="0" w:type="dxa"/>
          </w:tblCellMar>
        </w:tblPrEx>
        <w:trPr>
          <w:trHeight w:val="63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52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shd w:val="clear" w:color="auto" w:fill="auto"/>
          <w:tblCellMar>
            <w:top w:w="0" w:type="dxa"/>
            <w:left w:w="0" w:type="dxa"/>
            <w:bottom w:w="0" w:type="dxa"/>
            <w:right w:w="0" w:type="dxa"/>
          </w:tblCellMar>
        </w:tblPrEx>
        <w:trPr>
          <w:trHeight w:val="286" w:hRule="atLeast"/>
        </w:trPr>
        <w:tc>
          <w:tcPr>
            <w:tcW w:w="58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821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p/>
    <w:p/>
    <w:p/>
    <w:p/>
    <w:p/>
    <w:p/>
    <w:p/>
    <w:p/>
    <w:tbl>
      <w:tblPr>
        <w:tblStyle w:val="15"/>
        <w:tblW w:w="14100" w:type="dxa"/>
        <w:tblInd w:w="0" w:type="dxa"/>
        <w:shd w:val="clear" w:color="auto" w:fill="auto"/>
        <w:tblLayout w:type="fixed"/>
        <w:tblCellMar>
          <w:top w:w="0" w:type="dxa"/>
          <w:left w:w="0" w:type="dxa"/>
          <w:bottom w:w="0" w:type="dxa"/>
          <w:right w:w="0" w:type="dxa"/>
        </w:tblCellMar>
      </w:tblPr>
      <w:tblGrid>
        <w:gridCol w:w="683"/>
        <w:gridCol w:w="2051"/>
        <w:gridCol w:w="1775"/>
        <w:gridCol w:w="2264"/>
        <w:gridCol w:w="521"/>
        <w:gridCol w:w="1677"/>
        <w:gridCol w:w="521"/>
        <w:gridCol w:w="1091"/>
        <w:gridCol w:w="505"/>
        <w:gridCol w:w="456"/>
        <w:gridCol w:w="2556"/>
      </w:tblGrid>
      <w:tr>
        <w:tblPrEx>
          <w:shd w:val="clear" w:color="auto" w:fill="auto"/>
          <w:tblCellMar>
            <w:top w:w="0" w:type="dxa"/>
            <w:left w:w="0" w:type="dxa"/>
            <w:bottom w:w="0" w:type="dxa"/>
            <w:right w:w="0" w:type="dxa"/>
          </w:tblCellMar>
        </w:tblPrEx>
        <w:trPr>
          <w:trHeight w:val="286"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kern w:val="0"/>
                <w:sz w:val="18"/>
                <w:szCs w:val="18"/>
                <w:u w:val="none"/>
                <w:lang w:val="en-US" w:eastAsia="zh-CN" w:bidi="ar"/>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tblPrEx>
          <w:shd w:val="clear" w:color="auto" w:fill="auto"/>
          <w:tblCellMar>
            <w:top w:w="0" w:type="dxa"/>
            <w:left w:w="0" w:type="dxa"/>
            <w:bottom w:w="0" w:type="dxa"/>
            <w:right w:w="0" w:type="dxa"/>
          </w:tblCellMar>
        </w:tblPrEx>
        <w:trPr>
          <w:trHeight w:val="286"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51090323T000009286483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农村客运补贴</w:t>
            </w:r>
          </w:p>
        </w:tc>
      </w:tr>
      <w:tr>
        <w:tblPrEx>
          <w:shd w:val="clear" w:color="auto" w:fill="auto"/>
          <w:tblCellMar>
            <w:top w:w="0" w:type="dxa"/>
            <w:left w:w="0" w:type="dxa"/>
            <w:bottom w:w="0" w:type="dxa"/>
            <w:right w:w="0" w:type="dxa"/>
          </w:tblCellMar>
        </w:tblPrEx>
        <w:trPr>
          <w:trHeight w:val="512" w:hRule="atLeast"/>
        </w:trPr>
        <w:tc>
          <w:tcPr>
            <w:tcW w:w="2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四川省遂宁市船山区交通运输局部门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四川省遂宁市船山区公路运输管理所</w:t>
            </w:r>
          </w:p>
        </w:tc>
      </w:tr>
      <w:tr>
        <w:tblPrEx>
          <w:shd w:val="clear" w:color="auto" w:fill="auto"/>
          <w:tblCellMar>
            <w:top w:w="0" w:type="dxa"/>
            <w:left w:w="0" w:type="dxa"/>
            <w:bottom w:w="0" w:type="dxa"/>
            <w:right w:w="0"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shd w:val="clear" w:color="auto" w:fill="auto"/>
          <w:tblCellMar>
            <w:top w:w="0" w:type="dxa"/>
            <w:left w:w="0" w:type="dxa"/>
            <w:bottom w:w="0" w:type="dxa"/>
            <w:right w:w="0"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shd w:val="clear" w:color="auto" w:fill="auto"/>
          <w:tblCellMar>
            <w:top w:w="0" w:type="dxa"/>
            <w:left w:w="0" w:type="dxa"/>
            <w:bottom w:w="0" w:type="dxa"/>
            <w:right w:w="0"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6"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shd w:val="clear" w:color="auto" w:fill="auto"/>
          <w:tblCellMar>
            <w:top w:w="0" w:type="dxa"/>
            <w:left w:w="0" w:type="dxa"/>
            <w:bottom w:w="0" w:type="dxa"/>
            <w:right w:w="0" w:type="dxa"/>
          </w:tblCellMar>
        </w:tblPrEx>
        <w:trPr>
          <w:trHeight w:val="346"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680.82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521.83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76.65%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shd w:val="clear" w:color="auto" w:fill="auto"/>
          <w:tblCellMar>
            <w:top w:w="0" w:type="dxa"/>
            <w:left w:w="0" w:type="dxa"/>
            <w:bottom w:w="0" w:type="dxa"/>
            <w:right w:w="0" w:type="dxa"/>
          </w:tblCellMar>
        </w:tblPrEx>
        <w:trPr>
          <w:trHeight w:val="39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680.82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521.83</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76.65%</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0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361"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shd w:val="clear" w:color="auto" w:fill="auto"/>
          <w:tblCellMar>
            <w:top w:w="0" w:type="dxa"/>
            <w:left w:w="0" w:type="dxa"/>
            <w:bottom w:w="0" w:type="dxa"/>
            <w:right w:w="0"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shd w:val="clear" w:color="auto" w:fill="auto"/>
          <w:tblCellMar>
            <w:top w:w="0" w:type="dxa"/>
            <w:left w:w="0" w:type="dxa"/>
            <w:bottom w:w="0" w:type="dxa"/>
            <w:right w:w="0"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shd w:val="clear" w:color="auto" w:fill="auto"/>
          <w:tblCellMar>
            <w:top w:w="0" w:type="dxa"/>
            <w:left w:w="0" w:type="dxa"/>
            <w:bottom w:w="0" w:type="dxa"/>
            <w:right w:w="0"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shd w:val="clear" w:color="auto" w:fill="auto"/>
          <w:tblCellMar>
            <w:top w:w="0" w:type="dxa"/>
            <w:left w:w="0" w:type="dxa"/>
            <w:bottom w:w="0" w:type="dxa"/>
            <w:right w:w="0"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pPr>
        <w:spacing w:line="600" w:lineRule="exact"/>
        <w:jc w:val="both"/>
        <w:outlineLvl w:val="9"/>
        <w:rPr>
          <w:rFonts w:ascii="宋体"/>
          <w:b/>
          <w:color w:val="auto"/>
          <w:sz w:val="44"/>
          <w:szCs w:val="44"/>
          <w:highlight w:val="none"/>
        </w:rPr>
        <w:sectPr>
          <w:pgSz w:w="16838" w:h="11906" w:orient="landscape"/>
          <w:pgMar w:top="1800" w:right="1440" w:bottom="1800" w:left="1440" w:header="851" w:footer="992" w:gutter="0"/>
          <w:pgNumType w:fmt="decimal"/>
          <w:cols w:space="425" w:num="1"/>
          <w:titlePg/>
          <w:docGrid w:type="lines" w:linePitch="312" w:charSpace="0"/>
        </w:sectPr>
      </w:pPr>
    </w:p>
    <w:p>
      <w:pPr>
        <w:spacing w:line="600" w:lineRule="exact"/>
        <w:jc w:val="both"/>
        <w:outlineLvl w:val="9"/>
        <w:rPr>
          <w:rFonts w:hint="eastAsia" w:ascii="黑体" w:hAnsi="黑体" w:eastAsia="黑体"/>
          <w:color w:val="auto"/>
          <w:sz w:val="44"/>
          <w:szCs w:val="44"/>
          <w:highlight w:val="none"/>
        </w:rPr>
      </w:pPr>
      <w:bookmarkStart w:id="73" w:name="_Toc15396618"/>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74" w:name="_Toc32419"/>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71"/>
      <w:bookmarkEnd w:id="73"/>
      <w:bookmarkEnd w:id="74"/>
      <w:bookmarkStart w:id="75" w:name="_Toc15396619"/>
    </w:p>
    <w:p>
      <w:pPr>
        <w:pStyle w:val="3"/>
        <w:rPr>
          <w:rFonts w:ascii="仿宋" w:hAnsi="仿宋" w:eastAsia="仿宋"/>
          <w:color w:val="auto"/>
          <w:highlight w:val="none"/>
        </w:rPr>
      </w:pPr>
      <w:bookmarkStart w:id="76" w:name="_Toc23125"/>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75"/>
      <w:bookmarkEnd w:id="76"/>
    </w:p>
    <w:p>
      <w:pPr>
        <w:pStyle w:val="3"/>
        <w:rPr>
          <w:rFonts w:ascii="仿宋" w:hAnsi="仿宋" w:eastAsia="仿宋"/>
          <w:color w:val="auto"/>
          <w:highlight w:val="none"/>
        </w:rPr>
      </w:pPr>
      <w:bookmarkStart w:id="77" w:name="_Toc32015"/>
      <w:bookmarkStart w:id="78" w:name="_Toc15396620"/>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77"/>
      <w:bookmarkEnd w:id="78"/>
    </w:p>
    <w:p>
      <w:pPr>
        <w:pStyle w:val="3"/>
        <w:rPr>
          <w:rFonts w:ascii="仿宋" w:hAnsi="仿宋" w:eastAsia="仿宋"/>
          <w:color w:val="auto"/>
          <w:highlight w:val="none"/>
        </w:rPr>
      </w:pPr>
      <w:bookmarkStart w:id="79" w:name="_Toc15396621"/>
      <w:bookmarkStart w:id="80" w:name="_Toc7838"/>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79"/>
      <w:bookmarkEnd w:id="80"/>
    </w:p>
    <w:p>
      <w:pPr>
        <w:pStyle w:val="3"/>
        <w:rPr>
          <w:rFonts w:ascii="仿宋" w:hAnsi="仿宋" w:eastAsia="仿宋"/>
          <w:b w:val="0"/>
          <w:color w:val="auto"/>
          <w:highlight w:val="none"/>
        </w:rPr>
      </w:pPr>
      <w:bookmarkStart w:id="81" w:name="_Toc15396622"/>
      <w:bookmarkStart w:id="82" w:name="_Toc23340"/>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81"/>
      <w:bookmarkEnd w:id="82"/>
    </w:p>
    <w:p>
      <w:pPr>
        <w:pStyle w:val="3"/>
        <w:rPr>
          <w:rStyle w:val="32"/>
          <w:rFonts w:ascii="仿宋" w:hAnsi="仿宋" w:eastAsia="仿宋"/>
          <w:b w:val="0"/>
          <w:bCs w:val="0"/>
          <w:color w:val="auto"/>
          <w:highlight w:val="none"/>
        </w:rPr>
      </w:pPr>
      <w:bookmarkStart w:id="83" w:name="_Toc15396623"/>
      <w:bookmarkStart w:id="84" w:name="_Toc18052"/>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83"/>
      <w:bookmarkEnd w:id="84"/>
      <w:bookmarkStart w:id="85" w:name="_Toc15396624"/>
    </w:p>
    <w:p>
      <w:pPr>
        <w:pStyle w:val="3"/>
        <w:rPr>
          <w:rFonts w:ascii="仿宋" w:hAnsi="仿宋" w:eastAsia="仿宋"/>
          <w:color w:val="auto"/>
          <w:highlight w:val="none"/>
        </w:rPr>
      </w:pPr>
      <w:bookmarkStart w:id="86" w:name="_Toc21345"/>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85"/>
      <w:bookmarkEnd w:id="86"/>
    </w:p>
    <w:p>
      <w:pPr>
        <w:pStyle w:val="3"/>
        <w:rPr>
          <w:rFonts w:ascii="仿宋" w:hAnsi="仿宋" w:eastAsia="仿宋"/>
          <w:color w:val="auto"/>
          <w:highlight w:val="none"/>
        </w:rPr>
      </w:pPr>
      <w:bookmarkStart w:id="87" w:name="_Toc27212"/>
      <w:bookmarkStart w:id="88" w:name="_Toc1539662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87"/>
      <w:bookmarkEnd w:id="88"/>
    </w:p>
    <w:p>
      <w:pPr>
        <w:pStyle w:val="3"/>
        <w:rPr>
          <w:rFonts w:ascii="仿宋" w:hAnsi="仿宋" w:eastAsia="仿宋"/>
          <w:color w:val="auto"/>
          <w:highlight w:val="none"/>
        </w:rPr>
      </w:pPr>
      <w:bookmarkStart w:id="89" w:name="_Toc15396626"/>
      <w:bookmarkStart w:id="90" w:name="_Toc11894"/>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89"/>
      <w:bookmarkEnd w:id="90"/>
    </w:p>
    <w:p>
      <w:pPr>
        <w:pStyle w:val="3"/>
        <w:rPr>
          <w:rFonts w:ascii="仿宋" w:hAnsi="仿宋" w:eastAsia="仿宋"/>
          <w:color w:val="auto"/>
          <w:highlight w:val="none"/>
        </w:rPr>
      </w:pPr>
      <w:bookmarkStart w:id="91" w:name="_Toc17126"/>
      <w:bookmarkStart w:id="92" w:name="_Toc15396627"/>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91"/>
      <w:bookmarkEnd w:id="92"/>
    </w:p>
    <w:p>
      <w:pPr>
        <w:pStyle w:val="3"/>
        <w:rPr>
          <w:rFonts w:ascii="仿宋" w:hAnsi="仿宋" w:eastAsia="仿宋"/>
          <w:color w:val="auto"/>
          <w:highlight w:val="none"/>
        </w:rPr>
      </w:pPr>
      <w:bookmarkStart w:id="93" w:name="_Toc15396628"/>
      <w:bookmarkStart w:id="94" w:name="_Toc12218"/>
      <w:r>
        <w:rPr>
          <w:rStyle w:val="32"/>
          <w:rFonts w:hint="eastAsia" w:ascii="仿宋" w:hAnsi="仿宋" w:eastAsia="仿宋"/>
          <w:b w:val="0"/>
          <w:bCs w:val="0"/>
          <w:color w:val="auto"/>
          <w:highlight w:val="none"/>
        </w:rPr>
        <w:t>十、</w:t>
      </w:r>
      <w:bookmarkEnd w:id="93"/>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94"/>
    </w:p>
    <w:p>
      <w:pPr>
        <w:pStyle w:val="3"/>
        <w:rPr>
          <w:rFonts w:ascii="仿宋" w:hAnsi="仿宋" w:eastAsia="仿宋"/>
          <w:color w:val="auto"/>
          <w:highlight w:val="none"/>
        </w:rPr>
      </w:pPr>
      <w:bookmarkStart w:id="95" w:name="_Toc15396629"/>
      <w:bookmarkStart w:id="96" w:name="_Toc17409"/>
      <w:r>
        <w:rPr>
          <w:rStyle w:val="32"/>
          <w:rFonts w:hint="eastAsia" w:ascii="仿宋" w:hAnsi="仿宋" w:eastAsia="仿宋"/>
          <w:b w:val="0"/>
          <w:bCs w:val="0"/>
          <w:color w:val="auto"/>
          <w:highlight w:val="none"/>
        </w:rPr>
        <w:t>十一、</w:t>
      </w:r>
      <w:bookmarkEnd w:id="95"/>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96"/>
    </w:p>
    <w:p>
      <w:pPr>
        <w:pStyle w:val="3"/>
        <w:rPr>
          <w:rFonts w:ascii="仿宋" w:hAnsi="仿宋" w:eastAsia="仿宋"/>
          <w:color w:val="auto"/>
          <w:highlight w:val="none"/>
        </w:rPr>
      </w:pPr>
      <w:bookmarkStart w:id="97" w:name="_Toc15396630"/>
      <w:bookmarkStart w:id="98" w:name="_Toc11093"/>
      <w:r>
        <w:rPr>
          <w:rStyle w:val="32"/>
          <w:rFonts w:hint="eastAsia" w:ascii="仿宋" w:hAnsi="仿宋" w:eastAsia="仿宋"/>
          <w:b w:val="0"/>
          <w:bCs w:val="0"/>
          <w:color w:val="auto"/>
          <w:highlight w:val="none"/>
        </w:rPr>
        <w:t>十二、</w:t>
      </w:r>
      <w:bookmarkEnd w:id="97"/>
      <w:r>
        <w:rPr>
          <w:rStyle w:val="32"/>
          <w:rFonts w:hint="eastAsia" w:ascii="仿宋" w:hAnsi="仿宋" w:eastAsia="仿宋"/>
          <w:b w:val="0"/>
          <w:bCs w:val="0"/>
          <w:color w:val="auto"/>
          <w:highlight w:val="none"/>
          <w:lang w:eastAsia="zh-CN"/>
        </w:rPr>
        <w:t>国有资本经营预算财政拨款支出决算表</w:t>
      </w:r>
      <w:bookmarkEnd w:id="98"/>
    </w:p>
    <w:p>
      <w:pPr>
        <w:pStyle w:val="3"/>
        <w:rPr>
          <w:rFonts w:hint="eastAsia" w:eastAsia="仿宋"/>
          <w:color w:val="auto"/>
          <w:highlight w:val="none"/>
          <w:lang w:eastAsia="zh-CN"/>
        </w:rPr>
      </w:pPr>
      <w:bookmarkStart w:id="99" w:name="_Toc15396631"/>
      <w:bookmarkStart w:id="100" w:name="_Toc11152"/>
      <w:r>
        <w:rPr>
          <w:rStyle w:val="32"/>
          <w:rFonts w:hint="eastAsia" w:ascii="仿宋" w:hAnsi="仿宋" w:eastAsia="仿宋"/>
          <w:b w:val="0"/>
          <w:bCs w:val="0"/>
          <w:color w:val="auto"/>
          <w:highlight w:val="none"/>
        </w:rPr>
        <w:t>十三、</w:t>
      </w:r>
      <w:bookmarkEnd w:id="99"/>
      <w:r>
        <w:rPr>
          <w:rStyle w:val="32"/>
          <w:rFonts w:hint="eastAsia" w:ascii="仿宋" w:hAnsi="仿宋" w:eastAsia="仿宋"/>
          <w:b w:val="0"/>
          <w:bCs w:val="0"/>
          <w:color w:val="auto"/>
          <w:highlight w:val="none"/>
          <w:lang w:eastAsia="zh-CN"/>
        </w:rPr>
        <w:t>财政拨款“三公”经费支出决算表</w:t>
      </w:r>
      <w:bookmarkEnd w:id="100"/>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74F3362"/>
    <w:multiLevelType w:val="singleLevel"/>
    <w:tmpl w:val="F74F3362"/>
    <w:lvl w:ilvl="0" w:tentative="0">
      <w:start w:val="3"/>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6BD0A6F"/>
    <w:multiLevelType w:val="singleLevel"/>
    <w:tmpl w:val="26BD0A6F"/>
    <w:lvl w:ilvl="0" w:tentative="0">
      <w:start w:val="1"/>
      <w:numFmt w:val="decimal"/>
      <w:suff w:val="nothing"/>
      <w:lvlText w:val="%1．"/>
      <w:lvlJc w:val="left"/>
      <w:pPr>
        <w:ind w:left="0" w:firstLine="400"/>
      </w:pPr>
      <w:rPr>
        <w:rFonts w:hint="default"/>
      </w:rPr>
    </w:lvl>
  </w:abstractNum>
  <w:abstractNum w:abstractNumId="5">
    <w:nsid w:val="3818A09A"/>
    <w:multiLevelType w:val="singleLevel"/>
    <w:tmpl w:val="3818A09A"/>
    <w:lvl w:ilvl="0" w:tentative="0">
      <w:start w:val="1"/>
      <w:numFmt w:val="chineseCounting"/>
      <w:suff w:val="nothing"/>
      <w:lvlText w:val="%1、"/>
      <w:lvlJc w:val="left"/>
      <w:rPr>
        <w:rFonts w:hint="eastAsia"/>
        <w:highlight w:val="none"/>
      </w:rPr>
    </w:lvl>
  </w:abstractNum>
  <w:abstractNum w:abstractNumId="6">
    <w:nsid w:val="7FC9C74F"/>
    <w:multiLevelType w:val="singleLevel"/>
    <w:tmpl w:val="7FC9C74F"/>
    <w:lvl w:ilvl="0" w:tentative="0">
      <w:start w:val="1"/>
      <w:numFmt w:val="decimal"/>
      <w:suff w:val="nothing"/>
      <w:lvlText w:val="%1．"/>
      <w:lvlJc w:val="left"/>
      <w:pPr>
        <w:ind w:left="0" w:firstLine="397"/>
      </w:pPr>
      <w:rPr>
        <w:rFonts w:hint="default" w:eastAsia="仿宋"/>
        <w:b/>
      </w:r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ZDJkODZiODM1OGNiOTdlYWMxZGQ3MWJmMmYwNGIifQ=="/>
    <w:docVar w:name="KSO_WPS_MARK_KEY" w:val="04a94124-1134-439a-942e-565008349ef1"/>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94F0E"/>
    <w:rsid w:val="01E135C9"/>
    <w:rsid w:val="028213AB"/>
    <w:rsid w:val="039B5867"/>
    <w:rsid w:val="041141BA"/>
    <w:rsid w:val="053A62B5"/>
    <w:rsid w:val="05992FD1"/>
    <w:rsid w:val="064C03FB"/>
    <w:rsid w:val="077324C8"/>
    <w:rsid w:val="0A2032A3"/>
    <w:rsid w:val="0A351352"/>
    <w:rsid w:val="0A8105CF"/>
    <w:rsid w:val="0AF4031F"/>
    <w:rsid w:val="0B8A37D8"/>
    <w:rsid w:val="0BC45938"/>
    <w:rsid w:val="0C902D89"/>
    <w:rsid w:val="0CA8270F"/>
    <w:rsid w:val="0E8B4CAB"/>
    <w:rsid w:val="10C055FF"/>
    <w:rsid w:val="10ED1AD6"/>
    <w:rsid w:val="118107EC"/>
    <w:rsid w:val="11DD6519"/>
    <w:rsid w:val="15B76D3A"/>
    <w:rsid w:val="15F664BA"/>
    <w:rsid w:val="16BB723D"/>
    <w:rsid w:val="16F55A77"/>
    <w:rsid w:val="17D9001B"/>
    <w:rsid w:val="18015F3F"/>
    <w:rsid w:val="193B2D54"/>
    <w:rsid w:val="1A2E7B57"/>
    <w:rsid w:val="1AC939DB"/>
    <w:rsid w:val="1AF2679F"/>
    <w:rsid w:val="1BE8440E"/>
    <w:rsid w:val="1D155CEE"/>
    <w:rsid w:val="1EAA5B95"/>
    <w:rsid w:val="1F736CF4"/>
    <w:rsid w:val="20144325"/>
    <w:rsid w:val="20F57F95"/>
    <w:rsid w:val="2161220B"/>
    <w:rsid w:val="23B5525F"/>
    <w:rsid w:val="240371BF"/>
    <w:rsid w:val="2433187D"/>
    <w:rsid w:val="24F125B8"/>
    <w:rsid w:val="25445313"/>
    <w:rsid w:val="25711CC6"/>
    <w:rsid w:val="25C12D0F"/>
    <w:rsid w:val="25C24D72"/>
    <w:rsid w:val="25C741E6"/>
    <w:rsid w:val="276B4885"/>
    <w:rsid w:val="27842671"/>
    <w:rsid w:val="29FD04D3"/>
    <w:rsid w:val="2A132BDB"/>
    <w:rsid w:val="2A2D28C9"/>
    <w:rsid w:val="2ABE7A3E"/>
    <w:rsid w:val="2CA234A8"/>
    <w:rsid w:val="2D3C00C6"/>
    <w:rsid w:val="2ED55E21"/>
    <w:rsid w:val="2EFA178C"/>
    <w:rsid w:val="3097313E"/>
    <w:rsid w:val="30B46D73"/>
    <w:rsid w:val="30C140D2"/>
    <w:rsid w:val="319F7F4E"/>
    <w:rsid w:val="32B37750"/>
    <w:rsid w:val="338410BB"/>
    <w:rsid w:val="36527F76"/>
    <w:rsid w:val="368D0CB5"/>
    <w:rsid w:val="383D272C"/>
    <w:rsid w:val="38E21F36"/>
    <w:rsid w:val="39AE70AB"/>
    <w:rsid w:val="3B09775D"/>
    <w:rsid w:val="3B6F6980"/>
    <w:rsid w:val="3C0C0783"/>
    <w:rsid w:val="3C4F255B"/>
    <w:rsid w:val="3DD46FC0"/>
    <w:rsid w:val="3EE22F77"/>
    <w:rsid w:val="3F2473AB"/>
    <w:rsid w:val="3F9F3A96"/>
    <w:rsid w:val="4018189B"/>
    <w:rsid w:val="418E2AE7"/>
    <w:rsid w:val="428169A1"/>
    <w:rsid w:val="44B37A44"/>
    <w:rsid w:val="48BF60AB"/>
    <w:rsid w:val="493C27E9"/>
    <w:rsid w:val="496F39ED"/>
    <w:rsid w:val="49E9403A"/>
    <w:rsid w:val="49FF41D3"/>
    <w:rsid w:val="4A48155F"/>
    <w:rsid w:val="4B320F55"/>
    <w:rsid w:val="4BE068DB"/>
    <w:rsid w:val="4BF6002B"/>
    <w:rsid w:val="4ECE2238"/>
    <w:rsid w:val="515D3E9E"/>
    <w:rsid w:val="51DB4B86"/>
    <w:rsid w:val="529C3E29"/>
    <w:rsid w:val="53567C9C"/>
    <w:rsid w:val="53B374EA"/>
    <w:rsid w:val="55333C3E"/>
    <w:rsid w:val="563A17D2"/>
    <w:rsid w:val="574709AA"/>
    <w:rsid w:val="57B3469E"/>
    <w:rsid w:val="585E64D1"/>
    <w:rsid w:val="58CF10C2"/>
    <w:rsid w:val="59702E94"/>
    <w:rsid w:val="5BD510AB"/>
    <w:rsid w:val="5D211DB5"/>
    <w:rsid w:val="5D55086B"/>
    <w:rsid w:val="5E403B3E"/>
    <w:rsid w:val="5E6433A5"/>
    <w:rsid w:val="5F001CCD"/>
    <w:rsid w:val="5F0D28C4"/>
    <w:rsid w:val="5F20427D"/>
    <w:rsid w:val="61964737"/>
    <w:rsid w:val="6198022C"/>
    <w:rsid w:val="630D4665"/>
    <w:rsid w:val="636700A3"/>
    <w:rsid w:val="63EC7EFD"/>
    <w:rsid w:val="64A14B65"/>
    <w:rsid w:val="64CA39A1"/>
    <w:rsid w:val="65C0436F"/>
    <w:rsid w:val="662C706B"/>
    <w:rsid w:val="66763610"/>
    <w:rsid w:val="68942E8E"/>
    <w:rsid w:val="69630ADE"/>
    <w:rsid w:val="6A534AA4"/>
    <w:rsid w:val="6ACB3A42"/>
    <w:rsid w:val="6C4A05C8"/>
    <w:rsid w:val="6D3B1A89"/>
    <w:rsid w:val="6E427267"/>
    <w:rsid w:val="6E4C3A83"/>
    <w:rsid w:val="6ECD4090"/>
    <w:rsid w:val="700739C9"/>
    <w:rsid w:val="70D71AD9"/>
    <w:rsid w:val="716500F9"/>
    <w:rsid w:val="71BF4EC2"/>
    <w:rsid w:val="72734D90"/>
    <w:rsid w:val="73872411"/>
    <w:rsid w:val="7412278C"/>
    <w:rsid w:val="764D79E1"/>
    <w:rsid w:val="76C94B37"/>
    <w:rsid w:val="772F34DD"/>
    <w:rsid w:val="7749243A"/>
    <w:rsid w:val="79033C33"/>
    <w:rsid w:val="79A74A6D"/>
    <w:rsid w:val="79E7B28D"/>
    <w:rsid w:val="7AAB4CEC"/>
    <w:rsid w:val="7AD3772C"/>
    <w:rsid w:val="7AEC382A"/>
    <w:rsid w:val="7C606697"/>
    <w:rsid w:val="7D617327"/>
    <w:rsid w:val="7F0D0520"/>
    <w:rsid w:val="7F5A78C7"/>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8"/>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章标题"/>
    <w:basedOn w:val="1"/>
    <w:next w:val="20"/>
    <w:qFormat/>
    <w:uiPriority w:val="0"/>
    <w:pPr>
      <w:widowControl/>
      <w:spacing w:line="323" w:lineRule="atLeast"/>
      <w:ind w:right="-120"/>
      <w:jc w:val="center"/>
      <w:textAlignment w:val="baseline"/>
    </w:pPr>
    <w:rPr>
      <w:rFonts w:ascii="Calibri" w:hAnsi="Calibri" w:eastAsia="宋体" w:cs="Times New Roman"/>
      <w:color w:val="FF0000"/>
      <w:kern w:val="0"/>
      <w:sz w:val="18"/>
      <w:szCs w:val="18"/>
    </w:rPr>
  </w:style>
  <w:style w:type="paragraph" w:customStyle="1" w:styleId="20">
    <w:name w:val="节标题"/>
    <w:basedOn w:val="1"/>
    <w:next w:val="1"/>
    <w:qFormat/>
    <w:uiPriority w:val="0"/>
    <w:pPr>
      <w:widowControl/>
      <w:spacing w:line="289" w:lineRule="atLeast"/>
      <w:jc w:val="center"/>
      <w:textAlignment w:val="baseline"/>
    </w:pPr>
    <w:rPr>
      <w:rFonts w:ascii="Calibri" w:hAnsi="Calibri" w:eastAsia="宋体" w:cs="Times New Roman"/>
      <w:color w:val="000000"/>
      <w:kern w:val="0"/>
      <w:sz w:val="28"/>
      <w:szCs w:val="20"/>
    </w:rPr>
  </w:style>
  <w:style w:type="paragraph" w:customStyle="1" w:styleId="21">
    <w:name w:val="UserStyle_0"/>
    <w:basedOn w:val="22"/>
    <w:next w:val="1"/>
    <w:qFormat/>
    <w:uiPriority w:val="0"/>
    <w:pPr>
      <w:widowControl/>
      <w:spacing w:after="120"/>
      <w:ind w:left="420" w:leftChars="200" w:firstLine="420" w:firstLineChars="200"/>
      <w:textAlignment w:val="baseline"/>
    </w:pPr>
    <w:rPr>
      <w:rFonts w:ascii="Times New Roman" w:hAnsi="Times New Roman"/>
    </w:rPr>
  </w:style>
  <w:style w:type="paragraph" w:customStyle="1" w:styleId="22">
    <w:name w:val="UserStyle_1"/>
    <w:basedOn w:val="1"/>
    <w:qFormat/>
    <w:uiPriority w:val="0"/>
    <w:pPr>
      <w:spacing w:after="120"/>
      <w:ind w:left="420" w:leftChars="200"/>
      <w:jc w:val="both"/>
      <w:textAlignment w:val="baseline"/>
    </w:p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5"/>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6"/>
    <w:link w:val="2"/>
    <w:qFormat/>
    <w:uiPriority w:val="9"/>
    <w:rPr>
      <w:rFonts w:ascii="Times New Roman" w:hAnsi="Times New Roman"/>
      <w:b/>
      <w:bCs/>
      <w:kern w:val="44"/>
      <w:sz w:val="44"/>
      <w:szCs w:val="44"/>
    </w:rPr>
  </w:style>
  <w:style w:type="character" w:customStyle="1" w:styleId="32">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6"/>
    <w:link w:val="9"/>
    <w:semiHidden/>
    <w:qFormat/>
    <w:uiPriority w:val="99"/>
    <w:rPr>
      <w:rFonts w:ascii="Times New Roman" w:hAnsi="Times New Roman"/>
      <w:kern w:val="2"/>
      <w:sz w:val="18"/>
      <w:szCs w:val="18"/>
    </w:rPr>
  </w:style>
  <w:style w:type="character" w:customStyle="1" w:styleId="35">
    <w:name w:val="标题 3 Char"/>
    <w:basedOn w:val="16"/>
    <w:link w:val="4"/>
    <w:qFormat/>
    <w:uiPriority w:val="9"/>
    <w:rPr>
      <w:rFonts w:ascii="Times New Roman" w:hAnsi="Times New Roman"/>
      <w:b/>
      <w:bCs/>
      <w:kern w:val="2"/>
      <w:sz w:val="32"/>
      <w:szCs w:val="32"/>
    </w:rPr>
  </w:style>
  <w:style w:type="paragraph" w:customStyle="1" w:styleId="3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p>
        </c:rich>
      </c:tx>
      <c:layout>
        <c:manualLayout>
          <c:xMode val="edge"/>
          <c:yMode val="edge"/>
          <c:x val="0.231168517624336"/>
          <c:y val="0.853359298928919"/>
        </c:manualLayout>
      </c:layout>
      <c:overlay val="0"/>
      <c:spPr>
        <a:noFill/>
        <a:ln>
          <a:noFill/>
        </a:ln>
        <a:effectLst/>
      </c:spPr>
    </c:title>
    <c:autoTitleDeleted val="0"/>
    <c:plotArea>
      <c:layout>
        <c:manualLayout>
          <c:layoutTarget val="inner"/>
          <c:xMode val="edge"/>
          <c:yMode val="edge"/>
          <c:x val="0.0565668759053597"/>
          <c:y val="0.0344395742016281"/>
          <c:w val="0.908425881216803"/>
          <c:h val="0.71037361719891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c:formatCode>
                <c:ptCount val="2"/>
                <c:pt idx="0">
                  <c:v>905.97</c:v>
                </c:pt>
                <c:pt idx="1">
                  <c:v>905.2</c:v>
                </c:pt>
              </c:numCache>
            </c:numRef>
          </c:val>
        </c:ser>
        <c:dLbls>
          <c:showLegendKey val="0"/>
          <c:showVal val="0"/>
          <c:showCatName val="0"/>
          <c:showSerName val="0"/>
          <c:showPercent val="0"/>
          <c:showBubbleSize val="0"/>
        </c:dLbls>
        <c:gapWidth val="219"/>
        <c:overlap val="-27"/>
        <c:axId val="874904910"/>
        <c:axId val="865983265"/>
      </c:barChart>
      <c:catAx>
        <c:axId val="8749049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5983265"/>
        <c:crosses val="autoZero"/>
        <c:auto val="1"/>
        <c:lblAlgn val="ctr"/>
        <c:lblOffset val="100"/>
        <c:noMultiLvlLbl val="0"/>
      </c:catAx>
      <c:valAx>
        <c:axId val="86598326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9049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853.62</c:v>
                </c:pt>
                <c:pt idx="1">
                  <c:v>5.01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331.23</c:v>
                </c:pt>
                <c:pt idx="1">
                  <c:v>552.46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87793710085552"/>
          <c:y val="0.310489024729092"/>
          <c:w val="0.908591396553802"/>
          <c:h val="0.574590163934426"/>
        </c:manualLayout>
      </c:layout>
      <c:barChart>
        <c:barDir val="col"/>
        <c:grouping val="clustered"/>
        <c:varyColors val="0"/>
        <c:ser>
          <c:idx val="0"/>
          <c:order val="0"/>
          <c:tx>
            <c:strRef>
              <c:f>Sheet1!$B$1</c:f>
              <c:strCache>
                <c:ptCount val="1"/>
                <c:pt idx="0">
                  <c:v>收支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826.99</c:v>
                </c:pt>
                <c:pt idx="1">
                  <c:v>853.62</c:v>
                </c:pt>
              </c:numCache>
            </c:numRef>
          </c:val>
        </c:ser>
        <c:dLbls>
          <c:showLegendKey val="0"/>
          <c:showVal val="1"/>
          <c:showCatName val="0"/>
          <c:showSerName val="0"/>
          <c:showPercent val="0"/>
          <c:showBubbleSize val="0"/>
        </c:dLbls>
        <c:gapWidth val="219"/>
        <c:overlap val="-27"/>
        <c:axId val="845387433"/>
        <c:axId val="722054354"/>
      </c:barChart>
      <c:catAx>
        <c:axId val="8453874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054354"/>
        <c:crosses val="autoZero"/>
        <c:auto val="1"/>
        <c:lblAlgn val="ctr"/>
        <c:lblOffset val="100"/>
        <c:noMultiLvlLbl val="0"/>
      </c:catAx>
      <c:valAx>
        <c:axId val="7220543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3874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一般公共预算财政拨款支出决算变动情况（万元）</a:t>
            </a:r>
          </a:p>
        </c:rich>
      </c:tx>
      <c:layout>
        <c:manualLayout>
          <c:xMode val="edge"/>
          <c:yMode val="edge"/>
          <c:x val="0.116867469879518"/>
          <c:y val="0.0683168316831683"/>
        </c:manualLayout>
      </c:layout>
      <c:overlay val="0"/>
      <c:spPr>
        <a:noFill/>
        <a:ln>
          <a:noFill/>
        </a:ln>
        <a:effectLst/>
      </c:spPr>
    </c:title>
    <c:autoTitleDeleted val="0"/>
    <c:plotArea>
      <c:layout>
        <c:manualLayout>
          <c:layoutTarget val="inner"/>
          <c:xMode val="edge"/>
          <c:yMode val="edge"/>
          <c:x val="0.0685060240963855"/>
          <c:y val="0.270167894809516"/>
          <c:w val="0.908602409638554"/>
          <c:h val="0.588910891089109"/>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826.99</c:v>
                </c:pt>
                <c:pt idx="1">
                  <c:v>853.62</c:v>
                </c:pt>
              </c:numCache>
            </c:numRef>
          </c:val>
        </c:ser>
        <c:dLbls>
          <c:showLegendKey val="0"/>
          <c:showVal val="1"/>
          <c:showCatName val="0"/>
          <c:showSerName val="0"/>
          <c:showPercent val="0"/>
          <c:showBubbleSize val="0"/>
        </c:dLbls>
        <c:gapWidth val="219"/>
        <c:overlap val="-27"/>
        <c:axId val="870633783"/>
        <c:axId val="962709569"/>
      </c:barChart>
      <c:catAx>
        <c:axId val="870633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2709569"/>
        <c:crosses val="autoZero"/>
        <c:auto val="1"/>
        <c:lblAlgn val="ctr"/>
        <c:lblOffset val="100"/>
        <c:noMultiLvlLbl val="0"/>
      </c:catAx>
      <c:valAx>
        <c:axId val="9627095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633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manualLayout>
          <c:xMode val="edge"/>
          <c:yMode val="edge"/>
          <c:x val="0.137387933123334"/>
          <c:y val="0.010074167600864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0"/>
              <c:layout>
                <c:manualLayout>
                  <c:x val="-0.0392536951780955"/>
                  <c:y val="-0.039190897597977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3.95</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19748000969227"/>
                  <c:y val="0.012359737798009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760843227526048"/>
                  <c:y val="-0.014735424289783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894111945723285"/>
                  <c:y val="0.010745891276864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1.93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社会保障和就业支出</c:v>
                </c:pt>
                <c:pt idx="1">
                  <c:v>卫生健康支出</c:v>
                </c:pt>
                <c:pt idx="2">
                  <c:v>交通运输支出</c:v>
                </c:pt>
                <c:pt idx="3">
                  <c:v>住房保障支出</c:v>
                </c:pt>
              </c:strCache>
            </c:strRef>
          </c:cat>
          <c:val>
            <c:numRef>
              <c:f>Sheet1!$B$2:$B$5</c:f>
              <c:numCache>
                <c:formatCode>General</c:formatCode>
                <c:ptCount val="4"/>
                <c:pt idx="0">
                  <c:v>33.74</c:v>
                </c:pt>
                <c:pt idx="1">
                  <c:v>11.33</c:v>
                </c:pt>
                <c:pt idx="2">
                  <c:v>792.09</c:v>
                </c:pt>
                <c:pt idx="3">
                  <c:v>16.46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100</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2"/>
              <c:delete val="1"/>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0.00_ </c:formatCode>
                <c:ptCount val="3"/>
                <c:pt idx="0">
                  <c:v>0</c:v>
                </c:pt>
                <c:pt idx="1">
                  <c:v>1.13</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6619</Words>
  <Characters>7410</Characters>
  <Lines>61</Lines>
  <Paragraphs>17</Paragraphs>
  <TotalTime>7</TotalTime>
  <ScaleCrop>false</ScaleCrop>
  <LinksUpToDate>false</LinksUpToDate>
  <CharactersWithSpaces>7598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未知</cp:lastModifiedBy>
  <cp:lastPrinted>2023-07-31T02:35:00Z</cp:lastPrinted>
  <dcterms:modified xsi:type="dcterms:W3CDTF">2024-09-12T06:59:45Z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76E87FC502D14D2ABE0908C54850DDA6_13</vt:lpwstr>
  </property>
</Properties>
</file>