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ascii="方正小标宋简体" w:hAnsi="宋体" w:eastAsia="方正小标宋简体" w:cs="Times New Roman"/>
          <w:color w:val="auto"/>
          <w:kern w:val="2"/>
          <w:sz w:val="44"/>
          <w:szCs w:val="44"/>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2023年度四川省遂宁市船山区统计局单位决算</w:t>
      </w: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（单位公开）</w:t>
      </w: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imes New Roman"/>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rPr>
          <w:color w:val="auto"/>
          <w:highlight w:val="none"/>
        </w:rPr>
      </w:pPr>
    </w:p>
    <w:sdt>
      <w:sdtPr>
        <w:rPr>
          <w:rFonts w:ascii="宋体" w:hAnsi="宋体" w:eastAsia="宋体" w:cs="Times New Roman"/>
          <w:color w:val="auto"/>
          <w:kern w:val="2"/>
          <w:sz w:val="21"/>
          <w:szCs w:val="24"/>
          <w:lang w:val="en-US" w:eastAsia="zh-CN" w:bidi="ar-SA"/>
        </w:rPr>
        <w:id w:val="147464853"/>
        <w15:color w:val="DBDBDB"/>
        <w:docPartObj>
          <w:docPartGallery w:val="Table of Contents"/>
          <w:docPartUnique/>
        </w:docPartObj>
      </w:sdtPr>
      <w:sdtEndPr>
        <w:rPr>
          <w:rFonts w:ascii="Calibri" w:hAnsi="Calibri" w:eastAsia="宋体" w:cs="Times New Roman"/>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21"/>
            <w:tabs>
              <w:tab w:val="right" w:leader="dot" w:pos="8306"/>
            </w:tabs>
            <w:rPr>
              <w:b/>
            </w:rPr>
          </w:pPr>
          <w:r>
            <w:fldChar w:fldCharType="begin"/>
          </w:r>
          <w:r>
            <w:instrText xml:space="preserve">TOC \o "1-2" \h \u </w:instrText>
          </w:r>
          <w:r>
            <w:fldChar w:fldCharType="separate"/>
          </w:r>
        </w:p>
        <w:p>
          <w:pPr>
            <w:pStyle w:val="21"/>
            <w:tabs>
              <w:tab w:val="right" w:leader="dot" w:pos="8306"/>
            </w:tabs>
            <w:rPr>
              <w:b/>
            </w:rPr>
          </w:pPr>
          <w:r>
            <w:rPr>
              <w:b/>
            </w:rPr>
            <w:fldChar w:fldCharType="begin"/>
          </w:r>
          <w:r>
            <w:rPr>
              <w:b/>
            </w:rPr>
            <w:instrText xml:space="preserve"> HYPERLINK \l _Toc30432 </w:instrText>
          </w:r>
          <w:r>
            <w:rPr>
              <w:b/>
            </w:rPr>
            <w:fldChar w:fldCharType="separate"/>
          </w:r>
          <w:r>
            <w:rPr>
              <w:rFonts w:hint="eastAsia" w:ascii="黑体" w:hAnsi="黑体" w:eastAsia="黑体"/>
              <w:b/>
              <w:highlight w:val="none"/>
            </w:rPr>
            <w:t xml:space="preserve">第一部分 </w:t>
          </w:r>
          <w:r>
            <w:rPr>
              <w:rFonts w:hint="eastAsia" w:ascii="黑体" w:hAnsi="黑体" w:eastAsia="黑体"/>
              <w:b/>
              <w:highlight w:val="none"/>
              <w:lang w:eastAsia="zh-CN"/>
            </w:rPr>
            <w:t>单位</w:t>
          </w:r>
          <w:r>
            <w:rPr>
              <w:rFonts w:hint="eastAsia" w:ascii="黑体" w:hAnsi="黑体" w:eastAsia="黑体"/>
              <w:b/>
              <w:bCs w:val="0"/>
              <w:highlight w:val="none"/>
            </w:rPr>
            <w:t>概况</w:t>
          </w:r>
          <w:r>
            <w:rPr>
              <w:b/>
            </w:rPr>
            <w:tab/>
          </w:r>
          <w:r>
            <w:rPr>
              <w:b/>
            </w:rPr>
            <w:fldChar w:fldCharType="begin"/>
          </w:r>
          <w:r>
            <w:rPr>
              <w:b/>
            </w:rPr>
            <w:instrText xml:space="preserve"> PAGEREF _Toc30432 \h </w:instrText>
          </w:r>
          <w:r>
            <w:rPr>
              <w:b/>
            </w:rPr>
            <w:fldChar w:fldCharType="separate"/>
          </w:r>
          <w:r>
            <w:rPr>
              <w:b/>
            </w:rPr>
            <w:t>1</w:t>
          </w:r>
          <w:r>
            <w:rPr>
              <w:b/>
            </w:rPr>
            <w:fldChar w:fldCharType="end"/>
          </w:r>
          <w:r>
            <w:rPr>
              <w:b/>
            </w:rPr>
            <w:fldChar w:fldCharType="end"/>
          </w:r>
        </w:p>
        <w:p>
          <w:pPr>
            <w:pStyle w:val="22"/>
            <w:tabs>
              <w:tab w:val="right" w:leader="dot" w:pos="8306"/>
            </w:tabs>
          </w:pPr>
          <w:r>
            <w:fldChar w:fldCharType="begin"/>
          </w:r>
          <w:r>
            <w:instrText xml:space="preserve"> HYPERLINK \l _Toc16539 </w:instrText>
          </w:r>
          <w:r>
            <w:fldChar w:fldCharType="separate"/>
          </w:r>
          <w:r>
            <w:rPr>
              <w:rFonts w:hint="eastAsia" w:ascii="黑体" w:hAnsi="黑体" w:eastAsia="黑体"/>
              <w:bCs w:val="0"/>
              <w:lang w:eastAsia="zh-CN"/>
            </w:rPr>
            <w:t xml:space="preserve">一、 </w:t>
          </w:r>
          <w:r>
            <w:rPr>
              <w:rFonts w:hint="eastAsia" w:ascii="黑体" w:hAnsi="黑体" w:eastAsia="黑体"/>
              <w:bCs w:val="0"/>
              <w:highlight w:val="none"/>
              <w:lang w:eastAsia="zh-CN"/>
            </w:rPr>
            <w:t>主要职责</w:t>
          </w:r>
          <w:r>
            <w:tab/>
          </w:r>
          <w:r>
            <w:fldChar w:fldCharType="begin"/>
          </w:r>
          <w:r>
            <w:instrText xml:space="preserve"> PAGEREF _Toc16539 \h </w:instrText>
          </w:r>
          <w:r>
            <w:fldChar w:fldCharType="separate"/>
          </w:r>
          <w:r>
            <w:t>1</w:t>
          </w:r>
          <w:r>
            <w:fldChar w:fldCharType="end"/>
          </w:r>
          <w:r>
            <w:fldChar w:fldCharType="end"/>
          </w:r>
        </w:p>
        <w:p>
          <w:pPr>
            <w:pStyle w:val="22"/>
            <w:tabs>
              <w:tab w:val="right" w:leader="dot" w:pos="8306"/>
            </w:tabs>
          </w:pPr>
          <w:r>
            <w:fldChar w:fldCharType="begin"/>
          </w:r>
          <w:r>
            <w:instrText xml:space="preserve"> HYPERLINK \l _Toc20499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_Toc20499 \h </w:instrText>
          </w:r>
          <w:r>
            <w:fldChar w:fldCharType="separate"/>
          </w:r>
          <w:r>
            <w:t>2</w:t>
          </w:r>
          <w:r>
            <w:fldChar w:fldCharType="end"/>
          </w:r>
          <w:r>
            <w:fldChar w:fldCharType="end"/>
          </w:r>
        </w:p>
        <w:p>
          <w:pPr>
            <w:pStyle w:val="21"/>
            <w:tabs>
              <w:tab w:val="right" w:leader="dot" w:pos="8306"/>
            </w:tabs>
            <w:rPr>
              <w:b/>
            </w:rPr>
          </w:pPr>
          <w:r>
            <w:rPr>
              <w:b/>
            </w:rPr>
            <w:fldChar w:fldCharType="begin"/>
          </w:r>
          <w:r>
            <w:rPr>
              <w:b/>
            </w:rPr>
            <w:instrText xml:space="preserve"> HYPERLINK \l _Toc31651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lang w:eastAsia="zh-CN"/>
            </w:rPr>
            <w:t>单位</w:t>
          </w:r>
          <w:r>
            <w:rPr>
              <w:rFonts w:hint="eastAsia" w:ascii="黑体" w:hAnsi="黑体" w:eastAsia="黑体"/>
              <w:b/>
              <w:bCs/>
              <w:highlight w:val="none"/>
            </w:rPr>
            <w:t>决算情况说明</w:t>
          </w:r>
          <w:r>
            <w:rPr>
              <w:b/>
            </w:rPr>
            <w:tab/>
          </w:r>
          <w:r>
            <w:rPr>
              <w:b/>
            </w:rPr>
            <w:fldChar w:fldCharType="begin"/>
          </w:r>
          <w:r>
            <w:rPr>
              <w:b/>
            </w:rPr>
            <w:instrText xml:space="preserve"> PAGEREF _Toc31651 \h </w:instrText>
          </w:r>
          <w:r>
            <w:rPr>
              <w:b/>
            </w:rPr>
            <w:fldChar w:fldCharType="separate"/>
          </w:r>
          <w:r>
            <w:rPr>
              <w:b/>
            </w:rPr>
            <w:t>3</w:t>
          </w:r>
          <w:r>
            <w:rPr>
              <w:b/>
            </w:rPr>
            <w:fldChar w:fldCharType="end"/>
          </w:r>
          <w:r>
            <w:rPr>
              <w:b/>
            </w:rPr>
            <w:fldChar w:fldCharType="end"/>
          </w:r>
        </w:p>
        <w:p>
          <w:pPr>
            <w:pStyle w:val="22"/>
            <w:tabs>
              <w:tab w:val="right" w:leader="dot" w:pos="8306"/>
            </w:tabs>
          </w:pPr>
          <w:r>
            <w:fldChar w:fldCharType="begin"/>
          </w:r>
          <w:r>
            <w:instrText xml:space="preserve"> HYPERLINK \l _Toc19252 </w:instrText>
          </w:r>
          <w:r>
            <w:fldChar w:fldCharType="separate"/>
          </w:r>
          <w:r>
            <w:rPr>
              <w:rFonts w:hint="eastAsia" w:ascii="黑体" w:hAnsi="黑体" w:eastAsia="黑体"/>
              <w:szCs w:val="32"/>
              <w:highlight w:val="none"/>
              <w:lang w:eastAsia="zh-CN"/>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_Toc19252 \h </w:instrText>
          </w:r>
          <w:r>
            <w:fldChar w:fldCharType="separate"/>
          </w:r>
          <w:r>
            <w:t>3</w:t>
          </w:r>
          <w:r>
            <w:fldChar w:fldCharType="end"/>
          </w:r>
          <w:r>
            <w:fldChar w:fldCharType="end"/>
          </w:r>
        </w:p>
        <w:p>
          <w:pPr>
            <w:pStyle w:val="22"/>
            <w:tabs>
              <w:tab w:val="right" w:leader="dot" w:pos="8306"/>
            </w:tabs>
          </w:pPr>
          <w:r>
            <w:fldChar w:fldCharType="begin"/>
          </w:r>
          <w:r>
            <w:instrText xml:space="preserve"> HYPERLINK \l _Toc1326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_Toc1326 \h </w:instrText>
          </w:r>
          <w:r>
            <w:fldChar w:fldCharType="separate"/>
          </w:r>
          <w:r>
            <w:t>3</w:t>
          </w:r>
          <w:r>
            <w:fldChar w:fldCharType="end"/>
          </w:r>
          <w:r>
            <w:fldChar w:fldCharType="end"/>
          </w:r>
        </w:p>
        <w:p>
          <w:pPr>
            <w:pStyle w:val="22"/>
            <w:tabs>
              <w:tab w:val="right" w:leader="dot" w:pos="8306"/>
            </w:tabs>
          </w:pPr>
          <w:r>
            <w:fldChar w:fldCharType="begin"/>
          </w:r>
          <w:r>
            <w:instrText xml:space="preserve"> HYPERLINK \l _Toc30117 </w:instrText>
          </w:r>
          <w:r>
            <w:fldChar w:fldCharType="separate"/>
          </w:r>
          <w:r>
            <w:rPr>
              <w:rFonts w:hint="default" w:ascii="黑体" w:hAnsi="黑体" w:eastAsia="黑体"/>
            </w:rPr>
            <w:t xml:space="preserve">二、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_Toc30117 \h </w:instrText>
          </w:r>
          <w:r>
            <w:fldChar w:fldCharType="separate"/>
          </w:r>
          <w:r>
            <w:t>4</w:t>
          </w:r>
          <w:r>
            <w:fldChar w:fldCharType="end"/>
          </w:r>
          <w:r>
            <w:fldChar w:fldCharType="end"/>
          </w:r>
        </w:p>
        <w:p>
          <w:pPr>
            <w:pStyle w:val="22"/>
            <w:tabs>
              <w:tab w:val="right" w:leader="dot" w:pos="8306"/>
            </w:tabs>
          </w:pPr>
          <w:r>
            <w:fldChar w:fldCharType="begin"/>
          </w:r>
          <w:r>
            <w:instrText xml:space="preserve"> HYPERLINK \l _Toc24496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_Toc24496 \h </w:instrText>
          </w:r>
          <w:r>
            <w:fldChar w:fldCharType="separate"/>
          </w:r>
          <w:r>
            <w:t>4</w:t>
          </w:r>
          <w:r>
            <w:fldChar w:fldCharType="end"/>
          </w:r>
          <w:r>
            <w:fldChar w:fldCharType="end"/>
          </w:r>
        </w:p>
        <w:p>
          <w:pPr>
            <w:pStyle w:val="22"/>
            <w:tabs>
              <w:tab w:val="right" w:leader="dot" w:pos="8306"/>
            </w:tabs>
          </w:pPr>
          <w:r>
            <w:fldChar w:fldCharType="begin"/>
          </w:r>
          <w:r>
            <w:instrText xml:space="preserve"> HYPERLINK \l _Toc28317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_Toc28317 \h </w:instrText>
          </w:r>
          <w:r>
            <w:fldChar w:fldCharType="separate"/>
          </w:r>
          <w:r>
            <w:t>4</w:t>
          </w:r>
          <w:r>
            <w:fldChar w:fldCharType="end"/>
          </w:r>
          <w:r>
            <w:fldChar w:fldCharType="end"/>
          </w:r>
        </w:p>
        <w:p>
          <w:pPr>
            <w:pStyle w:val="22"/>
            <w:tabs>
              <w:tab w:val="right" w:leader="dot" w:pos="8306"/>
            </w:tabs>
          </w:pPr>
          <w:r>
            <w:fldChar w:fldCharType="begin"/>
          </w:r>
          <w:r>
            <w:instrText xml:space="preserve"> HYPERLINK \l _Toc25008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_Toc25008 \h </w:instrText>
          </w:r>
          <w:r>
            <w:fldChar w:fldCharType="separate"/>
          </w:r>
          <w:r>
            <w:t>7</w:t>
          </w:r>
          <w:r>
            <w:fldChar w:fldCharType="end"/>
          </w:r>
          <w:r>
            <w:fldChar w:fldCharType="end"/>
          </w:r>
        </w:p>
        <w:p>
          <w:pPr>
            <w:pStyle w:val="22"/>
            <w:tabs>
              <w:tab w:val="right" w:leader="dot" w:pos="8306"/>
            </w:tabs>
          </w:pPr>
          <w:r>
            <w:fldChar w:fldCharType="begin"/>
          </w:r>
          <w:r>
            <w:instrText xml:space="preserve"> HYPERLINK \l _Toc17668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_Toc17668 \h </w:instrText>
          </w:r>
          <w:r>
            <w:fldChar w:fldCharType="separate"/>
          </w:r>
          <w:r>
            <w:t>8</w:t>
          </w:r>
          <w:r>
            <w:fldChar w:fldCharType="end"/>
          </w:r>
          <w:r>
            <w:fldChar w:fldCharType="end"/>
          </w:r>
        </w:p>
        <w:p>
          <w:pPr>
            <w:pStyle w:val="22"/>
            <w:tabs>
              <w:tab w:val="right" w:leader="dot" w:pos="8306"/>
            </w:tabs>
          </w:pPr>
          <w:r>
            <w:fldChar w:fldCharType="begin"/>
          </w:r>
          <w:r>
            <w:instrText xml:space="preserve"> HYPERLINK \l _Toc25614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_Toc25614 \h </w:instrText>
          </w:r>
          <w:r>
            <w:fldChar w:fldCharType="separate"/>
          </w:r>
          <w:r>
            <w:t>9</w:t>
          </w:r>
          <w:r>
            <w:fldChar w:fldCharType="end"/>
          </w:r>
          <w:r>
            <w:fldChar w:fldCharType="end"/>
          </w:r>
        </w:p>
        <w:p>
          <w:pPr>
            <w:pStyle w:val="22"/>
            <w:tabs>
              <w:tab w:val="right" w:leader="dot" w:pos="8306"/>
            </w:tabs>
          </w:pPr>
          <w:r>
            <w:fldChar w:fldCharType="begin"/>
          </w:r>
          <w:r>
            <w:instrText xml:space="preserve"> HYPERLINK \l _Toc3285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_Toc3285 \h </w:instrText>
          </w:r>
          <w:r>
            <w:fldChar w:fldCharType="separate"/>
          </w:r>
          <w:r>
            <w:t>10</w:t>
          </w:r>
          <w:r>
            <w:fldChar w:fldCharType="end"/>
          </w:r>
          <w:r>
            <w:fldChar w:fldCharType="end"/>
          </w:r>
        </w:p>
        <w:p>
          <w:pPr>
            <w:pStyle w:val="22"/>
            <w:tabs>
              <w:tab w:val="right" w:leader="dot" w:pos="8306"/>
            </w:tabs>
          </w:pPr>
          <w:r>
            <w:fldChar w:fldCharType="begin"/>
          </w:r>
          <w:r>
            <w:instrText xml:space="preserve"> HYPERLINK \l _Toc7680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_Toc7680 \h </w:instrText>
          </w:r>
          <w:r>
            <w:fldChar w:fldCharType="separate"/>
          </w:r>
          <w:r>
            <w:t>10</w:t>
          </w:r>
          <w:r>
            <w:fldChar w:fldCharType="end"/>
          </w:r>
          <w:r>
            <w:fldChar w:fldCharType="end"/>
          </w:r>
        </w:p>
        <w:p>
          <w:pPr>
            <w:pStyle w:val="21"/>
            <w:tabs>
              <w:tab w:val="right" w:leader="dot" w:pos="8306"/>
            </w:tabs>
            <w:rPr>
              <w:b/>
            </w:rPr>
          </w:pPr>
          <w:r>
            <w:rPr>
              <w:b/>
            </w:rPr>
            <w:fldChar w:fldCharType="begin"/>
          </w:r>
          <w:r>
            <w:rPr>
              <w:b/>
            </w:rPr>
            <w:instrText xml:space="preserve"> HYPERLINK \l _Toc12400 </w:instrText>
          </w:r>
          <w:r>
            <w:rPr>
              <w:b/>
            </w:rPr>
            <w:fldChar w:fldCharType="separate"/>
          </w:r>
          <w:r>
            <w:rPr>
              <w:rFonts w:hint="eastAsia" w:ascii="黑体" w:hAnsi="黑体" w:eastAsia="黑体"/>
              <w:b/>
              <w:szCs w:val="44"/>
              <w:highlight w:val="none"/>
              <w:lang w:eastAsia="zh-CN"/>
            </w:rPr>
            <w:t>第三部分</w:t>
          </w:r>
          <w:r>
            <w:rPr>
              <w:rFonts w:hint="eastAsia" w:ascii="黑体" w:hAnsi="黑体" w:eastAsia="黑体"/>
              <w:b/>
              <w:szCs w:val="44"/>
              <w:highlight w:val="none"/>
              <w:lang w:val="en-US" w:eastAsia="zh-CN"/>
            </w:rPr>
            <w:t xml:space="preserve">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_Toc12400 \h </w:instrText>
          </w:r>
          <w:r>
            <w:rPr>
              <w:b/>
            </w:rPr>
            <w:fldChar w:fldCharType="separate"/>
          </w:r>
          <w:r>
            <w:rPr>
              <w:b/>
            </w:rPr>
            <w:t>12</w:t>
          </w:r>
          <w:r>
            <w:rPr>
              <w:b/>
            </w:rPr>
            <w:fldChar w:fldCharType="end"/>
          </w:r>
          <w:r>
            <w:rPr>
              <w:b/>
            </w:rPr>
            <w:fldChar w:fldCharType="end"/>
          </w:r>
        </w:p>
        <w:p>
          <w:pPr>
            <w:pStyle w:val="21"/>
            <w:tabs>
              <w:tab w:val="right" w:leader="dot" w:pos="8306"/>
            </w:tabs>
            <w:rPr>
              <w:b/>
            </w:rPr>
          </w:pPr>
          <w:r>
            <w:rPr>
              <w:b/>
            </w:rPr>
            <w:fldChar w:fldCharType="begin"/>
          </w:r>
          <w:r>
            <w:rPr>
              <w:b/>
            </w:rPr>
            <w:instrText xml:space="preserve"> HYPERLINK \l _Toc6261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_Toc6261 \h </w:instrText>
          </w:r>
          <w:r>
            <w:rPr>
              <w:b/>
            </w:rPr>
            <w:fldChar w:fldCharType="separate"/>
          </w:r>
          <w:r>
            <w:rPr>
              <w:b/>
            </w:rPr>
            <w:t>16</w:t>
          </w:r>
          <w:r>
            <w:rPr>
              <w:b/>
            </w:rPr>
            <w:fldChar w:fldCharType="end"/>
          </w:r>
          <w:r>
            <w:rPr>
              <w:b/>
            </w:rPr>
            <w:fldChar w:fldCharType="end"/>
          </w:r>
        </w:p>
        <w:p>
          <w:pPr>
            <w:pStyle w:val="21"/>
            <w:tabs>
              <w:tab w:val="right" w:leader="dot" w:pos="8306"/>
            </w:tabs>
            <w:rPr>
              <w:b/>
            </w:rPr>
          </w:pPr>
          <w:r>
            <w:rPr>
              <w:b/>
            </w:rPr>
            <w:fldChar w:fldCharType="begin"/>
          </w:r>
          <w:r>
            <w:rPr>
              <w:b/>
            </w:rPr>
            <w:instrText xml:space="preserve"> HYPERLINK \l _Toc26276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_Toc26276 \h </w:instrText>
          </w:r>
          <w:r>
            <w:rPr>
              <w:b/>
            </w:rPr>
            <w:fldChar w:fldCharType="separate"/>
          </w:r>
          <w:r>
            <w:rPr>
              <w:b/>
            </w:rPr>
            <w:t>37</w:t>
          </w:r>
          <w:r>
            <w:rPr>
              <w:b/>
            </w:rPr>
            <w:fldChar w:fldCharType="end"/>
          </w:r>
          <w:r>
            <w:rPr>
              <w:b/>
            </w:rPr>
            <w:fldChar w:fldCharType="end"/>
          </w:r>
        </w:p>
        <w:p>
          <w:pPr>
            <w:pStyle w:val="22"/>
            <w:tabs>
              <w:tab w:val="right" w:leader="dot" w:pos="8306"/>
            </w:tabs>
          </w:pPr>
          <w:r>
            <w:fldChar w:fldCharType="begin"/>
          </w:r>
          <w:r>
            <w:instrText xml:space="preserve"> HYPERLINK \l _Toc11235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_Toc11235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_Toc13230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_Toc13230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_Toc8418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_Toc8418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_Toc27128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_Toc27128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_Toc16722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_Toc16722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_Toc13666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_Toc13666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_Toc29962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_Toc29962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_Toc1014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_Toc1014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_Toc18746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_Toc18746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_Toc20554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_Toc20554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_Toc28596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_Toc28596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_Toc2072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_Toc2072 \h </w:instrText>
          </w:r>
          <w:r>
            <w:fldChar w:fldCharType="separate"/>
          </w:r>
          <w:r>
            <w:t>37</w:t>
          </w:r>
          <w:r>
            <w:fldChar w:fldCharType="end"/>
          </w:r>
          <w:r>
            <w:fldChar w:fldCharType="end"/>
          </w:r>
        </w:p>
        <w:p>
          <w:pPr>
            <w:pStyle w:val="22"/>
            <w:tabs>
              <w:tab w:val="right" w:leader="dot" w:pos="8306"/>
            </w:tabs>
          </w:pPr>
          <w:r>
            <w:fldChar w:fldCharType="begin"/>
          </w:r>
          <w:r>
            <w:instrText xml:space="preserve"> HYPERLINK \l _Toc23992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_Toc23992 \h </w:instrText>
          </w:r>
          <w:r>
            <w:fldChar w:fldCharType="separate"/>
          </w:r>
          <w:r>
            <w:t>37</w:t>
          </w:r>
          <w:r>
            <w:fldChar w:fldCharType="end"/>
          </w:r>
          <w:r>
            <w:fldChar w:fldCharType="end"/>
          </w:r>
        </w:p>
        <w:p>
          <w:pPr>
            <w:rPr>
              <w:rFonts w:ascii="Calibri" w:hAnsi="Calibri" w:eastAsia="宋体" w:cs="Times New Roman"/>
              <w:b/>
              <w:color w:val="auto"/>
              <w:kern w:val="2"/>
              <w:sz w:val="21"/>
              <w:szCs w:val="24"/>
              <w:lang w:val="en-US" w:eastAsia="zh-CN" w:bidi="ar-SA"/>
            </w:rPr>
          </w:pPr>
          <w:r>
            <w:rPr>
              <w:b/>
            </w:rPr>
            <w:fldChar w:fldCharType="end"/>
          </w:r>
        </w:p>
      </w:sdtContent>
    </w:sdt>
    <w:p>
      <w:pPr>
        <w:pStyle w:val="12"/>
      </w:pPr>
    </w:p>
    <w:p>
      <w:pPr>
        <w:pStyle w:val="4"/>
        <w:jc w:val="center"/>
        <w:outlineLvl w:val="9"/>
        <w:rPr>
          <w:rFonts w:hint="eastAsia" w:ascii="黑体" w:hAnsi="黑体" w:eastAsia="黑体"/>
          <w:b w:val="0"/>
          <w:color w:val="auto"/>
          <w:highlight w:val="none"/>
        </w:rPr>
        <w:sectPr>
          <w:footerReference r:id="rId5" w:type="default"/>
          <w:pgSz w:w="11906" w:h="16838"/>
          <w:pgMar w:top="1440" w:right="1800" w:bottom="1440" w:left="1800" w:header="720" w:footer="720" w:gutter="0"/>
          <w:cols w:space="720" w:num="1"/>
          <w:docGrid w:type="lines" w:linePitch="312" w:charSpace="0"/>
        </w:sectPr>
      </w:pPr>
    </w:p>
    <w:p>
      <w:pPr>
        <w:pStyle w:val="4"/>
        <w:jc w:val="center"/>
        <w:rPr>
          <w:rFonts w:ascii="黑体" w:eastAsia="黑体"/>
          <w:color w:val="auto"/>
          <w:sz w:val="32"/>
          <w:szCs w:val="32"/>
          <w:highlight w:val="none"/>
        </w:rPr>
      </w:pPr>
      <w:bookmarkStart w:id="0" w:name="_Toc30432"/>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7"/>
          <w:rFonts w:hint="eastAsia" w:ascii="黑体" w:hAnsi="黑体" w:eastAsia="黑体"/>
          <w:b w:val="0"/>
          <w:bCs w:val="0"/>
          <w:color w:val="auto"/>
          <w:highlight w:val="none"/>
        </w:rPr>
        <w:t>概况</w:t>
      </w:r>
      <w:bookmarkEnd w:id="0"/>
    </w:p>
    <w:p>
      <w:pPr>
        <w:pStyle w:val="5"/>
        <w:numPr>
          <w:ilvl w:val="0"/>
          <w:numId w:val="1"/>
        </w:numPr>
        <w:rPr>
          <w:rStyle w:val="18"/>
          <w:rFonts w:hint="eastAsia" w:ascii="黑体" w:hAnsi="黑体" w:eastAsia="黑体"/>
          <w:b w:val="0"/>
          <w:bCs w:val="0"/>
          <w:color w:val="auto"/>
          <w:highlight w:val="none"/>
          <w:lang w:eastAsia="zh-CN"/>
        </w:rPr>
      </w:pPr>
      <w:bookmarkStart w:id="1" w:name="_Toc16539"/>
      <w:r>
        <w:rPr>
          <w:rStyle w:val="18"/>
          <w:rFonts w:hint="eastAsia" w:ascii="黑体" w:hAnsi="黑体" w:eastAsia="黑体"/>
          <w:b w:val="0"/>
          <w:bCs w:val="0"/>
          <w:color w:val="auto"/>
          <w:highlight w:val="none"/>
          <w:lang w:eastAsia="zh-CN"/>
        </w:rPr>
        <w:t>主要职责</w:t>
      </w:r>
      <w:bookmarkEnd w:id="1"/>
    </w:p>
    <w:p>
      <w:pPr>
        <w:numPr>
          <w:ilvl w:val="0"/>
          <w:numId w:val="0"/>
        </w:num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1、贯彻执行国家统计工作的方针、政策和</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以及统计制度、统计标准，起草全区统计规章，制定全区统计规划以及地方统计制度、统计标准，审批全区的地方统计调查项目，承担组织领导和协调全区统计工作，监督检查统计</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的实施，确保统计数据真实、准确、及时的责任。</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 建立健全全区国民经济核算体系，组织实施全区国民经济核算制度，核算全区地区生产总值，整理提供国民经济核算资料，开展分析研究，指导、监督全区国民经济核算工作。</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3、 组织实施农林牧业、工业、建筑业、批发和零售业、住宿和餐饮业、房地产业等国民经济行业以及能源、投资、人口、收入、价格、科技、社会发展基本情况、环境基本情况等领域的统计调查，建立全区经济社会发展监测评价制度及指标体系，对重点区域和重要领域实施监测评价，牵头综合整理和提供资源、房屋、旅游、教育、卫生、邮电、交通运输、社会保障、公用事业、对外贸易、对外经济等全区基本统计资料。</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4、组织实施人口、经济、农业等普查和重大国情国力专项调查，组织实施全区投入产出调查和社情民意调查。</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5、建立健全全区统计数据质量审核、监控和评估制度，依法对乡镇、街道和区直部门重要统计数据进行审核、监控和评估，组织指导统计基层基础建设。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6、 对国民经济、社会发展、科技进步和资源环境等情况进行统计分析和预测，定期发布全区经济社会发展情况的统计信息，向区政府及有关部门提供统计咨询建议，向社会公众提供统计信息服务。</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7、会同有关部门组织管理全区统计专业资格考试、职务评聘工作，指导全区统计专业人才队伍建设，开展统计交流与合作，监督管理乡镇、街道政府统计部门由中央财政和省级财政提供的统计经费。</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8、 建立健全和管理全区统计信息自动化系统和统计数据库体系；拟定全区各乡镇、街道和各部门统计数据网络基本标准和运行规则；指导地方统计信息化建设。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9、 承担区政府公布的有关行政审批事项。</w:t>
      </w:r>
    </w:p>
    <w:p>
      <w:pPr>
        <w:ind w:firstLine="640" w:firstLineChars="200"/>
        <w:rPr>
          <w:rStyle w:val="18"/>
          <w:rFonts w:hint="eastAsia" w:ascii="仿宋" w:hAnsi="仿宋" w:eastAsia="黑体"/>
          <w:b w:val="0"/>
          <w:bCs w:val="0"/>
          <w:color w:val="auto"/>
          <w:highlight w:val="yellow"/>
          <w:lang w:eastAsia="zh-CN"/>
        </w:rPr>
      </w:pPr>
      <w:r>
        <w:rPr>
          <w:rFonts w:hint="eastAsia" w:ascii="仿宋_GB2312" w:hAnsi="Calibri" w:eastAsia="仿宋_GB2312" w:cs="仿宋"/>
          <w:color w:val="auto"/>
          <w:kern w:val="0"/>
          <w:sz w:val="32"/>
          <w:szCs w:val="32"/>
        </w:rPr>
        <w:t>10、承办市统计局和区政府交办的其他事项。</w:t>
      </w:r>
    </w:p>
    <w:p>
      <w:pPr>
        <w:pStyle w:val="5"/>
        <w:rPr>
          <w:rStyle w:val="18"/>
          <w:b w:val="0"/>
          <w:bCs w:val="0"/>
          <w:color w:val="auto"/>
          <w:highlight w:val="none"/>
        </w:rPr>
      </w:pPr>
      <w:bookmarkStart w:id="2" w:name="_Toc15377200"/>
      <w:bookmarkStart w:id="3" w:name="_Toc15396601"/>
      <w:bookmarkStart w:id="4" w:name="_Toc20499"/>
      <w:bookmarkStart w:id="5" w:name="_Toc26257"/>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2"/>
      <w:bookmarkEnd w:id="3"/>
      <w:bookmarkEnd w:id="4"/>
      <w:bookmarkEnd w:id="5"/>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区统计局设3个职能股室：办公室、综合核算和政策法规股（统计执法大队）、基层统计业务管理股。</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17"/>
          <w:rFonts w:ascii="黑体" w:hAnsi="黑体" w:eastAsia="黑体"/>
          <w:b w:val="0"/>
          <w:bCs/>
          <w:color w:val="auto"/>
          <w:highlight w:val="none"/>
        </w:rPr>
      </w:pPr>
      <w:bookmarkStart w:id="6" w:name="_Toc3165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7"/>
          <w:rFonts w:hint="eastAsia" w:ascii="黑体" w:hAnsi="黑体" w:eastAsia="黑体"/>
          <w:b w:val="0"/>
          <w:bCs/>
          <w:color w:val="auto"/>
          <w:highlight w:val="none"/>
          <w:lang w:eastAsia="zh-CN"/>
        </w:rPr>
        <w:t>单位</w:t>
      </w:r>
      <w:r>
        <w:rPr>
          <w:rStyle w:val="17"/>
          <w:rFonts w:hint="eastAsia" w:ascii="黑体" w:hAnsi="黑体" w:eastAsia="黑体"/>
          <w:b w:val="0"/>
          <w:bCs/>
          <w:color w:val="auto"/>
          <w:highlight w:val="none"/>
        </w:rPr>
        <w:t>决算情况说明</w:t>
      </w:r>
      <w:bookmarkEnd w:id="6"/>
    </w:p>
    <w:p>
      <w:pPr>
        <w:rPr>
          <w:color w:val="auto"/>
          <w:highlight w:val="none"/>
        </w:rPr>
      </w:pPr>
    </w:p>
    <w:p>
      <w:pPr>
        <w:pStyle w:val="19"/>
        <w:numPr>
          <w:ilvl w:val="0"/>
          <w:numId w:val="0"/>
        </w:numPr>
        <w:spacing w:line="600" w:lineRule="exact"/>
        <w:ind w:left="640" w:leftChars="0"/>
        <w:outlineLvl w:val="1"/>
        <w:rPr>
          <w:rStyle w:val="18"/>
          <w:rFonts w:ascii="黑体" w:hAnsi="黑体" w:eastAsia="黑体"/>
          <w:b w:val="0"/>
          <w:color w:val="auto"/>
          <w:highlight w:val="none"/>
        </w:rPr>
      </w:pPr>
      <w:bookmarkStart w:id="7" w:name="_Toc1925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7"/>
    </w:p>
    <w:p>
      <w:pPr>
        <w:spacing w:line="600" w:lineRule="exact"/>
        <w:ind w:firstLine="640" w:firstLineChars="200"/>
        <w:rPr>
          <w:rFonts w:hint="eastAsia" w:ascii="仿宋" w:hAnsi="仿宋" w:eastAsia="仿宋"/>
          <w:color w:val="auto"/>
          <w:sz w:val="32"/>
          <w:szCs w:val="32"/>
          <w:highlight w:val="yellow"/>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557.58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68.05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13.90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2023年开展船山区第五次全国经济普查</w:t>
      </w:r>
      <w:r>
        <w:rPr>
          <w:rFonts w:hint="eastAsia" w:ascii="仿宋" w:hAnsi="仿宋" w:eastAsia="仿宋"/>
          <w:color w:val="auto"/>
          <w:sz w:val="32"/>
          <w:szCs w:val="32"/>
          <w:highlight w:val="none"/>
          <w:lang w:eastAsia="zh-CN"/>
        </w:rPr>
        <w:t>。</w:t>
      </w:r>
    </w:p>
    <w:p>
      <w:pPr>
        <w:spacing w:line="600" w:lineRule="exact"/>
        <w:ind w:firstLine="420" w:firstLineChars="200"/>
        <w:jc w:val="left"/>
        <w:rPr>
          <w:rFonts w:ascii="仿宋_GB2312" w:eastAsia="仿宋_GB2312"/>
          <w:color w:val="auto"/>
          <w:sz w:val="32"/>
          <w:szCs w:val="32"/>
          <w:highlight w:val="none"/>
        </w:rPr>
      </w:pPr>
      <w:r>
        <w:rPr>
          <w:color w:val="auto"/>
        </w:rPr>
        <w:pict>
          <v:shape id="_x0000_s1026" o:spid="_x0000_s1026" o:spt="75" type="#_x0000_t75" style="position:absolute;left:0pt;margin-left:24.7pt;margin-top:25.25pt;height:176.45pt;width:392.9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Excel.Chart.8" ShapeID="_x0000_s1026" DrawAspect="Content" ObjectID="_1468075725" r:id="rId8">
            <o:LockedField>false</o:LockedField>
          </o:OLEObject>
        </w:pict>
      </w:r>
    </w:p>
    <w:p>
      <w:pPr>
        <w:pStyle w:val="19"/>
        <w:numPr>
          <w:ilvl w:val="0"/>
          <w:numId w:val="2"/>
        </w:numPr>
        <w:spacing w:line="600" w:lineRule="exact"/>
        <w:ind w:firstLineChars="0"/>
        <w:outlineLvl w:val="1"/>
        <w:rPr>
          <w:rStyle w:val="18"/>
          <w:rFonts w:ascii="黑体" w:hAnsi="黑体" w:eastAsia="黑体"/>
          <w:b w:val="0"/>
          <w:color w:val="auto"/>
          <w:highlight w:val="none"/>
        </w:rPr>
      </w:pPr>
      <w:bookmarkStart w:id="8" w:name="_Toc29189"/>
      <w:bookmarkStart w:id="9" w:name="_Toc1326"/>
      <w:bookmarkStart w:id="10" w:name="_Toc15377206"/>
      <w:bookmarkStart w:id="11" w:name="_Toc15396604"/>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8"/>
      <w:bookmarkEnd w:id="9"/>
      <w:bookmarkEnd w:id="10"/>
      <w:bookmarkEnd w:id="11"/>
    </w:p>
    <w:p>
      <w:pPr>
        <w:spacing w:line="600" w:lineRule="exact"/>
        <w:ind w:firstLine="640" w:firstLineChars="200"/>
        <w:outlineLvl w:val="1"/>
        <w:rPr>
          <w:rFonts w:ascii="仿宋" w:hAnsi="仿宋" w:eastAsia="仿宋"/>
          <w:color w:val="auto"/>
          <w:sz w:val="32"/>
          <w:szCs w:val="32"/>
          <w:highlight w:val="none"/>
        </w:rPr>
      </w:pPr>
      <w:bookmarkStart w:id="12" w:name="_Toc2542"/>
      <w:bookmarkStart w:id="13" w:name="_Toc16107"/>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551.36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55.17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12"/>
      <w:bookmarkEnd w:id="13"/>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_GB2312" w:eastAsia="仿宋_GB2312"/>
          <w:color w:val="auto"/>
          <w:sz w:val="32"/>
          <w:szCs w:val="32"/>
          <w:highlight w:val="none"/>
        </w:rPr>
      </w:pPr>
      <w:r>
        <w:rPr>
          <w:rFonts w:ascii="仿宋_GB2312" w:hAnsi="仿宋_GB2312" w:eastAsia="仿宋_GB2312" w:cs="仿宋_GB2312"/>
          <w:bCs/>
          <w:color w:val="auto"/>
          <w:sz w:val="32"/>
          <w:szCs w:val="32"/>
        </w:rPr>
        <w:pict>
          <v:shape id="_x0000_s1027" o:spid="_x0000_s1027" o:spt="75" type="#_x0000_t75" style="position:absolute;left:0pt;margin-left:33.4pt;margin-top:11.65pt;height:149.6pt;width:348.35pt;mso-wrap-distance-bottom:0pt;mso-wrap-distance-left:9pt;mso-wrap-distance-right:9pt;mso-wrap-distance-top:0pt;z-index:251660288;mso-width-relative:page;mso-height-relative:page;" o:ole="t" filled="f" o:preferrelative="t" stroked="f" coordsize="21600,21600">
            <v:path/>
            <v:fill on="f" focussize="0,0"/>
            <v:stroke on="f"/>
            <v:imagedata r:id="rId11" o:title=""/>
            <o:lock v:ext="edit" aspectratio="t"/>
            <w10:wrap type="square"/>
          </v:shape>
          <o:OLEObject Type="Embed" ProgID="Excel.Chart.8" ShapeID="_x0000_s1027" DrawAspect="Content" ObjectID="_1468075726" r:id="rId10">
            <o:LockedField>false</o:LockedField>
          </o:OLEObject>
        </w:pict>
      </w:r>
    </w:p>
    <w:p>
      <w:pPr>
        <w:pStyle w:val="19"/>
        <w:numPr>
          <w:ilvl w:val="0"/>
          <w:numId w:val="2"/>
        </w:numPr>
        <w:spacing w:line="600" w:lineRule="exact"/>
        <w:ind w:firstLineChars="0"/>
        <w:outlineLvl w:val="1"/>
        <w:rPr>
          <w:rStyle w:val="18"/>
          <w:rFonts w:ascii="黑体" w:hAnsi="黑体" w:eastAsia="黑体"/>
          <w:b w:val="0"/>
          <w:color w:val="auto"/>
          <w:highlight w:val="none"/>
        </w:rPr>
      </w:pPr>
      <w:bookmarkStart w:id="14" w:name="_Toc30117"/>
      <w:bookmarkStart w:id="15" w:name="_Toc15377207"/>
      <w:bookmarkStart w:id="16" w:name="_Toc15396605"/>
      <w:bookmarkStart w:id="17" w:name="_Toc21397"/>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14"/>
      <w:bookmarkEnd w:id="15"/>
      <w:bookmarkEnd w:id="16"/>
      <w:bookmarkEnd w:id="17"/>
    </w:p>
    <w:p>
      <w:pPr>
        <w:spacing w:line="600" w:lineRule="exact"/>
        <w:ind w:firstLine="640" w:firstLineChars="200"/>
        <w:outlineLvl w:val="1"/>
        <w:rPr>
          <w:rFonts w:ascii="仿宋_GB2312" w:eastAsia="仿宋_GB2312"/>
          <w:color w:val="auto"/>
          <w:sz w:val="32"/>
          <w:szCs w:val="32"/>
          <w:highlight w:val="none"/>
        </w:rPr>
      </w:pPr>
      <w:bookmarkStart w:id="18" w:name="_Toc9063"/>
      <w:bookmarkStart w:id="19" w:name="_Toc5329"/>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508.56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318.3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62.59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190.26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shd w:val="pct10" w:color="auto" w:fill="FFFFFF"/>
        </w:rPr>
        <w:pict>
          <v:shape id="_x0000_s1028" o:spid="_x0000_s1028" o:spt="75" type="#_x0000_t75" style="position:absolute;left:0pt;margin-left:14.75pt;margin-top:13.05pt;height:170.15pt;width:390.9pt;mso-wrap-distance-bottom:0pt;mso-wrap-distance-left:9pt;mso-wrap-distance-right:9pt;mso-wrap-distance-top:0pt;z-index:251661312;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8" DrawAspect="Content" ObjectID="_1468075727" r:id="rId12">
            <o:LockedField>false</o:LockedField>
          </o:OLEObject>
        </w:pict>
      </w:r>
      <w:bookmarkEnd w:id="18"/>
      <w:bookmarkEnd w:id="19"/>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18"/>
          <w:rFonts w:ascii="黑体" w:hAnsi="黑体" w:eastAsia="黑体"/>
          <w:b w:val="0"/>
          <w:color w:val="auto"/>
          <w:highlight w:val="none"/>
        </w:rPr>
      </w:pPr>
      <w:bookmarkStart w:id="20" w:name="_Toc15377208"/>
      <w:bookmarkStart w:id="21" w:name="_Toc15396606"/>
      <w:bookmarkStart w:id="22" w:name="_Toc19152"/>
      <w:bookmarkStart w:id="23" w:name="_Toc24496"/>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0"/>
      <w:bookmarkEnd w:id="21"/>
      <w:bookmarkEnd w:id="22"/>
      <w:bookmarkEnd w:id="23"/>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24.26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2023年开展船山区第五次全国经济普查。</w:t>
      </w:r>
    </w:p>
    <w:p>
      <w:pPr>
        <w:spacing w:line="600" w:lineRule="exact"/>
        <w:ind w:firstLine="420" w:firstLineChars="200"/>
        <w:rPr>
          <w:color w:val="auto"/>
        </w:rPr>
      </w:pPr>
      <w:r>
        <w:rPr>
          <w:color w:val="auto"/>
        </w:rPr>
        <w:pict>
          <v:shape id="_x0000_s1029" o:spid="_x0000_s1029" o:spt="75" type="#_x0000_t75" style="position:absolute;left:0pt;margin-left:34.65pt;margin-top:23pt;height:161.95pt;width:341.9pt;mso-wrap-distance-bottom:0pt;mso-wrap-distance-left:9pt;mso-wrap-distance-right:9pt;mso-wrap-distance-top:0pt;z-index:251662336;mso-width-relative:page;mso-height-relative:page;" o:ole="t" filled="f" o:preferrelative="t" stroked="f" coordsize="21600,21600">
            <v:path/>
            <v:fill on="f" focussize="0,0"/>
            <v:stroke on="f"/>
            <v:imagedata r:id="rId15" o:title=""/>
            <o:lock v:ext="edit" aspectratio="t"/>
            <w10:wrap type="square"/>
          </v:shape>
          <o:OLEObject Type="Embed" ProgID="Excel.Chart.8" ShapeID="_x0000_s1029" DrawAspect="Content" ObjectID="_1468075728" r:id="rId14">
            <o:LockedField>false</o:LockedField>
          </o:OLEObject>
        </w:pic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18"/>
          <w:rFonts w:ascii="黑体" w:hAnsi="黑体" w:eastAsia="黑体"/>
          <w:b w:val="0"/>
          <w:color w:val="auto"/>
          <w:highlight w:val="none"/>
        </w:rPr>
      </w:pPr>
      <w:bookmarkStart w:id="24" w:name="_Toc28317"/>
      <w:bookmarkStart w:id="25" w:name="_Toc15396607"/>
      <w:bookmarkStart w:id="26" w:name="_Toc2781"/>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24"/>
      <w:bookmarkEnd w:id="25"/>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ascii="仿宋" w:hAnsi="仿宋" w:eastAsia="仿宋"/>
          <w:color w:val="auto"/>
          <w:sz w:val="32"/>
          <w:szCs w:val="32"/>
          <w:highlight w:val="yellow"/>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24.26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2023年开展船山区第五次全国经济普查。</w:t>
      </w:r>
    </w:p>
    <w:p>
      <w:pPr>
        <w:spacing w:line="600" w:lineRule="exact"/>
        <w:rPr>
          <w:rFonts w:ascii="仿宋" w:hAnsi="仿宋" w:eastAsia="仿宋"/>
          <w:color w:val="auto"/>
          <w:sz w:val="32"/>
          <w:szCs w:val="32"/>
          <w:highlight w:val="none"/>
        </w:rPr>
      </w:pPr>
      <w:r>
        <w:rPr>
          <w:color w:val="auto"/>
        </w:rPr>
        <w:pict>
          <v:shape id="_x0000_s1030" o:spid="_x0000_s1030" o:spt="75" type="#_x0000_t75" style="position:absolute;left:0pt;margin-left:22.8pt;margin-top:21.15pt;height:148.95pt;width:329.85pt;mso-wrap-distance-bottom:0pt;mso-wrap-distance-left:9pt;mso-wrap-distance-right:9pt;mso-wrap-distance-top:0pt;z-index:251663360;mso-width-relative:page;mso-height-relative:page;" o:ole="t" filled="f" o:preferrelative="t" stroked="f" coordsize="21600,21600">
            <v:path/>
            <v:fill on="f" focussize="0,0"/>
            <v:stroke on="f"/>
            <v:imagedata r:id="rId17" o:title=""/>
            <o:lock v:ext="edit" aspectratio="t"/>
            <w10:wrap type="square"/>
          </v:shape>
          <o:OLEObject Type="Embed" ProgID="Excel.Chart.8" ShapeID="_x0000_s1030" DrawAspect="Content" ObjectID="_1468075729" r:id="rId16">
            <o:LockedField>false</o:LockedField>
          </o:OLEObject>
        </w:pict>
      </w: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399.35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66.26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19.78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outlineLvl w:val="9"/>
        <w:rPr>
          <w:rFonts w:ascii="仿宋" w:hAnsi="仿宋" w:eastAsia="仿宋"/>
          <w:color w:val="auto"/>
          <w:sz w:val="32"/>
          <w:szCs w:val="32"/>
          <w:highlight w:val="none"/>
        </w:rPr>
      </w:pPr>
      <w:r>
        <w:rPr>
          <w:rFonts w:ascii="仿宋_GB2312" w:hAnsi="仿宋_GB2312" w:eastAsia="仿宋_GB2312" w:cs="仿宋_GB2312"/>
          <w:bCs/>
          <w:color w:val="auto"/>
          <w:sz w:val="32"/>
          <w:szCs w:val="32"/>
        </w:rPr>
        <w:pict>
          <v:shape id="_x0000_s1031" o:spid="_x0000_s1031" o:spt="75" type="#_x0000_t75" style="position:absolute;left:0pt;margin-left:37.5pt;margin-top:11.65pt;height:148.95pt;width:379.75pt;mso-wrap-distance-bottom:0pt;mso-wrap-distance-left:9pt;mso-wrap-distance-right:9pt;mso-wrap-distance-top:0pt;z-index:251664384;mso-width-relative:page;mso-height-relative:page;" o:ole="t" filled="f" o:preferrelative="t" stroked="f" coordsize="21600,21600">
            <v:path/>
            <v:fill on="f" focussize="0,0"/>
            <v:stroke on="f"/>
            <v:imagedata r:id="rId19" o:title=""/>
            <o:lock v:ext="edit" aspectratio="t"/>
            <w10:wrap type="square"/>
          </v:shape>
          <o:OLEObject Type="Embed" ProgID="Excel.Chart.8" ShapeID="_x0000_s1031" DrawAspect="Content" ObjectID="_1468075730" r:id="rId18">
            <o:LockedField>false</o:LockedField>
          </o:OLEObject>
        </w:pict>
      </w:r>
    </w:p>
    <w:p>
      <w:pPr>
        <w:pStyle w:val="19"/>
        <w:numPr>
          <w:ilvl w:val="0"/>
          <w:numId w:val="0"/>
        </w:numPr>
        <w:spacing w:line="600" w:lineRule="exact"/>
        <w:ind w:left="640" w:leftChars="0"/>
        <w:outlineLvl w:val="9"/>
        <w:rPr>
          <w:rStyle w:val="18"/>
          <w:rFonts w:hint="eastAsia" w:ascii="黑体" w:hAnsi="黑体" w:eastAsia="黑体"/>
          <w:b w:val="0"/>
          <w:color w:val="auto"/>
          <w:highlight w:val="none"/>
          <w:lang w:val="en-US" w:eastAsia="zh-CN"/>
        </w:rPr>
      </w:pPr>
    </w:p>
    <w:p>
      <w:pPr>
        <w:pStyle w:val="19"/>
        <w:numPr>
          <w:ilvl w:val="0"/>
          <w:numId w:val="0"/>
        </w:numPr>
        <w:spacing w:line="600" w:lineRule="exact"/>
        <w:ind w:left="640" w:leftChars="0"/>
        <w:outlineLvl w:val="9"/>
        <w:rPr>
          <w:rStyle w:val="18"/>
          <w:rFonts w:hint="eastAsia" w:ascii="黑体" w:hAnsi="黑体" w:eastAsia="黑体"/>
          <w:b w:val="0"/>
          <w:color w:val="auto"/>
          <w:highlight w:val="none"/>
          <w:lang w:val="en-US" w:eastAsia="zh-CN"/>
        </w:rPr>
      </w:pPr>
    </w:p>
    <w:p>
      <w:pPr>
        <w:pStyle w:val="19"/>
        <w:numPr>
          <w:ilvl w:val="0"/>
          <w:numId w:val="0"/>
        </w:numPr>
        <w:spacing w:line="600" w:lineRule="exact"/>
        <w:ind w:left="640" w:leftChars="0"/>
        <w:outlineLvl w:val="9"/>
        <w:rPr>
          <w:rStyle w:val="18"/>
          <w:rFonts w:hint="eastAsia" w:ascii="黑体" w:hAnsi="黑体" w:eastAsia="黑体"/>
          <w:b w:val="0"/>
          <w:color w:val="auto"/>
          <w:highlight w:val="none"/>
          <w:lang w:val="en-US" w:eastAsia="zh-CN"/>
        </w:rPr>
      </w:pPr>
    </w:p>
    <w:p>
      <w:pPr>
        <w:pStyle w:val="12"/>
        <w:rPr>
          <w:rFonts w:ascii="仿宋" w:hAnsi="仿宋" w:eastAsia="仿宋"/>
          <w:color w:val="auto"/>
          <w:sz w:val="32"/>
          <w:szCs w:val="32"/>
          <w:highlight w:val="none"/>
        </w:rPr>
      </w:pPr>
    </w:p>
    <w:p>
      <w:pPr>
        <w:pStyle w:val="8"/>
        <w:ind w:left="0" w:leftChars="0" w:firstLine="0" w:firstLineChars="0"/>
        <w:rPr>
          <w:rFonts w:ascii="仿宋" w:hAnsi="仿宋" w:eastAsia="仿宋"/>
          <w:color w:val="auto"/>
          <w:sz w:val="32"/>
          <w:szCs w:val="32"/>
          <w:highlight w:val="none"/>
        </w:rPr>
      </w:pPr>
    </w:p>
    <w:p>
      <w:pPr>
        <w:pStyle w:val="12"/>
        <w:rPr>
          <w:color w:val="auto"/>
        </w:rPr>
      </w:pPr>
    </w:p>
    <w:p>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1"/>
        <w:rPr>
          <w:rFonts w:ascii="仿宋" w:hAnsi="仿宋" w:eastAsia="仿宋"/>
          <w:color w:val="auto"/>
          <w:sz w:val="32"/>
          <w:szCs w:val="32"/>
          <w:highlight w:val="none"/>
        </w:rPr>
      </w:pPr>
      <w:bookmarkStart w:id="31" w:name="_Toc15377213"/>
      <w:bookmarkStart w:id="32" w:name="_Toc15377444"/>
      <w:bookmarkStart w:id="33" w:name="_Toc11708"/>
      <w:bookmarkStart w:id="34" w:name="_Toc31019"/>
      <w:bookmarkStart w:id="35"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496.19万元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1"/>
      <w:bookmarkEnd w:id="32"/>
      <w:bookmarkEnd w:id="33"/>
      <w:bookmarkEnd w:id="34"/>
      <w:bookmarkEnd w:id="35"/>
    </w:p>
    <w:p>
      <w:pPr>
        <w:spacing w:line="600" w:lineRule="exact"/>
        <w:ind w:firstLine="643" w:firstLineChars="200"/>
        <w:rPr>
          <w:rFonts w:ascii="仿宋" w:hAnsi="仿宋" w:eastAsia="仿宋"/>
          <w:b/>
          <w:color w:val="auto"/>
          <w:sz w:val="32"/>
          <w:szCs w:val="32"/>
        </w:rPr>
      </w:pPr>
      <w:bookmarkStart w:id="36" w:name="_Toc15396608"/>
      <w:bookmarkStart w:id="37" w:name="_Toc15377214"/>
      <w:r>
        <w:rPr>
          <w:rStyle w:val="16"/>
          <w:rFonts w:ascii="仿宋" w:hAnsi="仿宋" w:eastAsia="仿宋"/>
          <w:bCs/>
          <w:color w:val="auto"/>
          <w:sz w:val="32"/>
          <w:szCs w:val="32"/>
        </w:rPr>
        <w:t>1.</w:t>
      </w:r>
      <w:r>
        <w:rPr>
          <w:rStyle w:val="16"/>
          <w:rFonts w:hint="eastAsia" w:ascii="仿宋" w:hAnsi="仿宋" w:eastAsia="仿宋"/>
          <w:bCs/>
          <w:color w:val="auto"/>
          <w:sz w:val="32"/>
          <w:szCs w:val="32"/>
        </w:rPr>
        <w:t>一般公共服务（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）统计信息事务（</w:t>
      </w:r>
      <w:r>
        <w:rPr>
          <w:rStyle w:val="16"/>
          <w:rFonts w:ascii="仿宋" w:hAnsi="仿宋" w:eastAsia="仿宋"/>
          <w:bCs/>
          <w:color w:val="auto"/>
          <w:sz w:val="32"/>
          <w:szCs w:val="32"/>
        </w:rPr>
        <w:t>05</w:t>
      </w:r>
      <w:r>
        <w:rPr>
          <w:rStyle w:val="16"/>
          <w:rFonts w:hint="eastAsia" w:ascii="仿宋" w:hAnsi="仿宋" w:eastAsia="仿宋"/>
          <w:bCs/>
          <w:color w:val="auto"/>
          <w:sz w:val="32"/>
          <w:szCs w:val="32"/>
        </w:rPr>
        <w:t>）行政运行（</w:t>
      </w:r>
      <w:r>
        <w:rPr>
          <w:rStyle w:val="16"/>
          <w:rFonts w:ascii="仿宋" w:hAnsi="仿宋" w:eastAsia="仿宋"/>
          <w:bCs/>
          <w:color w:val="auto"/>
          <w:sz w:val="32"/>
          <w:szCs w:val="32"/>
        </w:rPr>
        <w:t>01</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172.13</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ascii="仿宋" w:hAnsi="仿宋" w:eastAsia="仿宋"/>
          <w:bCs/>
          <w:color w:val="auto"/>
          <w:sz w:val="32"/>
          <w:szCs w:val="32"/>
        </w:rPr>
        <w:t>2.</w:t>
      </w:r>
      <w:r>
        <w:rPr>
          <w:rStyle w:val="16"/>
          <w:rFonts w:hint="eastAsia" w:ascii="仿宋" w:hAnsi="仿宋" w:eastAsia="仿宋"/>
          <w:bCs/>
          <w:color w:val="auto"/>
          <w:sz w:val="32"/>
          <w:szCs w:val="32"/>
        </w:rPr>
        <w:t>一般公共服务（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）统计信息事务（</w:t>
      </w:r>
      <w:r>
        <w:rPr>
          <w:rStyle w:val="16"/>
          <w:rFonts w:ascii="仿宋" w:hAnsi="仿宋" w:eastAsia="仿宋"/>
          <w:bCs/>
          <w:color w:val="auto"/>
          <w:sz w:val="32"/>
          <w:szCs w:val="32"/>
        </w:rPr>
        <w:t>05</w:t>
      </w:r>
      <w:r>
        <w:rPr>
          <w:rStyle w:val="16"/>
          <w:rFonts w:hint="eastAsia" w:ascii="仿宋" w:hAnsi="仿宋" w:eastAsia="仿宋"/>
          <w:bCs/>
          <w:color w:val="auto"/>
          <w:sz w:val="32"/>
          <w:szCs w:val="32"/>
        </w:rPr>
        <w:t>）一般行政管理事务（</w:t>
      </w:r>
      <w:r>
        <w:rPr>
          <w:rStyle w:val="16"/>
          <w:rFonts w:ascii="仿宋" w:hAnsi="仿宋" w:eastAsia="仿宋"/>
          <w:bCs/>
          <w:color w:val="auto"/>
          <w:sz w:val="32"/>
          <w:szCs w:val="32"/>
        </w:rPr>
        <w:t>02</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180.95</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ascii="仿宋" w:hAnsi="仿宋" w:eastAsia="仿宋"/>
          <w:bCs/>
          <w:color w:val="auto"/>
          <w:sz w:val="32"/>
          <w:szCs w:val="32"/>
        </w:rPr>
        <w:t>3.</w:t>
      </w:r>
      <w:r>
        <w:rPr>
          <w:rStyle w:val="16"/>
          <w:rFonts w:hint="eastAsia" w:ascii="仿宋" w:hAnsi="仿宋" w:eastAsia="仿宋"/>
          <w:bCs/>
          <w:color w:val="auto"/>
          <w:sz w:val="32"/>
          <w:szCs w:val="32"/>
        </w:rPr>
        <w:t>一般公共服务（</w:t>
      </w:r>
      <w:r>
        <w:rPr>
          <w:rStyle w:val="16"/>
          <w:rFonts w:ascii="仿宋" w:hAnsi="仿宋" w:eastAsia="仿宋"/>
          <w:bCs/>
          <w:color w:val="auto"/>
          <w:sz w:val="32"/>
          <w:szCs w:val="32"/>
        </w:rPr>
        <w:t>201</w:t>
      </w:r>
      <w:r>
        <w:rPr>
          <w:rStyle w:val="16"/>
          <w:rFonts w:hint="eastAsia" w:ascii="仿宋" w:hAnsi="仿宋" w:eastAsia="仿宋"/>
          <w:bCs/>
          <w:color w:val="auto"/>
          <w:sz w:val="32"/>
          <w:szCs w:val="32"/>
        </w:rPr>
        <w:t>）统计信息事务（</w:t>
      </w:r>
      <w:r>
        <w:rPr>
          <w:rStyle w:val="16"/>
          <w:rFonts w:ascii="仿宋" w:hAnsi="仿宋" w:eastAsia="仿宋"/>
          <w:bCs/>
          <w:color w:val="auto"/>
          <w:sz w:val="32"/>
          <w:szCs w:val="32"/>
        </w:rPr>
        <w:t>05</w:t>
      </w:r>
      <w:r>
        <w:rPr>
          <w:rStyle w:val="16"/>
          <w:rFonts w:hint="eastAsia" w:ascii="仿宋" w:hAnsi="仿宋" w:eastAsia="仿宋"/>
          <w:bCs/>
          <w:color w:val="auto"/>
          <w:sz w:val="32"/>
          <w:szCs w:val="32"/>
        </w:rPr>
        <w:t>）事业运行（</w:t>
      </w:r>
      <w:r>
        <w:rPr>
          <w:rStyle w:val="16"/>
          <w:rFonts w:ascii="仿宋" w:hAnsi="仿宋" w:eastAsia="仿宋"/>
          <w:bCs/>
          <w:color w:val="auto"/>
          <w:sz w:val="32"/>
          <w:szCs w:val="32"/>
        </w:rPr>
        <w:t>50</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46.28</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4</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w:t>
      </w:r>
      <w:r>
        <w:rPr>
          <w:rStyle w:val="16"/>
          <w:rFonts w:ascii="仿宋" w:hAnsi="仿宋" w:eastAsia="仿宋"/>
          <w:bCs/>
          <w:color w:val="auto"/>
          <w:sz w:val="32"/>
          <w:szCs w:val="32"/>
        </w:rPr>
        <w:t>208</w:t>
      </w:r>
      <w:r>
        <w:rPr>
          <w:rStyle w:val="16"/>
          <w:rFonts w:hint="eastAsia" w:ascii="仿宋" w:hAnsi="仿宋" w:eastAsia="仿宋"/>
          <w:bCs/>
          <w:color w:val="auto"/>
          <w:sz w:val="32"/>
          <w:szCs w:val="32"/>
        </w:rPr>
        <w:t>）行政事业单位养老支出（</w:t>
      </w:r>
      <w:r>
        <w:rPr>
          <w:rStyle w:val="16"/>
          <w:rFonts w:ascii="仿宋" w:hAnsi="仿宋" w:eastAsia="仿宋"/>
          <w:bCs/>
          <w:color w:val="auto"/>
          <w:sz w:val="32"/>
          <w:szCs w:val="32"/>
        </w:rPr>
        <w:t>05</w:t>
      </w:r>
      <w:r>
        <w:rPr>
          <w:rStyle w:val="16"/>
          <w:rFonts w:hint="eastAsia" w:ascii="仿宋" w:hAnsi="仿宋" w:eastAsia="仿宋"/>
          <w:bCs/>
          <w:color w:val="auto"/>
          <w:sz w:val="32"/>
          <w:szCs w:val="32"/>
        </w:rPr>
        <w:t>）机关事业单位基本养老保险缴费支出（</w:t>
      </w:r>
      <w:r>
        <w:rPr>
          <w:rStyle w:val="16"/>
          <w:rFonts w:ascii="仿宋" w:hAnsi="仿宋" w:eastAsia="仿宋"/>
          <w:bCs/>
          <w:color w:val="auto"/>
          <w:sz w:val="32"/>
          <w:szCs w:val="32"/>
        </w:rPr>
        <w:t>05</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24.09</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5</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w:t>
      </w:r>
      <w:r>
        <w:rPr>
          <w:rStyle w:val="16"/>
          <w:rFonts w:ascii="仿宋" w:hAnsi="仿宋" w:eastAsia="仿宋"/>
          <w:bCs/>
          <w:color w:val="auto"/>
          <w:sz w:val="32"/>
          <w:szCs w:val="32"/>
        </w:rPr>
        <w:t>208</w:t>
      </w:r>
      <w:r>
        <w:rPr>
          <w:rStyle w:val="16"/>
          <w:rFonts w:hint="eastAsia" w:ascii="仿宋" w:hAnsi="仿宋" w:eastAsia="仿宋"/>
          <w:bCs/>
          <w:color w:val="auto"/>
          <w:sz w:val="32"/>
          <w:szCs w:val="32"/>
        </w:rPr>
        <w:t>）行政事业单位养老支出（</w:t>
      </w:r>
      <w:r>
        <w:rPr>
          <w:rStyle w:val="16"/>
          <w:rFonts w:ascii="仿宋" w:hAnsi="仿宋" w:eastAsia="仿宋"/>
          <w:bCs/>
          <w:color w:val="auto"/>
          <w:sz w:val="32"/>
          <w:szCs w:val="32"/>
        </w:rPr>
        <w:t>05</w:t>
      </w:r>
      <w:r>
        <w:rPr>
          <w:rStyle w:val="16"/>
          <w:rFonts w:hint="eastAsia" w:ascii="仿宋" w:hAnsi="仿宋" w:eastAsia="仿宋"/>
          <w:bCs/>
          <w:color w:val="auto"/>
          <w:sz w:val="32"/>
          <w:szCs w:val="32"/>
        </w:rPr>
        <w:t>）机关事业单位职业年金缴费支出（</w:t>
      </w:r>
      <w:r>
        <w:rPr>
          <w:rStyle w:val="16"/>
          <w:rFonts w:ascii="仿宋" w:hAnsi="仿宋" w:eastAsia="仿宋"/>
          <w:bCs/>
          <w:color w:val="auto"/>
          <w:sz w:val="32"/>
          <w:szCs w:val="32"/>
        </w:rPr>
        <w:t>0</w:t>
      </w:r>
      <w:r>
        <w:rPr>
          <w:rStyle w:val="16"/>
          <w:rFonts w:hint="eastAsia" w:ascii="仿宋" w:hAnsi="仿宋" w:eastAsia="仿宋"/>
          <w:bCs/>
          <w:color w:val="auto"/>
          <w:sz w:val="32"/>
          <w:szCs w:val="32"/>
          <w:lang w:val="en-US" w:eastAsia="zh-CN"/>
        </w:rPr>
        <w:t>6</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10.92</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Fonts w:hint="eastAsia"/>
          <w:color w:val="auto"/>
        </w:rPr>
      </w:pPr>
      <w:r>
        <w:rPr>
          <w:rStyle w:val="16"/>
          <w:rFonts w:hint="eastAsia" w:ascii="仿宋" w:hAnsi="仿宋" w:eastAsia="仿宋"/>
          <w:bCs/>
          <w:color w:val="auto"/>
          <w:sz w:val="32"/>
          <w:szCs w:val="32"/>
          <w:lang w:val="en-US" w:eastAsia="zh-CN"/>
        </w:rPr>
        <w:t>6.</w:t>
      </w:r>
      <w:r>
        <w:rPr>
          <w:rStyle w:val="16"/>
          <w:rFonts w:hint="eastAsia" w:ascii="仿宋" w:hAnsi="仿宋" w:eastAsia="仿宋"/>
          <w:bCs/>
          <w:color w:val="auto"/>
          <w:sz w:val="32"/>
          <w:szCs w:val="32"/>
          <w:highlight w:val="none"/>
          <w:shd w:val="clear" w:color="auto" w:fill="auto"/>
        </w:rPr>
        <w:t>社会保障和就业</w:t>
      </w:r>
      <w:r>
        <w:rPr>
          <w:rStyle w:val="16"/>
          <w:rFonts w:hint="eastAsia" w:ascii="仿宋" w:hAnsi="仿宋" w:eastAsia="仿宋"/>
          <w:bCs/>
          <w:color w:val="auto"/>
          <w:sz w:val="32"/>
          <w:szCs w:val="32"/>
        </w:rPr>
        <w:t>（</w:t>
      </w:r>
      <w:r>
        <w:rPr>
          <w:rStyle w:val="16"/>
          <w:rFonts w:ascii="仿宋" w:hAnsi="仿宋" w:eastAsia="仿宋"/>
          <w:bCs/>
          <w:color w:val="auto"/>
          <w:sz w:val="32"/>
          <w:szCs w:val="32"/>
        </w:rPr>
        <w:t>208</w:t>
      </w:r>
      <w:r>
        <w:rPr>
          <w:rStyle w:val="16"/>
          <w:rFonts w:hint="eastAsia" w:ascii="仿宋" w:hAnsi="仿宋" w:eastAsia="仿宋"/>
          <w:bCs/>
          <w:color w:val="auto"/>
          <w:sz w:val="32"/>
          <w:szCs w:val="32"/>
        </w:rPr>
        <w:t>）抚恤（</w:t>
      </w:r>
      <w:r>
        <w:rPr>
          <w:rStyle w:val="16"/>
          <w:rFonts w:hint="eastAsia" w:ascii="仿宋" w:hAnsi="仿宋" w:eastAsia="仿宋"/>
          <w:bCs/>
          <w:color w:val="auto"/>
          <w:sz w:val="32"/>
          <w:szCs w:val="32"/>
          <w:lang w:val="en-US" w:eastAsia="zh-CN"/>
        </w:rPr>
        <w:t>08</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val="en-US" w:eastAsia="zh-CN"/>
        </w:rPr>
        <w:t>死亡</w:t>
      </w:r>
      <w:r>
        <w:rPr>
          <w:rStyle w:val="16"/>
          <w:rFonts w:hint="eastAsia" w:ascii="仿宋" w:hAnsi="仿宋" w:eastAsia="仿宋"/>
          <w:bCs/>
          <w:color w:val="auto"/>
          <w:sz w:val="32"/>
          <w:szCs w:val="32"/>
        </w:rPr>
        <w:t>抚恤（</w:t>
      </w:r>
      <w:r>
        <w:rPr>
          <w:rStyle w:val="16"/>
          <w:rFonts w:ascii="仿宋" w:hAnsi="仿宋" w:eastAsia="仿宋"/>
          <w:bCs/>
          <w:color w:val="auto"/>
          <w:sz w:val="32"/>
          <w:szCs w:val="32"/>
        </w:rPr>
        <w:t>0</w:t>
      </w:r>
      <w:r>
        <w:rPr>
          <w:rStyle w:val="16"/>
          <w:rFonts w:hint="eastAsia" w:ascii="仿宋" w:hAnsi="仿宋" w:eastAsia="仿宋"/>
          <w:bCs/>
          <w:color w:val="auto"/>
          <w:sz w:val="32"/>
          <w:szCs w:val="32"/>
          <w:lang w:val="en-US" w:eastAsia="zh-CN"/>
        </w:rPr>
        <w:t>1</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28.65</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pStyle w:val="12"/>
        <w:rPr>
          <w:rFonts w:hint="eastAsia"/>
          <w:color w:val="auto"/>
        </w:rPr>
      </w:pP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7</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w:t>
      </w:r>
      <w:r>
        <w:rPr>
          <w:rStyle w:val="16"/>
          <w:rFonts w:ascii="仿宋" w:hAnsi="仿宋" w:eastAsia="仿宋"/>
          <w:bCs/>
          <w:color w:val="auto"/>
          <w:sz w:val="32"/>
          <w:szCs w:val="32"/>
        </w:rPr>
        <w:t>208</w:t>
      </w:r>
      <w:r>
        <w:rPr>
          <w:rStyle w:val="16"/>
          <w:rFonts w:hint="eastAsia" w:ascii="仿宋" w:hAnsi="仿宋" w:eastAsia="仿宋"/>
          <w:bCs/>
          <w:color w:val="auto"/>
          <w:sz w:val="32"/>
          <w:szCs w:val="32"/>
        </w:rPr>
        <w:t>）残疾人事业（</w:t>
      </w:r>
      <w:r>
        <w:rPr>
          <w:rStyle w:val="16"/>
          <w:rFonts w:hint="eastAsia" w:ascii="仿宋" w:hAnsi="仿宋" w:eastAsia="仿宋"/>
          <w:bCs/>
          <w:color w:val="auto"/>
          <w:sz w:val="32"/>
          <w:szCs w:val="32"/>
          <w:lang w:val="en-US" w:eastAsia="zh-CN"/>
        </w:rPr>
        <w:t>11</w:t>
      </w:r>
      <w:r>
        <w:rPr>
          <w:rStyle w:val="16"/>
          <w:rFonts w:hint="eastAsia" w:ascii="仿宋" w:hAnsi="仿宋" w:eastAsia="仿宋"/>
          <w:bCs/>
          <w:color w:val="auto"/>
          <w:sz w:val="32"/>
          <w:szCs w:val="32"/>
        </w:rPr>
        <w:t>）残疾人就业（</w:t>
      </w:r>
      <w:r>
        <w:rPr>
          <w:rStyle w:val="16"/>
          <w:rFonts w:ascii="仿宋" w:hAnsi="仿宋" w:eastAsia="仿宋"/>
          <w:bCs/>
          <w:color w:val="auto"/>
          <w:sz w:val="32"/>
          <w:szCs w:val="32"/>
        </w:rPr>
        <w:t>05</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1.87</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8</w:t>
      </w:r>
      <w:r>
        <w:rPr>
          <w:rStyle w:val="16"/>
          <w:rFonts w:ascii="仿宋" w:hAnsi="仿宋" w:eastAsia="仿宋"/>
          <w:bCs/>
          <w:color w:val="auto"/>
          <w:sz w:val="32"/>
          <w:szCs w:val="32"/>
        </w:rPr>
        <w:t>.</w:t>
      </w:r>
      <w:r>
        <w:rPr>
          <w:rStyle w:val="16"/>
          <w:rFonts w:hint="eastAsia" w:ascii="仿宋" w:hAnsi="仿宋" w:eastAsia="仿宋"/>
          <w:bCs/>
          <w:color w:val="auto"/>
          <w:sz w:val="32"/>
          <w:szCs w:val="32"/>
        </w:rPr>
        <w:t>社会保障和就业（</w:t>
      </w:r>
      <w:r>
        <w:rPr>
          <w:rStyle w:val="16"/>
          <w:rFonts w:ascii="仿宋" w:hAnsi="仿宋" w:eastAsia="仿宋"/>
          <w:bCs/>
          <w:color w:val="auto"/>
          <w:sz w:val="32"/>
          <w:szCs w:val="32"/>
        </w:rPr>
        <w:t>208</w:t>
      </w:r>
      <w:r>
        <w:rPr>
          <w:rStyle w:val="16"/>
          <w:rFonts w:hint="eastAsia" w:ascii="仿宋" w:hAnsi="仿宋" w:eastAsia="仿宋"/>
          <w:bCs/>
          <w:color w:val="auto"/>
          <w:sz w:val="32"/>
          <w:szCs w:val="32"/>
        </w:rPr>
        <w:t>）其他社会保障和就业支出（</w:t>
      </w:r>
      <w:r>
        <w:rPr>
          <w:rStyle w:val="16"/>
          <w:rFonts w:ascii="仿宋" w:hAnsi="仿宋" w:eastAsia="仿宋"/>
          <w:bCs/>
          <w:color w:val="auto"/>
          <w:sz w:val="32"/>
          <w:szCs w:val="32"/>
        </w:rPr>
        <w:t>99</w:t>
      </w:r>
      <w:r>
        <w:rPr>
          <w:rStyle w:val="16"/>
          <w:rFonts w:hint="eastAsia" w:ascii="仿宋" w:hAnsi="仿宋" w:eastAsia="仿宋"/>
          <w:bCs/>
          <w:color w:val="auto"/>
          <w:sz w:val="32"/>
          <w:szCs w:val="32"/>
        </w:rPr>
        <w:t>）其他社会保障和就业支出（</w:t>
      </w:r>
      <w:r>
        <w:rPr>
          <w:rStyle w:val="16"/>
          <w:rFonts w:ascii="仿宋" w:hAnsi="仿宋" w:eastAsia="仿宋"/>
          <w:bCs/>
          <w:color w:val="auto"/>
          <w:sz w:val="32"/>
          <w:szCs w:val="32"/>
        </w:rPr>
        <w:t>99</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ascii="仿宋" w:hAnsi="仿宋" w:eastAsia="仿宋"/>
          <w:b w:val="0"/>
          <w:bCs/>
          <w:color w:val="auto"/>
          <w:sz w:val="32"/>
          <w:szCs w:val="32"/>
        </w:rPr>
        <w:t>0.</w:t>
      </w:r>
      <w:r>
        <w:rPr>
          <w:rStyle w:val="16"/>
          <w:rFonts w:hint="eastAsia" w:ascii="仿宋" w:hAnsi="仿宋" w:eastAsia="仿宋"/>
          <w:b w:val="0"/>
          <w:bCs/>
          <w:color w:val="auto"/>
          <w:sz w:val="32"/>
          <w:szCs w:val="32"/>
          <w:lang w:val="en-US" w:eastAsia="zh-CN"/>
        </w:rPr>
        <w:t>74</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9</w:t>
      </w:r>
      <w:r>
        <w:rPr>
          <w:rStyle w:val="16"/>
          <w:rFonts w:ascii="仿宋" w:hAnsi="仿宋" w:eastAsia="仿宋"/>
          <w:bCs/>
          <w:color w:val="auto"/>
          <w:sz w:val="32"/>
          <w:szCs w:val="32"/>
        </w:rPr>
        <w:t>.</w:t>
      </w:r>
      <w:r>
        <w:rPr>
          <w:rFonts w:hint="eastAsia" w:ascii="仿宋" w:hAnsi="仿宋" w:eastAsia="仿宋"/>
          <w:b/>
          <w:bCs/>
          <w:color w:val="auto"/>
          <w:sz w:val="32"/>
          <w:szCs w:val="32"/>
        </w:rPr>
        <w:t>卫生健康</w:t>
      </w:r>
      <w:r>
        <w:rPr>
          <w:rStyle w:val="16"/>
          <w:rFonts w:hint="eastAsia" w:ascii="仿宋" w:hAnsi="仿宋" w:eastAsia="仿宋"/>
          <w:bCs/>
          <w:color w:val="auto"/>
          <w:sz w:val="32"/>
          <w:szCs w:val="32"/>
        </w:rPr>
        <w:t>（</w:t>
      </w:r>
      <w:r>
        <w:rPr>
          <w:rStyle w:val="16"/>
          <w:rFonts w:ascii="仿宋" w:hAnsi="仿宋" w:eastAsia="仿宋"/>
          <w:bCs/>
          <w:color w:val="auto"/>
          <w:sz w:val="32"/>
          <w:szCs w:val="32"/>
        </w:rPr>
        <w:t>210</w:t>
      </w:r>
      <w:r>
        <w:rPr>
          <w:rStyle w:val="16"/>
          <w:rFonts w:hint="eastAsia" w:ascii="仿宋" w:hAnsi="仿宋" w:eastAsia="仿宋"/>
          <w:bCs/>
          <w:color w:val="auto"/>
          <w:sz w:val="32"/>
          <w:szCs w:val="32"/>
        </w:rPr>
        <w:t>）行政事业单位医疗（</w:t>
      </w:r>
      <w:r>
        <w:rPr>
          <w:rStyle w:val="16"/>
          <w:rFonts w:ascii="仿宋" w:hAnsi="仿宋" w:eastAsia="仿宋"/>
          <w:bCs/>
          <w:color w:val="auto"/>
          <w:sz w:val="32"/>
          <w:szCs w:val="32"/>
        </w:rPr>
        <w:t>11</w:t>
      </w:r>
      <w:r>
        <w:rPr>
          <w:rStyle w:val="16"/>
          <w:rFonts w:hint="eastAsia" w:ascii="仿宋" w:hAnsi="仿宋" w:eastAsia="仿宋"/>
          <w:bCs/>
          <w:color w:val="auto"/>
          <w:sz w:val="32"/>
          <w:szCs w:val="32"/>
        </w:rPr>
        <w:t>）行政单位医疗（</w:t>
      </w:r>
      <w:r>
        <w:rPr>
          <w:rStyle w:val="16"/>
          <w:rFonts w:ascii="仿宋" w:hAnsi="仿宋" w:eastAsia="仿宋"/>
          <w:bCs/>
          <w:color w:val="auto"/>
          <w:sz w:val="32"/>
          <w:szCs w:val="32"/>
        </w:rPr>
        <w:t>01</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6.43</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10</w:t>
      </w:r>
      <w:r>
        <w:rPr>
          <w:rStyle w:val="16"/>
          <w:rFonts w:ascii="仿宋" w:hAnsi="仿宋" w:eastAsia="仿宋"/>
          <w:bCs/>
          <w:color w:val="auto"/>
          <w:sz w:val="32"/>
          <w:szCs w:val="32"/>
        </w:rPr>
        <w:t>.</w:t>
      </w:r>
      <w:r>
        <w:rPr>
          <w:rFonts w:hint="eastAsia" w:ascii="仿宋" w:hAnsi="仿宋" w:eastAsia="仿宋"/>
          <w:b/>
          <w:bCs/>
          <w:color w:val="auto"/>
          <w:sz w:val="32"/>
          <w:szCs w:val="32"/>
        </w:rPr>
        <w:t>卫生健康</w:t>
      </w:r>
      <w:r>
        <w:rPr>
          <w:rStyle w:val="16"/>
          <w:rFonts w:hint="eastAsia" w:ascii="仿宋" w:hAnsi="仿宋" w:eastAsia="仿宋"/>
          <w:bCs/>
          <w:color w:val="auto"/>
          <w:sz w:val="32"/>
          <w:szCs w:val="32"/>
        </w:rPr>
        <w:t>（</w:t>
      </w:r>
      <w:r>
        <w:rPr>
          <w:rStyle w:val="16"/>
          <w:rFonts w:ascii="仿宋" w:hAnsi="仿宋" w:eastAsia="仿宋"/>
          <w:bCs/>
          <w:color w:val="auto"/>
          <w:sz w:val="32"/>
          <w:szCs w:val="32"/>
        </w:rPr>
        <w:t>210</w:t>
      </w:r>
      <w:r>
        <w:rPr>
          <w:rStyle w:val="16"/>
          <w:rFonts w:hint="eastAsia" w:ascii="仿宋" w:hAnsi="仿宋" w:eastAsia="仿宋"/>
          <w:bCs/>
          <w:color w:val="auto"/>
          <w:sz w:val="32"/>
          <w:szCs w:val="32"/>
        </w:rPr>
        <w:t>）行政事业单位医疗（</w:t>
      </w:r>
      <w:r>
        <w:rPr>
          <w:rStyle w:val="16"/>
          <w:rFonts w:ascii="仿宋" w:hAnsi="仿宋" w:eastAsia="仿宋"/>
          <w:bCs/>
          <w:color w:val="auto"/>
          <w:sz w:val="32"/>
          <w:szCs w:val="32"/>
        </w:rPr>
        <w:t>11</w:t>
      </w:r>
      <w:r>
        <w:rPr>
          <w:rStyle w:val="16"/>
          <w:rFonts w:hint="eastAsia" w:ascii="仿宋" w:hAnsi="仿宋" w:eastAsia="仿宋"/>
          <w:bCs/>
          <w:color w:val="auto"/>
          <w:sz w:val="32"/>
          <w:szCs w:val="32"/>
        </w:rPr>
        <w:t>）事业单位医疗（</w:t>
      </w:r>
      <w:r>
        <w:rPr>
          <w:rStyle w:val="16"/>
          <w:rFonts w:ascii="仿宋" w:hAnsi="仿宋" w:eastAsia="仿宋"/>
          <w:bCs/>
          <w:color w:val="auto"/>
          <w:sz w:val="32"/>
          <w:szCs w:val="32"/>
        </w:rPr>
        <w:t>02</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1.92</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11</w:t>
      </w:r>
      <w:r>
        <w:rPr>
          <w:rStyle w:val="16"/>
          <w:rFonts w:ascii="仿宋" w:hAnsi="仿宋" w:eastAsia="仿宋"/>
          <w:bCs/>
          <w:color w:val="auto"/>
          <w:sz w:val="32"/>
          <w:szCs w:val="32"/>
        </w:rPr>
        <w:t>.</w:t>
      </w:r>
      <w:r>
        <w:rPr>
          <w:rFonts w:hint="eastAsia" w:ascii="仿宋" w:hAnsi="仿宋" w:eastAsia="仿宋"/>
          <w:b/>
          <w:bCs/>
          <w:color w:val="auto"/>
          <w:sz w:val="32"/>
          <w:szCs w:val="32"/>
        </w:rPr>
        <w:t>卫生健康</w:t>
      </w:r>
      <w:r>
        <w:rPr>
          <w:rStyle w:val="16"/>
          <w:rFonts w:hint="eastAsia" w:ascii="仿宋" w:hAnsi="仿宋" w:eastAsia="仿宋"/>
          <w:bCs/>
          <w:color w:val="auto"/>
          <w:sz w:val="32"/>
          <w:szCs w:val="32"/>
        </w:rPr>
        <w:t>（</w:t>
      </w:r>
      <w:r>
        <w:rPr>
          <w:rStyle w:val="16"/>
          <w:rFonts w:ascii="仿宋" w:hAnsi="仿宋" w:eastAsia="仿宋"/>
          <w:bCs/>
          <w:color w:val="auto"/>
          <w:sz w:val="32"/>
          <w:szCs w:val="32"/>
        </w:rPr>
        <w:t>210</w:t>
      </w:r>
      <w:r>
        <w:rPr>
          <w:rStyle w:val="16"/>
          <w:rFonts w:hint="eastAsia" w:ascii="仿宋" w:hAnsi="仿宋" w:eastAsia="仿宋"/>
          <w:bCs/>
          <w:color w:val="auto"/>
          <w:sz w:val="32"/>
          <w:szCs w:val="32"/>
        </w:rPr>
        <w:t>）行政事业单位医疗（</w:t>
      </w:r>
      <w:r>
        <w:rPr>
          <w:rStyle w:val="16"/>
          <w:rFonts w:ascii="仿宋" w:hAnsi="仿宋" w:eastAsia="仿宋"/>
          <w:bCs/>
          <w:color w:val="auto"/>
          <w:sz w:val="32"/>
          <w:szCs w:val="32"/>
        </w:rPr>
        <w:t>11</w:t>
      </w:r>
      <w:r>
        <w:rPr>
          <w:rStyle w:val="16"/>
          <w:rFonts w:hint="eastAsia" w:ascii="仿宋" w:hAnsi="仿宋" w:eastAsia="仿宋"/>
          <w:bCs/>
          <w:color w:val="auto"/>
          <w:sz w:val="32"/>
          <w:szCs w:val="32"/>
        </w:rPr>
        <w:t>）公务员医疗补助（</w:t>
      </w:r>
      <w:r>
        <w:rPr>
          <w:rStyle w:val="16"/>
          <w:rFonts w:ascii="仿宋" w:hAnsi="仿宋" w:eastAsia="仿宋"/>
          <w:bCs/>
          <w:color w:val="auto"/>
          <w:sz w:val="32"/>
          <w:szCs w:val="32"/>
        </w:rPr>
        <w:t>03</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2.45</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rPr>
        <w:t>1</w:t>
      </w:r>
      <w:r>
        <w:rPr>
          <w:rStyle w:val="16"/>
          <w:rFonts w:hint="eastAsia" w:ascii="仿宋" w:hAnsi="仿宋" w:eastAsia="仿宋"/>
          <w:bCs/>
          <w:color w:val="auto"/>
          <w:sz w:val="32"/>
          <w:szCs w:val="32"/>
          <w:lang w:val="en-US" w:eastAsia="zh-CN"/>
        </w:rPr>
        <w:t>2</w:t>
      </w:r>
      <w:r>
        <w:rPr>
          <w:rStyle w:val="16"/>
          <w:rFonts w:ascii="仿宋" w:hAnsi="仿宋" w:eastAsia="仿宋"/>
          <w:bCs/>
          <w:color w:val="auto"/>
          <w:sz w:val="32"/>
          <w:szCs w:val="32"/>
        </w:rPr>
        <w:t>.</w:t>
      </w:r>
      <w:r>
        <w:rPr>
          <w:rFonts w:hint="eastAsia" w:ascii="仿宋" w:hAnsi="仿宋" w:eastAsia="仿宋"/>
          <w:b/>
          <w:bCs/>
          <w:color w:val="auto"/>
          <w:sz w:val="32"/>
          <w:szCs w:val="32"/>
        </w:rPr>
        <w:t>住房保障支出</w:t>
      </w:r>
      <w:r>
        <w:rPr>
          <w:rStyle w:val="16"/>
          <w:rFonts w:hint="eastAsia" w:ascii="仿宋" w:hAnsi="仿宋" w:eastAsia="仿宋"/>
          <w:bCs/>
          <w:color w:val="auto"/>
          <w:sz w:val="32"/>
          <w:szCs w:val="32"/>
        </w:rPr>
        <w:t>（</w:t>
      </w:r>
      <w:r>
        <w:rPr>
          <w:rStyle w:val="16"/>
          <w:rFonts w:ascii="仿宋" w:hAnsi="仿宋" w:eastAsia="仿宋"/>
          <w:bCs/>
          <w:color w:val="auto"/>
          <w:sz w:val="32"/>
          <w:szCs w:val="32"/>
        </w:rPr>
        <w:t>221</w:t>
      </w:r>
      <w:r>
        <w:rPr>
          <w:rStyle w:val="16"/>
          <w:rFonts w:hint="eastAsia" w:ascii="仿宋" w:hAnsi="仿宋" w:eastAsia="仿宋"/>
          <w:bCs/>
          <w:color w:val="auto"/>
          <w:sz w:val="32"/>
          <w:szCs w:val="32"/>
        </w:rPr>
        <w:t>）住房改革支出（</w:t>
      </w:r>
      <w:r>
        <w:rPr>
          <w:rStyle w:val="16"/>
          <w:rFonts w:ascii="仿宋" w:hAnsi="仿宋" w:eastAsia="仿宋"/>
          <w:bCs/>
          <w:color w:val="auto"/>
          <w:sz w:val="32"/>
          <w:szCs w:val="32"/>
        </w:rPr>
        <w:t>02</w:t>
      </w:r>
      <w:r>
        <w:rPr>
          <w:rStyle w:val="16"/>
          <w:rFonts w:hint="eastAsia" w:ascii="仿宋" w:hAnsi="仿宋" w:eastAsia="仿宋"/>
          <w:bCs/>
          <w:color w:val="auto"/>
          <w:sz w:val="32"/>
          <w:szCs w:val="32"/>
        </w:rPr>
        <w:t>）住房公积金（</w:t>
      </w:r>
      <w:r>
        <w:rPr>
          <w:rStyle w:val="16"/>
          <w:rFonts w:ascii="仿宋" w:hAnsi="仿宋" w:eastAsia="仿宋"/>
          <w:bCs/>
          <w:color w:val="auto"/>
          <w:sz w:val="32"/>
          <w:szCs w:val="32"/>
        </w:rPr>
        <w:t>01</w:t>
      </w:r>
      <w:r>
        <w:rPr>
          <w:rStyle w:val="16"/>
          <w:rFonts w:hint="eastAsia" w:ascii="仿宋" w:hAnsi="仿宋" w:eastAsia="仿宋"/>
          <w:bCs/>
          <w:color w:val="auto"/>
          <w:sz w:val="32"/>
          <w:szCs w:val="32"/>
        </w:rPr>
        <w:t>）</w:t>
      </w:r>
      <w:r>
        <w:rPr>
          <w:rStyle w:val="16"/>
          <w:rFonts w:hint="eastAsia" w:ascii="仿宋" w:hAnsi="仿宋" w:eastAsia="仿宋"/>
          <w:bCs/>
          <w:color w:val="auto"/>
          <w:sz w:val="32"/>
          <w:szCs w:val="32"/>
          <w:lang w:eastAsia="zh-CN"/>
        </w:rPr>
        <w:t>：</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19.78</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决算数与预算数持平。</w:t>
      </w:r>
    </w:p>
    <w:p>
      <w:pPr>
        <w:tabs>
          <w:tab w:val="right" w:pos="8306"/>
        </w:tabs>
        <w:spacing w:line="600" w:lineRule="exact"/>
        <w:ind w:firstLine="640"/>
        <w:outlineLvl w:val="1"/>
        <w:rPr>
          <w:rStyle w:val="18"/>
          <w:color w:val="auto"/>
          <w:highlight w:val="none"/>
        </w:rPr>
      </w:pPr>
      <w:bookmarkStart w:id="38" w:name="_Toc25008"/>
      <w:bookmarkStart w:id="39" w:name="_Toc2932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6"/>
      <w:bookmarkEnd w:id="37"/>
      <w:bookmarkEnd w:id="38"/>
      <w:bookmarkEnd w:id="39"/>
      <w:r>
        <w:rPr>
          <w:rStyle w:val="1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315.25</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279.34</w:t>
      </w:r>
      <w:r>
        <w:rPr>
          <w:rFonts w:hint="eastAsia" w:ascii="仿宋" w:hAnsi="仿宋" w:eastAsia="仿宋"/>
          <w:color w:val="auto"/>
          <w:sz w:val="32"/>
          <w:szCs w:val="32"/>
          <w:highlight w:val="none"/>
        </w:rPr>
        <w:t>万元，主要包括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基本工资、津贴补贴、奖金、绩效工资、机关事业单位基本养老保险缴费、职业年金缴费</w:t>
      </w:r>
      <w:r>
        <w:rPr>
          <w:rFonts w:hint="eastAsia" w:ascii="仿宋" w:hAnsi="仿宋" w:eastAsia="仿宋"/>
          <w:color w:val="auto"/>
          <w:sz w:val="32"/>
          <w:szCs w:val="32"/>
        </w:rPr>
        <w:t>、职工基本医疗保险缴费、公务员医疗补助缴费、其他社会保障缴费、住房公积金、其他工资福利支出</w:t>
      </w:r>
      <w:r>
        <w:rPr>
          <w:rFonts w:hint="eastAsia" w:ascii="仿宋" w:hAnsi="仿宋" w:eastAsia="仿宋"/>
          <w:color w:val="auto"/>
          <w:sz w:val="32"/>
          <w:szCs w:val="32"/>
          <w:lang w:eastAsia="zh-CN"/>
        </w:rPr>
        <w:t>、抚恤金、</w:t>
      </w:r>
      <w:r>
        <w:rPr>
          <w:rFonts w:hint="eastAsia" w:ascii="仿宋" w:hAnsi="仿宋" w:eastAsia="仿宋"/>
          <w:color w:val="auto"/>
          <w:sz w:val="32"/>
          <w:szCs w:val="32"/>
          <w:highlight w:val="none"/>
        </w:rPr>
        <w:t>其他对个人和家庭的补助支出等。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35.91</w:t>
      </w:r>
      <w:r>
        <w:rPr>
          <w:rFonts w:hint="eastAsia" w:ascii="仿宋" w:hAnsi="仿宋" w:eastAsia="仿宋"/>
          <w:color w:val="auto"/>
          <w:sz w:val="32"/>
          <w:szCs w:val="32"/>
          <w:highlight w:val="none"/>
        </w:rPr>
        <w:t>万元，主要包括：办公费、水费、电费、邮电费、差旅费、维修（护）费、会议费、培训费、公务接待费、劳务费、委托业务费、工会经费、福利费、其他交通费、其他商品和服务支出等。</w:t>
      </w:r>
    </w:p>
    <w:p>
      <w:pPr>
        <w:spacing w:line="600" w:lineRule="exact"/>
        <w:ind w:firstLine="640"/>
        <w:outlineLvl w:val="1"/>
        <w:rPr>
          <w:rStyle w:val="18"/>
          <w:rFonts w:ascii="黑体" w:hAnsi="黑体" w:eastAsia="黑体"/>
          <w:b w:val="0"/>
          <w:color w:val="auto"/>
          <w:highlight w:val="none"/>
        </w:rPr>
      </w:pPr>
      <w:bookmarkStart w:id="40" w:name="_Toc15377215"/>
      <w:bookmarkStart w:id="41" w:name="_Toc15396609"/>
      <w:bookmarkStart w:id="42" w:name="_Toc10056"/>
      <w:bookmarkStart w:id="43" w:name="_Toc17668"/>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40"/>
      <w:bookmarkEnd w:id="41"/>
      <w:bookmarkEnd w:id="42"/>
      <w:bookmarkEnd w:id="43"/>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1.07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减少0.21万元，下降16.41%。</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6"/>
        <w:rPr>
          <w:rFonts w:hint="eastAsia" w:ascii="仿宋" w:hAnsi="仿宋" w:eastAsia="仿宋"/>
          <w:color w:val="auto"/>
          <w:sz w:val="32"/>
          <w:szCs w:val="32"/>
        </w:rPr>
      </w:pPr>
      <w:r>
        <w:rPr>
          <w:rFonts w:ascii="仿宋" w:hAnsi="仿宋" w:eastAsia="仿宋"/>
          <w:color w:val="auto"/>
          <w:sz w:val="32"/>
          <w:szCs w:val="32"/>
        </w:rPr>
        <w:pict>
          <v:shape id="_x0000_s1032" o:spid="_x0000_s1032" o:spt="75" type="#_x0000_t75" style="position:absolute;left:0pt;margin-left:29.7pt;margin-top:34.4pt;height:183.85pt;width:404.2pt;mso-wrap-distance-bottom:0pt;mso-wrap-distance-left:9pt;mso-wrap-distance-right:9pt;mso-wrap-distance-top:0pt;z-index:251665408;mso-width-relative:page;mso-height-relative:page;" o:ole="t" filled="f" o:preferrelative="t" stroked="f" coordsize="21600,21600">
            <v:path/>
            <v:fill on="f" focussize="0,0"/>
            <v:stroke on="f"/>
            <v:imagedata r:id="rId21" o:title=""/>
            <o:lock v:ext="edit" aspectratio="t"/>
            <w10:wrap type="square"/>
          </v:shape>
          <o:OLEObject Type="Embed" ProgID="Excel.Chart.8" ShapeID="_x0000_s1032" DrawAspect="Content" ObjectID="_1468075731" r:id="rId20">
            <o:LockedField>false</o:LockedField>
          </o:OLEObject>
        </w:pict>
      </w: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pStyle w:val="8"/>
        <w:ind w:left="0" w:leftChars="0" w:firstLine="0" w:firstLineChars="0"/>
        <w:rPr>
          <w:rFonts w:hint="eastAsia" w:ascii="仿宋" w:hAnsi="仿宋" w:eastAsia="仿宋"/>
          <w:color w:val="auto"/>
          <w:sz w:val="32"/>
          <w:szCs w:val="32"/>
          <w:highlight w:val="none"/>
        </w:rPr>
      </w:pP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ascii="仿宋" w:hAnsi="仿宋" w:eastAsia="仿宋"/>
          <w:color w:val="auto"/>
          <w:sz w:val="32"/>
          <w:szCs w:val="32"/>
        </w:rPr>
        <w:t>全年安排因公出国（境）团组0次，出国（境）0人</w:t>
      </w:r>
      <w:r>
        <w:rPr>
          <w:rFonts w:ascii="??_GB2312" w:eastAsia="Times New Roman"/>
          <w:color w:val="auto"/>
          <w:sz w:val="32"/>
          <w:szCs w:val="32"/>
        </w:rPr>
        <w:t>。</w:t>
      </w:r>
    </w:p>
    <w:p>
      <w:pPr>
        <w:spacing w:line="600" w:lineRule="exact"/>
        <w:ind w:firstLine="643" w:firstLineChars="200"/>
        <w:rPr>
          <w:rFonts w:ascii="仿宋" w:hAnsi="仿宋" w:eastAsia="仿宋"/>
          <w:color w:val="auto"/>
          <w:sz w:val="32"/>
          <w:szCs w:val="32"/>
        </w:rPr>
      </w:pPr>
      <w:r>
        <w:rPr>
          <w:rFonts w:hint="eastAsia" w:ascii="仿宋_GB2312" w:eastAsia="仿宋_GB2312"/>
          <w:b/>
          <w:color w:val="auto"/>
          <w:sz w:val="32"/>
          <w:szCs w:val="32"/>
        </w:rPr>
        <w:t>2.公务用车购置及运行维护费支出</w:t>
      </w:r>
      <w:r>
        <w:rPr>
          <w:rFonts w:ascii="仿宋" w:hAnsi="仿宋" w:eastAsia="仿宋"/>
          <w:color w:val="auto"/>
          <w:sz w:val="32"/>
          <w:szCs w:val="32"/>
        </w:rPr>
        <w:t>0.00万元</w:t>
      </w:r>
      <w:r>
        <w:rPr>
          <w:rFonts w:hint="eastAsia" w:ascii="仿宋" w:hAnsi="仿宋" w:eastAsia="仿宋"/>
          <w:color w:val="auto"/>
          <w:sz w:val="32"/>
          <w:szCs w:val="32"/>
          <w:lang w:eastAsia="zh-CN"/>
        </w:rPr>
        <w:t>，</w:t>
      </w:r>
      <w:r>
        <w:rPr>
          <w:rFonts w:hint="eastAsia" w:ascii="仿宋" w:hAnsi="仿宋" w:eastAsia="仿宋"/>
          <w:color w:val="auto"/>
          <w:sz w:val="32"/>
          <w:szCs w:val="32"/>
        </w:rPr>
        <w:t>与预算持平。</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其中：公务用车购置支出0.00万元。全年按规定更新购置公务用车0辆，其中：轿车0辆、金额0.00万元，越野车0辆、金额0.00万元，载客汽车0辆、金额0.00万元。截至202</w:t>
      </w:r>
      <w:r>
        <w:rPr>
          <w:rFonts w:hint="eastAsia" w:ascii="仿宋" w:hAnsi="仿宋" w:eastAsia="仿宋"/>
          <w:color w:val="auto"/>
          <w:sz w:val="32"/>
          <w:szCs w:val="32"/>
          <w:lang w:val="en-US" w:eastAsia="zh-CN"/>
        </w:rPr>
        <w:t>2</w:t>
      </w:r>
      <w:r>
        <w:rPr>
          <w:rFonts w:ascii="仿宋" w:hAnsi="仿宋" w:eastAsia="仿宋"/>
          <w:color w:val="auto"/>
          <w:sz w:val="32"/>
          <w:szCs w:val="32"/>
        </w:rPr>
        <w:t>年12月底，单位共有公务用车0辆，其中：轿车0辆、越野车0辆、载客汽车0辆。</w:t>
      </w:r>
    </w:p>
    <w:p>
      <w:pPr>
        <w:spacing w:line="600" w:lineRule="exact"/>
        <w:ind w:firstLine="643" w:firstLineChars="200"/>
        <w:rPr>
          <w:rFonts w:ascii="??_GB2312" w:eastAsia="Times New Roman"/>
          <w:color w:val="auto"/>
          <w:sz w:val="32"/>
          <w:szCs w:val="32"/>
        </w:rPr>
      </w:pPr>
      <w:r>
        <w:rPr>
          <w:rFonts w:hint="eastAsia" w:ascii="仿宋_GB2312" w:eastAsia="仿宋_GB2312"/>
          <w:b/>
          <w:color w:val="auto"/>
          <w:sz w:val="32"/>
          <w:szCs w:val="32"/>
        </w:rPr>
        <w:t>公务用车运行维护费支出</w:t>
      </w:r>
      <w:r>
        <w:rPr>
          <w:rFonts w:ascii="仿宋" w:hAnsi="仿宋" w:eastAsia="仿宋"/>
          <w:color w:val="auto"/>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1.07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16.41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rPr>
        <w:t>厉行节约，减少支出</w:t>
      </w:r>
      <w:r>
        <w:rPr>
          <w:rFonts w:hint="eastAsia" w:ascii="仿宋" w:hAnsi="仿宋" w:eastAsia="仿宋"/>
          <w:color w:val="auto"/>
          <w:sz w:val="32"/>
          <w:szCs w:val="32"/>
          <w:highlight w:val="none"/>
          <w:lang w:eastAsia="zh-CN"/>
        </w:rPr>
        <w:t>。</w:t>
      </w:r>
      <w:r>
        <w:rPr>
          <w:rFonts w:hint="eastAsia" w:ascii="仿宋_GB2312" w:eastAsia="仿宋_GB2312"/>
          <w:color w:val="auto"/>
          <w:sz w:val="32"/>
          <w:szCs w:val="32"/>
          <w:highlight w:val="none"/>
        </w:rPr>
        <w:t>其中：</w:t>
      </w:r>
    </w:p>
    <w:p>
      <w:pPr>
        <w:spacing w:line="600" w:lineRule="exact"/>
        <w:ind w:firstLine="640"/>
        <w:rPr>
          <w:rFonts w:hint="default" w:ascii="仿宋" w:hAnsi="仿宋" w:eastAsia="仿宋" w:cs="Times New Roman"/>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1.07</w:t>
      </w:r>
      <w:r>
        <w:rPr>
          <w:rFonts w:hint="eastAsia" w:ascii="仿宋_GB2312" w:eastAsia="仿宋_GB2312"/>
          <w:color w:val="auto"/>
          <w:sz w:val="32"/>
          <w:szCs w:val="32"/>
          <w:highlight w:val="none"/>
        </w:rPr>
        <w:t>万元，主要用于执行公务、开展业务</w:t>
      </w:r>
      <w:r>
        <w:rPr>
          <w:rFonts w:hint="eastAsia" w:ascii="仿宋_GB2312" w:eastAsia="仿宋_GB2312"/>
          <w:color w:val="auto"/>
          <w:sz w:val="32"/>
          <w:szCs w:val="32"/>
          <w:highlight w:val="none"/>
          <w:lang w:val="en-US" w:eastAsia="zh-CN"/>
        </w:rPr>
        <w:t>交流</w:t>
      </w:r>
      <w:r>
        <w:rPr>
          <w:rFonts w:hint="eastAsia" w:ascii="仿宋_GB2312" w:eastAsia="仿宋_GB2312"/>
          <w:color w:val="auto"/>
          <w:sz w:val="32"/>
          <w:szCs w:val="32"/>
          <w:highlight w:val="none"/>
        </w:rPr>
        <w:t>活动用餐费等。国内公务接待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109</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1.07</w:t>
      </w:r>
      <w:r>
        <w:rPr>
          <w:rFonts w:hint="eastAsia" w:ascii="仿宋_GB2312" w:eastAsia="仿宋_GB2312"/>
          <w:color w:val="auto"/>
          <w:sz w:val="32"/>
          <w:szCs w:val="32"/>
          <w:highlight w:val="none"/>
        </w:rPr>
        <w:t>万元，具体内容包括：</w:t>
      </w:r>
      <w:r>
        <w:rPr>
          <w:rFonts w:hint="eastAsia" w:ascii="仿宋" w:hAnsi="仿宋" w:eastAsia="仿宋" w:cs="Times New Roman"/>
          <w:color w:val="auto"/>
          <w:sz w:val="32"/>
          <w:szCs w:val="32"/>
          <w:highlight w:val="none"/>
          <w:lang w:val="en-US" w:eastAsia="zh-CN"/>
        </w:rPr>
        <w:t>6月接待射洪市统计局0.04万元，8月接待经贸数据质量核查组0.31万元，9月接待省统计局0.55万元，12月接待省统计局0.17万元</w:t>
      </w:r>
    </w:p>
    <w:p>
      <w:pPr>
        <w:spacing w:line="600" w:lineRule="exact"/>
        <w:ind w:firstLine="643" w:firstLineChars="200"/>
        <w:rPr>
          <w:rFonts w:ascii="黑体" w:eastAsia="黑体"/>
          <w:color w:val="auto"/>
          <w:sz w:val="32"/>
          <w:szCs w:val="32"/>
          <w:highlight w:val="none"/>
        </w:rPr>
      </w:pPr>
      <w:bookmarkStart w:id="46" w:name="_Toc15377218"/>
      <w:bookmarkStart w:id="47" w:name="_Toc15396610"/>
      <w:r>
        <w:rPr>
          <w:rFonts w:hint="eastAsia" w:ascii="仿宋_GB2312" w:eastAsia="仿宋_GB2312"/>
          <w:b/>
          <w:color w:val="auto"/>
          <w:sz w:val="32"/>
          <w:szCs w:val="32"/>
        </w:rPr>
        <w:t>外事接待支出</w:t>
      </w:r>
      <w:r>
        <w:rPr>
          <w:rFonts w:ascii="仿宋" w:hAnsi="仿宋" w:eastAsia="仿宋"/>
          <w:color w:val="auto"/>
          <w:sz w:val="32"/>
          <w:szCs w:val="32"/>
        </w:rPr>
        <w:t>0.00万元，外事接待0批次，0人，共计支出0.00万元。</w:t>
      </w:r>
    </w:p>
    <w:p>
      <w:pPr>
        <w:spacing w:line="600" w:lineRule="exact"/>
        <w:ind w:firstLine="640"/>
        <w:outlineLvl w:val="1"/>
        <w:rPr>
          <w:rStyle w:val="18"/>
          <w:rFonts w:ascii="黑体" w:hAnsi="黑体" w:eastAsia="黑体"/>
          <w:color w:val="auto"/>
          <w:highlight w:val="none"/>
        </w:rPr>
      </w:pPr>
      <w:bookmarkStart w:id="48" w:name="_Toc25614"/>
      <w:bookmarkStart w:id="49" w:name="_Toc7487"/>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6"/>
      <w:bookmarkEnd w:id="47"/>
      <w:bookmarkEnd w:id="48"/>
      <w:bookmarkEnd w:id="49"/>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3"/>
        </w:numPr>
        <w:spacing w:line="600" w:lineRule="exact"/>
        <w:ind w:firstLine="640"/>
        <w:outlineLvl w:val="1"/>
        <w:rPr>
          <w:rStyle w:val="18"/>
          <w:rFonts w:ascii="黑体" w:hAnsi="黑体" w:eastAsia="黑体"/>
          <w:b w:val="0"/>
          <w:color w:val="auto"/>
          <w:highlight w:val="none"/>
        </w:rPr>
      </w:pPr>
      <w:bookmarkStart w:id="50" w:name="_Toc15377219"/>
      <w:bookmarkStart w:id="51" w:name="_Toc3285"/>
      <w:bookmarkStart w:id="52" w:name="_Toc26052"/>
      <w:bookmarkStart w:id="53" w:name="_Toc15396611"/>
      <w:r>
        <w:rPr>
          <w:rStyle w:val="18"/>
          <w:rFonts w:hint="eastAsia" w:ascii="黑体" w:hAnsi="黑体" w:eastAsia="黑体"/>
          <w:b w:val="0"/>
          <w:color w:val="auto"/>
          <w:highlight w:val="none"/>
        </w:rPr>
        <w:t>国有资本经营预算支出决算情况说明</w:t>
      </w:r>
      <w:bookmarkEnd w:id="50"/>
      <w:bookmarkEnd w:id="51"/>
      <w:bookmarkEnd w:id="52"/>
      <w:bookmarkEnd w:id="53"/>
    </w:p>
    <w:p>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18"/>
          <w:rFonts w:hint="eastAsia" w:ascii="黑体" w:hAnsi="黑体" w:eastAsia="黑体"/>
          <w:b w:val="0"/>
          <w:color w:val="auto"/>
          <w:highlight w:val="none"/>
        </w:rPr>
      </w:pPr>
      <w:bookmarkStart w:id="54" w:name="_Toc7680"/>
      <w:bookmarkStart w:id="55" w:name="_Toc15377221"/>
      <w:bookmarkStart w:id="56" w:name="_Toc15396612"/>
      <w:bookmarkStart w:id="57" w:name="_Toc6185"/>
      <w:r>
        <w:rPr>
          <w:rStyle w:val="18"/>
          <w:rFonts w:hint="eastAsia" w:ascii="黑体" w:hAnsi="黑体" w:eastAsia="黑体"/>
          <w:b w:val="0"/>
          <w:color w:val="auto"/>
          <w:highlight w:val="none"/>
        </w:rPr>
        <w:t>其他重要事项的情况说明</w:t>
      </w:r>
      <w:bookmarkEnd w:id="54"/>
      <w:bookmarkEnd w:id="55"/>
      <w:bookmarkEnd w:id="56"/>
      <w:bookmarkEnd w:id="57"/>
    </w:p>
    <w:p>
      <w:pPr>
        <w:spacing w:line="600" w:lineRule="exact"/>
        <w:ind w:firstLine="643" w:firstLineChars="200"/>
        <w:outlineLvl w:val="2"/>
        <w:rPr>
          <w:rFonts w:ascii="仿宋" w:hAnsi="仿宋" w:eastAsia="仿宋"/>
          <w:color w:val="auto"/>
          <w:sz w:val="32"/>
          <w:szCs w:val="32"/>
          <w:highlight w:val="none"/>
        </w:rPr>
      </w:pPr>
      <w:bookmarkStart w:id="58" w:name="_Toc15377222"/>
      <w:r>
        <w:rPr>
          <w:rFonts w:hint="eastAsia" w:ascii="仿宋" w:hAnsi="仿宋" w:eastAsia="仿宋"/>
          <w:b/>
          <w:color w:val="auto"/>
          <w:sz w:val="32"/>
          <w:szCs w:val="32"/>
          <w:highlight w:val="none"/>
        </w:rPr>
        <w:t>（一）机关运行经费支出情况</w:t>
      </w:r>
      <w:bookmarkEnd w:id="58"/>
    </w:p>
    <w:p>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ascii="仿宋_GB2312" w:eastAsia="仿宋_GB2312"/>
          <w:color w:val="auto"/>
          <w:sz w:val="32"/>
          <w:szCs w:val="32"/>
        </w:rPr>
        <w:t>区统计局</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35.91</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9" w:name="_Toc15377223"/>
      <w:r>
        <w:rPr>
          <w:rFonts w:hint="eastAsia" w:ascii="仿宋" w:hAnsi="仿宋" w:eastAsia="仿宋"/>
          <w:b/>
          <w:color w:val="auto"/>
          <w:sz w:val="32"/>
          <w:szCs w:val="32"/>
          <w:highlight w:val="none"/>
        </w:rPr>
        <w:t>（二）政府采购支出情况</w:t>
      </w:r>
      <w:bookmarkEnd w:id="59"/>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ascii="仿宋_GB2312" w:eastAsia="仿宋_GB2312"/>
          <w:color w:val="auto"/>
          <w:sz w:val="32"/>
          <w:szCs w:val="32"/>
        </w:rPr>
        <w:t>区统计局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4"/>
      <w:r>
        <w:rPr>
          <w:rFonts w:hint="eastAsia" w:ascii="仿宋" w:hAnsi="仿宋" w:eastAsia="仿宋"/>
          <w:b/>
          <w:color w:val="auto"/>
          <w:sz w:val="32"/>
          <w:szCs w:val="32"/>
          <w:highlight w:val="none"/>
        </w:rPr>
        <w:t>（三）国有资产占有使用情况</w:t>
      </w:r>
      <w:bookmarkEnd w:id="60"/>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截至202</w:t>
      </w:r>
      <w:r>
        <w:rPr>
          <w:rFonts w:hint="eastAsia" w:ascii="仿宋_GB2312" w:eastAsia="仿宋_GB2312"/>
          <w:color w:val="auto"/>
          <w:sz w:val="32"/>
          <w:szCs w:val="32"/>
          <w:lang w:val="en-US" w:eastAsia="zh-CN"/>
        </w:rPr>
        <w:t>2</w:t>
      </w:r>
      <w:r>
        <w:rPr>
          <w:rFonts w:ascii="仿宋_GB2312" w:eastAsia="仿宋_GB2312"/>
          <w:color w:val="auto"/>
          <w:sz w:val="32"/>
          <w:szCs w:val="32"/>
        </w:rPr>
        <w:t>年12月31日，区统计局共有车辆0辆，其中：主要领导干部用车0辆、机要通信用车0辆、应急保障用车0辆、其他用车0辆。单价50万元以上通用设备0台（套），单价100万元以上专用设备0台（套）。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预算编制阶段，组织对统计工作经费</w:t>
      </w:r>
      <w:r>
        <w:rPr>
          <w:rFonts w:hint="eastAsia" w:ascii="仿宋_GB2312" w:hAnsi="Times New Roman" w:eastAsia="仿宋_GB2312" w:cs="Times New Roman"/>
          <w:color w:val="auto"/>
          <w:sz w:val="32"/>
          <w:szCs w:val="32"/>
          <w:highlight w:val="none"/>
          <w:lang w:val="en-US" w:eastAsia="zh-CN"/>
        </w:rPr>
        <w:t>项目</w:t>
      </w:r>
      <w:r>
        <w:rPr>
          <w:rFonts w:hint="eastAsia" w:ascii="仿宋_GB2312" w:hAnsi="Times New Roman" w:eastAsia="仿宋_GB2312" w:cs="Times New Roman"/>
          <w:color w:val="auto"/>
          <w:sz w:val="32"/>
          <w:szCs w:val="32"/>
          <w:highlight w:val="none"/>
          <w:lang w:eastAsia="zh-CN"/>
        </w:rPr>
        <w:t>等</w:t>
      </w:r>
      <w:r>
        <w:rPr>
          <w:rFonts w:hint="eastAsia" w:ascii="仿宋_GB2312" w:hAnsi="Times New Roman" w:eastAsia="仿宋_GB2312" w:cs="Times New Roman"/>
          <w:color w:val="auto"/>
          <w:sz w:val="32"/>
          <w:szCs w:val="32"/>
          <w:highlight w:val="none"/>
          <w:lang w:val="en-US" w:eastAsia="zh-CN"/>
        </w:rPr>
        <w:t>11个项目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11个项目开展绩效自评，绩效自评表详见第四部分附件。</w:t>
      </w:r>
    </w:p>
    <w:p>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pPr>
        <w:numPr>
          <w:ilvl w:val="0"/>
          <w:numId w:val="0"/>
        </w:numPr>
        <w:spacing w:line="600" w:lineRule="exact"/>
        <w:jc w:val="center"/>
        <w:outlineLvl w:val="0"/>
        <w:rPr>
          <w:rStyle w:val="17"/>
          <w:rFonts w:ascii="黑体" w:hAnsi="黑体" w:eastAsia="黑体"/>
          <w:b w:val="0"/>
          <w:color w:val="auto"/>
          <w:highlight w:val="none"/>
        </w:rPr>
      </w:pPr>
      <w:bookmarkStart w:id="61" w:name="_Toc12400"/>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61"/>
    </w:p>
    <w:p>
      <w:pPr>
        <w:spacing w:line="600" w:lineRule="exact"/>
        <w:jc w:val="left"/>
        <w:rPr>
          <w:rFonts w:ascii="宋体"/>
          <w:b/>
          <w:color w:val="auto"/>
          <w:sz w:val="44"/>
          <w:szCs w:val="44"/>
          <w:highlight w:val="none"/>
        </w:rPr>
      </w:pPr>
    </w:p>
    <w:p>
      <w:pPr>
        <w:pStyle w:val="20"/>
        <w:spacing w:line="560" w:lineRule="exact"/>
        <w:ind w:firstLine="640" w:firstLineChars="200"/>
        <w:outlineLvl w:val="1"/>
        <w:rPr>
          <w:rFonts w:ascii="仿宋_GB2312" w:eastAsia="仿宋_GB2312"/>
          <w:color w:val="auto"/>
          <w:sz w:val="32"/>
          <w:szCs w:val="32"/>
          <w:highlight w:val="none"/>
        </w:rPr>
      </w:pPr>
      <w:bookmarkStart w:id="62" w:name="_Toc18014"/>
      <w:bookmarkStart w:id="63" w:name="_Toc11769"/>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62"/>
      <w:bookmarkEnd w:id="63"/>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0"/>
        <w:spacing w:line="560" w:lineRule="exact"/>
        <w:ind w:firstLine="640" w:firstLineChars="200"/>
        <w:outlineLvl w:val="1"/>
        <w:rPr>
          <w:rFonts w:ascii="仿宋_GB2312" w:eastAsia="仿宋_GB2312"/>
          <w:color w:val="auto"/>
          <w:sz w:val="32"/>
          <w:szCs w:val="32"/>
          <w:highlight w:val="none"/>
        </w:rPr>
      </w:pPr>
      <w:bookmarkStart w:id="64" w:name="_Toc6373"/>
      <w:bookmarkStart w:id="65" w:name="_Toc17089"/>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64"/>
      <w:bookmarkEnd w:id="65"/>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9.一般公共服务（201）统计信息事务（05）行政运行（01）：指反映行政单位（包括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公务员管理的事业单位）的基本支出。</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10.一般公共服务（201）统计信息事务（05）一般行政管理事务（02）指反映行政单位（包括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公务员管理的事业单位）的未单独设置项级科目中反映。</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11.一般公共服务（201）统计信息事务（05）事业运行（50）：指事业单位的基本支出，不包括行政单位（包括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公务员管理的事业单位）后勤服务中心。医务室等附属事业单位。</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w:t>
      </w:r>
      <w:r>
        <w:rPr>
          <w:rFonts w:ascii="仿宋_GB2312" w:eastAsia="仿宋_GB2312"/>
          <w:color w:val="auto"/>
          <w:sz w:val="32"/>
          <w:szCs w:val="32"/>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机关事业单位职业年金缴费支出（</w:t>
      </w:r>
      <w:r>
        <w:rPr>
          <w:rFonts w:ascii="仿宋_GB2312" w:eastAsia="仿宋_GB2312"/>
          <w:color w:val="auto"/>
          <w:sz w:val="32"/>
          <w:szCs w:val="32"/>
        </w:rPr>
        <w:t>0</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）指反映机关事业单位实施养老保险制度由单位缴纳的基本养老保险支出。</w:t>
      </w:r>
    </w:p>
    <w:p>
      <w:pPr>
        <w:pStyle w:val="2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w:t>
      </w:r>
      <w:r>
        <w:rPr>
          <w:rFonts w:ascii="仿宋_GB2312" w:eastAsia="仿宋_GB2312"/>
          <w:color w:val="auto"/>
          <w:sz w:val="32"/>
          <w:szCs w:val="32"/>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机关事业单位基本养老保险缴费支出（</w:t>
      </w:r>
      <w:r>
        <w:rPr>
          <w:rFonts w:ascii="仿宋_GB2312" w:eastAsia="仿宋_GB2312"/>
          <w:color w:val="auto"/>
          <w:sz w:val="32"/>
          <w:szCs w:val="32"/>
        </w:rPr>
        <w:t>05</w:t>
      </w:r>
      <w:r>
        <w:rPr>
          <w:rFonts w:hint="eastAsia" w:ascii="仿宋_GB2312" w:eastAsia="仿宋_GB2312"/>
          <w:color w:val="auto"/>
          <w:sz w:val="32"/>
          <w:szCs w:val="32"/>
        </w:rPr>
        <w:t>）指反映机关事业单位实施养老保险制度由单位缴纳的</w:t>
      </w:r>
      <w:r>
        <w:rPr>
          <w:rFonts w:hint="eastAsia" w:ascii="仿宋_GB2312" w:eastAsia="仿宋_GB2312"/>
          <w:color w:val="auto"/>
          <w:sz w:val="32"/>
          <w:szCs w:val="32"/>
          <w:lang w:val="en-US" w:eastAsia="zh-CN"/>
        </w:rPr>
        <w:t>职业年金</w:t>
      </w:r>
      <w:r>
        <w:rPr>
          <w:rFonts w:hint="eastAsia" w:ascii="仿宋_GB2312" w:eastAsia="仿宋_GB2312"/>
          <w:color w:val="auto"/>
          <w:sz w:val="32"/>
          <w:szCs w:val="32"/>
        </w:rPr>
        <w:t>支出。</w:t>
      </w:r>
    </w:p>
    <w:p>
      <w:pPr>
        <w:pStyle w:val="2"/>
        <w:ind w:firstLine="640" w:firstLineChars="200"/>
        <w:jc w:val="left"/>
        <w:rPr>
          <w:rFonts w:hint="eastAsia" w:ascii="仿宋_GB2312" w:eastAsia="仿宋_GB2312"/>
          <w:color w:val="auto"/>
          <w:sz w:val="32"/>
          <w:szCs w:val="32"/>
        </w:rPr>
      </w:pPr>
      <w:r>
        <w:rPr>
          <w:rStyle w:val="16"/>
          <w:rFonts w:hint="eastAsia" w:ascii="仿宋" w:hAnsi="仿宋" w:eastAsia="仿宋"/>
          <w:b w:val="0"/>
          <w:bCs w:val="0"/>
          <w:color w:val="auto"/>
          <w:sz w:val="32"/>
          <w:szCs w:val="32"/>
          <w:highlight w:val="none"/>
          <w:shd w:val="clear" w:color="auto" w:fill="auto"/>
          <w:lang w:val="en-US" w:eastAsia="zh-CN"/>
        </w:rPr>
        <w:t>14.</w:t>
      </w:r>
      <w:r>
        <w:rPr>
          <w:rFonts w:hint="eastAsia" w:ascii="仿宋_GB2312" w:hAnsi="Calibri" w:eastAsia="仿宋_GB2312" w:cs="仿宋"/>
          <w:color w:val="auto"/>
          <w:kern w:val="0"/>
          <w:sz w:val="32"/>
          <w:szCs w:val="32"/>
          <w:lang w:val="en-US" w:eastAsia="zh-CN" w:bidi="ar-SA"/>
        </w:rPr>
        <w:t>社会保障和就业（208）抚恤（08）死亡抚恤（01）</w:t>
      </w:r>
      <w:r>
        <w:rPr>
          <w:rFonts w:hint="eastAsia" w:ascii="仿宋_GB2312" w:eastAsia="仿宋_GB2312" w:cs="仿宋"/>
          <w:color w:val="auto"/>
          <w:kern w:val="0"/>
          <w:sz w:val="32"/>
          <w:szCs w:val="32"/>
          <w:lang w:val="en-US" w:eastAsia="zh-CN" w:bidi="ar-SA"/>
        </w:rPr>
        <w:t>：</w:t>
      </w:r>
      <w:r>
        <w:rPr>
          <w:rFonts w:hint="eastAsia" w:ascii="仿宋_GB2312" w:hAnsi="Calibri" w:eastAsia="仿宋_GB2312" w:cs="仿宋"/>
          <w:color w:val="auto"/>
          <w:kern w:val="0"/>
          <w:sz w:val="32"/>
          <w:szCs w:val="32"/>
          <w:lang w:val="en-US" w:eastAsia="zh-CN" w:bidi="ar-SA"/>
        </w:rPr>
        <w:t xml:space="preserve"> 反映按规定用于烈士和牺牲、病故人员家属的一次性和定期抚恤金、丧葬补助费以及烈士褒奖金。</w:t>
      </w:r>
    </w:p>
    <w:p>
      <w:pPr>
        <w:pStyle w:val="2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残疾人事业（11）残疾人就业（05）反映残疾人联合会用于残疾人就业方面支出。</w:t>
      </w:r>
    </w:p>
    <w:p>
      <w:pPr>
        <w:pStyle w:val="20"/>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16.社会保障和就业支出（208）其他社会保障和就业支出（99）其他社会保障和就业支出（99）指反映除上述项目以外其他用于社会保障和就业方面的支出。</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）行政单位医疗（</w:t>
      </w:r>
      <w:r>
        <w:rPr>
          <w:rFonts w:ascii="仿宋_GB2312" w:eastAsia="仿宋_GB2312"/>
          <w:color w:val="auto"/>
          <w:sz w:val="32"/>
          <w:szCs w:val="32"/>
        </w:rPr>
        <w:t>01</w:t>
      </w:r>
      <w:r>
        <w:rPr>
          <w:rFonts w:hint="eastAsia" w:ascii="仿宋_GB2312" w:eastAsia="仿宋_GB2312"/>
          <w:color w:val="auto"/>
          <w:sz w:val="32"/>
          <w:szCs w:val="32"/>
        </w:rPr>
        <w:t>）指反映</w:t>
      </w:r>
      <w:r>
        <w:rPr>
          <w:rFonts w:hint="eastAsia" w:ascii="仿宋_GB2312" w:eastAsia="仿宋_GB2312"/>
          <w:color w:val="auto"/>
          <w:sz w:val="32"/>
          <w:szCs w:val="32"/>
          <w:lang w:val="en-US" w:eastAsia="zh-CN"/>
        </w:rPr>
        <w:t>财政部门安排的行政</w:t>
      </w:r>
      <w:r>
        <w:rPr>
          <w:rFonts w:hint="eastAsia" w:ascii="仿宋_GB2312" w:eastAsia="仿宋_GB2312"/>
          <w:color w:val="auto"/>
          <w:sz w:val="32"/>
          <w:szCs w:val="32"/>
        </w:rPr>
        <w:t>单位（包括实行公务员管理的事业单位，同下）基本医疗保险缴费经费，未参加医疗保险的行政单位的公费医疗经费，按国家规定享受离退休人员待遇的医疗经费。</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）事业单位医疗（</w:t>
      </w:r>
      <w:r>
        <w:rPr>
          <w:rFonts w:ascii="仿宋_GB2312" w:eastAsia="仿宋_GB2312"/>
          <w:color w:val="auto"/>
          <w:sz w:val="32"/>
          <w:szCs w:val="32"/>
        </w:rPr>
        <w:t>02</w:t>
      </w:r>
      <w:r>
        <w:rPr>
          <w:rFonts w:hint="eastAsia" w:ascii="仿宋_GB2312" w:eastAsia="仿宋_GB2312"/>
          <w:color w:val="auto"/>
          <w:sz w:val="32"/>
          <w:szCs w:val="32"/>
        </w:rPr>
        <w:t>）指反映财政部门安排事业单位基本医疗保险缴费经费，未参加医疗保险的行政单位的公费医疗经费，按国家规定享受离退休人员待遇的医疗经费。</w:t>
      </w:r>
    </w:p>
    <w:p>
      <w:pPr>
        <w:pStyle w:val="2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）公务员医疗补助（</w:t>
      </w:r>
      <w:r>
        <w:rPr>
          <w:rFonts w:ascii="仿宋_GB2312" w:eastAsia="仿宋_GB2312"/>
          <w:color w:val="auto"/>
          <w:sz w:val="32"/>
          <w:szCs w:val="32"/>
        </w:rPr>
        <w:t>03</w:t>
      </w:r>
      <w:r>
        <w:rPr>
          <w:rFonts w:hint="eastAsia" w:ascii="仿宋_GB2312" w:eastAsia="仿宋_GB2312"/>
          <w:color w:val="auto"/>
          <w:sz w:val="32"/>
          <w:szCs w:val="32"/>
        </w:rPr>
        <w:t>）指反映财政部门安排的公务员医疗补助经费。</w:t>
      </w:r>
    </w:p>
    <w:p>
      <w:pPr>
        <w:pStyle w:val="2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住房保障（</w:t>
      </w:r>
      <w:r>
        <w:rPr>
          <w:rFonts w:ascii="仿宋_GB2312" w:eastAsia="仿宋_GB2312"/>
          <w:color w:val="auto"/>
          <w:sz w:val="32"/>
          <w:szCs w:val="32"/>
        </w:rPr>
        <w:t>221</w:t>
      </w:r>
      <w:r>
        <w:rPr>
          <w:rFonts w:hint="eastAsia" w:ascii="仿宋_GB2312" w:eastAsia="仿宋_GB2312"/>
          <w:color w:val="auto"/>
          <w:sz w:val="32"/>
          <w:szCs w:val="32"/>
        </w:rPr>
        <w:t>）住房改革支出（</w:t>
      </w:r>
      <w:r>
        <w:rPr>
          <w:rFonts w:ascii="仿宋_GB2312" w:eastAsia="仿宋_GB2312"/>
          <w:color w:val="auto"/>
          <w:sz w:val="32"/>
          <w:szCs w:val="32"/>
        </w:rPr>
        <w:t>02</w:t>
      </w:r>
      <w:r>
        <w:rPr>
          <w:rFonts w:hint="eastAsia" w:ascii="仿宋_GB2312" w:eastAsia="仿宋_GB2312"/>
          <w:color w:val="auto"/>
          <w:sz w:val="32"/>
          <w:szCs w:val="32"/>
        </w:rPr>
        <w:t>）住房公积金（</w:t>
      </w:r>
      <w:r>
        <w:rPr>
          <w:rFonts w:ascii="仿宋_GB2312" w:eastAsia="仿宋_GB2312"/>
          <w:color w:val="auto"/>
          <w:sz w:val="32"/>
          <w:szCs w:val="32"/>
        </w:rPr>
        <w:t>01</w:t>
      </w:r>
      <w:r>
        <w:rPr>
          <w:rFonts w:hint="eastAsia" w:ascii="仿宋_GB2312" w:eastAsia="仿宋_GB2312"/>
          <w:color w:val="auto"/>
          <w:sz w:val="32"/>
          <w:szCs w:val="32"/>
        </w:rPr>
        <w:t>）指反映行政事业单位按人力资源和社会保障部、财政部规定的基本工资和津补贴以及规定比例为职工缴纳的住房公积金。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7"/>
          <w:rFonts w:ascii="黑体" w:hAnsi="黑体" w:eastAsia="黑体"/>
          <w:b w:val="0"/>
          <w:color w:val="auto"/>
          <w:highlight w:val="none"/>
        </w:rPr>
      </w:pPr>
      <w:r>
        <w:rPr>
          <w:rFonts w:ascii="宋体"/>
          <w:b/>
          <w:color w:val="auto"/>
          <w:sz w:val="44"/>
          <w:szCs w:val="44"/>
          <w:highlight w:val="none"/>
        </w:rPr>
        <w:br w:type="page"/>
      </w:r>
      <w:bookmarkStart w:id="66" w:name="_Toc6261"/>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四部分 附件</w:t>
      </w:r>
      <w:bookmarkEnd w:id="66"/>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51"/>
        <w:gridCol w:w="396"/>
        <w:gridCol w:w="846"/>
        <w:gridCol w:w="486"/>
        <w:gridCol w:w="396"/>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51090322T000000342856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城乡一体化调查经费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府办[2017]79号，《遂宁市人民政府办公室关于做好全市住房调查样本轮换工作的通知》精神，2023年预算285000元，用于买账本15000元；劳务费记账户70户136500元，辅助调查员农村5个19500元，城区7个18200元，年终以奖代补12000元左右；农情观察员补助1600元；预计业务培训8次2万元、下乡指导、检查等业务出差预计90人次1.37万元、12个调查点相关资料印刷费预计2万元，预计加班人次90人次0.72万元。用于开展全区城乡一体化调查工作。</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670"/>
              </w:tabs>
              <w:overflowPunct w:val="0"/>
              <w:snapToGrid w:val="0"/>
              <w:spacing w:line="560" w:lineRule="atLeast"/>
              <w:ind w:right="525" w:rightChars="250" w:firstLine="646"/>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2023年区统计局组织培训4次，开展自查1次，交叉检查1次，</w:t>
            </w:r>
            <w:r>
              <w:rPr>
                <w:rFonts w:hint="eastAsia" w:ascii="宋体" w:hAnsi="宋体" w:eastAsia="宋体" w:cs="宋体"/>
                <w:i w:val="0"/>
                <w:iCs w:val="0"/>
                <w:color w:val="000000"/>
                <w:kern w:val="0"/>
                <w:sz w:val="18"/>
                <w:szCs w:val="18"/>
                <w:u w:val="none"/>
                <w:lang w:val="en-US" w:eastAsia="zh-CN" w:bidi="ar"/>
              </w:rPr>
              <w:t>成功</w:t>
            </w:r>
            <w:r>
              <w:rPr>
                <w:rFonts w:hint="eastAsia" w:ascii="宋体" w:hAnsi="宋体" w:eastAsia="宋体" w:cs="宋体"/>
                <w:i w:val="0"/>
                <w:iCs w:val="0"/>
                <w:color w:val="000000"/>
                <w:kern w:val="0"/>
                <w:sz w:val="18"/>
                <w:szCs w:val="18"/>
                <w:u w:val="none"/>
                <w:lang w:val="zh-CN" w:eastAsia="zh-CN" w:bidi="ar"/>
              </w:rPr>
              <w:t>创建</w:t>
            </w:r>
            <w:r>
              <w:rPr>
                <w:rFonts w:hint="eastAsia" w:ascii="宋体" w:hAnsi="宋体" w:eastAsia="宋体" w:cs="宋体"/>
                <w:i w:val="0"/>
                <w:iCs w:val="0"/>
                <w:color w:val="000000"/>
                <w:kern w:val="0"/>
                <w:sz w:val="18"/>
                <w:szCs w:val="18"/>
                <w:u w:val="none"/>
                <w:lang w:val="en-US" w:eastAsia="zh-CN" w:bidi="ar"/>
              </w:rPr>
              <w:t>全市城乡一体化工作：</w:t>
            </w:r>
            <w:r>
              <w:rPr>
                <w:rFonts w:hint="eastAsia" w:ascii="宋体" w:hAnsi="宋体" w:eastAsia="宋体" w:cs="宋体"/>
                <w:i w:val="0"/>
                <w:iCs w:val="0"/>
                <w:color w:val="000000"/>
                <w:kern w:val="0"/>
                <w:sz w:val="18"/>
                <w:szCs w:val="18"/>
                <w:u w:val="none"/>
                <w:lang w:val="zh-CN" w:eastAsia="zh-CN" w:bidi="ar"/>
              </w:rPr>
              <w:t>四星级网点12个，三星级网点6个。</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印刷资料份数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出差人次不够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培训次数占比</w:t>
            </w:r>
            <w:r>
              <w:rPr>
                <w:rFonts w:hint="eastAsia" w:ascii="Times New Roman" w:hAnsi="Times New Roman"/>
                <w:kern w:val="0"/>
                <w:szCs w:val="21"/>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调查结果准确率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人员管理制度健全性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被调查对象满意度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出差成本</w:t>
            </w:r>
            <w:r>
              <w:rPr>
                <w:rFonts w:hint="eastAsia" w:ascii="Times New Roman" w:hAnsi="Times New Roman"/>
                <w:color w:val="000000"/>
                <w:szCs w:val="18"/>
                <w:lang w:eastAsia="zh-CN"/>
              </w:rPr>
              <w:t>占比</w:t>
            </w:r>
            <w:r>
              <w:rPr>
                <w:rFonts w:hint="eastAsia" w:ascii="Times New Roman" w:hAnsi="Times New Roman"/>
                <w:color w:val="000000"/>
                <w:szCs w:val="18"/>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211600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本年无印刷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根据绩效评价指标体系，我局城乡一体化专项经费</w:t>
            </w:r>
            <w:r>
              <w:rPr>
                <w:rFonts w:hint="eastAsia" w:ascii="宋体" w:hAnsi="宋体" w:cs="宋体"/>
                <w:i w:val="0"/>
                <w:iCs w:val="0"/>
                <w:color w:val="000000"/>
                <w:kern w:val="0"/>
                <w:sz w:val="18"/>
                <w:szCs w:val="18"/>
                <w:u w:val="none"/>
                <w:lang w:val="zh-CN" w:eastAsia="zh-CN" w:bidi="ar"/>
              </w:rPr>
              <w:t>项目</w:t>
            </w:r>
            <w:r>
              <w:rPr>
                <w:rFonts w:hint="eastAsia" w:ascii="宋体" w:hAnsi="宋体" w:eastAsia="宋体" w:cs="宋体"/>
                <w:i w:val="0"/>
                <w:iCs w:val="0"/>
                <w:color w:val="000000"/>
                <w:kern w:val="0"/>
                <w:sz w:val="18"/>
                <w:szCs w:val="18"/>
                <w:u w:val="none"/>
                <w:lang w:val="zh-CN" w:eastAsia="zh-CN" w:bidi="ar"/>
              </w:rPr>
              <w:t>支出绩效自评得分95分。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cs="宋体"/>
                <w:i w:val="0"/>
                <w:iCs w:val="0"/>
                <w:color w:val="000000"/>
                <w:kern w:val="0"/>
                <w:sz w:val="18"/>
                <w:szCs w:val="18"/>
                <w:u w:val="none"/>
                <w:lang w:val="en-US" w:eastAsia="zh-CN" w:bidi="ar"/>
              </w:rPr>
              <w:t>事前</w:t>
            </w:r>
            <w:r>
              <w:rPr>
                <w:rFonts w:hint="eastAsia" w:ascii="宋体" w:hAnsi="宋体" w:eastAsia="宋体" w:cs="宋体"/>
                <w:i w:val="0"/>
                <w:iCs w:val="0"/>
                <w:color w:val="000000"/>
                <w:kern w:val="0"/>
                <w:sz w:val="18"/>
                <w:szCs w:val="18"/>
                <w:u w:val="none"/>
                <w:lang w:val="en-US"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en-US" w:eastAsia="zh-CN" w:bidi="ar"/>
              </w:rPr>
              <w:t>未</w:t>
            </w:r>
            <w:r>
              <w:rPr>
                <w:rFonts w:hint="eastAsia" w:ascii="宋体" w:hAnsi="宋体" w:eastAsia="宋体" w:cs="宋体"/>
                <w:i w:val="0"/>
                <w:iCs w:val="0"/>
                <w:color w:val="000000"/>
                <w:kern w:val="0"/>
                <w:sz w:val="18"/>
                <w:szCs w:val="18"/>
                <w:u w:val="none"/>
                <w:lang w:val="en-US" w:eastAsia="zh-CN" w:bidi="ar"/>
              </w:rPr>
              <w:t>及时对绩效目标和预算资金进行调整，致使年末项目存在资金存量。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8"/>
        <w:gridCol w:w="865"/>
        <w:gridCol w:w="1147"/>
        <w:gridCol w:w="396"/>
        <w:gridCol w:w="802"/>
        <w:gridCol w:w="756"/>
        <w:gridCol w:w="756"/>
        <w:gridCol w:w="486"/>
        <w:gridCol w:w="396"/>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51090323T000008235585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第五次全国经济普查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船山区第五次全国经济普查是为了了解全区重大的国情国力调查，通过开展普查培训、宣传等调查全区所有二三产业，包括工业、建筑业、房地产、批发零售住宿餐饮业、服务业等的基本情况，为全区经济社会发展提供资料依据</w:t>
            </w:r>
          </w:p>
        </w:tc>
        <w:tc>
          <w:tcPr>
            <w:tcW w:w="1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我们完成五经普普查机构组建，成立了区乡两级13个领导小组；选聘“普查两员”387人，开展各类培训20余次，累计参训人员超1000人次；发放宣传横幅、普查马甲、手提包、雨伞若干，普查告知书2万余份，在商务区设立固定公益广告，并在公交出租车滚动播放普查宣传标语，营造了浓厚宣传氛围，五经普单位清查工作顺利推进，圆满完成普查方案规定工作任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106.56</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66.56</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普查开展会议次数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手机流量补助人数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387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普查两员人数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387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普查企业完成个数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印刷</w:t>
            </w:r>
            <w:r>
              <w:rPr>
                <w:rFonts w:ascii="宋体" w:hAnsi="宋体" w:eastAsia="宋体" w:cs="宋体"/>
                <w:i w:val="0"/>
                <w:iCs w:val="0"/>
                <w:color w:val="000000"/>
                <w:kern w:val="0"/>
                <w:sz w:val="18"/>
                <w:szCs w:val="18"/>
                <w:u w:val="none"/>
                <w:lang w:val="en-US" w:eastAsia="zh-CN" w:bidi="ar"/>
              </w:rPr>
              <w:t>普查工作手册、综合培训材料，各种表册等</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未印刷资料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宣传资料份数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购买设备台数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租车辆数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533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培训人员到位率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参会人员到位率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普查进度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经济普查覆盖率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普查结果利用率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经济普查制度健全性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培训费成本控制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劳务费发放金额</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根据绩效评价指标体系，我局第五次全国经济普查项目支出绩效自评得分</w:t>
            </w:r>
            <w:r>
              <w:rPr>
                <w:rFonts w:hint="eastAsia" w:ascii="宋体" w:hAnsi="宋体" w:eastAsia="宋体" w:cs="宋体"/>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及时对绩效目标和预算资金进行调整，致使年末项目资金存量较大。</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10"/>
        <w:gridCol w:w="1204"/>
        <w:gridCol w:w="396"/>
        <w:gridCol w:w="851"/>
        <w:gridCol w:w="396"/>
        <w:gridCol w:w="846"/>
        <w:gridCol w:w="486"/>
        <w:gridCol w:w="39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51090322T000000342864-各专业规范化建设及网络建设各专业规范化建设及网络建设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县级统计工作者考核办法（试行）》（川统计[2016]40号）、《四川省乡镇（街道）统计工作考核办法（试行）》（川统计[2016]26号）要求，将基层统计单位、名录库更新维护。以及名录库规范化建设相关工作纳入财政常规预算；根据2016年6月30日《四川省统计系统信息化工作考核办法》。用于乡镇街道、局内规范化建设网络通信专线4条维护使用费预计支付移动及电信6万元；年鉴编辑印刷费5万元组织全区在库企业及单位进行规范化培训，预计召开6次培训所需费用1.96万元；对企业及单位规范化情况进行督查、指导、交叉检查等活动所需差旅费预计1.5万元，租车费1</w:t>
            </w:r>
            <w:r>
              <w:rPr>
                <w:rFonts w:hint="eastAsia" w:ascii="宋体" w:hAnsi="宋体" w:cs="宋体"/>
                <w:i w:val="0"/>
                <w:iCs w:val="0"/>
                <w:color w:val="000000"/>
                <w:kern w:val="0"/>
                <w:sz w:val="18"/>
                <w:szCs w:val="18"/>
                <w:u w:val="none"/>
                <w:lang w:val="en-US" w:eastAsia="zh-CN" w:bidi="ar"/>
              </w:rPr>
              <w:t>万元</w:t>
            </w:r>
            <w:r>
              <w:rPr>
                <w:rFonts w:ascii="宋体" w:hAnsi="宋体" w:eastAsia="宋体" w:cs="宋体"/>
                <w:i w:val="0"/>
                <w:iCs w:val="0"/>
                <w:color w:val="000000"/>
                <w:kern w:val="0"/>
                <w:sz w:val="18"/>
                <w:szCs w:val="18"/>
                <w:u w:val="none"/>
                <w:lang w:val="en-US" w:eastAsia="zh-CN" w:bidi="ar"/>
              </w:rPr>
              <w:t>，相关工作的广告宣传费预计2万元，其他费用3.6万元。从而保障统计系统本辖区内网络建设、网络安全、网络覆盖，确保信息化建设全面推广，安全运行。</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区统计局加强信息化建设和管理工作，根据工作需要更换一台防火墙设备，完善防火墙策略配置，提高防护安全；规范管理全区统计系统内网电脑的IP和账号，实行实名登记并存档，建立“谁使用、谁负责”制度，确保责任落实；加强与电信、移动的沟通协调，确保统计系统办公网络畅通；加强人员培训，结合五经普和各专业日常需求，多形式培训统计系统干部职工，顺利完成了五经普普查区划分及地图绘制工作，提高了统计系统整体信息化素质。</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台账、年鉴编辑印刷资料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购买宣传横幅、制度牌等数量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组织召开规范化培训次数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使用移动、电信网络专线数量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出差人次差距为</w:t>
            </w:r>
            <w:r>
              <w:rPr>
                <w:rFonts w:hint="eastAsia" w:ascii="Times New Roman" w:hAnsi="Times New Roman"/>
                <w:kern w:val="0"/>
                <w:szCs w:val="21"/>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租车辆数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台账、年鉴编辑印刷资料验收合格率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移动、电信网络专线通畅率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出差人数出勤率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购买宣传横幅、制度牌等验收合格率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网络建设、网络安全、网络覆盖率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9928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16678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各专业规范化建设及网络建设项目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w:t>
            </w:r>
            <w:bookmarkStart w:id="81" w:name="_GoBack"/>
            <w:bookmarkEnd w:id="81"/>
            <w:r>
              <w:rPr>
                <w:rFonts w:hint="eastAsia" w:ascii="宋体" w:hAnsi="宋体" w:eastAsia="宋体" w:cs="宋体"/>
                <w:i w:val="0"/>
                <w:iCs w:val="0"/>
                <w:color w:val="000000"/>
                <w:kern w:val="0"/>
                <w:sz w:val="18"/>
                <w:szCs w:val="18"/>
                <w:u w:val="none"/>
                <w:lang w:val="zh-CN" w:eastAsia="zh-CN" w:bidi="ar"/>
              </w:rPr>
              <w:t>效目标和预算资金进行调整，致使年末项目</w:t>
            </w:r>
            <w:r>
              <w:rPr>
                <w:rFonts w:hint="eastAsia"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zh-CN" w:eastAsia="zh-CN" w:bidi="ar"/>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49"/>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51090322T000000343038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劳动力调查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2023年预算7万元用于劳动力调查工作，用于8个调查员补贴</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调查员业务员培训不少于4次，购买调查小礼品约1500个，租车约3辆，差旅费。及时、准确反映我区城乡劳动力资源、就业和失业人口状况（总量、结构、分布等），为区委区府准确研判就业形势，制定和调整就业政策，改善宏观调控，加强就业服务管理</w:t>
            </w:r>
            <w:r>
              <w:rPr>
                <w:rFonts w:hint="eastAsia" w:ascii="宋体" w:hAnsi="宋体" w:cs="宋体"/>
                <w:i w:val="0"/>
                <w:iCs w:val="0"/>
                <w:color w:val="000000"/>
                <w:kern w:val="0"/>
                <w:sz w:val="18"/>
                <w:szCs w:val="18"/>
                <w:u w:val="none"/>
                <w:lang w:val="en-US" w:eastAsia="zh-CN" w:bidi="ar"/>
              </w:rPr>
              <w:t>提供有力</w:t>
            </w:r>
            <w:r>
              <w:rPr>
                <w:rFonts w:ascii="宋体" w:hAnsi="宋体" w:eastAsia="宋体" w:cs="宋体"/>
                <w:i w:val="0"/>
                <w:iCs w:val="0"/>
                <w:color w:val="000000"/>
                <w:kern w:val="0"/>
                <w:sz w:val="18"/>
                <w:szCs w:val="18"/>
                <w:u w:val="none"/>
                <w:lang w:val="en-US" w:eastAsia="zh-CN" w:bidi="ar"/>
              </w:rPr>
              <w:t>的数据支撑。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2023年区统计局组织调查员培训3次，开展自查1次，交叉检查1次。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购买小礼品个数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监测数据使用率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21"/>
              </w:rPr>
              <w:t>监测数据使用率</w:t>
            </w:r>
            <w:r>
              <w:rPr>
                <w:rFonts w:hint="eastAsia" w:ascii="Times New Roman" w:hAnsi="Times New Roman"/>
                <w:color w:val="000000"/>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劳动力调查工作保障率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调查员补贴费用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购买小礼品成本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未购买小礼品预期成本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2023年劳动力调查专项经费项目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项目绩效评估、绩效目标指标设置还不够完整、合理，</w:t>
            </w:r>
            <w:r>
              <w:rPr>
                <w:rFonts w:hint="eastAsia" w:ascii="宋体" w:hAnsi="宋体" w:eastAsia="宋体" w:cs="宋体"/>
                <w:i w:val="0"/>
                <w:iCs w:val="0"/>
                <w:color w:val="000000"/>
                <w:kern w:val="0"/>
                <w:sz w:val="18"/>
                <w:szCs w:val="18"/>
                <w:u w:val="none"/>
                <w:lang w:val="en-US"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49"/>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根据遂调字【2020】10号文件要求，开展全区粮食统计调查工作，准确监测全区粮食生产情况。</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keepNext w:val="0"/>
              <w:keepLines w:val="0"/>
              <w:pageBreakBefore w:val="0"/>
              <w:numPr>
                <w:ilvl w:val="0"/>
                <w:numId w:val="0"/>
              </w:numPr>
              <w:wordWrap/>
              <w:autoSpaceDE/>
              <w:autoSpaceDN/>
              <w:bidi w:val="0"/>
              <w:spacing w:line="520" w:lineRule="exact"/>
              <w:ind w:firstLine="360" w:firstLineChars="20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2023年区统计局组织培训4次，开展自查2次，交叉检查1次、创建粮食监测点15个，准确监测了全区粮食生产情况。</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辅调员、观察员人数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调查结果准确率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辅调员、观察员补贴成本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5.79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rPr>
            </w:pPr>
            <w:r>
              <w:rPr>
                <w:rFonts w:hint="eastAsia" w:ascii="微软雅黑" w:hAnsi="微软雅黑" w:eastAsia="微软雅黑" w:cs="微软雅黑"/>
                <w:i/>
                <w:iCs/>
                <w:color w:val="000000"/>
                <w:sz w:val="16"/>
                <w:szCs w:val="16"/>
                <w:u w:val="none"/>
                <w:lang w:val="zh-CN"/>
              </w:rPr>
              <w:t>根据绩效评价指标体系，我局粮食监测工作经费项目支出绩效自评得分</w:t>
            </w:r>
            <w:r>
              <w:rPr>
                <w:rFonts w:hint="eastAsia" w:ascii="微软雅黑" w:hAnsi="微软雅黑" w:eastAsia="微软雅黑" w:cs="微软雅黑"/>
                <w:i/>
                <w:iCs/>
                <w:color w:val="000000"/>
                <w:sz w:val="16"/>
                <w:szCs w:val="16"/>
                <w:u w:val="none"/>
                <w:lang w:val="en-US" w:eastAsia="zh-CN"/>
              </w:rPr>
              <w:t>98</w:t>
            </w:r>
            <w:r>
              <w:rPr>
                <w:rFonts w:hint="eastAsia" w:ascii="微软雅黑" w:hAnsi="微软雅黑" w:eastAsia="微软雅黑" w:cs="微软雅黑"/>
                <w:i/>
                <w:iCs/>
                <w:color w:val="000000"/>
                <w:sz w:val="16"/>
                <w:szCs w:val="16"/>
                <w:u w:val="none"/>
                <w:lang w:val="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1"/>
        <w:gridCol w:w="907"/>
        <w:gridCol w:w="1201"/>
        <w:gridCol w:w="398"/>
        <w:gridCol w:w="851"/>
        <w:gridCol w:w="396"/>
        <w:gridCol w:w="847"/>
        <w:gridCol w:w="487"/>
        <w:gridCol w:w="397"/>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51090322T000000342799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企业联网直报工作经费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府阅[2011]81号研究全市统计工作会议的纪要以及王金兵2015年签发的船山区第369号《关于“提高四上企业统计人员经费的请示”》。2023年预算450000元，用于联网直报规上、限上企业预计320户，每月100元，支付统计人员劳动费共计38.4万元；组织各专业企业培训每季度1次、年报半年报各一次，预计相关培训费2.8万元；印刷台账制作制度标语等、下乡镇企业指导工作等相关工作经费预计印刷费1万元、差旅费1.2万元、其他1.6万元。保障所有“四上”企业报送统计报表。</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2023年区统计局组织培训12次，开展自查10次，交叉检查12次。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全年统计人员劳动补贴发放人数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全年业务培训次数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kern w:val="0"/>
                <w:sz w:val="21"/>
                <w:szCs w:val="21"/>
              </w:rPr>
              <w:t>全年出差人次</w:t>
            </w:r>
            <w:r>
              <w:rPr>
                <w:rFonts w:hint="eastAsia" w:eastAsia="宋体"/>
                <w:kern w:val="0"/>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培训人员参与率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台账印刷验收合格率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统计人员劳动补贴发放准确率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培训开展及时率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全区统计数据台账登记工作保障率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数据统计覆盖率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rPr>
              <w:t>数据统计覆盖率</w:t>
            </w:r>
            <w:r>
              <w:rPr>
                <w:rFonts w:hint="eastAsia" w:eastAsia="宋体" w:cs="宋体"/>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信息管理制度健全性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数据使用人员满意度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劳务费成本控制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366450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6510元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rPr>
              <w:t>出差成本</w:t>
            </w:r>
            <w:r>
              <w:rPr>
                <w:rFonts w:hint="eastAsia" w:eastAsia="宋体" w:cs="宋体"/>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18793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lang w:val="en-US" w:eastAsia="zh-CN"/>
              </w:rPr>
              <w:t>培训</w:t>
            </w:r>
            <w:r>
              <w:rPr>
                <w:rFonts w:hint="eastAsia" w:eastAsia="宋体" w:cs="宋体"/>
                <w:sz w:val="21"/>
                <w:szCs w:val="21"/>
              </w:rPr>
              <w:t>成本</w:t>
            </w:r>
            <w:r>
              <w:rPr>
                <w:rFonts w:hint="eastAsia" w:eastAsia="宋体" w:cs="宋体"/>
                <w:sz w:val="21"/>
                <w:szCs w:val="21"/>
                <w:lang w:val="en-US" w:eastAsia="zh-CN"/>
              </w:rPr>
              <w:t>占</w:t>
            </w:r>
            <w:r>
              <w:rPr>
                <w:rFonts w:hint="eastAsia" w:eastAsia="宋体" w:cs="宋体"/>
                <w:sz w:val="21"/>
                <w:szCs w:val="21"/>
                <w:lang w:eastAsia="zh-CN"/>
              </w:rPr>
              <w:t>预期</w:t>
            </w:r>
            <w:r>
              <w:rPr>
                <w:rFonts w:hint="eastAsia" w:eastAsia="宋体" w:cs="宋体"/>
                <w:sz w:val="21"/>
                <w:szCs w:val="21"/>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企业联网直报工作经费项目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96</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2"/>
        <w:gridCol w:w="396"/>
        <w:gridCol w:w="848"/>
        <w:gridCol w:w="397"/>
        <w:gridCol w:w="847"/>
        <w:gridCol w:w="487"/>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51090322T000000343025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社情民意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2023年印刷宣传统计法日历，宣传横幅，发放宣传礼品，向全区人民宣传统计法，提升群众对调查工作的配合度，提升统计调查数据质量。</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2023年区统计局组织各类调查5次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购买宣传小礼品数量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购买的宣传小礼品数量只有预期的</w:t>
            </w:r>
            <w:r>
              <w:rPr>
                <w:rFonts w:hint="eastAsia" w:ascii="Times New Roman" w:hAnsi="Times New Roman"/>
                <w:kern w:val="0"/>
                <w:szCs w:val="21"/>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购买宣传统计法日历数量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宣传统计法日历验收合格率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统计调查工作宣传范围内群众知晓率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信息管理制度健全性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宣传横幅及宣传小礼品成本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统计法宣传日历成本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社情民意调查项目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97</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10"/>
        <w:gridCol w:w="1204"/>
        <w:gridCol w:w="396"/>
        <w:gridCol w:w="851"/>
        <w:gridCol w:w="396"/>
        <w:gridCol w:w="846"/>
        <w:gridCol w:w="486"/>
        <w:gridCol w:w="39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51090322T000000342843-生猪监测、农业统计等统计项目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计支出10万元，通过购置账本、笔、笔记本、资料袋等共计10000元，发放调查补助劳务费合计48440元，预计全年进行6次业务培训，所需经费共13000元，统计、监测相关工作差旅费预计6人共14000元；其他费用14560元，完成全区生猪监测、畜禽监测、农村及农业统计工作。</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keepNext w:val="0"/>
              <w:keepLines w:val="0"/>
              <w:pageBreakBefore w:val="0"/>
              <w:numPr>
                <w:ilvl w:val="0"/>
                <w:numId w:val="0"/>
              </w:numPr>
              <w:wordWrap/>
              <w:autoSpaceDE/>
              <w:autoSpaceDN/>
              <w:bidi w:val="0"/>
              <w:spacing w:line="500" w:lineRule="exact"/>
              <w:ind w:firstLine="360" w:firstLineChars="20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2023年区统计局组织培训3次，开展自查2次，创建非大型生猪养殖监测点13个，大型生猪养殖户28户。</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统计监测相关工作出差人数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农业农村统计业务培训次数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szCs w:val="20"/>
              </w:rPr>
              <w:t>开展培训次数</w:t>
            </w:r>
            <w:r>
              <w:rPr>
                <w:rFonts w:hint="eastAsia" w:ascii="Times New Roman" w:hAnsi="Times New Roman"/>
                <w:szCs w:val="20"/>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农业农村统计业务培训参与率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监测工作完成及时率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统计、监测数据覆盖率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检测数据利用率</w:t>
            </w:r>
            <w:r>
              <w:rPr>
                <w:rFonts w:hint="eastAsia" w:ascii="Times New Roman" w:hAnsi="Times New Roman"/>
                <w:color w:val="000000"/>
                <w:szCs w:val="18"/>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工作差旅费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14000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培训成本</w:t>
            </w:r>
            <w:r>
              <w:rPr>
                <w:rFonts w:hint="eastAsia" w:ascii="Times New Roman" w:hAnsi="Times New Roman"/>
                <w:color w:val="000000"/>
                <w:szCs w:val="18"/>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购置账本、笔、笔记本、资料袋等成本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生猪监测、农业统计等经费项目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95</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2"/>
        <w:gridCol w:w="396"/>
        <w:gridCol w:w="848"/>
        <w:gridCol w:w="397"/>
        <w:gridCol w:w="847"/>
        <w:gridCol w:w="487"/>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51090322T000000342984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乡村振兴战略统计工作经费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2019年领导批示的遂统船【2019】19号，2023年预算5万元购买账本、笔、笔记本、资料袋等5000元；印刷乡村振兴台账、宣传资料、会议用报表等费用预计1万元；统计人员下乡开展乡村振兴工作所需差旅费预计1万元，相关业务培训每季度2次，年报、半年报各一次，预计费用1.5万元，及其他费用1万元，进行乡村振兴进行数据统计、监测、分析，为全区乡村振兴提供保障。</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3"/>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2023年区统计局组织培训3次，开展自查2次，成功报送村表147张，镇表24张，县表1张</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乡村振兴购买账本、笔、笔记本、资料袋等</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相关业务培训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印刷乡村振兴台账、宣传资料、会议用报表等</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统计、监测数据覆盖率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数据使用对象满意度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印刷乡村振兴台账、宣传资料、会议用报表等成本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出差成本占预期18%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相关业务培训成本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0.68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0.68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乡村振兴战略统计监测工作项目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及时对绩效目标和预算资金进行调整，致使年末项目</w:t>
            </w:r>
            <w:r>
              <w:rPr>
                <w:rFonts w:hint="eastAsia"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zh-CN" w:eastAsia="zh-CN" w:bidi="ar"/>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2"/>
        <w:gridCol w:w="909"/>
        <w:gridCol w:w="1203"/>
        <w:gridCol w:w="396"/>
        <w:gridCol w:w="853"/>
        <w:gridCol w:w="396"/>
        <w:gridCol w:w="846"/>
        <w:gridCol w:w="486"/>
        <w:gridCol w:w="396"/>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51090322T000007111618-公益性岗位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确保船山区2023年城乡一体化工作顺利完成</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公益性岗位人数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城乡一体化2022年完成率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城乡一体化工作指标利用率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记账人员满意度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25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ascii="仿宋_GB2312" w:hAnsi="Calibri" w:eastAsia="仿宋_GB2312" w:cs="仿宋"/>
          <w:color w:val="auto"/>
          <w:kern w:val="0"/>
          <w:sz w:val="32"/>
          <w:szCs w:val="32"/>
          <w:highlight w:val="none"/>
          <w:lang w:val="en-US" w:eastAsia="zh-CN" w:bidi="ar-SA"/>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0"/>
        <w:gridCol w:w="927"/>
        <w:gridCol w:w="1221"/>
        <w:gridCol w:w="396"/>
        <w:gridCol w:w="871"/>
        <w:gridCol w:w="396"/>
        <w:gridCol w:w="756"/>
        <w:gridCol w:w="486"/>
        <w:gridCol w:w="396"/>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51090322T000005719386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提高全区统计工作质量</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通过统计业务项目的实施，全区统计工作顺利开展。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印刷资料份数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记账完成情况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540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w:t>
            </w:r>
            <w:r>
              <w:rPr>
                <w:rFonts w:hint="eastAsia" w:ascii="宋体" w:hAnsi="宋体" w:eastAsia="宋体" w:cs="宋体"/>
                <w:i w:val="0"/>
                <w:iCs w:val="0"/>
                <w:color w:val="000000"/>
                <w:kern w:val="0"/>
                <w:sz w:val="18"/>
                <w:szCs w:val="18"/>
                <w:u w:val="none"/>
                <w:lang w:val="en-US" w:eastAsia="zh-CN" w:bidi="ar"/>
              </w:rPr>
              <w:t>价</w:t>
            </w:r>
            <w:r>
              <w:rPr>
                <w:rFonts w:ascii="宋体" w:hAnsi="宋体" w:eastAsia="宋体" w:cs="宋体"/>
                <w:i w:val="0"/>
                <w:iCs w:val="0"/>
                <w:color w:val="000000"/>
                <w:kern w:val="0"/>
                <w:sz w:val="18"/>
                <w:szCs w:val="18"/>
                <w:u w:val="none"/>
                <w:lang w:val="en-US" w:eastAsia="zh-CN" w:bidi="ar"/>
              </w:rPr>
              <w:t>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经过自评，该项目运行状况良好，自评得分为88分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绩效管理理念还未深入，预算绩效管理主体意识不强。预算绩效管理工作政策性强、专业性强、涉及面广、操作难度大，对于基层从事此项工作的财务人员具有许多新的挑战。绩效指标编制不理想，绩效目标没有完全、完整反映项目的绩效目标。共性指标设置难以量化，指标体系科学化设置难度较大，个别绩效指标量化程度不高，可考核性不强。</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5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spacing w:line="600" w:lineRule="exact"/>
        <w:jc w:val="center"/>
        <w:outlineLvl w:val="0"/>
        <w:rPr>
          <w:rFonts w:hint="eastAsia" w:ascii="仿宋" w:hAnsi="仿宋" w:eastAsia="仿宋"/>
          <w:b w:val="0"/>
          <w:color w:val="auto"/>
          <w:highlight w:val="none"/>
        </w:rPr>
      </w:pPr>
      <w:bookmarkStart w:id="67" w:name="_Toc26276"/>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67"/>
    </w:p>
    <w:p>
      <w:pPr>
        <w:pStyle w:val="5"/>
        <w:rPr>
          <w:rFonts w:ascii="仿宋" w:hAnsi="仿宋" w:eastAsia="仿宋"/>
          <w:color w:val="auto"/>
          <w:highlight w:val="none"/>
        </w:rPr>
      </w:pPr>
      <w:bookmarkStart w:id="68" w:name="_Toc11235"/>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68"/>
    </w:p>
    <w:p>
      <w:pPr>
        <w:pStyle w:val="5"/>
        <w:rPr>
          <w:rFonts w:ascii="仿宋" w:hAnsi="仿宋" w:eastAsia="仿宋"/>
          <w:color w:val="auto"/>
          <w:highlight w:val="none"/>
        </w:rPr>
      </w:pPr>
      <w:bookmarkStart w:id="69" w:name="_Toc1323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69"/>
    </w:p>
    <w:p>
      <w:pPr>
        <w:pStyle w:val="5"/>
        <w:rPr>
          <w:rFonts w:ascii="仿宋" w:hAnsi="仿宋" w:eastAsia="仿宋"/>
          <w:color w:val="auto"/>
          <w:highlight w:val="none"/>
        </w:rPr>
      </w:pPr>
      <w:bookmarkStart w:id="70" w:name="_Toc8418"/>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70"/>
    </w:p>
    <w:p>
      <w:pPr>
        <w:pStyle w:val="5"/>
        <w:rPr>
          <w:rFonts w:ascii="仿宋" w:hAnsi="仿宋" w:eastAsia="仿宋"/>
          <w:b w:val="0"/>
          <w:color w:val="auto"/>
          <w:highlight w:val="none"/>
        </w:rPr>
      </w:pPr>
      <w:bookmarkStart w:id="71" w:name="_Toc27128"/>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71"/>
    </w:p>
    <w:p>
      <w:pPr>
        <w:pStyle w:val="5"/>
        <w:rPr>
          <w:rStyle w:val="18"/>
          <w:rFonts w:ascii="仿宋" w:hAnsi="仿宋" w:eastAsia="仿宋"/>
          <w:b w:val="0"/>
          <w:bCs w:val="0"/>
          <w:color w:val="auto"/>
          <w:highlight w:val="none"/>
        </w:rPr>
      </w:pPr>
      <w:bookmarkStart w:id="72" w:name="_Toc16722"/>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72"/>
    </w:p>
    <w:p>
      <w:pPr>
        <w:pStyle w:val="5"/>
        <w:rPr>
          <w:rFonts w:ascii="仿宋" w:hAnsi="仿宋" w:eastAsia="仿宋"/>
          <w:color w:val="auto"/>
          <w:highlight w:val="none"/>
        </w:rPr>
      </w:pPr>
      <w:bookmarkStart w:id="73" w:name="_Toc13666"/>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73"/>
    </w:p>
    <w:p>
      <w:pPr>
        <w:pStyle w:val="5"/>
        <w:rPr>
          <w:rFonts w:ascii="仿宋" w:hAnsi="仿宋" w:eastAsia="仿宋"/>
          <w:color w:val="auto"/>
          <w:highlight w:val="none"/>
        </w:rPr>
      </w:pPr>
      <w:bookmarkStart w:id="74" w:name="_Toc29962"/>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74"/>
    </w:p>
    <w:p>
      <w:pPr>
        <w:pStyle w:val="5"/>
        <w:rPr>
          <w:rFonts w:ascii="仿宋" w:hAnsi="仿宋" w:eastAsia="仿宋"/>
          <w:color w:val="auto"/>
          <w:highlight w:val="none"/>
        </w:rPr>
      </w:pPr>
      <w:bookmarkStart w:id="75" w:name="_Toc1014"/>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75"/>
    </w:p>
    <w:p>
      <w:pPr>
        <w:pStyle w:val="5"/>
        <w:rPr>
          <w:rFonts w:ascii="仿宋" w:hAnsi="仿宋" w:eastAsia="仿宋"/>
          <w:color w:val="auto"/>
          <w:highlight w:val="none"/>
        </w:rPr>
      </w:pPr>
      <w:bookmarkStart w:id="76" w:name="_Toc18746"/>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76"/>
    </w:p>
    <w:p>
      <w:pPr>
        <w:pStyle w:val="5"/>
        <w:rPr>
          <w:rFonts w:ascii="仿宋" w:hAnsi="仿宋" w:eastAsia="仿宋"/>
          <w:color w:val="auto"/>
          <w:highlight w:val="none"/>
        </w:rPr>
      </w:pPr>
      <w:bookmarkStart w:id="77" w:name="_Toc20554"/>
      <w:r>
        <w:rPr>
          <w:rStyle w:val="18"/>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bookmarkEnd w:id="77"/>
    </w:p>
    <w:p>
      <w:pPr>
        <w:pStyle w:val="5"/>
        <w:rPr>
          <w:rFonts w:ascii="仿宋" w:hAnsi="仿宋" w:eastAsia="仿宋"/>
          <w:color w:val="auto"/>
          <w:highlight w:val="none"/>
        </w:rPr>
      </w:pPr>
      <w:bookmarkStart w:id="78" w:name="_Toc28596"/>
      <w:r>
        <w:rPr>
          <w:rStyle w:val="18"/>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bookmarkEnd w:id="78"/>
    </w:p>
    <w:p>
      <w:pPr>
        <w:pStyle w:val="5"/>
        <w:rPr>
          <w:rFonts w:ascii="仿宋" w:hAnsi="仿宋" w:eastAsia="仿宋"/>
          <w:color w:val="auto"/>
          <w:highlight w:val="none"/>
        </w:rPr>
      </w:pPr>
      <w:bookmarkStart w:id="79" w:name="_Toc2072"/>
      <w:r>
        <w:rPr>
          <w:rStyle w:val="18"/>
          <w:rFonts w:hint="eastAsia" w:ascii="仿宋" w:hAnsi="仿宋" w:eastAsia="仿宋"/>
          <w:b w:val="0"/>
          <w:bCs w:val="0"/>
          <w:color w:val="auto"/>
          <w:highlight w:val="none"/>
        </w:rPr>
        <w:t>十二、</w:t>
      </w:r>
      <w:r>
        <w:rPr>
          <w:rStyle w:val="18"/>
          <w:rFonts w:hint="eastAsia" w:ascii="仿宋" w:hAnsi="仿宋" w:eastAsia="仿宋"/>
          <w:b w:val="0"/>
          <w:bCs w:val="0"/>
          <w:color w:val="auto"/>
          <w:highlight w:val="none"/>
          <w:lang w:eastAsia="zh-CN"/>
        </w:rPr>
        <w:t>国有资本经营预算财政拨款支出决算表</w:t>
      </w:r>
      <w:bookmarkEnd w:id="79"/>
    </w:p>
    <w:p>
      <w:pPr>
        <w:pStyle w:val="5"/>
        <w:rPr>
          <w:rFonts w:hint="eastAsia" w:eastAsia="仿宋"/>
          <w:color w:val="auto"/>
          <w:highlight w:val="none"/>
          <w:lang w:eastAsia="zh-CN"/>
        </w:rPr>
      </w:pPr>
      <w:bookmarkStart w:id="80" w:name="_Toc23992"/>
      <w:r>
        <w:rPr>
          <w:rStyle w:val="18"/>
          <w:rFonts w:hint="eastAsia" w:ascii="仿宋" w:hAnsi="仿宋" w:eastAsia="仿宋"/>
          <w:b w:val="0"/>
          <w:bCs w:val="0"/>
          <w:color w:val="auto"/>
          <w:highlight w:val="none"/>
        </w:rPr>
        <w:t>十三、</w:t>
      </w:r>
      <w:r>
        <w:rPr>
          <w:rStyle w:val="18"/>
          <w:rFonts w:hint="eastAsia" w:ascii="仿宋" w:hAnsi="仿宋" w:eastAsia="仿宋"/>
          <w:b w:val="0"/>
          <w:bCs w:val="0"/>
          <w:color w:val="auto"/>
          <w:highlight w:val="none"/>
          <w:lang w:eastAsia="zh-CN"/>
        </w:rPr>
        <w:t>财政拨款“三公”经费支出决算表</w:t>
      </w:r>
      <w:bookmarkEnd w:id="80"/>
    </w:p>
    <w:p/>
    <w:p/>
    <w:sectPr>
      <w:footerReference r:id="rId6"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mYwMWNiMzExM2Y5YjVmOTc0NDU3ZDg5MmU4OWEifQ=="/>
  </w:docVars>
  <w:rsids>
    <w:rsidRoot w:val="0F9528C9"/>
    <w:rsid w:val="0F9528C9"/>
    <w:rsid w:val="12FC6F7F"/>
    <w:rsid w:val="1758664A"/>
    <w:rsid w:val="3F6C3738"/>
    <w:rsid w:val="7DA33684"/>
    <w:rsid w:val="7F99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8"/>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line="323" w:lineRule="atLeast"/>
      <w:ind w:right="-120"/>
      <w:jc w:val="center"/>
      <w:textAlignment w:val="baseline"/>
    </w:pPr>
    <w:rPr>
      <w:color w:val="FF0000"/>
      <w:kern w:val="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kern w:val="0"/>
      <w:sz w:val="28"/>
      <w:szCs w:val="20"/>
    </w:r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footnote text"/>
    <w:basedOn w:val="1"/>
    <w:next w:val="8"/>
    <w:semiHidden/>
    <w:qFormat/>
    <w:uiPriority w:val="0"/>
    <w:pPr>
      <w:snapToGrid w:val="0"/>
      <w:jc w:val="left"/>
    </w:pPr>
    <w:rPr>
      <w:sz w:val="18"/>
      <w:szCs w:val="1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customStyle="1" w:styleId="17">
    <w:name w:val="标题 1 Char"/>
    <w:basedOn w:val="15"/>
    <w:link w:val="4"/>
    <w:qFormat/>
    <w:uiPriority w:val="9"/>
    <w:rPr>
      <w:b/>
      <w:bCs/>
      <w:kern w:val="44"/>
      <w:sz w:val="44"/>
      <w:szCs w:val="44"/>
    </w:rPr>
  </w:style>
  <w:style w:type="character" w:customStyle="1" w:styleId="18">
    <w:name w:val="标题 2 Char"/>
    <w:basedOn w:val="15"/>
    <w:link w:val="5"/>
    <w:qFormat/>
    <w:uiPriority w:val="9"/>
    <w:rPr>
      <w:rFonts w:ascii="Cambria" w:hAnsi="Cambria" w:eastAsia="宋体" w:cs="Times New Roman"/>
      <w:b/>
      <w:bCs/>
      <w:sz w:val="32"/>
      <w:szCs w:val="32"/>
    </w:rPr>
  </w:style>
  <w:style w:type="paragraph"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BodyText1I2"/>
    <w:basedOn w:val="24"/>
    <w:qFormat/>
    <w:uiPriority w:val="0"/>
    <w:pPr>
      <w:ind w:firstLine="420"/>
    </w:pPr>
  </w:style>
  <w:style w:type="paragraph" w:customStyle="1" w:styleId="24">
    <w:name w:val="BodyTextIndent"/>
    <w:basedOn w:val="1"/>
    <w:qFormat/>
    <w:uiPriority w:val="0"/>
    <w:pPr>
      <w:ind w:firstLine="640" w:firstLineChars="200"/>
      <w:textAlignment w:val="baseline"/>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16546</Words>
  <Characters>18957</Characters>
  <Lines>0</Lines>
  <Paragraphs>0</Paragraphs>
  <TotalTime>10</TotalTime>
  <ScaleCrop>false</ScaleCrop>
  <LinksUpToDate>false</LinksUpToDate>
  <CharactersWithSpaces>19096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2024-09-10T02:20:00Z</dcterms:created>
  <dc:creator>23789</dc:creator>
  <cp:lastModifiedBy>船山区统计局</cp:lastModifiedBy>
  <dcterms:modified xsi:type="dcterms:W3CDTF">2024-09-12T02:11:41Z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A520AC5306A04C35A8BC7C546EBC12A1_11</vt:lpwstr>
  </property>
</Properties>
</file>