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96475"/>
      <w:bookmarkStart w:id="3" w:name="_Toc15378441"/>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End w:id="0"/>
      <w:bookmarkEnd w:id="1"/>
      <w:bookmarkEnd w:id="2"/>
      <w:bookmarkEnd w:id="3"/>
      <w:bookmarkEnd w:id="4"/>
    </w:p>
    <w:p>
      <w:pPr>
        <w:adjustRightInd w:val="0"/>
        <w:snapToGrid w:val="0"/>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96598"/>
      <w:bookmarkStart w:id="9" w:name="_Toc15377426"/>
      <w:bookmarkStart w:id="10" w:name="_Toc15378442"/>
      <w:r>
        <w:rPr>
          <w:rFonts w:hint="eastAsia" w:ascii="方正小标宋简体" w:hAnsi="宋体" w:eastAsia="方正小标宋简体" w:cs="Times New Roman"/>
          <w:color w:val="auto"/>
          <w:kern w:val="2"/>
          <w:sz w:val="44"/>
          <w:szCs w:val="44"/>
          <w:highlight w:val="none"/>
          <w:lang w:val="en-US" w:eastAsia="zh-CN" w:bidi="ar-SA"/>
        </w:rPr>
        <w:t>四川省</w:t>
      </w:r>
      <w:bookmarkEnd w:id="5"/>
      <w:bookmarkStart w:id="11" w:name="_Toc15306268"/>
      <w:r>
        <w:rPr>
          <w:rFonts w:hint="eastAsia" w:ascii="方正小标宋简体" w:hAnsi="宋体" w:eastAsia="方正小标宋简体" w:cs="Times New Roman"/>
          <w:color w:val="auto"/>
          <w:kern w:val="2"/>
          <w:sz w:val="44"/>
          <w:szCs w:val="44"/>
          <w:highlight w:val="none"/>
          <w:lang w:val="en-US" w:eastAsia="zh-CN" w:bidi="ar-SA"/>
        </w:rPr>
        <w:t>遂宁市船山区住房和城乡建设局</w:t>
      </w:r>
    </w:p>
    <w:p>
      <w:pPr>
        <w:adjustRightInd w:val="0"/>
        <w:snapToGrid w:val="0"/>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rPr>
          <w:color w:val="auto"/>
          <w:highlight w:val="none"/>
        </w:rPr>
      </w:pPr>
    </w:p>
    <w:p>
      <w:pPr>
        <w:pStyle w:val="14"/>
        <w:tabs>
          <w:tab w:val="right" w:leader="dot" w:pos="8306"/>
          <w:tab w:val="clear" w:pos="8296"/>
        </w:tabs>
      </w:pPr>
      <w:bookmarkStart w:id="12" w:name="_Toc15396599"/>
      <w:bookmarkStart w:id="13" w:name="_Toc15377196"/>
      <w:r>
        <w:rPr>
          <w:rFonts w:ascii="仿宋" w:hAnsi="仿宋" w:eastAsia="仿宋"/>
          <w:b/>
          <w:color w:val="auto"/>
          <w:sz w:val="24"/>
          <w:highlight w:val="none"/>
        </w:rPr>
        <w:fldChar w:fldCharType="begin"/>
      </w:r>
      <w:r>
        <w:rPr>
          <w:rFonts w:ascii="仿宋" w:hAnsi="仿宋" w:eastAsia="仿宋"/>
          <w:b/>
          <w:color w:val="auto"/>
          <w:sz w:val="24"/>
          <w:highlight w:val="none"/>
        </w:rPr>
        <w:instrText xml:space="preserve">TOC \o "1-2" \h \u </w:instrText>
      </w:r>
      <w:r>
        <w:rPr>
          <w:rFonts w:ascii="仿宋" w:hAnsi="仿宋" w:eastAsia="仿宋"/>
          <w:b/>
          <w:color w:val="auto"/>
          <w:sz w:val="24"/>
          <w:highlight w:val="none"/>
        </w:rPr>
        <w:fldChar w:fldCharType="separate"/>
      </w:r>
      <w:r>
        <w:rPr>
          <w:rFonts w:ascii="仿宋" w:hAnsi="仿宋" w:eastAsia="仿宋"/>
          <w:color w:val="auto"/>
          <w:highlight w:val="none"/>
        </w:rPr>
        <w:fldChar w:fldCharType="begin"/>
      </w:r>
      <w:r>
        <w:rPr>
          <w:rFonts w:ascii="仿宋" w:hAnsi="仿宋" w:eastAsia="仿宋"/>
          <w:highlight w:val="none"/>
        </w:rPr>
        <w:instrText xml:space="preserve"> HYPERLINK \l _Toc12213 </w:instrText>
      </w:r>
      <w:r>
        <w:rPr>
          <w:rFonts w:ascii="仿宋" w:hAnsi="仿宋" w:eastAsia="仿宋"/>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lang w:eastAsia="zh-CN"/>
        </w:rPr>
        <w:t>单位</w:t>
      </w:r>
      <w:r>
        <w:rPr>
          <w:rFonts w:hint="eastAsia" w:ascii="黑体" w:hAnsi="黑体" w:eastAsia="黑体"/>
          <w:bCs w:val="0"/>
          <w:highlight w:val="none"/>
        </w:rPr>
        <w:t>概况</w:t>
      </w:r>
      <w:r>
        <w:tab/>
      </w:r>
      <w:r>
        <w:fldChar w:fldCharType="begin"/>
      </w:r>
      <w:r>
        <w:instrText xml:space="preserve"> PAGEREF _Toc12213 </w:instrText>
      </w:r>
      <w:r>
        <w:fldChar w:fldCharType="separate"/>
      </w:r>
      <w:r>
        <w:t>1</w:t>
      </w:r>
      <w:r>
        <w:fldChar w:fldCharType="end"/>
      </w:r>
      <w:r>
        <w:rPr>
          <w:rFonts w:ascii="仿宋" w:hAnsi="仿宋" w:eastAsia="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_Toc1648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一、 单位职责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_Toc1648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_Toc20104 </w:instrText>
      </w:r>
      <w:r>
        <w:rPr>
          <w:rFonts w:hint="eastAsia" w:ascii="仿宋" w:hAnsi="仿宋" w:eastAsia="仿宋" w:cs="仿宋"/>
          <w:highlight w:val="none"/>
        </w:rPr>
        <w:fldChar w:fldCharType="separate"/>
      </w:r>
      <w:r>
        <w:rPr>
          <w:rFonts w:hint="eastAsia" w:ascii="仿宋" w:hAnsi="仿宋" w:eastAsia="仿宋" w:cs="仿宋"/>
          <w:highlight w:val="none"/>
        </w:rPr>
        <w:t>二、机</w:t>
      </w:r>
      <w:r>
        <w:rPr>
          <w:rFonts w:hint="eastAsia" w:ascii="仿宋" w:hAnsi="仿宋" w:eastAsia="仿宋" w:cs="仿宋"/>
          <w:bCs w:val="0"/>
          <w:highlight w:val="none"/>
        </w:rPr>
        <w:t>构设置</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_Toc20104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4"/>
        <w:tabs>
          <w:tab w:val="right" w:leader="dot" w:pos="8306"/>
          <w:tab w:val="clear" w:pos="8296"/>
        </w:tabs>
        <w:rPr>
          <w:highlight w:val="none"/>
        </w:rPr>
      </w:pPr>
      <w:r>
        <w:rPr>
          <w:rFonts w:ascii="仿宋" w:hAnsi="仿宋" w:eastAsia="仿宋"/>
          <w:color w:val="auto"/>
          <w:highlight w:val="none"/>
        </w:rPr>
        <w:fldChar w:fldCharType="begin"/>
      </w:r>
      <w:r>
        <w:rPr>
          <w:rFonts w:ascii="仿宋" w:hAnsi="仿宋" w:eastAsia="仿宋"/>
          <w:highlight w:val="none"/>
        </w:rPr>
        <w:instrText xml:space="preserve"> HYPERLINK \l _Toc28052 </w:instrText>
      </w:r>
      <w:r>
        <w:rPr>
          <w:rFonts w:ascii="仿宋" w:hAnsi="仿宋" w:eastAsia="仿宋"/>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rPr>
          <w:highlight w:val="none"/>
        </w:rPr>
        <w:tab/>
      </w:r>
      <w:r>
        <w:rPr>
          <w:highlight w:val="none"/>
        </w:rPr>
        <w:fldChar w:fldCharType="begin"/>
      </w:r>
      <w:r>
        <w:rPr>
          <w:highlight w:val="none"/>
        </w:rPr>
        <w:instrText xml:space="preserve"> PAGEREF _Toc28052 </w:instrText>
      </w:r>
      <w:r>
        <w:rPr>
          <w:highlight w:val="none"/>
        </w:rPr>
        <w:fldChar w:fldCharType="separate"/>
      </w:r>
      <w:r>
        <w:rPr>
          <w:highlight w:val="none"/>
        </w:rPr>
        <w:t>4</w:t>
      </w:r>
      <w:r>
        <w:rPr>
          <w:highlight w:val="none"/>
        </w:rPr>
        <w:fldChar w:fldCharType="end"/>
      </w:r>
      <w:r>
        <w:rPr>
          <w:rFonts w:ascii="仿宋" w:hAnsi="仿宋" w:eastAsia="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_Toc21989 </w:instrText>
      </w:r>
      <w:r>
        <w:rPr>
          <w:rFonts w:hint="eastAsia" w:ascii="仿宋" w:hAnsi="仿宋" w:eastAsia="仿宋" w:cs="仿宋"/>
          <w:highlight w:val="none"/>
        </w:rPr>
        <w:fldChar w:fldCharType="separate"/>
      </w:r>
      <w:r>
        <w:rPr>
          <w:rFonts w:hint="eastAsia" w:ascii="仿宋" w:hAnsi="仿宋" w:eastAsia="仿宋" w:cs="仿宋"/>
          <w:highlight w:val="none"/>
        </w:rPr>
        <w:t xml:space="preserve">一、 </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_Toc21989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_Toc2631 </w:instrText>
      </w:r>
      <w:r>
        <w:rPr>
          <w:rFonts w:hint="eastAsia" w:ascii="仿宋" w:hAnsi="仿宋" w:eastAsia="仿宋" w:cs="仿宋"/>
          <w:highlight w:val="none"/>
        </w:rPr>
        <w:fldChar w:fldCharType="separate"/>
      </w:r>
      <w:r>
        <w:rPr>
          <w:rFonts w:hint="eastAsia" w:ascii="仿宋" w:hAnsi="仿宋" w:eastAsia="仿宋" w:cs="仿宋"/>
          <w:highlight w:val="none"/>
        </w:rPr>
        <w:t xml:space="preserve">二、 </w:t>
      </w:r>
      <w:r>
        <w:rPr>
          <w:rFonts w:hint="eastAsia" w:ascii="仿宋" w:hAnsi="仿宋" w:eastAsia="仿宋" w:cs="仿宋"/>
          <w:szCs w:val="32"/>
          <w:highlight w:val="none"/>
        </w:rPr>
        <w:t>收</w:t>
      </w:r>
      <w:r>
        <w:rPr>
          <w:rFonts w:hint="eastAsia" w:ascii="仿宋" w:hAnsi="仿宋" w:eastAsia="仿宋" w:cs="仿宋"/>
          <w:highlight w:val="none"/>
        </w:rPr>
        <w:t>入决算情况说明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_Toc2631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_Toc11282 </w:instrText>
      </w:r>
      <w:r>
        <w:rPr>
          <w:rFonts w:hint="eastAsia" w:ascii="仿宋" w:hAnsi="仿宋" w:eastAsia="仿宋" w:cs="仿宋"/>
          <w:highlight w:val="none"/>
        </w:rPr>
        <w:fldChar w:fldCharType="separate"/>
      </w:r>
      <w:r>
        <w:rPr>
          <w:rFonts w:hint="eastAsia" w:ascii="仿宋" w:hAnsi="仿宋" w:eastAsia="仿宋" w:cs="仿宋"/>
          <w:highlight w:val="none"/>
        </w:rPr>
        <w:t xml:space="preserve">三、 </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_Toc11282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_Toc13582 </w:instrText>
      </w:r>
      <w:r>
        <w:rPr>
          <w:rFonts w:hint="eastAsia" w:ascii="仿宋" w:hAnsi="仿宋" w:eastAsia="仿宋" w:cs="仿宋"/>
          <w:highlight w:val="none"/>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_Toc13582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_Toc3443 </w:instrText>
      </w:r>
      <w:r>
        <w:rPr>
          <w:rFonts w:hint="eastAsia" w:ascii="仿宋" w:hAnsi="仿宋" w:eastAsia="仿宋" w:cs="仿宋"/>
          <w:highlight w:val="none"/>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_Toc3443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_Toc12009 </w:instrText>
      </w:r>
      <w:r>
        <w:rPr>
          <w:rFonts w:hint="eastAsia" w:ascii="仿宋" w:hAnsi="仿宋" w:eastAsia="仿宋" w:cs="仿宋"/>
          <w:highlight w:val="none"/>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_Toc12009 </w:instrText>
      </w:r>
      <w:r>
        <w:rPr>
          <w:rFonts w:hint="eastAsia" w:ascii="仿宋" w:hAnsi="仿宋" w:eastAsia="仿宋" w:cs="仿宋"/>
          <w:highlight w:val="none"/>
        </w:rPr>
        <w:fldChar w:fldCharType="separate"/>
      </w:r>
      <w:r>
        <w:rPr>
          <w:rFonts w:hint="eastAsia" w:ascii="仿宋" w:hAnsi="仿宋" w:eastAsia="仿宋" w:cs="仿宋"/>
          <w:highlight w:val="none"/>
        </w:rPr>
        <w:t>10</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_Toc31883 </w:instrText>
      </w:r>
      <w:r>
        <w:rPr>
          <w:rFonts w:hint="eastAsia" w:ascii="仿宋" w:hAnsi="仿宋" w:eastAsia="仿宋" w:cs="仿宋"/>
          <w:highlight w:val="none"/>
        </w:rPr>
        <w:fldChar w:fldCharType="separate"/>
      </w:r>
      <w:r>
        <w:rPr>
          <w:rFonts w:hint="eastAsia" w:ascii="仿宋" w:hAnsi="仿宋" w:eastAsia="仿宋" w:cs="仿宋"/>
          <w:szCs w:val="32"/>
          <w:highlight w:val="none"/>
        </w:rPr>
        <w:t>七、</w:t>
      </w:r>
      <w:r>
        <w:rPr>
          <w:rFonts w:hint="eastAsia" w:ascii="仿宋" w:hAnsi="仿宋" w:eastAsia="仿宋" w:cs="仿宋"/>
          <w:highlight w:val="none"/>
        </w:rPr>
        <w:t>财政拨款“三公”经费支出决算情况说明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_Toc31883 </w:instrText>
      </w:r>
      <w:r>
        <w:rPr>
          <w:rFonts w:hint="eastAsia" w:ascii="仿宋" w:hAnsi="仿宋" w:eastAsia="仿宋" w:cs="仿宋"/>
          <w:highlight w:val="none"/>
        </w:rPr>
        <w:fldChar w:fldCharType="separate"/>
      </w:r>
      <w:r>
        <w:rPr>
          <w:rFonts w:hint="eastAsia" w:ascii="仿宋" w:hAnsi="仿宋" w:eastAsia="仿宋" w:cs="仿宋"/>
          <w:highlight w:val="none"/>
        </w:rPr>
        <w:t>11</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_Toc10182 </w:instrText>
      </w:r>
      <w:r>
        <w:rPr>
          <w:rFonts w:hint="eastAsia" w:ascii="仿宋" w:hAnsi="仿宋" w:eastAsia="仿宋" w:cs="仿宋"/>
          <w:highlight w:val="none"/>
        </w:rPr>
        <w:fldChar w:fldCharType="separate"/>
      </w:r>
      <w:r>
        <w:rPr>
          <w:rFonts w:hint="eastAsia" w:ascii="仿宋" w:hAnsi="仿宋" w:eastAsia="仿宋" w:cs="仿宋"/>
          <w:szCs w:val="32"/>
          <w:highlight w:val="none"/>
        </w:rPr>
        <w:t>八、</w:t>
      </w:r>
      <w:r>
        <w:rPr>
          <w:rFonts w:hint="eastAsia" w:ascii="仿宋" w:hAnsi="仿宋" w:eastAsia="仿宋" w:cs="仿宋"/>
          <w:highlight w:val="none"/>
        </w:rPr>
        <w:t>政府性基金预算支出决算情况说明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_Toc10182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_Toc11039 </w:instrText>
      </w:r>
      <w:r>
        <w:rPr>
          <w:rFonts w:hint="eastAsia" w:ascii="仿宋" w:hAnsi="仿宋" w:eastAsia="仿宋" w:cs="仿宋"/>
          <w:highlight w:val="none"/>
        </w:rPr>
        <w:fldChar w:fldCharType="separate"/>
      </w:r>
      <w:r>
        <w:rPr>
          <w:rFonts w:hint="eastAsia" w:ascii="仿宋" w:hAnsi="仿宋" w:eastAsia="仿宋" w:cs="仿宋"/>
          <w:highlight w:val="none"/>
        </w:rPr>
        <w:t>九、 国有资本经营预算支出决算情况说明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_Toc11039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6"/>
        <w:tabs>
          <w:tab w:val="right" w:leader="dot" w:pos="8306"/>
          <w:tab w:val="clear" w:pos="829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_Toc3492 </w:instrText>
      </w:r>
      <w:r>
        <w:rPr>
          <w:rFonts w:hint="eastAsia" w:ascii="仿宋" w:hAnsi="仿宋" w:eastAsia="仿宋" w:cs="仿宋"/>
          <w:highlight w:val="none"/>
        </w:rPr>
        <w:fldChar w:fldCharType="separate"/>
      </w:r>
      <w:r>
        <w:rPr>
          <w:rFonts w:hint="eastAsia" w:ascii="仿宋" w:hAnsi="仿宋" w:eastAsia="仿宋" w:cs="仿宋"/>
          <w:highlight w:val="none"/>
        </w:rPr>
        <w:t>十、 其他重要事项的情况说明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_Toc3492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pPr>
        <w:pStyle w:val="14"/>
        <w:tabs>
          <w:tab w:val="right" w:leader="dot" w:pos="8306"/>
          <w:tab w:val="clear" w:pos="8296"/>
        </w:tabs>
        <w:rPr>
          <w:highlight w:val="none"/>
        </w:rPr>
      </w:pPr>
      <w:r>
        <w:rPr>
          <w:rFonts w:ascii="仿宋" w:hAnsi="仿宋" w:eastAsia="仿宋"/>
          <w:color w:val="auto"/>
          <w:highlight w:val="none"/>
        </w:rPr>
        <w:fldChar w:fldCharType="begin"/>
      </w:r>
      <w:r>
        <w:rPr>
          <w:rFonts w:ascii="仿宋" w:hAnsi="仿宋" w:eastAsia="仿宋"/>
          <w:highlight w:val="none"/>
        </w:rPr>
        <w:instrText xml:space="preserve"> HYPERLINK \l _Toc27993 </w:instrText>
      </w:r>
      <w:r>
        <w:rPr>
          <w:rFonts w:ascii="仿宋" w:hAnsi="仿宋" w:eastAsia="仿宋"/>
          <w:highlight w:val="none"/>
        </w:rPr>
        <w:fldChar w:fldCharType="separate"/>
      </w:r>
      <w:r>
        <w:rPr>
          <w:rFonts w:hint="eastAsia" w:ascii="黑体" w:hAnsi="黑体" w:eastAsia="黑体"/>
          <w:highlight w:val="none"/>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rPr>
          <w:highlight w:val="none"/>
        </w:rPr>
        <w:tab/>
      </w:r>
      <w:r>
        <w:rPr>
          <w:highlight w:val="none"/>
        </w:rPr>
        <w:fldChar w:fldCharType="begin"/>
      </w:r>
      <w:r>
        <w:rPr>
          <w:highlight w:val="none"/>
        </w:rPr>
        <w:instrText xml:space="preserve"> PAGEREF _Toc27993 </w:instrText>
      </w:r>
      <w:r>
        <w:rPr>
          <w:highlight w:val="none"/>
        </w:rPr>
        <w:fldChar w:fldCharType="separate"/>
      </w:r>
      <w:r>
        <w:rPr>
          <w:highlight w:val="none"/>
        </w:rPr>
        <w:t>15</w:t>
      </w:r>
      <w:r>
        <w:rPr>
          <w:highlight w:val="none"/>
        </w:rPr>
        <w:fldChar w:fldCharType="end"/>
      </w:r>
      <w:r>
        <w:rPr>
          <w:rFonts w:ascii="仿宋" w:hAnsi="仿宋" w:eastAsia="仿宋"/>
          <w:color w:val="auto"/>
          <w:highlight w:val="none"/>
        </w:rPr>
        <w:fldChar w:fldCharType="end"/>
      </w:r>
    </w:p>
    <w:p>
      <w:pPr>
        <w:pStyle w:val="14"/>
        <w:tabs>
          <w:tab w:val="right" w:leader="dot" w:pos="8306"/>
          <w:tab w:val="clear" w:pos="8296"/>
        </w:tabs>
        <w:rPr>
          <w:rFonts w:hint="eastAsia" w:eastAsia="仿宋"/>
          <w:lang w:val="en-US" w:eastAsia="zh-CN"/>
        </w:rPr>
      </w:pPr>
      <w:r>
        <w:rPr>
          <w:rFonts w:ascii="仿宋" w:hAnsi="仿宋" w:eastAsia="仿宋"/>
          <w:color w:val="auto"/>
          <w:highlight w:val="none"/>
        </w:rPr>
        <w:fldChar w:fldCharType="begin"/>
      </w:r>
      <w:r>
        <w:rPr>
          <w:rFonts w:ascii="仿宋" w:hAnsi="仿宋" w:eastAsia="仿宋"/>
          <w:highlight w:val="none"/>
        </w:rPr>
        <w:instrText xml:space="preserve"> HYPERLINK \l _Toc4508 </w:instrText>
      </w:r>
      <w:r>
        <w:rPr>
          <w:rFonts w:ascii="仿宋" w:hAnsi="仿宋" w:eastAsia="仿宋"/>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rPr>
          <w:highlight w:val="none"/>
        </w:rPr>
        <w:tab/>
      </w:r>
      <w:r>
        <w:rPr>
          <w:rFonts w:hint="eastAsia"/>
          <w:highlight w:val="none"/>
          <w:lang w:val="en-US" w:eastAsia="zh-CN"/>
        </w:rPr>
        <w:t>2</w:t>
      </w:r>
      <w:r>
        <w:rPr>
          <w:rFonts w:ascii="仿宋" w:hAnsi="仿宋" w:eastAsia="仿宋"/>
          <w:color w:val="auto"/>
          <w:highlight w:val="none"/>
        </w:rPr>
        <w:fldChar w:fldCharType="end"/>
      </w:r>
      <w:r>
        <w:rPr>
          <w:rFonts w:hint="eastAsia"/>
          <w:color w:val="auto"/>
          <w:highlight w:val="none"/>
          <w:lang w:val="en-US" w:eastAsia="zh-CN"/>
        </w:rPr>
        <w:t>1</w:t>
      </w:r>
    </w:p>
    <w:p>
      <w:pPr>
        <w:pStyle w:val="14"/>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_Toc3870 </w:instrText>
      </w:r>
      <w:r>
        <w:rPr>
          <w:rFonts w:ascii="仿宋" w:hAnsi="仿宋" w:eastAsia="仿宋"/>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_Toc3870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_Toc31341 </w:instrText>
      </w:r>
      <w:r>
        <w:rPr>
          <w:rFonts w:ascii="仿宋" w:hAnsi="仿宋" w:eastAsia="仿宋"/>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_Toc31341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_Toc25840 </w:instrText>
      </w:r>
      <w:r>
        <w:rPr>
          <w:rFonts w:ascii="仿宋" w:hAnsi="仿宋" w:eastAsia="仿宋"/>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_Toc25840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_Toc22597 </w:instrText>
      </w:r>
      <w:r>
        <w:rPr>
          <w:rFonts w:ascii="仿宋" w:hAnsi="仿宋" w:eastAsia="仿宋"/>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_Toc22597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_Toc32026 </w:instrText>
      </w:r>
      <w:r>
        <w:rPr>
          <w:rFonts w:ascii="仿宋" w:hAnsi="仿宋" w:eastAsia="仿宋"/>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_Toc32026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_Toc3025 </w:instrText>
      </w:r>
      <w:r>
        <w:rPr>
          <w:rFonts w:ascii="仿宋" w:hAnsi="仿宋" w:eastAsia="仿宋"/>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_Toc3025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_Toc15092 </w:instrText>
      </w:r>
      <w:r>
        <w:rPr>
          <w:rFonts w:ascii="仿宋" w:hAnsi="仿宋" w:eastAsia="仿宋"/>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_Toc15092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_Toc25317 </w:instrText>
      </w:r>
      <w:r>
        <w:rPr>
          <w:rFonts w:ascii="仿宋" w:hAnsi="仿宋" w:eastAsia="仿宋"/>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_Toc25317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_Toc13691 </w:instrText>
      </w:r>
      <w:r>
        <w:rPr>
          <w:rFonts w:ascii="仿宋" w:hAnsi="仿宋" w:eastAsia="仿宋"/>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_Toc13691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_Toc24367 </w:instrText>
      </w:r>
      <w:r>
        <w:rPr>
          <w:rFonts w:ascii="仿宋" w:hAnsi="仿宋" w:eastAsia="仿宋"/>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_Toc24367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_Toc15261 </w:instrText>
      </w:r>
      <w:r>
        <w:rPr>
          <w:rFonts w:ascii="仿宋" w:hAnsi="仿宋" w:eastAsia="仿宋"/>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_Toc15261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_Toc8159 </w:instrText>
      </w:r>
      <w:r>
        <w:rPr>
          <w:rFonts w:ascii="仿宋" w:hAnsi="仿宋" w:eastAsia="仿宋"/>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_Toc8159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_Toc13285 </w:instrText>
      </w:r>
      <w:r>
        <w:rPr>
          <w:rFonts w:ascii="仿宋" w:hAnsi="仿宋" w:eastAsia="仿宋"/>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_Toc13285 </w:instrText>
      </w:r>
      <w:r>
        <w:fldChar w:fldCharType="separate"/>
      </w:r>
      <w:r>
        <w:t>43</w:t>
      </w:r>
      <w:r>
        <w:fldChar w:fldCharType="end"/>
      </w:r>
      <w:r>
        <w:rPr>
          <w:rFonts w:ascii="仿宋" w:hAnsi="仿宋" w:eastAsia="仿宋"/>
          <w:color w:val="auto"/>
          <w:highlight w:val="none"/>
        </w:rPr>
        <w:fldChar w:fldCharType="end"/>
      </w:r>
    </w:p>
    <w:p>
      <w:pPr>
        <w:pStyle w:val="16"/>
        <w:tabs>
          <w:tab w:val="right" w:leader="dot" w:pos="8306"/>
          <w:tab w:val="clear" w:pos="8296"/>
        </w:tabs>
      </w:pPr>
      <w:r>
        <w:rPr>
          <w:rFonts w:ascii="仿宋" w:hAnsi="仿宋" w:eastAsia="仿宋"/>
          <w:color w:val="auto"/>
          <w:highlight w:val="none"/>
        </w:rPr>
        <w:fldChar w:fldCharType="begin"/>
      </w:r>
      <w:r>
        <w:rPr>
          <w:rFonts w:ascii="仿宋" w:hAnsi="仿宋" w:eastAsia="仿宋"/>
          <w:highlight w:val="none"/>
        </w:rPr>
        <w:instrText xml:space="preserve"> HYPERLINK \l _Toc27941 </w:instrText>
      </w:r>
      <w:r>
        <w:rPr>
          <w:rFonts w:ascii="仿宋" w:hAnsi="仿宋" w:eastAsia="仿宋"/>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_Toc27941 </w:instrText>
      </w:r>
      <w:r>
        <w:fldChar w:fldCharType="separate"/>
      </w:r>
      <w:r>
        <w:t>43</w:t>
      </w:r>
      <w:r>
        <w:fldChar w:fldCharType="end"/>
      </w:r>
      <w:r>
        <w:rPr>
          <w:rFonts w:ascii="仿宋" w:hAnsi="仿宋" w:eastAsia="仿宋"/>
          <w:color w:val="auto"/>
          <w:highlight w:val="none"/>
        </w:rPr>
        <w:fldChar w:fldCharType="end"/>
      </w:r>
    </w:p>
    <w:p>
      <w:pPr>
        <w:widowControl/>
        <w:spacing w:line="440" w:lineRule="exact"/>
        <w:jc w:val="left"/>
        <w:rPr>
          <w:rFonts w:ascii="仿宋" w:hAnsi="仿宋" w:eastAsia="仿宋"/>
          <w:bCs/>
          <w:color w:val="auto"/>
          <w:kern w:val="44"/>
          <w:sz w:val="24"/>
          <w:highlight w:val="none"/>
        </w:rPr>
      </w:pPr>
      <w:r>
        <w:rPr>
          <w:rFonts w:ascii="仿宋" w:hAnsi="仿宋" w:eastAsia="仿宋"/>
          <w:color w:val="auto"/>
          <w:highlight w:val="none"/>
        </w:rPr>
        <w:fldChar w:fldCharType="end"/>
      </w:r>
    </w:p>
    <w:p>
      <w:pPr>
        <w:pStyle w:val="5"/>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4" w:name="_Toc12213"/>
    </w:p>
    <w:p>
      <w:pPr>
        <w:pStyle w:val="5"/>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lang w:eastAsia="zh-CN"/>
        </w:rPr>
        <w:t>单位</w:t>
      </w:r>
      <w:r>
        <w:rPr>
          <w:rStyle w:val="33"/>
          <w:rFonts w:hint="eastAsia" w:ascii="黑体" w:hAnsi="黑体" w:eastAsia="黑体"/>
          <w:b w:val="0"/>
          <w:bCs w:val="0"/>
          <w:color w:val="auto"/>
          <w:highlight w:val="none"/>
        </w:rPr>
        <w:t>概况</w:t>
      </w:r>
      <w:bookmarkEnd w:id="12"/>
      <w:bookmarkEnd w:id="13"/>
      <w:bookmarkEnd w:id="14"/>
    </w:p>
    <w:p>
      <w:pPr>
        <w:pStyle w:val="6"/>
        <w:numPr>
          <w:ilvl w:val="0"/>
          <w:numId w:val="1"/>
        </w:numPr>
        <w:spacing w:line="240" w:lineRule="auto"/>
        <w:rPr>
          <w:rFonts w:hint="eastAsia" w:ascii="黑体" w:hAnsi="黑体" w:eastAsia="黑体"/>
          <w:b w:val="0"/>
          <w:color w:val="auto"/>
          <w:highlight w:val="none"/>
          <w:lang w:eastAsia="zh-CN"/>
        </w:rPr>
      </w:pPr>
      <w:bookmarkStart w:id="15" w:name="_Toc1648"/>
      <w:r>
        <w:rPr>
          <w:rFonts w:hint="eastAsia" w:ascii="黑体" w:hAnsi="黑体" w:eastAsia="黑体"/>
          <w:b w:val="0"/>
          <w:color w:val="auto"/>
          <w:highlight w:val="none"/>
          <w:lang w:eastAsia="zh-CN"/>
        </w:rPr>
        <w:t>单位职责</w:t>
      </w:r>
      <w:bookmarkEnd w:id="1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主要职能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（1）贯彻执行中央、省、市、区关于住房保障和城乡建设管理的各项方针政策和法律法规。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（2）承担推进住房制度改革、保障城镇低收入家庭住房的责任。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（3）承担建立全区工程建设标准体系的责任。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（4）承担规范房地产市场秩序、监督管理房地产市场的责任。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（5）承担规范建筑市场秩序、监督管理建筑市场的责任。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（6）承担指导城镇建设管理的责任。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（7）承担规范和指导村镇建设的责任。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（8）承担人防工作。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（9）承担推进建筑节能、城镇减排的责任。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（二）基本职能</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1、办公室：负责组织协调政务工作和对外联络；拟定机关行政管理规章制度并组织实施；负责综合拟文、文电处理、机要保密、文书档案、信息、安全和目标管理、绩效考核等工作；负责综合性会议、重要活动的组织工作；负责公共机构节能和后勤保障工作；负责政务公开、信息公开与发布、新闻宣传和舆情应对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负责单位预(决)算编制执行、账务处理、政府采购、国有资产管理等财务管理工作，统筹外部审计、财务检查和整改工作等。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城市建设和生态园林股(挂海绵城市建设办公室牌子)：负责全区城镇基础设施建设和市政公用事业发展的指导和监督管理工作；负责城市市政建设项目储备库建设；组织编制城市市政建设项目近期实施规划并组织实施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勘察设计和消防设计审验股：拟订全区勘察设计咨询业和建筑节能的发展战略、中长期规划并监督实施；负责指导和规范全区勘察设计咨询和建筑节能市场；负责指导建设行业“四新”技术推广应用和备案管理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4、政策法规股：负责全区建设行业重大问题与改革的政策研究，组织起草综合性文稿；负责建设行政法规的咨询、清理和汇编工作；承担规范性文件合法性审查、行政行为的合法性审查、行政复议、行政应诉等相关工作；承担本系统权责清单制度建设、动态调整等工作；负责本系统行政审批相关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5、建筑业管理股：拟订全区建筑业发展规划和规范性文件并监督实施；负责规范建筑市场各方主体行为；负责全区建设工程造价、招标投标、工程质量、安全生产、抗震设防和抗震加固的监督管理工作等。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6、村镇建设股：拟订全区村镇建设的发展战略、产业政策和规范性文件并监督实施；负责研究进城定居农民的住房政策建议；负责全区镇乡和村庄建设的指导和管理工作；负责指导全区乡镇规划区基础设施建设工作；负责指导农村住房建设、乡村建筑风貌引导、农村住房安全和危房改造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7、住房保障和房地产业管理股：指导全区住房建设和住房制度改革；拟订全区保障性住房政策、规范性文件并组织实施；组织编制全区保障性住房建设规划、住房保障发展规划和年度计划并监督实施。拟订全区国有土地上房屋征收与补偿管理政策措施；承担国有土地上房屋征收和补偿工作；协调重点建设项目的搬迁工作等。</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8、供排水管理股：拟定全区城镇节约用水、排水防涝、污水处理、中水回用等的发展规划、政策和规范性文件并监督实施；参与节水型社会建设工作；配合市级单位做好城区供水管理；统筹协调城区和场镇生活污水突发事件处置等。</w:t>
      </w:r>
    </w:p>
    <w:p>
      <w:pPr>
        <w:pStyle w:val="6"/>
        <w:spacing w:line="240" w:lineRule="auto"/>
        <w:rPr>
          <w:rStyle w:val="34"/>
          <w:b w:val="0"/>
          <w:bCs w:val="0"/>
          <w:color w:val="auto"/>
          <w:highlight w:val="none"/>
        </w:rPr>
      </w:pPr>
      <w:bookmarkStart w:id="16" w:name="_Toc20104"/>
      <w:bookmarkStart w:id="17" w:name="_Toc15396601"/>
      <w:bookmarkStart w:id="18"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4"/>
          <w:rFonts w:hint="eastAsia" w:ascii="黑体" w:hAnsi="黑体" w:eastAsia="黑体"/>
          <w:b w:val="0"/>
          <w:bCs w:val="0"/>
          <w:color w:val="auto"/>
          <w:highlight w:val="none"/>
        </w:rPr>
        <w:t>构设置</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船山区住建局</w:t>
      </w:r>
      <w:r>
        <w:rPr>
          <w:rFonts w:hint="eastAsia" w:ascii="仿宋" w:hAnsi="仿宋" w:eastAsia="仿宋" w:cs="仿宋"/>
          <w:color w:val="auto"/>
          <w:sz w:val="32"/>
          <w:szCs w:val="32"/>
          <w:highlight w:val="none"/>
        </w:rPr>
        <w:t>下属二级</w:t>
      </w:r>
      <w:r>
        <w:rPr>
          <w:rFonts w:hint="eastAsia" w:ascii="仿宋" w:hAnsi="仿宋" w:eastAsia="仿宋" w:cs="仿宋"/>
          <w:color w:val="auto"/>
          <w:sz w:val="32"/>
          <w:szCs w:val="32"/>
          <w:highlight w:val="none"/>
          <w:lang w:eastAsia="zh-CN"/>
        </w:rPr>
        <w:t>预算</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个，其中其他事业单位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纳入船山区住建局20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lang w:eastAsia="zh-CN"/>
        </w:rPr>
        <w:t>年度单位决算编制范围的二级预算单位包括：船山区市政公用事务中心。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5"/>
        <w:ind w:right="440"/>
        <w:jc w:val="center"/>
        <w:rPr>
          <w:rStyle w:val="33"/>
          <w:rFonts w:ascii="黑体" w:hAnsi="黑体" w:eastAsia="黑体"/>
          <w:b w:val="0"/>
          <w:bCs/>
          <w:color w:val="auto"/>
          <w:highlight w:val="none"/>
        </w:rPr>
      </w:pPr>
      <w:bookmarkStart w:id="19" w:name="_Toc15377204"/>
      <w:bookmarkStart w:id="20" w:name="_Toc15396602"/>
      <w:bookmarkStart w:id="21" w:name="_Toc2805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3"/>
          <w:rFonts w:hint="eastAsia" w:ascii="黑体" w:hAnsi="黑体" w:eastAsia="黑体"/>
          <w:b w:val="0"/>
          <w:bCs/>
          <w:color w:val="auto"/>
          <w:highlight w:val="none"/>
          <w:lang w:eastAsia="zh-CN"/>
        </w:rPr>
        <w:t>单位</w:t>
      </w:r>
      <w:r>
        <w:rPr>
          <w:rStyle w:val="33"/>
          <w:rFonts w:hint="eastAsia" w:ascii="黑体" w:hAnsi="黑体" w:eastAsia="黑体"/>
          <w:b w:val="0"/>
          <w:bCs/>
          <w:color w:val="auto"/>
          <w:highlight w:val="none"/>
        </w:rPr>
        <w:t>决算情况说明</w:t>
      </w:r>
      <w:bookmarkEnd w:id="19"/>
      <w:bookmarkEnd w:id="20"/>
      <w:bookmarkEnd w:id="21"/>
    </w:p>
    <w:p>
      <w:pPr>
        <w:rPr>
          <w:color w:val="auto"/>
          <w:highlight w:val="none"/>
        </w:rPr>
      </w:pPr>
    </w:p>
    <w:p>
      <w:pPr>
        <w:pStyle w:val="32"/>
        <w:numPr>
          <w:ilvl w:val="0"/>
          <w:numId w:val="2"/>
        </w:numPr>
        <w:spacing w:line="600" w:lineRule="exact"/>
        <w:ind w:firstLineChars="0"/>
        <w:outlineLvl w:val="1"/>
        <w:rPr>
          <w:rStyle w:val="34"/>
          <w:rFonts w:ascii="黑体" w:hAnsi="黑体" w:eastAsia="黑体"/>
          <w:b w:val="0"/>
          <w:color w:val="auto"/>
          <w:highlight w:val="none"/>
        </w:rPr>
      </w:pPr>
      <w:bookmarkStart w:id="22" w:name="_Toc21989"/>
      <w:bookmarkStart w:id="23" w:name="_Toc15377205"/>
      <w:bookmarkStart w:id="24" w:name="_Toc15396603"/>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22"/>
      <w:bookmarkEnd w:id="23"/>
      <w:bookmarkEnd w:id="2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年度收、支总计</w:t>
      </w:r>
      <w:r>
        <w:rPr>
          <w:rFonts w:hint="eastAsia" w:ascii="仿宋" w:hAnsi="仿宋" w:eastAsia="仿宋" w:cs="仿宋"/>
          <w:color w:val="auto"/>
          <w:sz w:val="32"/>
          <w:szCs w:val="32"/>
          <w:highlight w:val="none"/>
          <w:lang w:val="en-US" w:eastAsia="zh-CN"/>
        </w:rPr>
        <w:t>41249.09</w:t>
      </w:r>
      <w:r>
        <w:rPr>
          <w:rFonts w:hint="eastAsia" w:ascii="仿宋" w:hAnsi="仿宋" w:eastAsia="仿宋" w:cs="仿宋"/>
          <w:color w:val="auto"/>
          <w:sz w:val="32"/>
          <w:szCs w:val="32"/>
          <w:highlight w:val="none"/>
        </w:rPr>
        <w:t>万元。与20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年相比，收、支总计各</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lang w:val="en-US" w:eastAsia="zh-CN"/>
        </w:rPr>
        <w:t>27468.97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下降</w:t>
      </w:r>
      <w:r>
        <w:rPr>
          <w:rFonts w:hint="eastAsia" w:ascii="仿宋" w:hAnsi="仿宋" w:eastAsia="仿宋" w:cs="仿宋"/>
          <w:color w:val="auto"/>
          <w:sz w:val="32"/>
          <w:szCs w:val="32"/>
          <w:highlight w:val="none"/>
          <w:lang w:val="en-US" w:eastAsia="zh-CN"/>
        </w:rPr>
        <w:t>39.97</w:t>
      </w:r>
      <w:r>
        <w:rPr>
          <w:rFonts w:hint="eastAsia" w:ascii="仿宋" w:hAnsi="仿宋" w:eastAsia="仿宋" w:cs="仿宋"/>
          <w:color w:val="auto"/>
          <w:sz w:val="32"/>
          <w:szCs w:val="32"/>
          <w:highlight w:val="none"/>
        </w:rPr>
        <w:t>%。主要变动原因</w:t>
      </w:r>
      <w:r>
        <w:rPr>
          <w:rFonts w:hint="eastAsia" w:ascii="仿宋" w:hAnsi="仿宋" w:eastAsia="仿宋" w:cs="仿宋"/>
          <w:color w:val="auto"/>
          <w:sz w:val="32"/>
          <w:szCs w:val="32"/>
          <w:highlight w:val="none"/>
          <w:lang w:val="en-US" w:eastAsia="zh-CN"/>
        </w:rPr>
        <w:t>是因为老城区部分老旧小区改造项目资金已在2022年度支付完成，本年度减少部分支出</w:t>
      </w:r>
      <w:r>
        <w:rPr>
          <w:rFonts w:hint="eastAsia" w:ascii="仿宋" w:hAnsi="仿宋" w:eastAsia="仿宋" w:cs="仿宋"/>
          <w:color w:val="auto"/>
          <w:sz w:val="32"/>
          <w:szCs w:val="32"/>
          <w:highlight w:val="none"/>
          <w:lang w:eastAsia="zh-CN"/>
        </w:rPr>
        <w:t>。</w:t>
      </w:r>
    </w:p>
    <w:p>
      <w:pPr>
        <w:pStyle w:val="9"/>
        <w:rPr>
          <w:rFonts w:hint="eastAsia" w:ascii="仿宋" w:hAnsi="仿宋" w:eastAsia="仿宋"/>
          <w:color w:val="auto"/>
          <w:sz w:val="32"/>
          <w:szCs w:val="32"/>
          <w:highlight w:val="yellow"/>
          <w:lang w:eastAsia="zh-CN"/>
        </w:rPr>
      </w:pPr>
      <w:r>
        <w:rPr>
          <w:rFonts w:hint="eastAsia" w:eastAsia="仿宋"/>
          <w:highlight w:val="yellow"/>
          <w:lang w:eastAsia="zh-CN"/>
        </w:rPr>
        <w:drawing>
          <wp:anchor distT="0" distB="0" distL="114300" distR="114300" simplePos="0" relativeHeight="251660288" behindDoc="0" locked="0" layoutInCell="1" allowOverlap="1">
            <wp:simplePos x="0" y="0"/>
            <wp:positionH relativeFrom="column">
              <wp:posOffset>918845</wp:posOffset>
            </wp:positionH>
            <wp:positionV relativeFrom="paragraph">
              <wp:posOffset>349885</wp:posOffset>
            </wp:positionV>
            <wp:extent cx="3698875" cy="2592070"/>
            <wp:effectExtent l="4445" t="4445" r="11430" b="1333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pPr>
        <w:pStyle w:val="9"/>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32"/>
        <w:numPr>
          <w:ilvl w:val="0"/>
          <w:numId w:val="2"/>
        </w:numPr>
        <w:spacing w:line="600" w:lineRule="exact"/>
        <w:ind w:firstLineChars="0"/>
        <w:outlineLvl w:val="1"/>
        <w:rPr>
          <w:rStyle w:val="34"/>
          <w:rFonts w:ascii="黑体" w:hAnsi="黑体" w:eastAsia="黑体"/>
          <w:b w:val="0"/>
          <w:color w:val="auto"/>
          <w:highlight w:val="none"/>
        </w:rPr>
      </w:pPr>
      <w:bookmarkStart w:id="25" w:name="_Toc15396604"/>
      <w:bookmarkStart w:id="26" w:name="_Toc2631"/>
      <w:bookmarkStart w:id="27" w:name="_Toc15377206"/>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25"/>
      <w:bookmarkEnd w:id="26"/>
      <w:bookmarkEnd w:id="27"/>
    </w:p>
    <w:p>
      <w:pPr>
        <w:spacing w:line="600" w:lineRule="exact"/>
        <w:ind w:firstLine="640" w:firstLineChars="200"/>
        <w:outlineLvl w:val="9"/>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年本年收入合计</w:t>
      </w:r>
      <w:r>
        <w:rPr>
          <w:rFonts w:hint="eastAsia" w:ascii="仿宋" w:hAnsi="仿宋" w:eastAsia="仿宋" w:cs="仿宋"/>
          <w:color w:val="auto"/>
          <w:sz w:val="32"/>
          <w:szCs w:val="32"/>
          <w:highlight w:val="none"/>
          <w:lang w:val="en-US" w:eastAsia="zh-CN"/>
        </w:rPr>
        <w:t>40753.75</w:t>
      </w:r>
      <w:r>
        <w:rPr>
          <w:rFonts w:hint="eastAsia" w:ascii="仿宋" w:hAnsi="仿宋" w:eastAsia="仿宋" w:cs="仿宋"/>
          <w:color w:val="auto"/>
          <w:sz w:val="32"/>
          <w:szCs w:val="32"/>
          <w:highlight w:val="none"/>
        </w:rPr>
        <w:t>万元，其中：一般公共预算财政拨款收入</w:t>
      </w:r>
      <w:r>
        <w:rPr>
          <w:rFonts w:hint="eastAsia" w:ascii="仿宋" w:hAnsi="仿宋" w:eastAsia="仿宋" w:cs="仿宋"/>
          <w:color w:val="auto"/>
          <w:sz w:val="32"/>
          <w:szCs w:val="32"/>
          <w:highlight w:val="none"/>
          <w:lang w:val="en-US" w:eastAsia="zh-CN"/>
        </w:rPr>
        <w:t>11874.17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29.14</w:t>
      </w:r>
      <w:r>
        <w:rPr>
          <w:rFonts w:hint="eastAsia" w:ascii="仿宋" w:hAnsi="仿宋" w:eastAsia="仿宋" w:cs="仿宋"/>
          <w:color w:val="auto"/>
          <w:sz w:val="32"/>
          <w:szCs w:val="32"/>
          <w:highlight w:val="none"/>
        </w:rPr>
        <w:t>%；政府性基金预算财政拨款收入</w:t>
      </w:r>
      <w:r>
        <w:rPr>
          <w:rFonts w:hint="eastAsia" w:ascii="仿宋" w:hAnsi="仿宋" w:eastAsia="仿宋" w:cs="仿宋"/>
          <w:color w:val="auto"/>
          <w:sz w:val="32"/>
          <w:szCs w:val="32"/>
          <w:highlight w:val="none"/>
          <w:lang w:val="en-US" w:eastAsia="zh-CN"/>
        </w:rPr>
        <w:t>24307.04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59.64</w:t>
      </w:r>
      <w:r>
        <w:rPr>
          <w:rFonts w:hint="eastAsia" w:ascii="仿宋" w:hAnsi="仿宋" w:eastAsia="仿宋" w:cs="仿宋"/>
          <w:color w:val="auto"/>
          <w:sz w:val="32"/>
          <w:szCs w:val="32"/>
          <w:highlight w:val="none"/>
        </w:rPr>
        <w:t>%；其他收入</w:t>
      </w:r>
      <w:r>
        <w:rPr>
          <w:rFonts w:hint="eastAsia" w:ascii="仿宋" w:hAnsi="仿宋" w:eastAsia="仿宋" w:cs="仿宋"/>
          <w:color w:val="auto"/>
          <w:sz w:val="32"/>
          <w:szCs w:val="32"/>
          <w:highlight w:val="none"/>
          <w:lang w:val="en-US" w:eastAsia="zh-CN"/>
        </w:rPr>
        <w:t>4572.54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11.22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433070</wp:posOffset>
            </wp:positionH>
            <wp:positionV relativeFrom="paragraph">
              <wp:posOffset>804545</wp:posOffset>
            </wp:positionV>
            <wp:extent cx="4709160" cy="2209800"/>
            <wp:effectExtent l="4445" t="4445" r="1079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pPr>
        <w:pStyle w:val="9"/>
        <w:rPr>
          <w:rFonts w:ascii="仿宋" w:hAnsi="仿宋" w:eastAsia="仿宋"/>
          <w:b/>
          <w:color w:val="auto"/>
          <w:sz w:val="32"/>
          <w:szCs w:val="32"/>
          <w:highlight w:val="none"/>
        </w:rPr>
      </w:pPr>
    </w:p>
    <w:p>
      <w:pPr>
        <w:pStyle w:val="9"/>
        <w:rPr>
          <w:rFonts w:ascii="仿宋" w:hAnsi="仿宋" w:eastAsia="仿宋"/>
          <w:b/>
          <w:color w:val="auto"/>
          <w:sz w:val="32"/>
          <w:szCs w:val="32"/>
          <w:highlight w:val="none"/>
        </w:rPr>
      </w:pPr>
    </w:p>
    <w:p>
      <w:pPr>
        <w:pStyle w:val="9"/>
        <w:rPr>
          <w:rFonts w:ascii="仿宋" w:hAnsi="仿宋" w:eastAsia="仿宋"/>
          <w:b/>
          <w:color w:val="auto"/>
          <w:sz w:val="32"/>
          <w:szCs w:val="32"/>
          <w:highlight w:val="none"/>
        </w:rPr>
      </w:pPr>
    </w:p>
    <w:p>
      <w:pPr>
        <w:pStyle w:val="9"/>
        <w:rPr>
          <w:rFonts w:ascii="仿宋" w:hAnsi="仿宋" w:eastAsia="仿宋"/>
          <w:b/>
          <w:color w:val="auto"/>
          <w:sz w:val="32"/>
          <w:szCs w:val="32"/>
          <w:highlight w:val="none"/>
        </w:rPr>
      </w:pPr>
    </w:p>
    <w:p>
      <w:pPr>
        <w:pStyle w:val="9"/>
        <w:rPr>
          <w:rFonts w:ascii="仿宋" w:hAnsi="仿宋" w:eastAsia="仿宋"/>
          <w:b/>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2"/>
        <w:numPr>
          <w:ilvl w:val="0"/>
          <w:numId w:val="2"/>
        </w:numPr>
        <w:spacing w:line="600" w:lineRule="exact"/>
        <w:ind w:firstLineChars="0"/>
        <w:outlineLvl w:val="1"/>
        <w:rPr>
          <w:rStyle w:val="34"/>
          <w:rFonts w:ascii="黑体" w:hAnsi="黑体" w:eastAsia="黑体"/>
          <w:b w:val="0"/>
          <w:color w:val="auto"/>
          <w:highlight w:val="none"/>
        </w:rPr>
      </w:pPr>
      <w:bookmarkStart w:id="28" w:name="_Toc15396605"/>
      <w:bookmarkStart w:id="29" w:name="_Toc11282"/>
      <w:bookmarkStart w:id="30" w:name="_Toc15377207"/>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28"/>
      <w:bookmarkEnd w:id="29"/>
      <w:bookmarkEnd w:id="30"/>
    </w:p>
    <w:p>
      <w:pPr>
        <w:spacing w:line="600" w:lineRule="exact"/>
        <w:ind w:firstLine="640" w:firstLineChars="200"/>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年本年支出合计</w:t>
      </w:r>
      <w:r>
        <w:rPr>
          <w:rFonts w:hint="eastAsia" w:ascii="仿宋" w:hAnsi="仿宋" w:eastAsia="仿宋" w:cs="仿宋"/>
          <w:color w:val="auto"/>
          <w:sz w:val="32"/>
          <w:szCs w:val="32"/>
          <w:highlight w:val="none"/>
          <w:lang w:val="en-US" w:eastAsia="zh-CN"/>
        </w:rPr>
        <w:t>40563.16</w:t>
      </w:r>
      <w:r>
        <w:rPr>
          <w:rFonts w:hint="eastAsia" w:ascii="仿宋" w:hAnsi="仿宋" w:eastAsia="仿宋" w:cs="仿宋"/>
          <w:color w:val="auto"/>
          <w:sz w:val="32"/>
          <w:szCs w:val="32"/>
          <w:highlight w:val="none"/>
        </w:rPr>
        <w:t>万元，其中：基本支出</w:t>
      </w:r>
      <w:r>
        <w:rPr>
          <w:rFonts w:hint="eastAsia" w:ascii="仿宋" w:hAnsi="仿宋" w:eastAsia="仿宋" w:cs="仿宋"/>
          <w:color w:val="auto"/>
          <w:sz w:val="32"/>
          <w:szCs w:val="32"/>
          <w:highlight w:val="none"/>
          <w:lang w:val="en-US" w:eastAsia="zh-CN"/>
        </w:rPr>
        <w:t>836.85</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2.06</w:t>
      </w:r>
      <w:r>
        <w:rPr>
          <w:rFonts w:hint="eastAsia" w:ascii="仿宋" w:hAnsi="仿宋" w:eastAsia="仿宋" w:cs="仿宋"/>
          <w:color w:val="auto"/>
          <w:sz w:val="32"/>
          <w:szCs w:val="32"/>
          <w:highlight w:val="none"/>
        </w:rPr>
        <w:t>%；项目支出</w:t>
      </w:r>
      <w:r>
        <w:rPr>
          <w:rFonts w:hint="eastAsia" w:ascii="仿宋" w:hAnsi="仿宋" w:eastAsia="仿宋" w:cs="仿宋"/>
          <w:color w:val="auto"/>
          <w:sz w:val="32"/>
          <w:szCs w:val="32"/>
          <w:highlight w:val="none"/>
          <w:lang w:val="en-US" w:eastAsia="zh-CN"/>
        </w:rPr>
        <w:t>39726.31</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97.94</w:t>
      </w:r>
      <w:r>
        <w:rPr>
          <w:rFonts w:hint="eastAsia" w:ascii="仿宋" w:hAnsi="仿宋" w:eastAsia="仿宋" w:cs="仿宋"/>
          <w:color w:val="auto"/>
          <w:sz w:val="32"/>
          <w:szCs w:val="32"/>
          <w:highlight w:val="none"/>
        </w:rPr>
        <w:t>%。</w:t>
      </w:r>
    </w:p>
    <w:p>
      <w:pPr>
        <w:spacing w:line="600" w:lineRule="exact"/>
        <w:ind w:firstLine="642" w:firstLineChars="200"/>
        <w:outlineLvl w:val="9"/>
        <w:rPr>
          <w:rFonts w:ascii="仿宋" w:hAnsi="仿宋" w:eastAsia="仿宋"/>
          <w:b/>
          <w:color w:val="auto"/>
          <w:sz w:val="32"/>
          <w:szCs w:val="32"/>
          <w:highlight w:val="none"/>
        </w:rPr>
      </w:pPr>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s="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709295</wp:posOffset>
            </wp:positionH>
            <wp:positionV relativeFrom="paragraph">
              <wp:posOffset>93345</wp:posOffset>
            </wp:positionV>
            <wp:extent cx="3975100" cy="2135505"/>
            <wp:effectExtent l="4445" t="4445" r="20955" b="1270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4"/>
          <w:rFonts w:ascii="黑体" w:hAnsi="黑体" w:eastAsia="黑体"/>
          <w:b w:val="0"/>
          <w:color w:val="auto"/>
          <w:highlight w:val="none"/>
        </w:rPr>
      </w:pPr>
      <w:bookmarkStart w:id="31" w:name="_Toc15377208"/>
      <w:bookmarkStart w:id="32" w:name="_Toc15396606"/>
      <w:bookmarkStart w:id="33" w:name="_Toc13582"/>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31"/>
      <w:bookmarkEnd w:id="32"/>
      <w:bookmarkEnd w:id="33"/>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年财政拨款收、支总计</w:t>
      </w:r>
      <w:r>
        <w:rPr>
          <w:rFonts w:hint="eastAsia" w:ascii="仿宋" w:hAnsi="仿宋" w:eastAsia="仿宋" w:cs="仿宋"/>
          <w:color w:val="auto"/>
          <w:sz w:val="32"/>
          <w:szCs w:val="32"/>
          <w:highlight w:val="none"/>
          <w:lang w:val="en-US" w:eastAsia="zh-CN"/>
        </w:rPr>
        <w:t>36181.21</w:t>
      </w:r>
      <w:r>
        <w:rPr>
          <w:rFonts w:hint="eastAsia" w:ascii="仿宋" w:hAnsi="仿宋" w:eastAsia="仿宋" w:cs="仿宋"/>
          <w:color w:val="auto"/>
          <w:sz w:val="32"/>
          <w:szCs w:val="32"/>
          <w:highlight w:val="none"/>
        </w:rPr>
        <w:t>万元。与20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年相比，财政拨款收、支总计各</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lang w:val="en-US" w:eastAsia="zh-CN"/>
        </w:rPr>
        <w:t>22399.21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下降</w:t>
      </w:r>
      <w:r>
        <w:rPr>
          <w:rFonts w:hint="eastAsia" w:ascii="仿宋" w:hAnsi="仿宋" w:eastAsia="仿宋" w:cs="仿宋"/>
          <w:color w:val="auto"/>
          <w:sz w:val="32"/>
          <w:szCs w:val="32"/>
          <w:highlight w:val="none"/>
          <w:lang w:val="en-US" w:eastAsia="zh-CN"/>
        </w:rPr>
        <w:t>38.24</w:t>
      </w:r>
      <w:r>
        <w:rPr>
          <w:rFonts w:hint="eastAsia" w:ascii="仿宋" w:hAnsi="仿宋" w:eastAsia="仿宋" w:cs="仿宋"/>
          <w:color w:val="auto"/>
          <w:sz w:val="32"/>
          <w:szCs w:val="32"/>
          <w:highlight w:val="none"/>
        </w:rPr>
        <w:t>%。主要变动原因</w:t>
      </w:r>
      <w:r>
        <w:rPr>
          <w:rFonts w:hint="eastAsia" w:ascii="仿宋" w:hAnsi="仿宋" w:eastAsia="仿宋" w:cs="仿宋"/>
          <w:color w:val="auto"/>
          <w:sz w:val="32"/>
          <w:szCs w:val="32"/>
          <w:highlight w:val="none"/>
          <w:lang w:val="en-US" w:eastAsia="zh-CN"/>
        </w:rPr>
        <w:t>是因为老城区部分老旧小区改造项目资金已在2022年度支付完成，本年度减少部分支出</w:t>
      </w:r>
      <w:r>
        <w:rPr>
          <w:rFonts w:hint="eastAsia" w:ascii="仿宋" w:hAnsi="仿宋" w:eastAsia="仿宋" w:cs="仿宋"/>
          <w:color w:val="auto"/>
          <w:sz w:val="32"/>
          <w:szCs w:val="32"/>
          <w:highlight w:val="none"/>
          <w:lang w:eastAsia="zh-CN"/>
        </w:rPr>
        <w:t>。</w:t>
      </w:r>
    </w:p>
    <w:p>
      <w:pPr>
        <w:spacing w:line="600" w:lineRule="exact"/>
        <w:rPr>
          <w:rFonts w:ascii="仿宋" w:hAnsi="仿宋" w:eastAsia="仿宋"/>
          <w:color w:val="auto"/>
          <w:sz w:val="32"/>
          <w:szCs w:val="32"/>
          <w:highlight w:val="none"/>
        </w:rPr>
      </w:pPr>
    </w:p>
    <w:p>
      <w:pPr>
        <w:pStyle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785495</wp:posOffset>
            </wp:positionH>
            <wp:positionV relativeFrom="paragraph">
              <wp:posOffset>71120</wp:posOffset>
            </wp:positionV>
            <wp:extent cx="3842385" cy="2372995"/>
            <wp:effectExtent l="4445" t="4445" r="20320"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4"/>
          <w:rFonts w:ascii="黑体" w:hAnsi="黑体" w:eastAsia="黑体"/>
          <w:b w:val="0"/>
          <w:color w:val="auto"/>
          <w:highlight w:val="none"/>
        </w:rPr>
      </w:pPr>
      <w:bookmarkStart w:id="34" w:name="_Toc15396607"/>
      <w:bookmarkStart w:id="35" w:name="_Toc3443"/>
      <w:bookmarkStart w:id="3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34"/>
      <w:bookmarkEnd w:id="35"/>
      <w:bookmarkEnd w:id="36"/>
    </w:p>
    <w:p>
      <w:pPr>
        <w:spacing w:line="600" w:lineRule="exact"/>
        <w:ind w:firstLine="642" w:firstLineChars="200"/>
        <w:outlineLvl w:val="2"/>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年一般公共预算财政拨款支出</w:t>
      </w:r>
      <w:r>
        <w:rPr>
          <w:rFonts w:hint="eastAsia" w:ascii="仿宋" w:hAnsi="仿宋" w:eastAsia="仿宋" w:cs="仿宋"/>
          <w:color w:val="auto"/>
          <w:sz w:val="32"/>
          <w:szCs w:val="32"/>
          <w:highlight w:val="none"/>
          <w:lang w:val="en-US" w:eastAsia="zh-CN"/>
        </w:rPr>
        <w:t>11874.17</w:t>
      </w:r>
      <w:r>
        <w:rPr>
          <w:rFonts w:hint="eastAsia" w:ascii="仿宋" w:hAnsi="仿宋" w:eastAsia="仿宋" w:cs="仿宋"/>
          <w:color w:val="auto"/>
          <w:sz w:val="32"/>
          <w:szCs w:val="32"/>
          <w:highlight w:val="none"/>
        </w:rPr>
        <w:t>万元，占本年支出合计的</w:t>
      </w:r>
      <w:r>
        <w:rPr>
          <w:rFonts w:hint="eastAsia" w:ascii="仿宋" w:hAnsi="仿宋" w:eastAsia="仿宋" w:cs="仿宋"/>
          <w:color w:val="auto"/>
          <w:sz w:val="32"/>
          <w:szCs w:val="32"/>
          <w:highlight w:val="none"/>
          <w:lang w:val="en-US" w:eastAsia="zh-CN"/>
        </w:rPr>
        <w:t>29.27</w:t>
      </w:r>
      <w:r>
        <w:rPr>
          <w:rFonts w:hint="eastAsia" w:ascii="仿宋" w:hAnsi="仿宋" w:eastAsia="仿宋" w:cs="仿宋"/>
          <w:color w:val="auto"/>
          <w:sz w:val="32"/>
          <w:szCs w:val="32"/>
          <w:highlight w:val="none"/>
        </w:rPr>
        <w:t>%。与20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年相比，一般公共预算财政拨款</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8108.09</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40.58</w:t>
      </w:r>
      <w:r>
        <w:rPr>
          <w:rFonts w:hint="eastAsia" w:ascii="仿宋" w:hAnsi="仿宋" w:eastAsia="仿宋" w:cs="仿宋"/>
          <w:color w:val="auto"/>
          <w:sz w:val="32"/>
          <w:szCs w:val="32"/>
          <w:highlight w:val="none"/>
        </w:rPr>
        <w:t>%。主要变动原因是</w:t>
      </w:r>
      <w:r>
        <w:rPr>
          <w:rFonts w:hint="eastAsia" w:ascii="仿宋" w:hAnsi="仿宋" w:eastAsia="仿宋" w:cs="仿宋"/>
          <w:color w:val="auto"/>
          <w:sz w:val="32"/>
          <w:szCs w:val="32"/>
          <w:highlight w:val="none"/>
          <w:lang w:val="en-US" w:eastAsia="zh-CN"/>
        </w:rPr>
        <w:t>因为老城区部分老旧小区改造项目资金已在2022年度支付完成，本年度减少部分支出</w:t>
      </w:r>
      <w:r>
        <w:rPr>
          <w:rFonts w:hint="eastAsia" w:ascii="仿宋" w:hAnsi="仿宋" w:eastAsia="仿宋" w:cs="仿宋"/>
          <w:color w:val="auto"/>
          <w:sz w:val="32"/>
          <w:szCs w:val="32"/>
          <w:highlight w:val="none"/>
          <w:lang w:eastAsia="zh-CN"/>
        </w:rPr>
        <w:t>。</w:t>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1099820</wp:posOffset>
            </wp:positionH>
            <wp:positionV relativeFrom="paragraph">
              <wp:posOffset>124460</wp:posOffset>
            </wp:positionV>
            <wp:extent cx="3470275" cy="1800860"/>
            <wp:effectExtent l="4445" t="4445" r="11430"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11874.17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115.77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32.47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2589.77万元，占21.81%；</w:t>
      </w:r>
      <w:r>
        <w:rPr>
          <w:rFonts w:hint="eastAsia" w:ascii="仿宋" w:hAnsi="仿宋" w:eastAsia="仿宋"/>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8.25万元，占0.07%；</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9086.43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76.52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eastAsia="zh-CN"/>
        </w:rPr>
        <w:t>其他支出</w:t>
      </w:r>
      <w:r>
        <w:rPr>
          <w:rFonts w:hint="eastAsia" w:ascii="仿宋" w:hAnsi="仿宋" w:eastAsia="仿宋"/>
          <w:color w:val="auto"/>
          <w:sz w:val="32"/>
          <w:szCs w:val="32"/>
          <w:highlight w:val="none"/>
          <w:lang w:val="en-US" w:eastAsia="zh-CN"/>
        </w:rPr>
        <w:t>41.48万元，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547370</wp:posOffset>
            </wp:positionH>
            <wp:positionV relativeFrom="paragraph">
              <wp:posOffset>365760</wp:posOffset>
            </wp:positionV>
            <wp:extent cx="4518660" cy="2191385"/>
            <wp:effectExtent l="4445" t="4445" r="10795"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9" w:name="_Toc15377212"/>
      <w:r>
        <w:rPr>
          <w:rFonts w:hint="eastAsia" w:ascii="仿宋" w:hAnsi="仿宋" w:eastAsia="仿宋"/>
          <w:b/>
          <w:color w:val="auto"/>
          <w:sz w:val="32"/>
          <w:szCs w:val="32"/>
          <w:highlight w:val="none"/>
        </w:rPr>
        <w:t>（三）一般公共预算财政拨款支出决算具体情况</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color w:val="auto"/>
          <w:sz w:val="32"/>
          <w:szCs w:val="32"/>
          <w:highlight w:val="none"/>
        </w:rPr>
      </w:pPr>
      <w:bookmarkStart w:id="40" w:name="_Toc15378460"/>
      <w:bookmarkStart w:id="41" w:name="_Toc15377213"/>
      <w:bookmarkStart w:id="42"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11874.17</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pPr>
      <w:r>
        <w:rPr>
          <w:rStyle w:val="20"/>
          <w:rFonts w:ascii="仿宋" w:hAnsi="仿宋" w:eastAsia="仿宋"/>
          <w:bCs/>
          <w:color w:val="auto"/>
          <w:sz w:val="32"/>
          <w:szCs w:val="32"/>
          <w:highlight w:val="none"/>
        </w:rPr>
        <w:t>1.</w:t>
      </w:r>
      <w:r>
        <w:rPr>
          <w:rStyle w:val="20"/>
          <w:rFonts w:hint="eastAsia" w:ascii="仿宋" w:hAnsi="仿宋" w:eastAsia="仿宋"/>
          <w:bCs/>
          <w:color w:val="000000"/>
          <w:sz w:val="32"/>
          <w:szCs w:val="32"/>
          <w:lang w:eastAsia="zh-CN"/>
        </w:rPr>
        <w:t>社会保障和就业支出（208）</w:t>
      </w:r>
      <w:r>
        <w:rPr>
          <w:rStyle w:val="20"/>
          <w:rFonts w:hint="eastAsia" w:ascii="仿宋" w:hAnsi="仿宋" w:eastAsia="仿宋"/>
          <w:bCs/>
          <w:color w:val="000000"/>
          <w:sz w:val="32"/>
          <w:szCs w:val="32"/>
        </w:rPr>
        <w:t>行政事业单位养老支出（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）行政单位离退休（</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1.42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Fonts w:hint="eastAsia"/>
        </w:rPr>
      </w:pPr>
      <w:r>
        <w:rPr>
          <w:rStyle w:val="20"/>
          <w:rFonts w:hint="eastAsia" w:ascii="仿宋" w:hAnsi="仿宋" w:eastAsia="仿宋"/>
          <w:bCs/>
          <w:color w:val="auto"/>
          <w:sz w:val="32"/>
          <w:szCs w:val="32"/>
          <w:highlight w:val="none"/>
          <w:lang w:val="en-US" w:eastAsia="zh-CN"/>
        </w:rPr>
        <w:t>2</w:t>
      </w:r>
      <w:r>
        <w:rPr>
          <w:rStyle w:val="20"/>
          <w:rFonts w:ascii="仿宋" w:hAnsi="仿宋" w:eastAsia="仿宋"/>
          <w:bCs/>
          <w:color w:val="auto"/>
          <w:sz w:val="32"/>
          <w:szCs w:val="32"/>
          <w:highlight w:val="none"/>
        </w:rPr>
        <w:t>.</w:t>
      </w:r>
      <w:r>
        <w:rPr>
          <w:rStyle w:val="20"/>
          <w:rFonts w:hint="eastAsia" w:ascii="仿宋" w:hAnsi="仿宋" w:eastAsia="仿宋"/>
          <w:bCs/>
          <w:color w:val="000000"/>
          <w:sz w:val="32"/>
          <w:szCs w:val="32"/>
          <w:lang w:eastAsia="zh-CN"/>
        </w:rPr>
        <w:t>社会保障和就业支出（208）</w:t>
      </w:r>
      <w:r>
        <w:rPr>
          <w:rStyle w:val="20"/>
          <w:rFonts w:hint="eastAsia" w:ascii="仿宋" w:hAnsi="仿宋" w:eastAsia="仿宋"/>
          <w:bCs/>
          <w:color w:val="000000"/>
          <w:sz w:val="32"/>
          <w:szCs w:val="32"/>
        </w:rPr>
        <w:t>行政事业单位养老支出（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）机关事业单位基本养老保险缴费支出（</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74.61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3.社会保障和就业支出（208）行政事业单位养老支出（05）机关事业单位职业年金缴费支出（06）：支出决算为17.19万元，完成预算100%，决算数等于预算数。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4.社会保障和就业支出（208）残疾人事业（11）残疾人就业（05）: 支出决算为5.49万元，完成预算100%，决算数等于预算数。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5.社会保障和就业支出（208）其他社会保障和就业支出（99） 其他社会保障和就业支出（99）：支出决算为17.06万元，完成预算100%，决算数等于预算数。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6.卫生健康支出（210）行政事业单位医疗（11）行政单位医疗（01）:支出决算为8.92万元，完成预算100%，决算等于预算数。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7.卫生健康支出（210）行政事业单位医疗（11）事业单位医疗（02）:支出决算为14.85万元，完成预算100%，决算等于预算数。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8.卫生健康支出（210）行政事业单位医疗（11）公务员医疗补助（03）:支出决算为8.70万元，完成预算100%，决算等于预算数。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9.城乡社区支出（212）城乡社区管理事务（01）行政运行（01）:支出决算为271.15万元，完成预算100%，决算等于预算数。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10.城乡社区支出（212）城乡社区管理事务（01）其他城乡社区管理事务支出（99）:支出决算为755.20万元，完成预算100%，决算等于预算数。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11.城乡社区支出（212）其他城乡社区支出（99）其他城乡社区支出（99）:支出决算为1563.42万元，完成预算100%，决算等于预算数。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12.农林水（213）巩固脱贫衔接乡村振兴（05）其他巩固脱贫衔接乡村振兴支出（99）:支出决算为8.25万元，完成预算100%，决算等于预算数。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13.住房保障支出（221）保障性安居工程支出（01）棚户区改造（03）:支出决算为2723.31万元，完成预算100%，决算等于预算数。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14、住房保障支出（221）保障性安居工程支出（01）保障性住房租金补贴（07）:支出决算为11.37万元，完成预算100%，决算等于预算数。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15、住房保障支出（221）保障性安居工程支出（01）老旧小区改造（08）:支出决算为6287.99万元，完成预算100%，决算等于预算数。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16、住房保障支出（221）住房改革支出（02）住房公积金（01）:支出决算为63.76万元，完成预算100%，决算等于预算数。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outlineLvl w:val="9"/>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17、其他支出（229）其他支出（99）其他支出（99）:支出决算为41.48万元，完成预算100%，决算等于预算数。</w:t>
      </w:r>
    </w:p>
    <w:p>
      <w:pPr>
        <w:tabs>
          <w:tab w:val="right" w:pos="8306"/>
        </w:tabs>
        <w:spacing w:line="600" w:lineRule="exact"/>
        <w:ind w:firstLine="640"/>
        <w:outlineLvl w:val="1"/>
        <w:rPr>
          <w:rStyle w:val="34"/>
          <w:color w:val="auto"/>
          <w:highlight w:val="none"/>
        </w:rPr>
      </w:pPr>
      <w:bookmarkStart w:id="43" w:name="_Toc12009"/>
      <w:bookmarkStart w:id="44" w:name="_Toc15377214"/>
      <w:bookmarkStart w:id="4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43"/>
      <w:bookmarkEnd w:id="44"/>
      <w:bookmarkEnd w:id="45"/>
      <w:r>
        <w:rPr>
          <w:rStyle w:val="34"/>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832.03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731.36</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、生活补助、</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100.67</w:t>
      </w:r>
      <w:r>
        <w:rPr>
          <w:rFonts w:hint="eastAsia" w:ascii="仿宋" w:hAnsi="仿宋" w:eastAsia="仿宋"/>
          <w:color w:val="auto"/>
          <w:sz w:val="32"/>
          <w:szCs w:val="32"/>
          <w:highlight w:val="none"/>
        </w:rPr>
        <w:t>万元，主要包括：办公费、印刷费、水费、电费、邮电费、差旅费、维修（护）费、租赁费、</w:t>
      </w:r>
      <w:r>
        <w:rPr>
          <w:rFonts w:hint="eastAsia" w:ascii="仿宋" w:hAnsi="仿宋" w:eastAsia="仿宋"/>
          <w:color w:val="auto"/>
          <w:sz w:val="32"/>
          <w:szCs w:val="32"/>
          <w:highlight w:val="none"/>
          <w:lang w:eastAsia="zh-CN"/>
        </w:rPr>
        <w:t>会议费、</w:t>
      </w:r>
      <w:r>
        <w:rPr>
          <w:rFonts w:hint="eastAsia" w:ascii="仿宋" w:hAnsi="仿宋" w:eastAsia="仿宋"/>
          <w:color w:val="auto"/>
          <w:sz w:val="32"/>
          <w:szCs w:val="32"/>
          <w:highlight w:val="none"/>
        </w:rPr>
        <w:t>培训费、公务接待费、劳务费、委托业务费、</w:t>
      </w:r>
      <w:r>
        <w:rPr>
          <w:rFonts w:hint="eastAsia" w:ascii="仿宋" w:hAnsi="仿宋" w:eastAsia="仿宋"/>
          <w:color w:val="auto"/>
          <w:sz w:val="32"/>
          <w:szCs w:val="32"/>
          <w:highlight w:val="none"/>
          <w:lang w:eastAsia="zh-CN"/>
        </w:rPr>
        <w:t>工会经费、</w:t>
      </w:r>
      <w:r>
        <w:rPr>
          <w:rFonts w:hint="eastAsia" w:ascii="仿宋" w:hAnsi="仿宋" w:eastAsia="仿宋"/>
          <w:color w:val="auto"/>
          <w:sz w:val="32"/>
          <w:szCs w:val="32"/>
          <w:highlight w:val="none"/>
        </w:rPr>
        <w:t>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pPr>
        <w:spacing w:line="600" w:lineRule="exact"/>
        <w:ind w:firstLine="640"/>
        <w:outlineLvl w:val="1"/>
        <w:rPr>
          <w:rStyle w:val="34"/>
          <w:rFonts w:ascii="黑体" w:hAnsi="黑体" w:eastAsia="黑体"/>
          <w:b w:val="0"/>
          <w:color w:val="auto"/>
          <w:highlight w:val="none"/>
        </w:rPr>
      </w:pPr>
      <w:bookmarkStart w:id="46" w:name="_Toc15396609"/>
      <w:bookmarkStart w:id="47" w:name="_Toc15377215"/>
      <w:bookmarkStart w:id="48" w:name="_Toc31883"/>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46"/>
      <w:bookmarkEnd w:id="47"/>
      <w:bookmarkEnd w:id="48"/>
    </w:p>
    <w:p>
      <w:pPr>
        <w:spacing w:line="600" w:lineRule="exact"/>
        <w:ind w:firstLine="640"/>
        <w:outlineLvl w:val="2"/>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5.18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较上年减少</w:t>
      </w:r>
      <w:r>
        <w:rPr>
          <w:rFonts w:hint="eastAsia" w:ascii="仿宋" w:hAnsi="仿宋" w:eastAsia="仿宋"/>
          <w:color w:val="auto"/>
          <w:sz w:val="32"/>
          <w:szCs w:val="32"/>
          <w:highlight w:val="none"/>
          <w:lang w:val="en-US" w:eastAsia="zh-CN"/>
        </w:rPr>
        <w:t>0.27万元，下降4.95%。</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70.08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29.92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899795</wp:posOffset>
            </wp:positionH>
            <wp:positionV relativeFrom="paragraph">
              <wp:posOffset>299720</wp:posOffset>
            </wp:positionV>
            <wp:extent cx="3270885" cy="2000885"/>
            <wp:effectExtent l="4445" t="4445" r="20320" b="1397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pPr>
        <w:pStyle w:val="23"/>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2"/>
        <w:rPr>
          <w:rFonts w:hint="eastAsia" w:ascii="仿宋" w:hAnsi="仿宋" w:eastAsia="仿宋"/>
          <w:color w:val="auto"/>
          <w:sz w:val="32"/>
          <w:szCs w:val="32"/>
          <w:highlight w:val="none"/>
        </w:rPr>
      </w:pPr>
    </w:p>
    <w:p>
      <w:pPr>
        <w:pStyle w:val="23"/>
        <w:rPr>
          <w:rFonts w:hint="eastAsia" w:ascii="仿宋" w:hAnsi="仿宋" w:eastAsia="仿宋"/>
          <w:color w:val="auto"/>
          <w:sz w:val="32"/>
          <w:szCs w:val="32"/>
          <w:highlight w:val="none"/>
        </w:rPr>
      </w:pPr>
    </w:p>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 w:hAnsi="仿宋" w:eastAsia="仿宋" w:cs="仿宋"/>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完成预算</w:t>
      </w:r>
      <w:r>
        <w:rPr>
          <w:rStyle w:val="20"/>
          <w:rFonts w:hint="eastAsia" w:ascii="仿宋" w:hAnsi="仿宋" w:eastAsia="仿宋" w:cs="仿宋"/>
          <w:b w:val="0"/>
          <w:bCs/>
          <w:color w:val="auto"/>
          <w:sz w:val="32"/>
          <w:szCs w:val="32"/>
          <w:highlight w:val="none"/>
          <w:lang w:val="en-US" w:eastAsia="zh-CN"/>
        </w:rPr>
        <w:t>100</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无增减变动</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s="仿宋"/>
          <w:color w:val="auto"/>
          <w:sz w:val="32"/>
          <w:szCs w:val="32"/>
          <w:highlight w:val="none"/>
          <w:lang w:val="en-US" w:eastAsia="zh-CN"/>
        </w:rPr>
        <w:t>3.63</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完成预算</w:t>
      </w:r>
      <w:r>
        <w:rPr>
          <w:rStyle w:val="20"/>
          <w:rFonts w:hint="eastAsia" w:ascii="仿宋" w:hAnsi="仿宋" w:eastAsia="仿宋" w:cs="仿宋"/>
          <w:b w:val="0"/>
          <w:bCs/>
          <w:color w:val="auto"/>
          <w:sz w:val="32"/>
          <w:szCs w:val="32"/>
          <w:highlight w:val="none"/>
          <w:lang w:val="en-US" w:eastAsia="zh-CN"/>
        </w:rPr>
        <w:t>100</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减少0.68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下降</w:t>
      </w:r>
      <w:r>
        <w:rPr>
          <w:rFonts w:hint="eastAsia" w:ascii="仿宋" w:hAnsi="仿宋" w:eastAsia="仿宋" w:cs="仿宋"/>
          <w:color w:val="auto"/>
          <w:sz w:val="32"/>
          <w:szCs w:val="32"/>
          <w:highlight w:val="none"/>
          <w:lang w:val="en-US" w:eastAsia="zh-CN"/>
        </w:rPr>
        <w:t>15.78</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当年公务用车维修次数减少，费用降低</w:t>
      </w:r>
      <w:r>
        <w:rPr>
          <w:rFonts w:hint="eastAsia" w:ascii="仿宋" w:hAnsi="仿宋" w:eastAsia="仿宋" w:cs="仿宋"/>
          <w:color w:val="auto"/>
          <w:sz w:val="32"/>
          <w:szCs w:val="32"/>
          <w:highlight w:val="none"/>
        </w:rPr>
        <w:t>。</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3.63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我单位建设服务工程中心检查归我单位管辖的建筑工地施工安全</w:t>
      </w:r>
      <w:r>
        <w:rPr>
          <w:rFonts w:hint="eastAsia" w:ascii="仿宋" w:hAnsi="仿宋" w:eastAsia="仿宋" w:cs="仿宋"/>
          <w:color w:val="auto"/>
          <w:sz w:val="32"/>
          <w:szCs w:val="32"/>
          <w:highlight w:val="none"/>
        </w:rPr>
        <w:t>等所需的公务用车燃料费、维修费、过路过桥费、保险费等支出。</w:t>
      </w:r>
    </w:p>
    <w:p>
      <w:pPr>
        <w:spacing w:line="600" w:lineRule="exact"/>
        <w:ind w:firstLine="640"/>
        <w:rPr>
          <w:rFonts w:hint="eastAsia" w:ascii="仿宋" w:hAnsi="仿宋" w:eastAsia="仿宋" w:cs="仿宋"/>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w:t>
      </w:r>
      <w:r>
        <w:rPr>
          <w:rStyle w:val="20"/>
          <w:rFonts w:hint="eastAsia" w:ascii="仿宋" w:hAnsi="仿宋" w:eastAsia="仿宋" w:cs="仿宋"/>
          <w:b w:val="0"/>
          <w:bCs/>
          <w:color w:val="auto"/>
          <w:sz w:val="32"/>
          <w:szCs w:val="32"/>
          <w:highlight w:val="none"/>
        </w:rPr>
        <w:t>完成预算</w:t>
      </w:r>
      <w:r>
        <w:rPr>
          <w:rStyle w:val="20"/>
          <w:rFonts w:hint="eastAsia" w:ascii="仿宋" w:hAnsi="仿宋" w:eastAsia="仿宋" w:cs="仿宋"/>
          <w:b w:val="0"/>
          <w:bCs/>
          <w:color w:val="auto"/>
          <w:sz w:val="32"/>
          <w:szCs w:val="32"/>
          <w:highlight w:val="none"/>
          <w:lang w:val="en-US" w:eastAsia="zh-CN"/>
        </w:rPr>
        <w:t>100</w:t>
      </w:r>
      <w:r>
        <w:rPr>
          <w:rStyle w:val="20"/>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0.41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35.96</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调研、交流学习活动较多</w:t>
      </w:r>
      <w:r>
        <w:rPr>
          <w:rFonts w:hint="eastAsia" w:ascii="仿宋" w:hAnsi="仿宋" w:eastAsia="仿宋" w:cs="仿宋"/>
          <w:color w:val="auto"/>
          <w:sz w:val="32"/>
          <w:szCs w:val="32"/>
          <w:highlight w:val="none"/>
        </w:rPr>
        <w:t>。其中：</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接待其他单位与我单位的交流学习、整治检查等</w:t>
      </w:r>
      <w:r>
        <w:rPr>
          <w:rFonts w:hint="eastAsia" w:ascii="仿宋" w:hAnsi="仿宋" w:eastAsia="仿宋" w:cs="仿宋"/>
          <w:color w:val="auto"/>
          <w:sz w:val="32"/>
          <w:szCs w:val="32"/>
          <w:highlight w:val="none"/>
        </w:rPr>
        <w:t>活动开支的交通费、住宿费、用餐费等。国内公务接待</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人次，共计支出</w:t>
      </w:r>
      <w:r>
        <w:rPr>
          <w:rFonts w:hint="eastAsia" w:ascii="仿宋" w:hAnsi="仿宋" w:eastAsia="仿宋" w:cs="仿宋"/>
          <w:color w:val="auto"/>
          <w:sz w:val="32"/>
          <w:szCs w:val="32"/>
          <w:highlight w:val="none"/>
          <w:lang w:val="en-US" w:eastAsia="zh-CN"/>
        </w:rPr>
        <w:t>1.55</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eastAsia="zh-CN"/>
        </w:rPr>
        <w:t>接待省住建厅调研、</w:t>
      </w:r>
      <w:r>
        <w:rPr>
          <w:rFonts w:hint="eastAsia" w:ascii="仿宋" w:hAnsi="仿宋" w:eastAsia="仿宋" w:cs="仿宋"/>
          <w:color w:val="auto"/>
          <w:sz w:val="32"/>
          <w:szCs w:val="32"/>
          <w:highlight w:val="none"/>
        </w:rPr>
        <w:t>崇州市住建局学习固体废物处置整改</w:t>
      </w:r>
      <w:r>
        <w:rPr>
          <w:rFonts w:hint="eastAsia" w:ascii="仿宋" w:hAnsi="仿宋" w:eastAsia="仿宋" w:cs="仿宋"/>
          <w:color w:val="auto"/>
          <w:sz w:val="32"/>
          <w:szCs w:val="32"/>
          <w:highlight w:val="none"/>
          <w:lang w:val="en-US" w:eastAsia="zh-CN"/>
        </w:rPr>
        <w:t>0.34万</w:t>
      </w:r>
      <w:r>
        <w:rPr>
          <w:rFonts w:hint="eastAsia" w:ascii="仿宋" w:hAnsi="仿宋" w:eastAsia="仿宋" w:cs="仿宋"/>
          <w:color w:val="auto"/>
          <w:sz w:val="32"/>
          <w:szCs w:val="32"/>
          <w:highlight w:val="none"/>
          <w:lang w:eastAsia="zh-CN"/>
        </w:rPr>
        <w:t>元，接待</w:t>
      </w:r>
      <w:r>
        <w:rPr>
          <w:rFonts w:hint="eastAsia" w:ascii="仿宋" w:hAnsi="仿宋" w:eastAsia="仿宋" w:cs="仿宋"/>
          <w:color w:val="auto"/>
          <w:sz w:val="32"/>
          <w:szCs w:val="32"/>
          <w:highlight w:val="none"/>
        </w:rPr>
        <w:t>绵阳游仙区住建局</w:t>
      </w:r>
      <w:r>
        <w:rPr>
          <w:rFonts w:hint="eastAsia" w:ascii="仿宋" w:hAnsi="仿宋" w:eastAsia="仿宋" w:cs="仿宋"/>
          <w:color w:val="auto"/>
          <w:sz w:val="32"/>
          <w:szCs w:val="32"/>
          <w:highlight w:val="none"/>
          <w:lang w:eastAsia="zh-CN"/>
        </w:rPr>
        <w:t>交流学习</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泸定县委</w:t>
      </w:r>
      <w:r>
        <w:rPr>
          <w:rFonts w:hint="eastAsia" w:ascii="仿宋" w:hAnsi="仿宋" w:eastAsia="仿宋" w:cs="仿宋"/>
          <w:color w:val="auto"/>
          <w:sz w:val="32"/>
          <w:szCs w:val="32"/>
          <w:highlight w:val="none"/>
          <w:lang w:eastAsia="zh-CN"/>
        </w:rPr>
        <w:t>办公室来船山考察</w:t>
      </w:r>
      <w:r>
        <w:rPr>
          <w:rFonts w:hint="eastAsia" w:ascii="仿宋" w:hAnsi="仿宋" w:eastAsia="仿宋" w:cs="仿宋"/>
          <w:color w:val="auto"/>
          <w:sz w:val="32"/>
          <w:szCs w:val="32"/>
          <w:highlight w:val="none"/>
        </w:rPr>
        <w:t>学习</w:t>
      </w:r>
      <w:r>
        <w:rPr>
          <w:rFonts w:hint="eastAsia" w:ascii="仿宋" w:hAnsi="仿宋" w:eastAsia="仿宋" w:cs="仿宋"/>
          <w:color w:val="auto"/>
          <w:sz w:val="32"/>
          <w:szCs w:val="32"/>
          <w:highlight w:val="none"/>
          <w:lang w:val="en-US" w:eastAsia="zh-CN"/>
        </w:rPr>
        <w:t>0.5万元，接待</w:t>
      </w:r>
      <w:r>
        <w:rPr>
          <w:rFonts w:hint="eastAsia" w:ascii="仿宋" w:hAnsi="仿宋" w:eastAsia="仿宋" w:cs="仿宋"/>
          <w:color w:val="auto"/>
          <w:sz w:val="32"/>
          <w:szCs w:val="32"/>
          <w:highlight w:val="none"/>
        </w:rPr>
        <w:t>雅安</w:t>
      </w:r>
      <w:r>
        <w:rPr>
          <w:rFonts w:hint="eastAsia" w:ascii="仿宋" w:hAnsi="仿宋" w:eastAsia="仿宋" w:cs="仿宋"/>
          <w:color w:val="auto"/>
          <w:sz w:val="32"/>
          <w:szCs w:val="32"/>
          <w:highlight w:val="none"/>
          <w:lang w:eastAsia="zh-CN"/>
        </w:rPr>
        <w:t>市综合行政执法局</w:t>
      </w:r>
      <w:r>
        <w:rPr>
          <w:rFonts w:hint="eastAsia" w:ascii="仿宋" w:hAnsi="仿宋" w:eastAsia="仿宋" w:cs="仿宋"/>
          <w:color w:val="auto"/>
          <w:sz w:val="32"/>
          <w:szCs w:val="32"/>
          <w:highlight w:val="none"/>
        </w:rPr>
        <w:t>来船</w:t>
      </w:r>
      <w:r>
        <w:rPr>
          <w:rFonts w:hint="eastAsia" w:ascii="仿宋" w:hAnsi="仿宋" w:eastAsia="仿宋" w:cs="仿宋"/>
          <w:color w:val="auto"/>
          <w:sz w:val="32"/>
          <w:szCs w:val="32"/>
          <w:highlight w:val="none"/>
          <w:lang w:eastAsia="zh-CN"/>
        </w:rPr>
        <w:t>山</w:t>
      </w:r>
      <w:r>
        <w:rPr>
          <w:rFonts w:hint="eastAsia" w:ascii="仿宋" w:hAnsi="仿宋" w:eastAsia="仿宋" w:cs="仿宋"/>
          <w:color w:val="auto"/>
          <w:sz w:val="32"/>
          <w:szCs w:val="32"/>
          <w:highlight w:val="none"/>
        </w:rPr>
        <w:t>考察城市生活垃圾处理立法工作</w:t>
      </w:r>
      <w:r>
        <w:rPr>
          <w:rFonts w:hint="eastAsia" w:ascii="仿宋" w:hAnsi="仿宋" w:eastAsia="仿宋" w:cs="仿宋"/>
          <w:color w:val="auto"/>
          <w:sz w:val="32"/>
          <w:szCs w:val="32"/>
          <w:highlight w:val="none"/>
          <w:lang w:val="en-US" w:eastAsia="zh-CN"/>
        </w:rPr>
        <w:t>0.16万元，</w:t>
      </w:r>
      <w:r>
        <w:rPr>
          <w:rFonts w:hint="eastAsia" w:ascii="仿宋" w:hAnsi="仿宋" w:eastAsia="仿宋" w:cs="仿宋"/>
          <w:color w:val="auto"/>
          <w:sz w:val="32"/>
          <w:szCs w:val="32"/>
          <w:highlight w:val="none"/>
        </w:rPr>
        <w:t>接待营山县房地产管理局</w:t>
      </w:r>
      <w:r>
        <w:rPr>
          <w:rFonts w:hint="eastAsia" w:ascii="仿宋" w:hAnsi="仿宋" w:eastAsia="仿宋" w:cs="仿宋"/>
          <w:color w:val="auto"/>
          <w:sz w:val="32"/>
          <w:szCs w:val="32"/>
          <w:highlight w:val="none"/>
          <w:lang w:eastAsia="zh-CN"/>
        </w:rPr>
        <w:t>来访</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西昌市住建局考察学习</w:t>
      </w:r>
      <w:bookmarkStart w:id="95" w:name="_GoBack"/>
      <w:bookmarkEnd w:id="95"/>
      <w:r>
        <w:rPr>
          <w:rFonts w:hint="eastAsia" w:ascii="仿宋" w:hAnsi="仿宋" w:eastAsia="仿宋" w:cs="仿宋"/>
          <w:color w:val="auto"/>
          <w:sz w:val="32"/>
          <w:szCs w:val="32"/>
          <w:highlight w:val="none"/>
        </w:rPr>
        <w:t>城镇生活污泥处置</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省第八督导组自建房安全大排查整治</w:t>
      </w:r>
      <w:r>
        <w:rPr>
          <w:rFonts w:hint="eastAsia" w:ascii="仿宋" w:hAnsi="仿宋" w:eastAsia="仿宋" w:cs="仿宋"/>
          <w:color w:val="auto"/>
          <w:sz w:val="32"/>
          <w:szCs w:val="32"/>
          <w:highlight w:val="none"/>
          <w:lang w:val="en-US" w:eastAsia="zh-CN"/>
        </w:rPr>
        <w:t>0.17万元、</w:t>
      </w:r>
      <w:r>
        <w:rPr>
          <w:rFonts w:hint="eastAsia" w:ascii="仿宋" w:hAnsi="仿宋" w:eastAsia="仿宋" w:cs="仿宋"/>
          <w:color w:val="auto"/>
          <w:sz w:val="32"/>
          <w:szCs w:val="32"/>
          <w:highlight w:val="none"/>
        </w:rPr>
        <w:t>开展城镇老旧小区改造专项调研工作</w:t>
      </w:r>
      <w:r>
        <w:rPr>
          <w:rFonts w:hint="eastAsia" w:ascii="仿宋" w:hAnsi="仿宋" w:eastAsia="仿宋" w:cs="仿宋"/>
          <w:color w:val="auto"/>
          <w:sz w:val="32"/>
          <w:szCs w:val="32"/>
          <w:highlight w:val="none"/>
          <w:lang w:val="en-US" w:eastAsia="zh-CN"/>
        </w:rPr>
        <w:t>0.07万元、接待</w:t>
      </w:r>
      <w:r>
        <w:rPr>
          <w:rFonts w:hint="eastAsia" w:ascii="仿宋" w:hAnsi="仿宋" w:eastAsia="仿宋" w:cs="仿宋"/>
          <w:color w:val="auto"/>
          <w:sz w:val="32"/>
          <w:szCs w:val="32"/>
          <w:highlight w:val="none"/>
        </w:rPr>
        <w:t>省住建厅</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lang w:val="en-US" w:eastAsia="zh-CN"/>
        </w:rPr>
        <w:t>0.10万元</w:t>
      </w:r>
      <w:r>
        <w:rPr>
          <w:rFonts w:hint="eastAsia" w:ascii="仿宋" w:hAnsi="仿宋" w:eastAsia="仿宋" w:cs="仿宋"/>
          <w:color w:val="auto"/>
          <w:sz w:val="32"/>
          <w:szCs w:val="32"/>
          <w:highlight w:val="none"/>
        </w:rPr>
        <w:t>。</w:t>
      </w: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1" w:name="_Toc15377218"/>
      <w:bookmarkStart w:id="52" w:name="_Toc15396610"/>
    </w:p>
    <w:p>
      <w:pPr>
        <w:spacing w:line="600" w:lineRule="exact"/>
        <w:ind w:firstLine="640"/>
        <w:outlineLvl w:val="1"/>
        <w:rPr>
          <w:rStyle w:val="34"/>
          <w:rFonts w:ascii="黑体" w:hAnsi="黑体" w:eastAsia="黑体"/>
          <w:color w:val="auto"/>
          <w:highlight w:val="none"/>
        </w:rPr>
      </w:pPr>
      <w:bookmarkStart w:id="53" w:name="_Toc10182"/>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51"/>
      <w:bookmarkEnd w:id="52"/>
      <w:bookmarkEnd w:id="53"/>
    </w:p>
    <w:p>
      <w:pPr>
        <w:spacing w:line="600" w:lineRule="exact"/>
        <w:ind w:firstLine="640"/>
        <w:rPr>
          <w:rFonts w:ascii="仿宋_GB2312" w:eastAsia="仿宋_GB2312"/>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24307.04</w:t>
      </w:r>
      <w:r>
        <w:rPr>
          <w:rFonts w:hint="eastAsia" w:ascii="仿宋" w:hAnsi="仿宋" w:eastAsia="仿宋" w:cs="仿宋"/>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34"/>
          <w:rFonts w:ascii="黑体" w:hAnsi="黑体" w:eastAsia="黑体"/>
          <w:b w:val="0"/>
          <w:color w:val="auto"/>
          <w:highlight w:val="none"/>
        </w:rPr>
      </w:pPr>
      <w:bookmarkStart w:id="54" w:name="_Toc11039"/>
      <w:bookmarkStart w:id="55" w:name="_Toc15396611"/>
      <w:bookmarkStart w:id="56" w:name="_Toc15377219"/>
      <w:r>
        <w:rPr>
          <w:rStyle w:val="34"/>
          <w:rFonts w:hint="eastAsia" w:ascii="黑体" w:hAnsi="黑体" w:eastAsia="黑体"/>
          <w:b w:val="0"/>
          <w:color w:val="auto"/>
          <w:highlight w:val="none"/>
        </w:rPr>
        <w:t>国有资本经营预算支出决算情况说明</w:t>
      </w:r>
      <w:bookmarkEnd w:id="54"/>
      <w:bookmarkEnd w:id="55"/>
      <w:bookmarkEnd w:id="56"/>
    </w:p>
    <w:p>
      <w:pPr>
        <w:spacing w:line="600" w:lineRule="exact"/>
        <w:ind w:firstLine="640"/>
        <w:rPr>
          <w:rFonts w:ascii="仿宋_GB2312" w:eastAsia="仿宋_GB2312"/>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34"/>
          <w:rFonts w:hint="eastAsia" w:ascii="黑体" w:hAnsi="黑体" w:eastAsia="黑体"/>
          <w:b w:val="0"/>
          <w:color w:val="auto"/>
          <w:highlight w:val="none"/>
        </w:rPr>
      </w:pPr>
      <w:bookmarkStart w:id="57" w:name="_Toc15396612"/>
      <w:bookmarkStart w:id="58" w:name="_Toc15377221"/>
      <w:bookmarkStart w:id="59" w:name="_Toc3492"/>
      <w:r>
        <w:rPr>
          <w:rStyle w:val="34"/>
          <w:rFonts w:hint="eastAsia" w:ascii="黑体" w:hAnsi="黑体" w:eastAsia="黑体"/>
          <w:b w:val="0"/>
          <w:color w:val="auto"/>
          <w:highlight w:val="none"/>
        </w:rPr>
        <w:t>其他重要事项的情况说明</w:t>
      </w:r>
      <w:bookmarkEnd w:id="57"/>
      <w:bookmarkEnd w:id="58"/>
      <w:bookmarkEnd w:id="59"/>
    </w:p>
    <w:p>
      <w:pPr>
        <w:spacing w:line="600" w:lineRule="exact"/>
        <w:ind w:firstLine="642" w:firstLineChars="200"/>
        <w:outlineLvl w:val="2"/>
        <w:rPr>
          <w:rFonts w:ascii="仿宋" w:hAnsi="仿宋" w:eastAsia="仿宋"/>
          <w:color w:val="auto"/>
          <w:sz w:val="32"/>
          <w:szCs w:val="32"/>
          <w:highlight w:val="none"/>
        </w:rPr>
      </w:pPr>
      <w:bookmarkStart w:id="60" w:name="_Toc15377222"/>
      <w:r>
        <w:rPr>
          <w:rFonts w:hint="eastAsia" w:ascii="仿宋" w:hAnsi="仿宋" w:eastAsia="仿宋"/>
          <w:b/>
          <w:color w:val="auto"/>
          <w:sz w:val="32"/>
          <w:szCs w:val="32"/>
          <w:highlight w:val="none"/>
        </w:rPr>
        <w:t>（一）机关运行经费支出情况</w:t>
      </w:r>
      <w:bookmarkEnd w:id="60"/>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区住建局</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100.67</w:t>
      </w:r>
      <w:r>
        <w:rPr>
          <w:rFonts w:hint="eastAsia" w:ascii="仿宋" w:hAnsi="仿宋" w:eastAsia="仿宋" w:cs="仿宋"/>
          <w:color w:val="auto"/>
          <w:sz w:val="32"/>
          <w:szCs w:val="32"/>
          <w:highlight w:val="none"/>
        </w:rPr>
        <w:t>万元，比20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17.02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20.35</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人员变动增加相关经费以及只有一辆公车，因工作产生的租车费增加。</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1" w:name="_Toc15377223"/>
      <w:r>
        <w:rPr>
          <w:rFonts w:hint="eastAsia" w:ascii="仿宋" w:hAnsi="仿宋" w:eastAsia="仿宋"/>
          <w:b/>
          <w:color w:val="auto"/>
          <w:sz w:val="32"/>
          <w:szCs w:val="32"/>
          <w:highlight w:val="none"/>
        </w:rPr>
        <w:t>（二）政府采购支出情况</w:t>
      </w:r>
      <w:bookmarkEnd w:id="61"/>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区住建局</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区住建局机关</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其他用车主要是用于</w:t>
      </w:r>
      <w:r>
        <w:rPr>
          <w:rFonts w:hint="eastAsia" w:ascii="仿宋" w:hAnsi="仿宋" w:eastAsia="仿宋" w:cs="仿宋"/>
          <w:color w:val="auto"/>
          <w:sz w:val="32"/>
          <w:szCs w:val="32"/>
          <w:highlight w:val="none"/>
          <w:lang w:eastAsia="zh-CN"/>
        </w:rPr>
        <w:t>我单位</w:t>
      </w:r>
      <w:r>
        <w:rPr>
          <w:rFonts w:hint="eastAsia" w:ascii="仿宋" w:hAnsi="仿宋" w:eastAsia="仿宋" w:cs="仿宋"/>
          <w:color w:val="000000"/>
          <w:sz w:val="32"/>
          <w:szCs w:val="32"/>
          <w:highlight w:val="none"/>
          <w:lang w:eastAsia="zh-CN"/>
        </w:rPr>
        <w:t>建设服务工程中心对建筑工地施工安全的监督检查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auto"/>
          <w:sz w:val="32"/>
          <w:szCs w:val="32"/>
          <w:highlight w:val="none"/>
          <w:lang w:val="en-US" w:eastAsia="zh-CN"/>
        </w:rPr>
        <w:t>10个项目开展了预算事前绩效评估，对10个项目编制了绩效目标，预算执行过程中，</w:t>
      </w:r>
      <w:r>
        <w:rPr>
          <w:rFonts w:hint="eastAsia" w:ascii="仿宋" w:hAnsi="仿宋" w:eastAsia="仿宋" w:cs="仿宋"/>
          <w:color w:val="auto"/>
          <w:sz w:val="32"/>
          <w:szCs w:val="32"/>
          <w:highlight w:val="none"/>
        </w:rPr>
        <w:t>选取</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个项目开展绩效监控</w:t>
      </w:r>
      <w:r>
        <w:rPr>
          <w:rFonts w:hint="eastAsia" w:ascii="仿宋" w:hAnsi="仿宋" w:eastAsia="仿宋" w:cs="仿宋"/>
          <w:color w:val="auto"/>
          <w:sz w:val="32"/>
          <w:szCs w:val="32"/>
          <w:highlight w:val="none"/>
          <w:lang w:eastAsia="zh-CN"/>
        </w:rPr>
        <w:t>，组织对</w:t>
      </w:r>
      <w:r>
        <w:rPr>
          <w:rFonts w:hint="eastAsia" w:ascii="仿宋" w:hAnsi="仿宋" w:eastAsia="仿宋" w:cs="仿宋"/>
          <w:color w:val="auto"/>
          <w:sz w:val="32"/>
          <w:szCs w:val="32"/>
          <w:highlight w:val="none"/>
          <w:lang w:val="en-US" w:eastAsia="zh-CN"/>
        </w:rPr>
        <w:t>10个项目开展绩效自评</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b/>
          <w:color w:val="auto"/>
          <w:sz w:val="32"/>
          <w:szCs w:val="32"/>
          <w:highlight w:val="yellow"/>
        </w:rPr>
      </w:pPr>
      <w:r>
        <w:rPr>
          <w:rFonts w:hint="eastAsia" w:ascii="仿宋" w:hAnsi="仿宋" w:eastAsia="仿宋" w:cs="仿宋"/>
          <w:color w:val="auto"/>
          <w:sz w:val="32"/>
          <w:szCs w:val="32"/>
          <w:highlight w:val="none"/>
        </w:rPr>
        <w:t>绩效自评</w:t>
      </w:r>
      <w:r>
        <w:rPr>
          <w:rFonts w:hint="eastAsia" w:ascii="仿宋" w:hAnsi="仿宋" w:eastAsia="仿宋" w:cs="仿宋"/>
          <w:color w:val="auto"/>
          <w:sz w:val="32"/>
          <w:szCs w:val="32"/>
          <w:highlight w:val="none"/>
          <w:lang w:eastAsia="zh-CN"/>
        </w:rPr>
        <w:t>表</w:t>
      </w:r>
      <w:r>
        <w:rPr>
          <w:rFonts w:hint="eastAsia" w:ascii="仿宋" w:hAnsi="仿宋" w:eastAsia="仿宋" w:cs="仿宋"/>
          <w:color w:val="auto"/>
          <w:sz w:val="32"/>
          <w:szCs w:val="32"/>
          <w:highlight w:val="none"/>
        </w:rPr>
        <w:t>详见</w:t>
      </w:r>
      <w:r>
        <w:rPr>
          <w:rFonts w:hint="eastAsia" w:ascii="仿宋" w:hAnsi="仿宋" w:eastAsia="仿宋" w:cs="仿宋"/>
          <w:color w:val="auto"/>
          <w:sz w:val="32"/>
          <w:szCs w:val="32"/>
          <w:highlight w:val="none"/>
          <w:lang w:eastAsia="zh-CN"/>
        </w:rPr>
        <w:t>第四部分附件</w:t>
      </w:r>
      <w:r>
        <w:rPr>
          <w:rFonts w:hint="eastAsia" w:ascii="仿宋" w:hAnsi="仿宋" w:eastAsia="仿宋" w:cs="仿宋"/>
          <w:color w:val="auto"/>
          <w:sz w:val="32"/>
          <w:szCs w:val="32"/>
          <w:highlight w:val="none"/>
        </w:rPr>
        <w:t>。</w:t>
      </w: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33"/>
          <w:rFonts w:ascii="黑体" w:hAnsi="黑体" w:eastAsia="黑体"/>
          <w:b w:val="0"/>
          <w:color w:val="auto"/>
          <w:highlight w:val="none"/>
        </w:rPr>
      </w:pPr>
      <w:bookmarkStart w:id="63" w:name="_Toc15396613"/>
      <w:bookmarkStart w:id="64" w:name="_Toc27993"/>
      <w:bookmarkStart w:id="65" w:name="_Toc15377225"/>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63"/>
      <w:bookmarkEnd w:id="64"/>
      <w:bookmarkEnd w:id="65"/>
    </w:p>
    <w:p>
      <w:pPr>
        <w:spacing w:line="600" w:lineRule="exact"/>
        <w:jc w:val="left"/>
        <w:rPr>
          <w:rFonts w:ascii="宋体"/>
          <w:b/>
          <w:color w:val="auto"/>
          <w:sz w:val="44"/>
          <w:szCs w:val="44"/>
          <w:highlight w:val="none"/>
        </w:rPr>
      </w:pP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1.财政拨款收入：指单位从同级财政</w:t>
      </w:r>
      <w:r>
        <w:rPr>
          <w:rFonts w:hint="eastAsia" w:hAnsi="仿宋" w:cs="仿宋"/>
          <w:color w:val="auto"/>
          <w:sz w:val="32"/>
          <w:szCs w:val="32"/>
          <w:highlight w:val="none"/>
          <w:lang w:eastAsia="zh-CN"/>
        </w:rPr>
        <w:t>单位</w:t>
      </w:r>
      <w:r>
        <w:rPr>
          <w:rFonts w:hint="eastAsia" w:ascii="仿宋" w:hAnsi="仿宋" w:eastAsia="仿宋" w:cs="仿宋"/>
          <w:color w:val="auto"/>
          <w:sz w:val="32"/>
          <w:szCs w:val="32"/>
          <w:highlight w:val="none"/>
        </w:rPr>
        <w:t>取得的财政预算资金。</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2.事业收入：指事业单位开展专业业务活动及辅助活动取得的收入。</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3.经营收入：指事业单位在专业业务活动及其辅助活动之外开展非独立核算经营活动取得的收入。</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4.其他收入：指单位取得的除上述收入以外的各项收入。 </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使用非财政拨款结余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r>
        <w:rPr>
          <w:rFonts w:hint="eastAsia" w:ascii="仿宋" w:hAnsi="仿宋" w:eastAsia="仿宋" w:cs="仿宋"/>
          <w:color w:val="auto"/>
          <w:sz w:val="32"/>
          <w:szCs w:val="32"/>
          <w:highlight w:val="none"/>
        </w:rPr>
        <w:t xml:space="preserve"> </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6.年初结转和结余：指以前年度尚未完成、结转到本年按有关规定继续使用的资金。 </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年末结转和结余：指单位按有关规定结转到下年或以后年度继续使用的资金。</w:t>
      </w:r>
    </w:p>
    <w:p>
      <w:pPr>
        <w:pStyle w:val="31"/>
        <w:keepNext w:val="0"/>
        <w:keepLines w:val="0"/>
        <w:pageBreakBefore w:val="0"/>
        <w:kinsoku/>
        <w:wordWrap/>
        <w:overflowPunct/>
        <w:topLinePunct w:val="0"/>
        <w:bidi w:val="0"/>
        <w:snapToGrid/>
        <w:spacing w:line="600" w:lineRule="exact"/>
        <w:ind w:firstLine="640" w:firstLineChars="200"/>
        <w:jc w:val="left"/>
        <w:rPr>
          <w:rFonts w:hint="default" w:ascii="仿宋" w:hAnsi="仿宋" w:eastAsia="仿宋" w:cs="仿宋"/>
          <w:color w:val="auto"/>
          <w:sz w:val="32"/>
          <w:szCs w:val="32"/>
          <w:highlight w:val="none"/>
          <w:lang w:val="en-US"/>
        </w:rPr>
      </w:pPr>
      <w:r>
        <w:rPr>
          <w:rFonts w:hint="eastAsia" w:hAnsi="仿宋" w:cs="仿宋"/>
          <w:sz w:val="32"/>
          <w:szCs w:val="32"/>
          <w:lang w:val="en-US" w:eastAsia="zh-CN"/>
        </w:rPr>
        <w:t>9.</w:t>
      </w:r>
      <w:r>
        <w:rPr>
          <w:rFonts w:hint="eastAsia" w:hAnsi="仿宋" w:cs="仿宋"/>
          <w:sz w:val="32"/>
          <w:szCs w:val="32"/>
          <w:lang w:eastAsia="zh-CN"/>
        </w:rPr>
        <w:t>社会保障和就业支出（208）</w:t>
      </w:r>
      <w:r>
        <w:rPr>
          <w:rFonts w:hint="eastAsia" w:ascii="仿宋" w:hAnsi="仿宋" w:eastAsia="仿宋" w:cs="仿宋"/>
          <w:sz w:val="32"/>
          <w:szCs w:val="32"/>
        </w:rPr>
        <w:t>行政事业单位离退休（</w:t>
      </w:r>
      <w:r>
        <w:rPr>
          <w:rFonts w:hint="eastAsia" w:ascii="仿宋" w:hAnsi="仿宋" w:eastAsia="仿宋" w:cs="仿宋"/>
          <w:sz w:val="32"/>
          <w:szCs w:val="32"/>
          <w:lang w:val="en-US" w:eastAsia="zh-CN"/>
        </w:rPr>
        <w:t>05</w:t>
      </w:r>
      <w:r>
        <w:rPr>
          <w:rFonts w:hint="eastAsia" w:ascii="仿宋" w:hAnsi="仿宋" w:eastAsia="仿宋" w:cs="仿宋"/>
          <w:sz w:val="32"/>
          <w:szCs w:val="32"/>
        </w:rPr>
        <w:t>）行政单位离退休（</w:t>
      </w:r>
      <w:r>
        <w:rPr>
          <w:rFonts w:hint="eastAsia" w:hAnsi="仿宋" w:cs="仿宋"/>
          <w:sz w:val="32"/>
          <w:szCs w:val="32"/>
          <w:lang w:val="en-US" w:eastAsia="zh-CN"/>
        </w:rPr>
        <w:t>01</w:t>
      </w:r>
      <w:r>
        <w:rPr>
          <w:rFonts w:hint="eastAsia" w:ascii="仿宋" w:hAnsi="仿宋" w:eastAsia="仿宋" w:cs="仿宋"/>
          <w:sz w:val="32"/>
          <w:szCs w:val="32"/>
        </w:rPr>
        <w:t>）</w:t>
      </w:r>
      <w:r>
        <w:rPr>
          <w:rFonts w:hint="eastAsia" w:hAnsi="仿宋" w:cs="仿宋"/>
          <w:sz w:val="32"/>
          <w:szCs w:val="32"/>
          <w:lang w:eastAsia="zh-CN"/>
        </w:rPr>
        <w:t>：</w:t>
      </w:r>
      <w:r>
        <w:rPr>
          <w:rFonts w:hint="eastAsia" w:ascii="仿宋" w:hAnsi="仿宋" w:eastAsia="仿宋" w:cs="仿宋"/>
          <w:sz w:val="32"/>
          <w:szCs w:val="32"/>
          <w:highlight w:val="none"/>
          <w:lang w:eastAsia="zh-CN"/>
        </w:rPr>
        <w:t>反映</w:t>
      </w:r>
      <w:r>
        <w:rPr>
          <w:rFonts w:hint="eastAsia" w:hAnsi="仿宋" w:cs="仿宋"/>
          <w:sz w:val="32"/>
          <w:szCs w:val="32"/>
          <w:highlight w:val="none"/>
          <w:lang w:val="en-US" w:eastAsia="zh-CN"/>
        </w:rPr>
        <w:t>行政单位（包括实行公务员管理的事业单位）开支的离退休经费。</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Style w:val="20"/>
          <w:rFonts w:hint="eastAsia" w:ascii="仿宋" w:hAnsi="仿宋" w:eastAsia="仿宋" w:cs="仿宋"/>
          <w:b w:val="0"/>
          <w:bCs w:val="0"/>
          <w:color w:val="auto"/>
          <w:sz w:val="32"/>
          <w:szCs w:val="32"/>
          <w:highlight w:val="none"/>
          <w:lang w:val="en-US" w:eastAsia="zh-CN"/>
        </w:rPr>
        <w:t>10</w:t>
      </w:r>
      <w:r>
        <w:rPr>
          <w:rStyle w:val="20"/>
          <w:rFonts w:hint="eastAsia" w:ascii="仿宋" w:hAnsi="仿宋" w:eastAsia="仿宋" w:cs="仿宋"/>
          <w:b w:val="0"/>
          <w:bCs w:val="0"/>
          <w:color w:val="auto"/>
          <w:sz w:val="32"/>
          <w:szCs w:val="32"/>
          <w:highlight w:val="none"/>
        </w:rPr>
        <w:t>.</w:t>
      </w:r>
      <w:r>
        <w:rPr>
          <w:rFonts w:hint="eastAsia" w:ascii="仿宋" w:hAnsi="仿宋" w:eastAsia="仿宋" w:cs="仿宋"/>
          <w:sz w:val="32"/>
          <w:szCs w:val="32"/>
          <w:highlight w:val="none"/>
          <w:lang w:eastAsia="zh-CN"/>
        </w:rPr>
        <w:t>社会保障和就业支出（208）</w:t>
      </w:r>
      <w:r>
        <w:rPr>
          <w:rFonts w:hint="eastAsia" w:ascii="仿宋" w:hAnsi="仿宋" w:eastAsia="仿宋" w:cs="仿宋"/>
          <w:sz w:val="32"/>
          <w:szCs w:val="32"/>
          <w:highlight w:val="none"/>
        </w:rPr>
        <w:t>行政事业单位离退休（</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 机关事业单位基本养老保险缴费支出（</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：反映机关事业单位实施养老保险制度由单位缴纳的基本养老保险支出。</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val="en-US" w:eastAsia="zh-CN"/>
        </w:rPr>
      </w:pPr>
      <w:r>
        <w:rPr>
          <w:rFonts w:hint="eastAsia" w:hAnsi="仿宋" w:cs="仿宋"/>
          <w:b w:val="0"/>
          <w:bCs w:val="0"/>
          <w:kern w:val="2"/>
          <w:sz w:val="32"/>
          <w:szCs w:val="32"/>
          <w:highlight w:val="none"/>
          <w:lang w:val="en-US" w:eastAsia="zh-CN" w:bidi="ar-SA"/>
        </w:rPr>
        <w:t>11</w:t>
      </w:r>
      <w:r>
        <w:rPr>
          <w:rFonts w:hint="eastAsia" w:ascii="仿宋" w:hAnsi="仿宋" w:eastAsia="仿宋" w:cs="仿宋"/>
          <w:b w:val="0"/>
          <w:bCs w:val="0"/>
          <w:kern w:val="2"/>
          <w:sz w:val="32"/>
          <w:szCs w:val="32"/>
          <w:highlight w:val="none"/>
          <w:lang w:val="en-US" w:eastAsia="zh-CN" w:bidi="ar-SA"/>
        </w:rPr>
        <w:t>.</w:t>
      </w:r>
      <w:r>
        <w:rPr>
          <w:rFonts w:hint="eastAsia" w:hAnsi="仿宋" w:cs="仿宋"/>
          <w:b w:val="0"/>
          <w:bCs w:val="0"/>
          <w:kern w:val="2"/>
          <w:sz w:val="32"/>
          <w:szCs w:val="32"/>
          <w:highlight w:val="none"/>
          <w:lang w:val="en-US" w:eastAsia="zh-CN" w:bidi="ar-SA"/>
        </w:rPr>
        <w:t>社会保障和就业支出（208）</w:t>
      </w:r>
      <w:r>
        <w:rPr>
          <w:rFonts w:hint="eastAsia" w:ascii="仿宋" w:hAnsi="仿宋" w:eastAsia="仿宋" w:cs="仿宋"/>
          <w:b w:val="0"/>
          <w:bCs w:val="0"/>
          <w:kern w:val="2"/>
          <w:sz w:val="32"/>
          <w:szCs w:val="32"/>
          <w:highlight w:val="none"/>
          <w:lang w:val="en-US" w:eastAsia="zh-CN" w:bidi="ar-SA"/>
        </w:rPr>
        <w:t>行政事业单位养老支出（05）机关事业单</w:t>
      </w:r>
      <w:r>
        <w:rPr>
          <w:rFonts w:hint="eastAsia" w:ascii="仿宋" w:hAnsi="仿宋" w:eastAsia="仿宋" w:cs="仿宋"/>
          <w:sz w:val="32"/>
          <w:szCs w:val="32"/>
          <w:highlight w:val="none"/>
          <w:lang w:val="en-US" w:eastAsia="zh-CN"/>
        </w:rPr>
        <w:t>位职业年金缴费支出（06）：</w:t>
      </w:r>
      <w:r>
        <w:rPr>
          <w:rFonts w:hint="eastAsia" w:hAnsi="仿宋" w:cs="仿宋"/>
          <w:sz w:val="32"/>
          <w:szCs w:val="32"/>
          <w:highlight w:val="none"/>
          <w:lang w:val="en-US" w:eastAsia="zh-CN"/>
        </w:rPr>
        <w:t>反映机关事业单位实施养老保险制度由单位实际缴纳的职业年金支出</w:t>
      </w:r>
      <w:r>
        <w:rPr>
          <w:rFonts w:hint="eastAsia" w:ascii="仿宋" w:hAnsi="仿宋" w:eastAsia="仿宋" w:cs="仿宋"/>
          <w:sz w:val="32"/>
          <w:szCs w:val="32"/>
          <w:highlight w:val="none"/>
          <w:lang w:val="en-US" w:eastAsia="zh-CN"/>
        </w:rPr>
        <w:t>。</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hAnsi="仿宋" w:cs="仿宋"/>
          <w:sz w:val="32"/>
          <w:szCs w:val="32"/>
          <w:highlight w:val="none"/>
          <w:lang w:val="en-US" w:eastAsia="zh-CN"/>
        </w:rPr>
        <w:t>2</w:t>
      </w:r>
      <w:r>
        <w:rPr>
          <w:rFonts w:hint="eastAsia" w:ascii="仿宋" w:hAnsi="仿宋" w:eastAsia="仿宋" w:cs="仿宋"/>
          <w:sz w:val="32"/>
          <w:szCs w:val="32"/>
          <w:highlight w:val="none"/>
          <w:lang w:val="en-US" w:eastAsia="zh-CN"/>
        </w:rPr>
        <w:t>.</w:t>
      </w:r>
      <w:r>
        <w:rPr>
          <w:rFonts w:hint="eastAsia" w:hAnsi="仿宋" w:cs="仿宋"/>
          <w:sz w:val="32"/>
          <w:szCs w:val="32"/>
          <w:highlight w:val="none"/>
          <w:lang w:val="en-US" w:eastAsia="zh-CN"/>
        </w:rPr>
        <w:t>社会保障和就业支出（208）</w:t>
      </w:r>
      <w:r>
        <w:rPr>
          <w:rFonts w:hint="eastAsia" w:ascii="仿宋" w:hAnsi="仿宋" w:eastAsia="仿宋" w:cs="仿宋"/>
          <w:sz w:val="32"/>
          <w:szCs w:val="32"/>
          <w:highlight w:val="none"/>
          <w:lang w:val="en-US" w:eastAsia="zh-CN"/>
        </w:rPr>
        <w:t>残疾人事业（11）残</w:t>
      </w:r>
      <w:r>
        <w:rPr>
          <w:rFonts w:hint="eastAsia" w:ascii="仿宋" w:hAnsi="仿宋" w:eastAsia="仿宋" w:cs="仿宋"/>
          <w:sz w:val="32"/>
          <w:szCs w:val="32"/>
          <w:highlight w:val="none"/>
          <w:lang w:eastAsia="zh-CN"/>
        </w:rPr>
        <w:t>疾人就业（</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lang w:eastAsia="zh-CN"/>
        </w:rPr>
        <w:t>）</w:t>
      </w:r>
      <w:r>
        <w:rPr>
          <w:rFonts w:hint="eastAsia" w:hAnsi="仿宋" w:cs="仿宋"/>
          <w:sz w:val="32"/>
          <w:szCs w:val="32"/>
          <w:highlight w:val="none"/>
          <w:lang w:eastAsia="zh-CN"/>
        </w:rPr>
        <w:t>：</w:t>
      </w:r>
      <w:r>
        <w:rPr>
          <w:rFonts w:hint="eastAsia" w:ascii="仿宋" w:hAnsi="仿宋" w:eastAsia="仿宋" w:cs="仿宋"/>
          <w:sz w:val="32"/>
          <w:szCs w:val="32"/>
          <w:highlight w:val="none"/>
          <w:lang w:eastAsia="zh-CN"/>
        </w:rPr>
        <w:t>反映残疾人联合会用于残疾人</w:t>
      </w:r>
      <w:r>
        <w:rPr>
          <w:rFonts w:hint="eastAsia" w:hAnsi="仿宋" w:cs="仿宋"/>
          <w:sz w:val="32"/>
          <w:szCs w:val="32"/>
          <w:highlight w:val="none"/>
          <w:lang w:eastAsia="zh-CN"/>
        </w:rPr>
        <w:t>就业</w:t>
      </w:r>
      <w:r>
        <w:rPr>
          <w:rFonts w:hint="eastAsia" w:ascii="仿宋" w:hAnsi="仿宋" w:eastAsia="仿宋" w:cs="仿宋"/>
          <w:sz w:val="32"/>
          <w:szCs w:val="32"/>
          <w:highlight w:val="none"/>
          <w:lang w:eastAsia="zh-CN"/>
        </w:rPr>
        <w:t>方面的支出</w:t>
      </w:r>
      <w:r>
        <w:rPr>
          <w:rFonts w:hint="eastAsia" w:ascii="仿宋" w:hAnsi="仿宋" w:eastAsia="仿宋" w:cs="仿宋"/>
          <w:sz w:val="32"/>
          <w:szCs w:val="32"/>
          <w:highlight w:val="none"/>
        </w:rPr>
        <w:t>。</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社会保障和就业支出（208）</w:t>
      </w:r>
      <w:r>
        <w:rPr>
          <w:rFonts w:hint="eastAsia" w:ascii="仿宋" w:hAnsi="仿宋" w:eastAsia="仿宋" w:cs="仿宋"/>
          <w:sz w:val="32"/>
          <w:szCs w:val="32"/>
          <w:highlight w:val="none"/>
        </w:rPr>
        <w:t>其他社会保障和就业支出（</w:t>
      </w:r>
      <w:r>
        <w:rPr>
          <w:rFonts w:hint="eastAsia" w:ascii="仿宋" w:hAnsi="仿宋" w:eastAsia="仿宋" w:cs="仿宋"/>
          <w:sz w:val="32"/>
          <w:szCs w:val="32"/>
          <w:highlight w:val="none"/>
          <w:lang w:val="en-US" w:eastAsia="zh-CN"/>
        </w:rPr>
        <w:t>99</w:t>
      </w:r>
      <w:r>
        <w:rPr>
          <w:rFonts w:hint="eastAsia" w:ascii="仿宋" w:hAnsi="仿宋" w:eastAsia="仿宋" w:cs="仿宋"/>
          <w:sz w:val="32"/>
          <w:szCs w:val="32"/>
          <w:highlight w:val="none"/>
        </w:rPr>
        <w:t>） 其他社会保障和就业支出（</w:t>
      </w:r>
      <w:r>
        <w:rPr>
          <w:rFonts w:hint="eastAsia" w:ascii="仿宋" w:hAnsi="仿宋" w:eastAsia="仿宋" w:cs="仿宋"/>
          <w:sz w:val="32"/>
          <w:szCs w:val="32"/>
          <w:highlight w:val="none"/>
          <w:lang w:val="en-US" w:eastAsia="zh-CN"/>
        </w:rPr>
        <w:t>99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：反映除上述项目以外其他用于社会保障和就业方面的支出。</w:t>
      </w:r>
      <w:r>
        <w:rPr>
          <w:rFonts w:hint="eastAsia" w:ascii="仿宋" w:hAnsi="仿宋" w:eastAsia="仿宋" w:cs="仿宋"/>
          <w:sz w:val="32"/>
          <w:szCs w:val="32"/>
          <w:highlight w:val="none"/>
        </w:rPr>
        <w:t xml:space="preserve"> </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卫生健康支出（210）</w:t>
      </w:r>
      <w:r>
        <w:rPr>
          <w:rFonts w:hint="eastAsia" w:ascii="仿宋" w:hAnsi="仿宋" w:eastAsia="仿宋" w:cs="仿宋"/>
          <w:sz w:val="32"/>
          <w:szCs w:val="32"/>
          <w:highlight w:val="none"/>
        </w:rPr>
        <w:t>行政事业单位医疗（</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）行政单位医疗（</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：反映财政单位安排行政单位（包括实行公务员管理的事业单位，同下）基本医疗保险缴费经费，未参加医疗保险的行政单位的公费医疗经费，按国家规定享受离休人员、红军老战士待遇人员的医疗经费。</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卫生健康支出（210）</w:t>
      </w:r>
      <w:r>
        <w:rPr>
          <w:rFonts w:hint="eastAsia" w:ascii="仿宋" w:hAnsi="仿宋" w:eastAsia="仿宋" w:cs="仿宋"/>
          <w:sz w:val="32"/>
          <w:szCs w:val="32"/>
          <w:highlight w:val="none"/>
        </w:rPr>
        <w:t>行政事业单位医疗（</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）事业单位医疗（</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：反映财政部门安排的事业单位基本医疗保险缴费经费，未参加医疗保险的事业单位的公费医疗经费，按国家规定享受离休人员待遇的医疗经费。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卫生健康支出（210）</w:t>
      </w:r>
      <w:r>
        <w:rPr>
          <w:rFonts w:hint="eastAsia" w:ascii="仿宋" w:hAnsi="仿宋" w:eastAsia="仿宋" w:cs="仿宋"/>
          <w:sz w:val="32"/>
          <w:szCs w:val="32"/>
          <w:highlight w:val="none"/>
        </w:rPr>
        <w:t>行政事业单位医疗（</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）公务员医疗补助（</w:t>
      </w:r>
      <w:r>
        <w:rPr>
          <w:rFonts w:hint="eastAsia" w:ascii="仿宋" w:hAnsi="仿宋" w:eastAsia="仿宋" w:cs="仿宋"/>
          <w:sz w:val="32"/>
          <w:szCs w:val="32"/>
          <w:highlight w:val="none"/>
          <w:lang w:val="en-US" w:eastAsia="zh-CN"/>
        </w:rPr>
        <w:t>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：反映财政部门安排的公务员医疗补助经费。</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lang w:eastAsia="zh-CN"/>
        </w:rPr>
        <w:t>城乡社区支出（212）</w:t>
      </w:r>
      <w:r>
        <w:rPr>
          <w:rFonts w:hint="eastAsia" w:ascii="仿宋" w:hAnsi="仿宋" w:eastAsia="仿宋" w:cs="仿宋"/>
          <w:sz w:val="32"/>
          <w:szCs w:val="32"/>
          <w:highlight w:val="none"/>
        </w:rPr>
        <w:t>城乡社区管理事务（</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）行政运行（</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：反映行政单位（包括实行公务员管理的事业单位）的基本支出。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城乡社区支出（212）</w:t>
      </w:r>
      <w:r>
        <w:rPr>
          <w:rFonts w:hint="eastAsia" w:ascii="仿宋" w:hAnsi="仿宋" w:eastAsia="仿宋" w:cs="仿宋"/>
          <w:sz w:val="32"/>
          <w:szCs w:val="32"/>
          <w:highlight w:val="none"/>
        </w:rPr>
        <w:t>城乡社区管理事务（</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）其他城乡社区管理事务支出（</w:t>
      </w:r>
      <w:r>
        <w:rPr>
          <w:rFonts w:hint="eastAsia" w:ascii="仿宋" w:hAnsi="仿宋" w:eastAsia="仿宋" w:cs="仿宋"/>
          <w:sz w:val="32"/>
          <w:szCs w:val="32"/>
          <w:highlight w:val="none"/>
          <w:lang w:val="en-US" w:eastAsia="zh-CN"/>
        </w:rPr>
        <w:t>99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：反映除上述项目以外其他用于城乡社区管理事务方面的支出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城乡社区支出（212）</w:t>
      </w:r>
      <w:r>
        <w:rPr>
          <w:rFonts w:hint="eastAsia" w:ascii="仿宋" w:hAnsi="仿宋" w:eastAsia="仿宋" w:cs="仿宋"/>
          <w:sz w:val="32"/>
          <w:szCs w:val="32"/>
          <w:highlight w:val="none"/>
        </w:rPr>
        <w:t>国有土地使用权出让收入安排的支出（</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）棚户区改造支出（</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：反映土地出让收入按规定用于城市和国有工矿棚户区改造的支出。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城乡社区支出（212）</w:t>
      </w:r>
      <w:r>
        <w:rPr>
          <w:rFonts w:hint="eastAsia" w:ascii="仿宋" w:hAnsi="仿宋" w:eastAsia="仿宋" w:cs="仿宋"/>
          <w:sz w:val="32"/>
          <w:szCs w:val="32"/>
          <w:highlight w:val="none"/>
        </w:rPr>
        <w:t>国有土地收益基金安排的支出（</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）其他国有土地收益基金支出（</w:t>
      </w:r>
      <w:r>
        <w:rPr>
          <w:rFonts w:hint="eastAsia" w:ascii="仿宋" w:hAnsi="仿宋" w:eastAsia="仿宋" w:cs="仿宋"/>
          <w:sz w:val="32"/>
          <w:szCs w:val="32"/>
          <w:highlight w:val="none"/>
          <w:lang w:val="en-US" w:eastAsia="zh-CN"/>
        </w:rPr>
        <w:t>99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w:t>
      </w:r>
      <w:r>
        <w:rPr>
          <w:rFonts w:hint="eastAsia" w:ascii="仿宋" w:hAnsi="仿宋" w:eastAsia="仿宋" w:cs="仿宋"/>
          <w:sz w:val="32"/>
          <w:szCs w:val="32"/>
          <w:highlight w:val="none"/>
          <w:lang w:val="en-US" w:eastAsia="zh-CN"/>
        </w:rPr>
        <w:t>从国有土地收益基金安排用于其他支出</w:t>
      </w:r>
      <w:r>
        <w:rPr>
          <w:rFonts w:hint="eastAsia" w:ascii="仿宋" w:hAnsi="仿宋" w:eastAsia="仿宋" w:cs="仿宋"/>
          <w:sz w:val="32"/>
          <w:szCs w:val="32"/>
          <w:highlight w:val="none"/>
          <w:lang w:eastAsia="zh-CN"/>
        </w:rPr>
        <w:t>。</w:t>
      </w:r>
    </w:p>
    <w:p>
      <w:pPr>
        <w:pStyle w:val="22"/>
        <w:keepNext w:val="0"/>
        <w:keepLines w:val="0"/>
        <w:pageBreakBefore w:val="0"/>
        <w:kinsoku/>
        <w:wordWrap/>
        <w:overflowPunct/>
        <w:topLinePunct w:val="0"/>
        <w:bidi w:val="0"/>
        <w:snapToGrid/>
        <w:spacing w:line="600" w:lineRule="exact"/>
        <w:ind w:firstLine="64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城乡社区支出（212）</w:t>
      </w:r>
      <w:r>
        <w:rPr>
          <w:rFonts w:hint="eastAsia" w:ascii="仿宋" w:hAnsi="仿宋" w:eastAsia="仿宋" w:cs="仿宋"/>
          <w:color w:val="auto"/>
          <w:sz w:val="32"/>
          <w:szCs w:val="32"/>
          <w:highlight w:val="none"/>
        </w:rPr>
        <w:t>其他城乡社区支出（</w:t>
      </w:r>
      <w:r>
        <w:rPr>
          <w:rFonts w:hint="eastAsia" w:ascii="仿宋" w:hAnsi="仿宋" w:eastAsia="仿宋" w:cs="仿宋"/>
          <w:color w:val="auto"/>
          <w:sz w:val="32"/>
          <w:szCs w:val="32"/>
          <w:highlight w:val="none"/>
          <w:lang w:val="en-US" w:eastAsia="zh-CN"/>
        </w:rPr>
        <w:t>99</w:t>
      </w:r>
      <w:r>
        <w:rPr>
          <w:rFonts w:hint="eastAsia" w:ascii="仿宋" w:hAnsi="仿宋" w:eastAsia="仿宋" w:cs="仿宋"/>
          <w:color w:val="auto"/>
          <w:sz w:val="32"/>
          <w:szCs w:val="32"/>
          <w:highlight w:val="none"/>
        </w:rPr>
        <w:t>）其他城乡社区支出（</w:t>
      </w:r>
      <w:r>
        <w:rPr>
          <w:rFonts w:hint="eastAsia" w:ascii="仿宋" w:hAnsi="仿宋" w:eastAsia="仿宋" w:cs="仿宋"/>
          <w:color w:val="auto"/>
          <w:sz w:val="32"/>
          <w:szCs w:val="32"/>
          <w:highlight w:val="none"/>
          <w:lang w:val="en-US" w:eastAsia="zh-CN"/>
        </w:rPr>
        <w:t>99</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反映除上述项目以外其他用于城乡社区方面的支出</w:t>
      </w:r>
      <w:r>
        <w:rPr>
          <w:rFonts w:hint="eastAsia" w:ascii="仿宋" w:hAnsi="仿宋" w:eastAsia="仿宋" w:cs="仿宋"/>
          <w:color w:val="auto"/>
          <w:sz w:val="32"/>
          <w:szCs w:val="32"/>
          <w:highlight w:val="none"/>
          <w:lang w:eastAsia="zh-CN"/>
        </w:rPr>
        <w:t>。</w:t>
      </w:r>
    </w:p>
    <w:p>
      <w:pPr>
        <w:pStyle w:val="23"/>
        <w:keepNext w:val="0"/>
        <w:keepLines w:val="0"/>
        <w:pageBreakBefore w:val="0"/>
        <w:kinsoku/>
        <w:wordWrap/>
        <w:overflowPunct/>
        <w:topLinePunct w:val="0"/>
        <w:bidi w:val="0"/>
        <w:snapToGrid/>
        <w:spacing w:line="600" w:lineRule="exact"/>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color w:val="000000"/>
          <w:sz w:val="32"/>
          <w:szCs w:val="32"/>
          <w:highlight w:val="none"/>
          <w:lang w:val="en-US" w:eastAsia="zh-CN"/>
        </w:rPr>
        <w:t>22.</w:t>
      </w:r>
      <w:r>
        <w:rPr>
          <w:rFonts w:hint="eastAsia" w:ascii="仿宋" w:hAnsi="仿宋" w:eastAsia="仿宋" w:cs="仿宋"/>
          <w:b w:val="0"/>
          <w:bCs w:val="0"/>
          <w:color w:val="000000"/>
          <w:sz w:val="32"/>
          <w:szCs w:val="32"/>
          <w:highlight w:val="none"/>
        </w:rPr>
        <w:t>农林水</w:t>
      </w:r>
      <w:r>
        <w:rPr>
          <w:rFonts w:hint="eastAsia" w:ascii="仿宋" w:hAnsi="仿宋" w:eastAsia="仿宋" w:cs="仿宋"/>
          <w:b w:val="0"/>
          <w:bCs w:val="0"/>
          <w:color w:val="000000"/>
          <w:sz w:val="32"/>
          <w:szCs w:val="32"/>
          <w:highlight w:val="none"/>
          <w:lang w:eastAsia="zh-CN"/>
        </w:rPr>
        <w:t>支出</w:t>
      </w:r>
      <w:r>
        <w:rPr>
          <w:rStyle w:val="20"/>
          <w:rFonts w:hint="eastAsia" w:ascii="仿宋" w:hAnsi="仿宋" w:eastAsia="仿宋" w:cs="仿宋"/>
          <w:b w:val="0"/>
          <w:bCs w:val="0"/>
          <w:color w:val="000000"/>
          <w:sz w:val="32"/>
          <w:szCs w:val="32"/>
          <w:highlight w:val="none"/>
        </w:rPr>
        <w:t>（</w:t>
      </w:r>
      <w:r>
        <w:rPr>
          <w:rStyle w:val="20"/>
          <w:rFonts w:hint="eastAsia" w:ascii="仿宋" w:hAnsi="仿宋" w:eastAsia="仿宋" w:cs="仿宋"/>
          <w:b w:val="0"/>
          <w:bCs w:val="0"/>
          <w:color w:val="000000"/>
          <w:sz w:val="32"/>
          <w:szCs w:val="32"/>
          <w:highlight w:val="none"/>
          <w:lang w:val="en-US" w:eastAsia="zh-CN"/>
        </w:rPr>
        <w:t>213</w:t>
      </w:r>
      <w:r>
        <w:rPr>
          <w:rStyle w:val="20"/>
          <w:rFonts w:hint="eastAsia" w:ascii="仿宋" w:hAnsi="仿宋" w:eastAsia="仿宋" w:cs="仿宋"/>
          <w:b w:val="0"/>
          <w:bCs w:val="0"/>
          <w:color w:val="000000"/>
          <w:sz w:val="32"/>
          <w:szCs w:val="32"/>
          <w:highlight w:val="none"/>
        </w:rPr>
        <w:t>）</w:t>
      </w:r>
      <w:r>
        <w:rPr>
          <w:rStyle w:val="20"/>
          <w:rFonts w:hint="eastAsia" w:ascii="仿宋" w:hAnsi="仿宋" w:eastAsia="仿宋" w:cs="仿宋"/>
          <w:b w:val="0"/>
          <w:bCs w:val="0"/>
          <w:color w:val="000000"/>
          <w:sz w:val="32"/>
          <w:szCs w:val="32"/>
          <w:highlight w:val="none"/>
          <w:lang w:eastAsia="zh-CN"/>
        </w:rPr>
        <w:t>巩固拓展脱贫攻坚成果</w:t>
      </w:r>
      <w:r>
        <w:rPr>
          <w:rStyle w:val="20"/>
          <w:rFonts w:hint="eastAsia" w:ascii="仿宋" w:hAnsi="仿宋" w:eastAsia="仿宋" w:cs="仿宋"/>
          <w:b w:val="0"/>
          <w:bCs w:val="0"/>
          <w:color w:val="000000"/>
          <w:sz w:val="32"/>
          <w:szCs w:val="32"/>
          <w:highlight w:val="none"/>
        </w:rPr>
        <w:t>衔接乡村振兴（</w:t>
      </w:r>
      <w:r>
        <w:rPr>
          <w:rStyle w:val="20"/>
          <w:rFonts w:hint="eastAsia" w:ascii="仿宋" w:hAnsi="仿宋" w:eastAsia="仿宋" w:cs="仿宋"/>
          <w:b w:val="0"/>
          <w:bCs w:val="0"/>
          <w:color w:val="000000"/>
          <w:sz w:val="32"/>
          <w:szCs w:val="32"/>
          <w:highlight w:val="none"/>
          <w:lang w:val="en-US" w:eastAsia="zh-CN"/>
        </w:rPr>
        <w:t>05</w:t>
      </w:r>
      <w:r>
        <w:rPr>
          <w:rStyle w:val="20"/>
          <w:rFonts w:hint="eastAsia" w:ascii="仿宋" w:hAnsi="仿宋" w:eastAsia="仿宋" w:cs="仿宋"/>
          <w:b w:val="0"/>
          <w:bCs w:val="0"/>
          <w:color w:val="000000"/>
          <w:sz w:val="32"/>
          <w:szCs w:val="32"/>
          <w:highlight w:val="none"/>
        </w:rPr>
        <w:t>）其他</w:t>
      </w:r>
      <w:r>
        <w:rPr>
          <w:rStyle w:val="20"/>
          <w:rFonts w:hint="eastAsia" w:ascii="仿宋" w:hAnsi="仿宋" w:eastAsia="仿宋" w:cs="仿宋"/>
          <w:b w:val="0"/>
          <w:bCs w:val="0"/>
          <w:color w:val="000000"/>
          <w:sz w:val="32"/>
          <w:szCs w:val="32"/>
          <w:highlight w:val="none"/>
          <w:lang w:eastAsia="zh-CN"/>
        </w:rPr>
        <w:t>巩固拓展脱贫攻坚成果</w:t>
      </w:r>
      <w:r>
        <w:rPr>
          <w:rStyle w:val="20"/>
          <w:rFonts w:hint="eastAsia" w:ascii="仿宋" w:hAnsi="仿宋" w:eastAsia="仿宋" w:cs="仿宋"/>
          <w:b w:val="0"/>
          <w:bCs w:val="0"/>
          <w:color w:val="000000"/>
          <w:sz w:val="32"/>
          <w:szCs w:val="32"/>
          <w:highlight w:val="none"/>
        </w:rPr>
        <w:t>衔接乡村振兴支出（</w:t>
      </w:r>
      <w:r>
        <w:rPr>
          <w:rStyle w:val="20"/>
          <w:rFonts w:hint="eastAsia" w:ascii="仿宋" w:hAnsi="仿宋" w:eastAsia="仿宋" w:cs="仿宋"/>
          <w:b w:val="0"/>
          <w:bCs w:val="0"/>
          <w:color w:val="000000"/>
          <w:sz w:val="32"/>
          <w:szCs w:val="32"/>
          <w:highlight w:val="none"/>
          <w:lang w:val="en-US" w:eastAsia="zh-CN"/>
        </w:rPr>
        <w:t>99</w:t>
      </w:r>
      <w:r>
        <w:rPr>
          <w:rStyle w:val="20"/>
          <w:rFonts w:hint="eastAsia" w:ascii="仿宋" w:hAnsi="仿宋" w:eastAsia="仿宋" w:cs="仿宋"/>
          <w:b w:val="0"/>
          <w:bCs w:val="0"/>
          <w:color w:val="000000"/>
          <w:sz w:val="32"/>
          <w:szCs w:val="32"/>
          <w:highlight w:val="none"/>
        </w:rPr>
        <w:t>）</w:t>
      </w:r>
      <w:r>
        <w:rPr>
          <w:rStyle w:val="20"/>
          <w:rFonts w:hint="eastAsia" w:ascii="仿宋" w:hAnsi="仿宋" w:eastAsia="仿宋" w:cs="仿宋"/>
          <w:b w:val="0"/>
          <w:bCs w:val="0"/>
          <w:color w:val="000000"/>
          <w:sz w:val="32"/>
          <w:szCs w:val="32"/>
          <w:highlight w:val="none"/>
          <w:lang w:eastAsia="zh-CN"/>
        </w:rPr>
        <w:t>：反映除上述项目以外其他用于巩固拓展脱贫攻坚成果同乡村振兴有效衔接方面的支出。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住房保障支出（221）</w:t>
      </w:r>
      <w:r>
        <w:rPr>
          <w:rFonts w:hint="eastAsia" w:ascii="仿宋" w:hAnsi="仿宋" w:eastAsia="仿宋" w:cs="仿宋"/>
          <w:sz w:val="32"/>
          <w:szCs w:val="32"/>
          <w:highlight w:val="none"/>
        </w:rPr>
        <w:t>保障性安居工程支出（</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）棚户区改造（</w:t>
      </w:r>
      <w:r>
        <w:rPr>
          <w:rFonts w:hint="eastAsia" w:ascii="仿宋" w:hAnsi="仿宋" w:eastAsia="仿宋" w:cs="仿宋"/>
          <w:sz w:val="32"/>
          <w:szCs w:val="32"/>
          <w:highlight w:val="none"/>
          <w:lang w:val="en-US" w:eastAsia="zh-CN"/>
        </w:rPr>
        <w:t>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：反映用于棚户区改造方面的支出。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住房保障支出（221）</w:t>
      </w:r>
      <w:r>
        <w:rPr>
          <w:rFonts w:hint="eastAsia" w:ascii="仿宋" w:hAnsi="仿宋" w:eastAsia="仿宋" w:cs="仿宋"/>
          <w:sz w:val="32"/>
          <w:szCs w:val="32"/>
          <w:highlight w:val="none"/>
        </w:rPr>
        <w:t>保障性安居工程支出（</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）保障性住房租金补贴（</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：反映各级政府向低收入住房保障家庭发放的住房租赁补贴支出。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住房保障支出（221）</w:t>
      </w:r>
      <w:r>
        <w:rPr>
          <w:rFonts w:hint="eastAsia" w:ascii="仿宋" w:hAnsi="仿宋" w:eastAsia="仿宋" w:cs="仿宋"/>
          <w:sz w:val="32"/>
          <w:szCs w:val="32"/>
          <w:highlight w:val="none"/>
        </w:rPr>
        <w:t>保障性安居工程支出（</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）老旧小区改造（</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：反映用于老旧小区改造方面的支出。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lang w:eastAsia="zh-CN"/>
        </w:rPr>
        <w:t>住房保障支出（221）</w:t>
      </w:r>
      <w:r>
        <w:rPr>
          <w:rFonts w:hint="eastAsia" w:ascii="仿宋" w:hAnsi="仿宋" w:eastAsia="仿宋" w:cs="仿宋"/>
          <w:sz w:val="32"/>
          <w:szCs w:val="32"/>
          <w:highlight w:val="none"/>
        </w:rPr>
        <w:t>住房改革支出（</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）住房公积金（</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val="0"/>
          <w:bCs w:val="0"/>
          <w:kern w:val="2"/>
          <w:sz w:val="32"/>
          <w:szCs w:val="32"/>
          <w:highlight w:val="none"/>
          <w:lang w:val="en-US" w:eastAsia="zh-CN" w:bidi="ar-SA"/>
        </w:rPr>
        <w:t>27.其他支出（229）其他政府性基金及对应专项债务收入安排的支出（04）其他地方自行试点项目收益专项债券收入安排的支出（02）：反映其他地方自行试点项目收益专项债券收入安排的支出</w:t>
      </w:r>
      <w:r>
        <w:rPr>
          <w:rFonts w:hint="eastAsia" w:ascii="仿宋" w:hAnsi="仿宋" w:eastAsia="仿宋" w:cs="仿宋"/>
          <w:sz w:val="32"/>
          <w:szCs w:val="32"/>
          <w:highlight w:val="none"/>
          <w:lang w:val="en-US" w:eastAsia="zh-CN"/>
        </w:rPr>
        <w:t>。</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28.其他支出（229）其他支出（99）其他支出（99）</w:t>
      </w:r>
      <w:r>
        <w:rPr>
          <w:rFonts w:hint="eastAsia" w:ascii="仿宋" w:hAnsi="仿宋" w:eastAsia="仿宋" w:cs="仿宋"/>
          <w:color w:val="auto"/>
          <w:sz w:val="32"/>
          <w:szCs w:val="32"/>
          <w:highlight w:val="none"/>
          <w:lang w:eastAsia="zh-CN"/>
        </w:rPr>
        <w:t>：反映除上述</w:t>
      </w:r>
      <w:r>
        <w:rPr>
          <w:rFonts w:hint="eastAsia" w:ascii="仿宋" w:hAnsi="仿宋" w:eastAsia="仿宋" w:cs="仿宋"/>
          <w:color w:val="auto"/>
          <w:sz w:val="32"/>
          <w:szCs w:val="32"/>
          <w:highlight w:val="none"/>
          <w:lang w:val="en-US" w:eastAsia="zh-CN"/>
        </w:rPr>
        <w:t>项目以外其他不能划分到具体功能分类科目中的支出项目</w:t>
      </w:r>
      <w:r>
        <w:rPr>
          <w:rFonts w:hint="eastAsia" w:ascii="仿宋" w:hAnsi="仿宋" w:eastAsia="仿宋" w:cs="仿宋"/>
          <w:sz w:val="32"/>
          <w:szCs w:val="32"/>
          <w:highlight w:val="none"/>
          <w:lang w:val="en-US" w:eastAsia="zh-CN"/>
        </w:rPr>
        <w:t>。</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29.基本支出：指为保障机构正常运转、完成日常工作任务而发生的人员支出和公用支出。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rPr>
        <w:t>.经营支出：指事业单位在专业业务活动及其辅助活动之外开展非独立核算经营活动发生的支出。</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hAnsi="仿宋" w:cs="仿宋"/>
          <w:color w:val="auto"/>
          <w:sz w:val="32"/>
          <w:szCs w:val="32"/>
          <w:highlight w:val="none"/>
          <w:lang w:val="en-US" w:eastAsia="zh-CN"/>
        </w:rPr>
        <w:t>2</w:t>
      </w:r>
      <w:r>
        <w:rPr>
          <w:rFonts w:hint="eastAsia" w:ascii="仿宋" w:hAnsi="仿宋" w:eastAsia="仿宋" w:cs="仿宋"/>
          <w:color w:val="auto"/>
          <w:sz w:val="32"/>
          <w:szCs w:val="32"/>
          <w:highlight w:val="none"/>
        </w:rPr>
        <w:t>.“三公”经费：指</w:t>
      </w:r>
      <w:r>
        <w:rPr>
          <w:rFonts w:hint="eastAsia" w:hAnsi="仿宋" w:cs="仿宋"/>
          <w:color w:val="auto"/>
          <w:sz w:val="32"/>
          <w:szCs w:val="32"/>
          <w:highlight w:val="none"/>
          <w:lang w:eastAsia="zh-CN"/>
        </w:rPr>
        <w:t>单位</w:t>
      </w:r>
      <w:r>
        <w:rPr>
          <w:rFonts w:hint="eastAsia" w:ascii="仿宋" w:hAnsi="仿宋" w:eastAsia="仿宋" w:cs="仿宋"/>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hAnsi="仿宋" w:cs="仿宋"/>
          <w:color w:val="auto"/>
          <w:sz w:val="32"/>
          <w:szCs w:val="32"/>
          <w:highlight w:val="none"/>
          <w:lang w:val="en-US" w:eastAsia="zh-CN"/>
        </w:rPr>
        <w:t>3</w:t>
      </w:r>
      <w:r>
        <w:rPr>
          <w:rFonts w:hint="eastAsia" w:ascii="仿宋" w:hAnsi="仿宋" w:eastAsia="仿宋" w:cs="仿宋"/>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eastAsia="仿宋_GB2312"/>
          <w:color w:val="auto"/>
          <w:sz w:val="32"/>
          <w:szCs w:val="32"/>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_GB2312" w:eastAsia="仿宋_GB2312"/>
          <w:color w:val="auto"/>
          <w:sz w:val="32"/>
          <w:szCs w:val="32"/>
          <w:highlight w:val="none"/>
        </w:rPr>
        <w:br w:type="page"/>
      </w:r>
    </w:p>
    <w:p>
      <w:pPr>
        <w:pStyle w:val="2"/>
        <w:rPr>
          <w:rFonts w:hint="eastAsia"/>
        </w:rPr>
      </w:pPr>
    </w:p>
    <w:p>
      <w:pPr>
        <w:numPr>
          <w:ilvl w:val="0"/>
          <w:numId w:val="4"/>
        </w:numPr>
        <w:spacing w:line="600" w:lineRule="exact"/>
        <w:ind w:left="0" w:leftChars="0" w:firstLine="660" w:firstLineChars="150"/>
        <w:jc w:val="center"/>
        <w:outlineLvl w:val="0"/>
        <w:rPr>
          <w:rStyle w:val="33"/>
          <w:rFonts w:hint="eastAsia" w:ascii="黑体" w:hAnsi="黑体" w:eastAsia="黑体"/>
          <w:b w:val="0"/>
          <w:color w:val="auto"/>
          <w:highlight w:val="none"/>
        </w:rPr>
      </w:pPr>
      <w:r>
        <w:rPr>
          <w:rStyle w:val="33"/>
          <w:rFonts w:hint="eastAsia" w:ascii="黑体" w:hAnsi="黑体" w:eastAsia="黑体"/>
          <w:b w:val="0"/>
          <w:color w:val="auto"/>
          <w:highlight w:val="none"/>
        </w:rPr>
        <w:t>附件</w:t>
      </w: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1</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51090322T000000339641-水环境检测费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对全区各污水处理厂站进出水以及米家河水体进行定期检测，按照检测结果要求相关单位对问题进行整改，保证污水处理厂站达标排放，米家河消除黑臭水体。</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完成米家河、明月河、污水处理厂（站）进出水口的水质检测，确保了设施设备正常运行，数据有效。2023年度水环境检测项目产出良好。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由区住建局委托有资质的检测单位对污水处理厂（站）进出水水质以及地表水水质进行抽样检测，严格监督污水处理厂（站）的运行情况，米家河、明月河等河流水质情况。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河道点位检测次数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河道检测结果达标率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河道水质及黑臭水体消除"长制久清"</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第三方专业检测机构对污水处理厂（站）进出水口、米家河、明月河等点位进行水质检测并出具水质检测报告，共计检测55个点位，通过水质检测报告上的指标数据，及时了解掌握污水处理厂（站）进出水口、米家河、明月河等的水环境质量状况，为打好污染防治攻坚战提供决策支撑，提升了乡镇人居环境，增强了居民的幸福感，最大程度实现了社会效益、生态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10" w:type="first"/>
          <w:footerReference r:id="rId9" w:type="default"/>
          <w:pgSz w:w="16838" w:h="11906" w:orient="landscape"/>
          <w:pgMar w:top="1800" w:right="1440" w:bottom="1800" w:left="1440" w:header="851" w:footer="992" w:gutter="0"/>
          <w:pgNumType w:fmt="decimal"/>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2</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51090322T000000339692-消防设计审查、消防检测所需抽检费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全年聘请一家第三方消防技术机构为辖区内的30万平方米的建设面积进行工程消防设计审查、验收提供技术性支撑,对全区建设工程消防安全质量</w:t>
            </w:r>
            <w:r>
              <w:rPr>
                <w:rFonts w:hint="eastAsia" w:ascii="宋体" w:hAnsi="宋体" w:cs="宋体"/>
                <w:i w:val="0"/>
                <w:iCs w:val="0"/>
                <w:color w:val="000000"/>
                <w:kern w:val="0"/>
                <w:sz w:val="18"/>
                <w:szCs w:val="18"/>
                <w:u w:val="none"/>
                <w:lang w:val="en-US" w:eastAsia="zh-CN" w:bidi="ar"/>
              </w:rPr>
              <w:t>进行严格把关</w:t>
            </w:r>
            <w:r>
              <w:rPr>
                <w:rFonts w:ascii="宋体" w:hAnsi="宋体" w:eastAsia="宋体" w:cs="宋体"/>
                <w:i w:val="0"/>
                <w:iCs w:val="0"/>
                <w:color w:val="000000"/>
                <w:kern w:val="0"/>
                <w:sz w:val="18"/>
                <w:szCs w:val="18"/>
                <w:u w:val="none"/>
                <w:lang w:val="en-US" w:eastAsia="zh-CN" w:bidi="ar"/>
              </w:rPr>
              <w:t>，避免出现火灾隐患，保障人民群众生命财产安全。</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消防设计审查、消防检测所需抽检费主要是全年聘请一家第三方消防技术机构为辖区内的100余万平方米的建设面积进行工程消防设计审查、验收提供技术性支撑,对全区建设工程消防安全质量</w:t>
            </w:r>
            <w:r>
              <w:rPr>
                <w:rFonts w:hint="eastAsia" w:ascii="宋体" w:hAnsi="宋体" w:cs="宋体"/>
                <w:i w:val="0"/>
                <w:iCs w:val="0"/>
                <w:color w:val="000000"/>
                <w:kern w:val="0"/>
                <w:sz w:val="18"/>
                <w:szCs w:val="18"/>
                <w:u w:val="none"/>
                <w:lang w:val="en-US" w:eastAsia="zh-CN" w:bidi="ar"/>
              </w:rPr>
              <w:t>进行严格把关</w:t>
            </w:r>
            <w:r>
              <w:rPr>
                <w:rFonts w:ascii="宋体" w:hAnsi="宋体" w:eastAsia="宋体" w:cs="宋体"/>
                <w:i w:val="0"/>
                <w:iCs w:val="0"/>
                <w:color w:val="000000"/>
                <w:kern w:val="0"/>
                <w:sz w:val="18"/>
                <w:szCs w:val="18"/>
                <w:u w:val="none"/>
                <w:lang w:val="en-US" w:eastAsia="zh-CN" w:bidi="ar"/>
              </w:rPr>
              <w:t>，避免出现火灾隐患，保障人民群众生命财产安全。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2023年，船山区住建局以购买第三方服务的形式，委托了遂宁瑞恒消防设施检测有限公司对船山辖区内18个项目提供消防技术服务。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消防现场评定项目数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聘请评定三方机构数量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消防现场评定合格率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减少火灾隐患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预算符合目前我局实际情况，工作内容、方式方法、开展时间较合理，保障了我区建设工程项目消防工作方面的规范性、安全性。投入成本与预期效果相匹配，预算费用是按照市场价格细化测算。通过对辖区内的场所进行消防检查，</w:t>
            </w:r>
            <w:r>
              <w:rPr>
                <w:rFonts w:hint="eastAsia" w:ascii="宋体" w:hAnsi="宋体" w:cs="宋体"/>
                <w:i w:val="0"/>
                <w:iCs w:val="0"/>
                <w:color w:val="000000"/>
                <w:kern w:val="0"/>
                <w:sz w:val="18"/>
                <w:szCs w:val="18"/>
                <w:u w:val="none"/>
                <w:lang w:val="en-US" w:eastAsia="zh-CN" w:bidi="ar"/>
              </w:rPr>
              <w:t>极大地减少</w:t>
            </w:r>
            <w:r>
              <w:rPr>
                <w:rFonts w:ascii="宋体" w:hAnsi="宋体" w:eastAsia="宋体" w:cs="宋体"/>
                <w:i w:val="0"/>
                <w:iCs w:val="0"/>
                <w:color w:val="000000"/>
                <w:kern w:val="0"/>
                <w:sz w:val="18"/>
                <w:szCs w:val="18"/>
                <w:u w:val="none"/>
                <w:lang w:val="en-US" w:eastAsia="zh-CN" w:bidi="ar"/>
              </w:rPr>
              <w:t>火灾隐患，保障人民生命财产安全。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12" w:type="first"/>
          <w:footerReference r:id="rId11" w:type="default"/>
          <w:pgSz w:w="16838" w:h="11906" w:orient="landscape"/>
          <w:pgMar w:top="1800" w:right="1440" w:bottom="1800" w:left="1440" w:header="851" w:footer="992" w:gutter="0"/>
          <w:pgNumType w:fmt="decimal" w:start="23"/>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3</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51090322T000000339902-建筑施工起重机械检测费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近年来，省住建厅多次下发文件，要求各地开展建筑施工起重机械设备专项检查。同时，计划聘请第三方机构全年开展一次对船山区建筑施工起重机械抽检工作，预计抽检塔机10台，抽检施工电梯5台，龙门架5台，吊篮3台，保证船山区建筑施工起重机械使用安全。开展辖区内住建领域的建筑施工起重机械专项抽查，客观地反映辖区起重设备的整体情况，给安全生产工作提供指导。</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为了加强建筑施工机械及设备在施工现场使用的监督管理，</w:t>
            </w:r>
            <w:r>
              <w:rPr>
                <w:rFonts w:hint="eastAsia" w:ascii="宋体" w:hAnsi="宋体" w:cs="宋体"/>
                <w:i w:val="0"/>
                <w:iCs w:val="0"/>
                <w:color w:val="000000"/>
                <w:kern w:val="0"/>
                <w:sz w:val="18"/>
                <w:szCs w:val="18"/>
                <w:u w:val="none"/>
                <w:lang w:val="en-US" w:eastAsia="zh-CN" w:bidi="ar"/>
              </w:rPr>
              <w:t>有效地预防</w:t>
            </w:r>
            <w:r>
              <w:rPr>
                <w:rFonts w:ascii="宋体" w:hAnsi="宋体" w:eastAsia="宋体" w:cs="宋体"/>
                <w:i w:val="0"/>
                <w:iCs w:val="0"/>
                <w:color w:val="000000"/>
                <w:kern w:val="0"/>
                <w:sz w:val="18"/>
                <w:szCs w:val="18"/>
                <w:u w:val="none"/>
                <w:lang w:val="en-US" w:eastAsia="zh-CN" w:bidi="ar"/>
              </w:rPr>
              <w:t>和遏制建筑起重机械伤害事故的发生。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四川荣立工程技术咨询有限公司对船山辖区内建筑施工起重机械进行了抽检抽查，本次共检查6个项目，塔式起重机14台，施工升降机4台，龙门架3台。并对检查结果进行通报处理，及时通知、督促相关企业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抽检抽检塔机数量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抽检施工电梯数量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抽检吊篮数量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抽检报告成果利用率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保障建筑施工安全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保障船山区建筑施工安全可控性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成本达到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加强建筑施工起重机械设备的安全管理，规范施工现场起重机械设备市场行为，促进工程建设各方责任主体安全责任的落实，全面实施建筑起重机械备案登记制度、安装拆卸资质准入制、安装拆卸施工方案备案制度以及使用前的专项检测验收制度，严格审查各项条件，加强监管，坚决淘汰不符合要求的机械设备，</w:t>
            </w:r>
            <w:r>
              <w:rPr>
                <w:rFonts w:hint="eastAsia" w:ascii="宋体" w:hAnsi="宋体" w:cs="宋体"/>
                <w:i w:val="0"/>
                <w:iCs w:val="0"/>
                <w:color w:val="000000"/>
                <w:kern w:val="0"/>
                <w:sz w:val="18"/>
                <w:szCs w:val="18"/>
                <w:u w:val="none"/>
                <w:lang w:val="en-US" w:eastAsia="zh-CN" w:bidi="ar"/>
              </w:rPr>
              <w:t>有效地预防</w:t>
            </w:r>
            <w:r>
              <w:rPr>
                <w:rFonts w:ascii="宋体" w:hAnsi="宋体" w:eastAsia="宋体" w:cs="宋体"/>
                <w:i w:val="0"/>
                <w:iCs w:val="0"/>
                <w:color w:val="000000"/>
                <w:kern w:val="0"/>
                <w:sz w:val="18"/>
                <w:szCs w:val="18"/>
                <w:u w:val="none"/>
                <w:lang w:val="en-US" w:eastAsia="zh-CN" w:bidi="ar"/>
              </w:rPr>
              <w:t>和遏制建筑施工起重机械设备伤害事故的发生，保障我区建筑施工安全生产形势稳定。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14" w:type="first"/>
          <w:footerReference r:id="rId13" w:type="default"/>
          <w:pgSz w:w="16838" w:h="11906" w:orient="landscape"/>
          <w:pgMar w:top="1800" w:right="1440" w:bottom="1800" w:left="1440" w:header="851" w:footer="992" w:gutter="0"/>
          <w:pgNumType w:fmt="decimal" w:start="25"/>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4</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51090322T000000340114-老城区既有建筑监测、监督费用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2022年预算15万，聘请1家监测公司对5处老城区危旧房屋进行结构安全鉴定、对房屋变形监测，确保老城区人民安全。</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确保船山区危旧房住房安全，同时加强建设工程质量的管理，对老城区危旧房屋进行结构安全鉴定、对房屋变形监测，既有房屋安全隐患简单处理。具体对老城区19处房屋进行既有房屋沉降变形观察，确保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按合同要求，对希望街4号11栋；小西街13号；开善东路279号蜀兴花园；南津北路222号南津公寓；遂州中路615号；玉堂街14号等19处房屋沉降变形进行观察。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老旧小区沉降变形观测楼栋数量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D级危房测绘报告质量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保障房屋使用安全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减少经济损失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希望街4号11栋；小西街13号；开善东路279号蜀兴花园；南津北路222号南津公寓；遂州中路615号；玉堂街14号等19处房屋沉降变形检测，有效保障了群众生命财产安全，实现预期目标。同时加强了建设工程质量的管理，对老城区危旧房屋进行结构安全鉴定、对房屋变形监测，既有房屋安全隐患简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16" w:type="first"/>
          <w:footerReference r:id="rId15" w:type="default"/>
          <w:pgSz w:w="16838" w:h="11906" w:orient="landscape"/>
          <w:pgMar w:top="1800" w:right="1440" w:bottom="1800" w:left="1440" w:header="851" w:footer="992" w:gutter="0"/>
          <w:pgNumType w:fmt="decimal" w:start="27"/>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5</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w:t>
            </w:r>
            <w:r>
              <w:rPr>
                <w:rFonts w:hint="default" w:ascii="黑体" w:hAnsi="宋体" w:eastAsia="黑体" w:cs="黑体"/>
                <w:b/>
                <w:bCs/>
                <w:i w:val="0"/>
                <w:iCs w:val="0"/>
                <w:color w:val="000000"/>
                <w:kern w:val="0"/>
                <w:sz w:val="30"/>
                <w:szCs w:val="30"/>
                <w:u w:val="none"/>
                <w:lang w:val="en-US" w:eastAsia="zh-CN" w:bidi="ar"/>
              </w:rPr>
              <w:t>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51090322T000005524533-农村建筑工匠培训费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r>
              <w:rPr>
                <w:rFonts w:hint="eastAsia" w:ascii="宋体" w:hAnsi="宋体" w:cs="宋体"/>
                <w:i w:val="0"/>
                <w:iCs w:val="0"/>
                <w:color w:val="000000"/>
                <w:kern w:val="0"/>
                <w:sz w:val="18"/>
                <w:szCs w:val="18"/>
                <w:u w:val="none"/>
                <w:lang w:val="en-US" w:eastAsia="zh-CN" w:bidi="ar"/>
              </w:rPr>
              <w:t>单位</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建筑工匠培训是乡村建设管理储备人才的重要举措，能够有效规范农村建房承揽行为，确保农村住房建设质量安全。按照省、市、区工作安排部署，结合我区实际情况，2023年我局组织农村建筑工匠培训165人，投入资金8.25万元。</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农村建筑工匠培训是乡村建设管理储备人才的重要举措，能够有效规范农村建房承揽行为和推进我区农房建设高效开展，确保农村住房建设质量安全。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该项目于2023年6月完成竞争性谈判手续，成交价格500元/人，中标企业为遂宁市安居区运来职业技能培训学校有限公司，培训于2023年6月完成。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165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考核合格率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2023.6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提高了农村工匠就业率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提高我区农房建设质量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8.25万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8.25万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我局组织乡镇加强了农村建房工匠管理，严格落实了农村建房承揽人必须持证的要求，确保农村住房建设质量安全，推进我区农房建设高效开展。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18" w:type="first"/>
          <w:footerReference r:id="rId17" w:type="default"/>
          <w:pgSz w:w="16838" w:h="11906" w:orient="landscape"/>
          <w:pgMar w:top="1800" w:right="1440" w:bottom="1800" w:left="1440" w:header="851" w:footer="992" w:gutter="0"/>
          <w:pgNumType w:fmt="decimal" w:start="29"/>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6</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8"/>
        <w:gridCol w:w="1773"/>
        <w:gridCol w:w="1844"/>
        <w:gridCol w:w="521"/>
        <w:gridCol w:w="1676"/>
        <w:gridCol w:w="521"/>
        <w:gridCol w:w="1664"/>
        <w:gridCol w:w="505"/>
        <w:gridCol w:w="456"/>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51090323T000009245038-2023年中央城镇保障性安居工程补助资金-老旧小区改造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遂州南路片区、油房街社区、裕丰片区、渠河路东片区、玉泉街社区房屋主体及基础设施配套进行改造，改造小区112个，房屋257栋，涉及9705户，面积94.95万平方米，道路14.52万平方米；新建、改造机动车和非机动车棚40024平方米；充电桩232个；雨污水管网25.05公里；电力管网62.18公里；照明路灯995盏；对建筑外墙进行修缮、风貌改造，对公共楼顶屋面、楼梯间公共部位</w:t>
            </w:r>
            <w:r>
              <w:rPr>
                <w:rFonts w:hint="eastAsia" w:ascii="宋体" w:hAnsi="宋体" w:cs="宋体"/>
                <w:i w:val="0"/>
                <w:iCs w:val="0"/>
                <w:color w:val="000000"/>
                <w:kern w:val="0"/>
                <w:sz w:val="18"/>
                <w:szCs w:val="18"/>
                <w:u w:val="none"/>
                <w:lang w:val="en-US" w:eastAsia="zh-CN" w:bidi="ar"/>
              </w:rPr>
              <w:t>等数个公共</w:t>
            </w:r>
            <w:r>
              <w:rPr>
                <w:rFonts w:ascii="宋体" w:hAnsi="宋体" w:eastAsia="宋体" w:cs="宋体"/>
                <w:i w:val="0"/>
                <w:iCs w:val="0"/>
                <w:color w:val="000000"/>
                <w:kern w:val="0"/>
                <w:sz w:val="18"/>
                <w:szCs w:val="18"/>
                <w:u w:val="none"/>
                <w:lang w:val="en-US" w:eastAsia="zh-CN" w:bidi="ar"/>
              </w:rPr>
              <w:t>区域进行整治，配套建设围墙、消防、安防等基础设施。</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截至目前</w:t>
            </w:r>
            <w:r>
              <w:rPr>
                <w:rFonts w:ascii="宋体" w:hAnsi="宋体" w:eastAsia="宋体" w:cs="宋体"/>
                <w:i w:val="0"/>
                <w:iCs w:val="0"/>
                <w:color w:val="000000"/>
                <w:kern w:val="0"/>
                <w:sz w:val="18"/>
                <w:szCs w:val="18"/>
                <w:u w:val="none"/>
                <w:lang w:val="en-US" w:eastAsia="zh-CN" w:bidi="ar"/>
              </w:rPr>
              <w:t>，已完成总工程量的50%。其中主体完成85个小区，完成梯间墙面16万平方米，外墙3米以下改造1.2万平方米；配套完成38个小区，完成道路改造2.6万平方米，雨污水管网改造7.9公里，强弱电管改造5.8公里。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指标112个，全年实际完成52个；老旧小区户数指标9705户，实际完成3200户；项目总投资为24410.83万元，实际完成7000万元；项目按时开工，开工率100%；因老旧小区改造为跨年度实施项目，现尚在有序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4,949.00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完成改造老旧小区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老旧小区改造属于长期工程，需跨年度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完成改造老旧小区户数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项目按时开工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项目按时竣工验收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项目建设总投资成本（万元）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24410.83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老旧小区改造属于长期工程，需跨年度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提高群众获得感、幸福感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片区人居环境改善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推动区域全面协调发展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区域辐射人群满意度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旧小区改造指标112个，全年实际完成52个；老旧小区户数指标9705户，实际完成3200户；项目总投资为24410.83万元，实际完成7000万元；项目按时开工，开工率100%；因老旧小区改造为跨年度实施项目，现尚在有序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20" w:type="first"/>
          <w:footerReference r:id="rId19" w:type="default"/>
          <w:pgSz w:w="16838" w:h="11906" w:orient="landscape"/>
          <w:pgMar w:top="1800" w:right="1440" w:bottom="1800" w:left="1440" w:header="851" w:footer="992" w:gutter="0"/>
          <w:pgNumType w:fmt="decimal" w:start="31"/>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7</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51090323T000009245052-2023年中央城镇保障性安居工程补助资金-棚户区改造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2023年完成棚户区改造新开工1030套。</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2023年完成棚户区改造新开工1030套。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棚户区方面，棚户区改造指标1030套，全年实际新开工1030套；项目按时开工，开工目标完成率100%，</w:t>
            </w:r>
            <w:r>
              <w:rPr>
                <w:rFonts w:hint="eastAsia" w:ascii="宋体" w:hAnsi="宋体" w:cs="宋体"/>
                <w:i w:val="0"/>
                <w:iCs w:val="0"/>
                <w:color w:val="000000"/>
                <w:kern w:val="0"/>
                <w:sz w:val="18"/>
                <w:szCs w:val="18"/>
                <w:u w:val="none"/>
                <w:lang w:val="en-US" w:eastAsia="zh-CN" w:bidi="ar"/>
              </w:rPr>
              <w:t>截至目前</w:t>
            </w:r>
            <w:r>
              <w:rPr>
                <w:rFonts w:ascii="宋体" w:hAnsi="宋体" w:eastAsia="宋体" w:cs="宋体"/>
                <w:i w:val="0"/>
                <w:iCs w:val="0"/>
                <w:color w:val="000000"/>
                <w:kern w:val="0"/>
                <w:sz w:val="18"/>
                <w:szCs w:val="18"/>
                <w:u w:val="none"/>
                <w:lang w:val="en-US" w:eastAsia="zh-CN" w:bidi="ar"/>
              </w:rPr>
              <w:t>，项目正在建设中。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棚户区改造数量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开工目标完成率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项目按时开工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改善群众居住条件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促进建筑行业发展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棚户区方面，棚户区改造指标1030套，全年实际新开工1030套；项目按时开工，开工目标完成率100%，</w:t>
            </w:r>
            <w:r>
              <w:rPr>
                <w:rFonts w:hint="eastAsia" w:ascii="宋体" w:hAnsi="宋体" w:cs="宋体"/>
                <w:i w:val="0"/>
                <w:iCs w:val="0"/>
                <w:color w:val="000000"/>
                <w:kern w:val="0"/>
                <w:sz w:val="18"/>
                <w:szCs w:val="18"/>
                <w:u w:val="none"/>
                <w:lang w:val="en-US" w:eastAsia="zh-CN" w:bidi="ar"/>
              </w:rPr>
              <w:t>截至目前</w:t>
            </w:r>
            <w:r>
              <w:rPr>
                <w:rFonts w:ascii="宋体" w:hAnsi="宋体" w:eastAsia="宋体" w:cs="宋体"/>
                <w:i w:val="0"/>
                <w:iCs w:val="0"/>
                <w:color w:val="000000"/>
                <w:kern w:val="0"/>
                <w:sz w:val="18"/>
                <w:szCs w:val="18"/>
                <w:u w:val="none"/>
                <w:lang w:val="en-US" w:eastAsia="zh-CN" w:bidi="ar"/>
              </w:rPr>
              <w:t>，项目正在建设中。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22" w:type="first"/>
          <w:footerReference r:id="rId21" w:type="default"/>
          <w:pgSz w:w="16838" w:h="11906" w:orient="landscape"/>
          <w:pgMar w:top="1800" w:right="1440" w:bottom="1800" w:left="1440" w:header="851" w:footer="992" w:gutter="0"/>
          <w:pgNumType w:fmt="decimal" w:start="34"/>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8</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2"/>
        <w:gridCol w:w="520"/>
        <w:gridCol w:w="1661"/>
        <w:gridCol w:w="505"/>
        <w:gridCol w:w="486"/>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51090323T000009245028-2023年中央城镇保障性安居工程补助资金-租金补贴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2023年发放公共租赁住房租赁补贴35户。</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。2023年发放公共租赁住房租赁补贴35户。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租金补贴方面，住房保障家庭租赁补贴指标35户，已全部完成发放，目标完成率100%。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住房保障家庭租赁补贴户数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补贴审核合格率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补贴发放目标完成率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11.368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11.368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保障辖区内低收入群体住房问题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租金补贴方面，住房保障家庭租赁补贴指标35户，已全部完成发放，目标完成率100%。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
        <w:rPr>
          <w:rFonts w:hint="eastAsia"/>
          <w:sz w:val="28"/>
          <w:szCs w:val="28"/>
          <w:lang w:val="zh-CN" w:eastAsia="zh-CN"/>
        </w:rPr>
        <w:sectPr>
          <w:footerReference r:id="rId24" w:type="first"/>
          <w:footerReference r:id="rId23" w:type="default"/>
          <w:pgSz w:w="16838" w:h="11906" w:orient="landscape"/>
          <w:pgMar w:top="1800" w:right="1440" w:bottom="1800" w:left="1440" w:header="851" w:footer="992" w:gutter="0"/>
          <w:pgNumType w:fmt="decimal" w:start="36"/>
          <w:cols w:space="425" w:num="1"/>
          <w:titlePg/>
          <w:docGrid w:type="lines" w:linePitch="312" w:charSpace="0"/>
        </w:sectPr>
      </w:pPr>
    </w:p>
    <w:p>
      <w:pPr>
        <w:pStyle w:val="3"/>
        <w:rPr>
          <w:rFonts w:hint="default"/>
          <w:sz w:val="28"/>
          <w:szCs w:val="28"/>
          <w:lang w:val="en-US" w:eastAsia="zh-CN"/>
        </w:rPr>
      </w:pPr>
      <w:r>
        <w:rPr>
          <w:rFonts w:hint="eastAsia"/>
          <w:sz w:val="28"/>
          <w:szCs w:val="28"/>
          <w:lang w:val="zh-CN" w:eastAsia="zh-CN"/>
        </w:rPr>
        <w:t>附表</w:t>
      </w:r>
      <w:r>
        <w:rPr>
          <w:rFonts w:hint="eastAsia"/>
          <w:sz w:val="28"/>
          <w:szCs w:val="28"/>
          <w:lang w:val="en-US" w:eastAsia="zh-CN"/>
        </w:rPr>
        <w:t>9</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9"/>
        <w:gridCol w:w="520"/>
        <w:gridCol w:w="1671"/>
        <w:gridCol w:w="520"/>
        <w:gridCol w:w="1661"/>
        <w:gridCol w:w="505"/>
        <w:gridCol w:w="486"/>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51090323T000009678365-关于原京宁啤酒厂四合院安置户产权办理解决资金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解决原京宁啤酒厂四合院69户安置户产权办理问题</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切实解决群众关切，维护辖区稳定，促进房地产市场交易。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解决群众合理诉求，经遂宁市船山区人民政府批准，同意追加原京宁啤酒厂四合院安置户产权办理问题资金60万元，主要用于为拆迁群众办理新房产权证。经区住建局及街道办事处多次约谈开发企业，开发企业于2022年5月中旬先行办理了6户产权证明，并表示可以继续协助办证，但需请政府尽快支付垫付的费用。该项目资金60万支付后，成功为剩余的69户安置户办理了不动产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为剩余的69户安置户办理不动产权证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为剩余的安置户办理产权证覆盖率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2023年年末之前完成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2023年8月</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促进房地产市场交易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维护了辖区稳定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项目支付费用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京宁啤酒厂四合院位于遂州中路975号，郭家一巷东侧。因房屋存在异常情况被鉴定为D级危房，2024年区政府将该处危旧房纳入棚户区改造范围，以“金域尚城”项目开发商四川友博投资有限责任公司为主体通过适当增加容积率的方式开展拆迁安置工作。经遂宁市船山区人民政府批准，同意追加原京宁啤酒厂四合院安置户产权办理问题资金60万元，主要用于为拆迁群众办理新房产权证。该项目为剩余69户安置户办理了不动产产权证，成功解决群众合理诉求，有效维护辖区稳定，促进房地产市场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1"/>
        <w:spacing w:line="560" w:lineRule="exact"/>
        <w:rPr>
          <w:rFonts w:hint="eastAsia" w:ascii="仿宋_GB2312" w:eastAsia="仿宋_GB2312"/>
          <w:color w:val="auto"/>
          <w:sz w:val="32"/>
          <w:szCs w:val="32"/>
          <w:highlight w:val="none"/>
          <w:lang w:val="en-US" w:eastAsia="zh-CN"/>
        </w:rPr>
      </w:pPr>
    </w:p>
    <w:p>
      <w:pPr>
        <w:pStyle w:val="31"/>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附表10</w:t>
      </w:r>
    </w:p>
    <w:tbl>
      <w:tblPr>
        <w:tblStyle w:val="1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64"/>
        <w:gridCol w:w="1769"/>
        <w:gridCol w:w="1838"/>
        <w:gridCol w:w="520"/>
        <w:gridCol w:w="1671"/>
        <w:gridCol w:w="520"/>
        <w:gridCol w:w="1661"/>
        <w:gridCol w:w="505"/>
        <w:gridCol w:w="487"/>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9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31"/>
              <w:spacing w:line="560" w:lineRule="exact"/>
              <w:jc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51090323T000008253149-历史建筑测绘建档费用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四川省遂宁市船山区住房和城乡建设局部门</w:t>
            </w:r>
          </w:p>
        </w:tc>
        <w:tc>
          <w:tcPr>
            <w:tcW w:w="16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default" w:ascii="simhei" w:hAnsi="simhei" w:eastAsia="simhei" w:cs="simhei"/>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住房城乡建设部关于加强历史建筑保护与利用工作的通知》（建规〔2017〕212号）、《四川省住房和城乡建设厅关于编制历史文化名城保护规划以及开展历史文化街区划定和历史建筑确定工作情况的通知》（川建规发〔2016〕620号）等相关文件要求，我局将通过认真普查、充分调研、专家评审，再次深入挖掘我区历史建筑。</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住房城乡建设部《关于学习贯彻习近平总书记广东考察时重要讲话精神进一步加强历史文化保护工作的通知》（建办城〔2018〕56号）《关于请报送历史建筑测绘建档三年行动计划和规范历史建筑测绘建档成果要求的函》（建办城〔2019〕202号）和住房城乡建设厅《关于推进历史建筑测绘建档三年行动计划的通知》（川建景园发〔2020〕102号）《关于历史建筑测绘建档三年行动计划的补充通知》（川建景园发〔2020〕144号）有关要求，为切实做好我区历史建筑测绘建档工作，规范历史建筑测绘建档成果，各区（市、县）住建局要积极协调财政部门，将历史建筑测绘档案资金列入本级财政预算，并统筹整合各部门的相关渠道资金，加大政府资金投入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2023年，船山区住建局以购买第三方服务的形式，委托了四川尧洋测绘有限公司对船山辖区内桂花镇福寿康宁、老池乡玉皇庙2处建筑进行了测绘建档。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simhei" w:hAnsi="simhei" w:eastAsia="simhei" w:cs="simhei"/>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新增历史建筑2处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达到历史建筑要求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年末之前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延续城市历史文脉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保护文化遗产资源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以实际测绘金额为准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于开展历史建筑测绘建档行动已制定切实可行的实施计划，明确了项目实施主体、实施方式等。由我局按照相关文件要求，有序推动项目落实。完善历史文化遗产信息化管理，有效提升历史文化保护和实施保障能力和精细化管理水平，切实传承历史文脉，为推动我区历史文化保护利用奠定重要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bl>
    <w:p>
      <w:pPr>
        <w:pStyle w:val="31"/>
        <w:spacing w:line="560" w:lineRule="exact"/>
        <w:rPr>
          <w:rFonts w:hint="default" w:ascii="仿宋_GB2312" w:eastAsia="仿宋_GB2312"/>
          <w:color w:val="auto"/>
          <w:sz w:val="32"/>
          <w:szCs w:val="32"/>
          <w:highlight w:val="none"/>
          <w:lang w:val="en-US" w:eastAsia="zh-CN"/>
        </w:rPr>
        <w:sectPr>
          <w:footerReference r:id="rId26" w:type="first"/>
          <w:footerReference r:id="rId25" w:type="default"/>
          <w:pgSz w:w="16838" w:h="11906" w:orient="landscape"/>
          <w:pgMar w:top="1800" w:right="1440" w:bottom="1800" w:left="1440" w:header="851" w:footer="992" w:gutter="0"/>
          <w:pgNumType w:fmt="decimal" w:start="38"/>
          <w:cols w:space="425" w:num="1"/>
          <w:titlePg/>
          <w:docGrid w:type="lines" w:linePitch="312" w:charSpace="0"/>
        </w:sectPr>
      </w:pPr>
    </w:p>
    <w:p>
      <w:pPr>
        <w:pStyle w:val="2"/>
      </w:pPr>
      <w:bookmarkStart w:id="66" w:name="_Toc3870"/>
      <w:bookmarkStart w:id="67" w:name="_Toc15377226"/>
      <w:bookmarkStart w:id="68" w:name="_Toc15396618"/>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66"/>
      <w:bookmarkEnd w:id="67"/>
      <w:bookmarkEnd w:id="68"/>
      <w:bookmarkStart w:id="69" w:name="_Toc15396619"/>
    </w:p>
    <w:p>
      <w:pPr>
        <w:pStyle w:val="6"/>
        <w:rPr>
          <w:rFonts w:ascii="仿宋" w:hAnsi="仿宋" w:eastAsia="仿宋"/>
          <w:color w:val="auto"/>
          <w:highlight w:val="none"/>
        </w:rPr>
      </w:pPr>
      <w:bookmarkStart w:id="70" w:name="_Toc31341"/>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69"/>
      <w:bookmarkEnd w:id="70"/>
    </w:p>
    <w:p>
      <w:pPr>
        <w:pStyle w:val="6"/>
        <w:rPr>
          <w:rFonts w:ascii="仿宋" w:hAnsi="仿宋" w:eastAsia="仿宋"/>
          <w:color w:val="auto"/>
          <w:highlight w:val="none"/>
        </w:rPr>
      </w:pPr>
      <w:bookmarkStart w:id="71" w:name="_Toc25840"/>
      <w:bookmarkStart w:id="72"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71"/>
      <w:bookmarkEnd w:id="72"/>
    </w:p>
    <w:p>
      <w:pPr>
        <w:pStyle w:val="6"/>
        <w:rPr>
          <w:rFonts w:ascii="仿宋" w:hAnsi="仿宋" w:eastAsia="仿宋"/>
          <w:color w:val="auto"/>
          <w:highlight w:val="none"/>
        </w:rPr>
      </w:pPr>
      <w:bookmarkStart w:id="73" w:name="_Toc15396621"/>
      <w:bookmarkStart w:id="74" w:name="_Toc22597"/>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73"/>
      <w:bookmarkEnd w:id="74"/>
    </w:p>
    <w:p>
      <w:pPr>
        <w:pStyle w:val="6"/>
        <w:rPr>
          <w:rFonts w:ascii="仿宋" w:hAnsi="仿宋" w:eastAsia="仿宋"/>
          <w:b w:val="0"/>
          <w:color w:val="auto"/>
          <w:highlight w:val="none"/>
        </w:rPr>
      </w:pPr>
      <w:bookmarkStart w:id="75" w:name="_Toc32026"/>
      <w:bookmarkStart w:id="76" w:name="_Toc15396622"/>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75"/>
      <w:bookmarkEnd w:id="76"/>
    </w:p>
    <w:p>
      <w:pPr>
        <w:pStyle w:val="6"/>
        <w:rPr>
          <w:rStyle w:val="34"/>
          <w:rFonts w:ascii="仿宋" w:hAnsi="仿宋" w:eastAsia="仿宋"/>
          <w:b w:val="0"/>
          <w:bCs w:val="0"/>
          <w:color w:val="auto"/>
          <w:highlight w:val="none"/>
        </w:rPr>
      </w:pPr>
      <w:bookmarkStart w:id="77" w:name="_Toc15396623"/>
      <w:bookmarkStart w:id="78" w:name="_Toc3025"/>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77"/>
      <w:bookmarkEnd w:id="78"/>
      <w:bookmarkStart w:id="79" w:name="_Toc15396624"/>
    </w:p>
    <w:p>
      <w:pPr>
        <w:pStyle w:val="6"/>
        <w:rPr>
          <w:rFonts w:ascii="仿宋" w:hAnsi="仿宋" w:eastAsia="仿宋"/>
          <w:color w:val="auto"/>
          <w:highlight w:val="none"/>
        </w:rPr>
      </w:pPr>
      <w:bookmarkStart w:id="80" w:name="_Toc15092"/>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79"/>
      <w:bookmarkEnd w:id="80"/>
    </w:p>
    <w:p>
      <w:pPr>
        <w:pStyle w:val="6"/>
        <w:rPr>
          <w:rFonts w:ascii="仿宋" w:hAnsi="仿宋" w:eastAsia="仿宋"/>
          <w:color w:val="auto"/>
          <w:highlight w:val="none"/>
        </w:rPr>
      </w:pPr>
      <w:bookmarkStart w:id="81" w:name="_Toc15396625"/>
      <w:bookmarkStart w:id="82" w:name="_Toc25317"/>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81"/>
      <w:bookmarkEnd w:id="82"/>
    </w:p>
    <w:p>
      <w:pPr>
        <w:pStyle w:val="6"/>
        <w:rPr>
          <w:rFonts w:ascii="仿宋" w:hAnsi="仿宋" w:eastAsia="仿宋"/>
          <w:color w:val="auto"/>
          <w:highlight w:val="none"/>
        </w:rPr>
      </w:pPr>
      <w:bookmarkStart w:id="83" w:name="_Toc15396626"/>
      <w:bookmarkStart w:id="84" w:name="_Toc13691"/>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83"/>
      <w:bookmarkEnd w:id="84"/>
    </w:p>
    <w:p>
      <w:pPr>
        <w:pStyle w:val="6"/>
        <w:rPr>
          <w:rFonts w:ascii="仿宋" w:hAnsi="仿宋" w:eastAsia="仿宋"/>
          <w:color w:val="auto"/>
          <w:highlight w:val="none"/>
        </w:rPr>
      </w:pPr>
      <w:bookmarkStart w:id="85" w:name="_Toc24367"/>
      <w:bookmarkStart w:id="86" w:name="_Toc15396627"/>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85"/>
      <w:bookmarkEnd w:id="86"/>
    </w:p>
    <w:p>
      <w:pPr>
        <w:pStyle w:val="6"/>
        <w:rPr>
          <w:rFonts w:ascii="仿宋" w:hAnsi="仿宋" w:eastAsia="仿宋"/>
          <w:color w:val="auto"/>
          <w:highlight w:val="none"/>
        </w:rPr>
      </w:pPr>
      <w:bookmarkStart w:id="87" w:name="_Toc15396628"/>
      <w:bookmarkStart w:id="88" w:name="_Toc15261"/>
      <w:r>
        <w:rPr>
          <w:rStyle w:val="34"/>
          <w:rFonts w:hint="eastAsia" w:ascii="仿宋" w:hAnsi="仿宋" w:eastAsia="仿宋"/>
          <w:b w:val="0"/>
          <w:bCs w:val="0"/>
          <w:color w:val="auto"/>
          <w:highlight w:val="none"/>
        </w:rPr>
        <w:t>十、</w:t>
      </w:r>
      <w:bookmarkEnd w:id="87"/>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88"/>
    </w:p>
    <w:p>
      <w:pPr>
        <w:pStyle w:val="6"/>
        <w:rPr>
          <w:rFonts w:ascii="仿宋" w:hAnsi="仿宋" w:eastAsia="仿宋"/>
          <w:color w:val="auto"/>
          <w:highlight w:val="none"/>
        </w:rPr>
      </w:pPr>
      <w:bookmarkStart w:id="89" w:name="_Toc15396629"/>
      <w:bookmarkStart w:id="90" w:name="_Toc8159"/>
      <w:r>
        <w:rPr>
          <w:rStyle w:val="34"/>
          <w:rFonts w:hint="eastAsia" w:ascii="仿宋" w:hAnsi="仿宋" w:eastAsia="仿宋"/>
          <w:b w:val="0"/>
          <w:bCs w:val="0"/>
          <w:color w:val="auto"/>
          <w:highlight w:val="none"/>
        </w:rPr>
        <w:t>十一、</w:t>
      </w:r>
      <w:bookmarkEnd w:id="89"/>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90"/>
    </w:p>
    <w:p>
      <w:pPr>
        <w:pStyle w:val="6"/>
        <w:rPr>
          <w:rFonts w:ascii="仿宋" w:hAnsi="仿宋" w:eastAsia="仿宋"/>
          <w:color w:val="auto"/>
          <w:highlight w:val="none"/>
        </w:rPr>
      </w:pPr>
      <w:bookmarkStart w:id="91" w:name="_Toc15396630"/>
      <w:bookmarkStart w:id="92" w:name="_Toc13285"/>
      <w:r>
        <w:rPr>
          <w:rStyle w:val="34"/>
          <w:rFonts w:hint="eastAsia" w:ascii="仿宋" w:hAnsi="仿宋" w:eastAsia="仿宋"/>
          <w:b w:val="0"/>
          <w:bCs w:val="0"/>
          <w:color w:val="auto"/>
          <w:highlight w:val="none"/>
        </w:rPr>
        <w:t>十二、</w:t>
      </w:r>
      <w:bookmarkEnd w:id="91"/>
      <w:r>
        <w:rPr>
          <w:rStyle w:val="34"/>
          <w:rFonts w:hint="eastAsia" w:ascii="仿宋" w:hAnsi="仿宋" w:eastAsia="仿宋"/>
          <w:b w:val="0"/>
          <w:bCs w:val="0"/>
          <w:color w:val="auto"/>
          <w:highlight w:val="none"/>
          <w:lang w:eastAsia="zh-CN"/>
        </w:rPr>
        <w:t>国有资本经营预算财政拨款支出决算表</w:t>
      </w:r>
      <w:bookmarkEnd w:id="92"/>
    </w:p>
    <w:p>
      <w:pPr>
        <w:pStyle w:val="6"/>
        <w:rPr>
          <w:rFonts w:hint="eastAsia" w:eastAsia="仿宋"/>
          <w:color w:val="auto"/>
          <w:highlight w:val="none"/>
          <w:lang w:eastAsia="zh-CN"/>
        </w:rPr>
      </w:pPr>
      <w:bookmarkStart w:id="93" w:name="_Toc15396631"/>
      <w:bookmarkStart w:id="94" w:name="_Toc27941"/>
      <w:r>
        <w:rPr>
          <w:rStyle w:val="34"/>
          <w:rFonts w:hint="eastAsia" w:ascii="仿宋" w:hAnsi="仿宋" w:eastAsia="仿宋"/>
          <w:b w:val="0"/>
          <w:bCs w:val="0"/>
          <w:color w:val="auto"/>
          <w:highlight w:val="none"/>
        </w:rPr>
        <w:t>十三、</w:t>
      </w:r>
      <w:bookmarkEnd w:id="93"/>
      <w:r>
        <w:rPr>
          <w:rStyle w:val="34"/>
          <w:rFonts w:hint="eastAsia" w:ascii="仿宋" w:hAnsi="仿宋" w:eastAsia="仿宋"/>
          <w:b w:val="0"/>
          <w:bCs w:val="0"/>
          <w:color w:val="auto"/>
          <w:highlight w:val="none"/>
          <w:lang w:eastAsia="zh-CN"/>
        </w:rPr>
        <w:t>财政拨款“三公”经费支出决算表</w:t>
      </w:r>
      <w:bookmarkEnd w:id="94"/>
    </w:p>
    <w:sectPr>
      <w:footerReference r:id="rId28" w:type="first"/>
      <w:footerReference r:id="rId2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simhei">
    <w:altName w:val="华文中宋"/>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fPWhDECAABjBAAADgAAAAAAAAABACAAAAA1&#10;AQAAZHJzL2Uyb0RvYy54bWxQSwUGAAAAAAYABgBZAQAA2AU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0FrMg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9bQWs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3w8JMg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bfDwk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2iTu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hh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2iTu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crMBMwIAAGMEAAAOAAAAZHJz&#10;L2Uyb0RvYy54bWytVEuOEzEQ3SNxB8t70knQ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f&#10;Xo3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ccrMB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jHrq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uMeuo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O0F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ZJO0F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LOH3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&#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As4fc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hHYY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hHYY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r>
      <w:rPr>
        <w:rFonts w:hint="eastAsia"/>
        <w:lang w:eastAsia="zh-CN"/>
      </w:rPr>
      <w:tab/>
    </w:r>
  </w:p>
  <w:p>
    <w:pPr>
      <w:pStyle w:val="12"/>
      <w:rPr>
        <w:rFonts w:hint="default"/>
        <w:lang w:val="en-US" w:eastAsia="zh-CN"/>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63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063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12"/>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12"/>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rPr>
        <w:rFonts w:hint="default"/>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sdt>
                    <w:sdtPr>
                      <w:id w:val="-1"/>
                    </w:sdtPr>
                    <w:sdtContent>
                      <w:p>
                        <w:pPr>
                          <w:pStyle w:val="12"/>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C0547"/>
    <w:multiLevelType w:val="singleLevel"/>
    <w:tmpl w:val="AF6C054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17A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7B9C"/>
    <w:rsid w:val="015975B8"/>
    <w:rsid w:val="015D6486"/>
    <w:rsid w:val="01627C53"/>
    <w:rsid w:val="01890642"/>
    <w:rsid w:val="01A1735E"/>
    <w:rsid w:val="01F66A37"/>
    <w:rsid w:val="02143E91"/>
    <w:rsid w:val="02E2341D"/>
    <w:rsid w:val="02FF2BA5"/>
    <w:rsid w:val="03AC3B20"/>
    <w:rsid w:val="03DE0B0C"/>
    <w:rsid w:val="044C0C16"/>
    <w:rsid w:val="04DB64AD"/>
    <w:rsid w:val="04DC10D3"/>
    <w:rsid w:val="05862FFA"/>
    <w:rsid w:val="05BA2563"/>
    <w:rsid w:val="061470B3"/>
    <w:rsid w:val="066E0107"/>
    <w:rsid w:val="070852F2"/>
    <w:rsid w:val="07503C48"/>
    <w:rsid w:val="07996F6E"/>
    <w:rsid w:val="09E414B0"/>
    <w:rsid w:val="0A2032A3"/>
    <w:rsid w:val="0A8B4358"/>
    <w:rsid w:val="0A9E27BF"/>
    <w:rsid w:val="0B386398"/>
    <w:rsid w:val="0B9F42F4"/>
    <w:rsid w:val="0D08498F"/>
    <w:rsid w:val="0EFF100D"/>
    <w:rsid w:val="0F98263C"/>
    <w:rsid w:val="101860EC"/>
    <w:rsid w:val="10A35330"/>
    <w:rsid w:val="10C055FF"/>
    <w:rsid w:val="10FC45A9"/>
    <w:rsid w:val="114B768E"/>
    <w:rsid w:val="1152375B"/>
    <w:rsid w:val="115972A6"/>
    <w:rsid w:val="118107EC"/>
    <w:rsid w:val="11C07310"/>
    <w:rsid w:val="12155E03"/>
    <w:rsid w:val="12327DE0"/>
    <w:rsid w:val="136C3491"/>
    <w:rsid w:val="13A35224"/>
    <w:rsid w:val="13D50BC4"/>
    <w:rsid w:val="13FD017F"/>
    <w:rsid w:val="143B003A"/>
    <w:rsid w:val="143D73E7"/>
    <w:rsid w:val="147A73A5"/>
    <w:rsid w:val="15091FD6"/>
    <w:rsid w:val="1559F4E2"/>
    <w:rsid w:val="15980CB6"/>
    <w:rsid w:val="16611EB2"/>
    <w:rsid w:val="16756B1B"/>
    <w:rsid w:val="16BB723D"/>
    <w:rsid w:val="17C77D8F"/>
    <w:rsid w:val="182E3977"/>
    <w:rsid w:val="18A35D5D"/>
    <w:rsid w:val="1A733722"/>
    <w:rsid w:val="1AD25EC1"/>
    <w:rsid w:val="1B027508"/>
    <w:rsid w:val="1B540E52"/>
    <w:rsid w:val="1B6242AC"/>
    <w:rsid w:val="1B697EA8"/>
    <w:rsid w:val="1BD33832"/>
    <w:rsid w:val="1BE8440E"/>
    <w:rsid w:val="1C450915"/>
    <w:rsid w:val="1D155CEE"/>
    <w:rsid w:val="1DA81D03"/>
    <w:rsid w:val="1E0F5A3D"/>
    <w:rsid w:val="1E430E84"/>
    <w:rsid w:val="1F282554"/>
    <w:rsid w:val="1F4A5418"/>
    <w:rsid w:val="1FEF8330"/>
    <w:rsid w:val="1FF35744"/>
    <w:rsid w:val="1FF731A3"/>
    <w:rsid w:val="2006467B"/>
    <w:rsid w:val="2151318C"/>
    <w:rsid w:val="223F065D"/>
    <w:rsid w:val="232059B9"/>
    <w:rsid w:val="23860B96"/>
    <w:rsid w:val="240371BF"/>
    <w:rsid w:val="25E3199E"/>
    <w:rsid w:val="27062F79"/>
    <w:rsid w:val="27982240"/>
    <w:rsid w:val="28B26B3C"/>
    <w:rsid w:val="29076329"/>
    <w:rsid w:val="298D5DD8"/>
    <w:rsid w:val="29FD04D3"/>
    <w:rsid w:val="2A016683"/>
    <w:rsid w:val="2A2072C9"/>
    <w:rsid w:val="2A8B57B9"/>
    <w:rsid w:val="2B2E9925"/>
    <w:rsid w:val="2B845C31"/>
    <w:rsid w:val="2BD1187D"/>
    <w:rsid w:val="2BD61005"/>
    <w:rsid w:val="2C02237E"/>
    <w:rsid w:val="2C135DE7"/>
    <w:rsid w:val="2C170275"/>
    <w:rsid w:val="2C673F8F"/>
    <w:rsid w:val="2C8A61B5"/>
    <w:rsid w:val="2D135F11"/>
    <w:rsid w:val="2D313398"/>
    <w:rsid w:val="2DF04E50"/>
    <w:rsid w:val="2F040D46"/>
    <w:rsid w:val="2F666780"/>
    <w:rsid w:val="2F7F6968"/>
    <w:rsid w:val="2FFB669D"/>
    <w:rsid w:val="30CD2F5B"/>
    <w:rsid w:val="30EA79CF"/>
    <w:rsid w:val="311A0C77"/>
    <w:rsid w:val="313E350C"/>
    <w:rsid w:val="319F7F4E"/>
    <w:rsid w:val="31C559E0"/>
    <w:rsid w:val="32116595"/>
    <w:rsid w:val="32DC790A"/>
    <w:rsid w:val="32E37205"/>
    <w:rsid w:val="3304709D"/>
    <w:rsid w:val="33B17D2D"/>
    <w:rsid w:val="351E10CA"/>
    <w:rsid w:val="358D081D"/>
    <w:rsid w:val="3596100C"/>
    <w:rsid w:val="35FF14DD"/>
    <w:rsid w:val="366A2FFA"/>
    <w:rsid w:val="36AA5135"/>
    <w:rsid w:val="376D39B2"/>
    <w:rsid w:val="37E16F03"/>
    <w:rsid w:val="380F699F"/>
    <w:rsid w:val="3852572E"/>
    <w:rsid w:val="38D469F0"/>
    <w:rsid w:val="394C6285"/>
    <w:rsid w:val="39A53301"/>
    <w:rsid w:val="39D7155A"/>
    <w:rsid w:val="3A611355"/>
    <w:rsid w:val="3B5A216F"/>
    <w:rsid w:val="3BFF7F7C"/>
    <w:rsid w:val="3CE14B4D"/>
    <w:rsid w:val="3D98207C"/>
    <w:rsid w:val="3DFF4005"/>
    <w:rsid w:val="3E78745D"/>
    <w:rsid w:val="3E7FD108"/>
    <w:rsid w:val="40ED0035"/>
    <w:rsid w:val="4165434D"/>
    <w:rsid w:val="41AE46E3"/>
    <w:rsid w:val="41F47744"/>
    <w:rsid w:val="438A4CDB"/>
    <w:rsid w:val="43C87874"/>
    <w:rsid w:val="43EE6AAB"/>
    <w:rsid w:val="44E268DA"/>
    <w:rsid w:val="45621C21"/>
    <w:rsid w:val="462645E3"/>
    <w:rsid w:val="46F53671"/>
    <w:rsid w:val="47B41BE9"/>
    <w:rsid w:val="487F7693"/>
    <w:rsid w:val="49856D8D"/>
    <w:rsid w:val="4A544FD2"/>
    <w:rsid w:val="4A627F82"/>
    <w:rsid w:val="4A9224C6"/>
    <w:rsid w:val="4AD51F25"/>
    <w:rsid w:val="4ADF3BF6"/>
    <w:rsid w:val="4B005AA1"/>
    <w:rsid w:val="4B0E749A"/>
    <w:rsid w:val="4B4F25DA"/>
    <w:rsid w:val="4B837A36"/>
    <w:rsid w:val="4B9B709A"/>
    <w:rsid w:val="4BE068DB"/>
    <w:rsid w:val="4C770423"/>
    <w:rsid w:val="4D2074BF"/>
    <w:rsid w:val="4D577224"/>
    <w:rsid w:val="4DE17BEE"/>
    <w:rsid w:val="4E200716"/>
    <w:rsid w:val="4EAB630A"/>
    <w:rsid w:val="4ECE2238"/>
    <w:rsid w:val="4F8A106D"/>
    <w:rsid w:val="4FDE0776"/>
    <w:rsid w:val="50041972"/>
    <w:rsid w:val="504471E0"/>
    <w:rsid w:val="51CF272A"/>
    <w:rsid w:val="51FD2C79"/>
    <w:rsid w:val="52BD1377"/>
    <w:rsid w:val="53694DAF"/>
    <w:rsid w:val="537E6D0A"/>
    <w:rsid w:val="53936D01"/>
    <w:rsid w:val="544639FE"/>
    <w:rsid w:val="54A1013C"/>
    <w:rsid w:val="56351E75"/>
    <w:rsid w:val="565FA741"/>
    <w:rsid w:val="566047A1"/>
    <w:rsid w:val="569128DF"/>
    <w:rsid w:val="56DC116D"/>
    <w:rsid w:val="570566FB"/>
    <w:rsid w:val="57133BF3"/>
    <w:rsid w:val="57881F55"/>
    <w:rsid w:val="58C34572"/>
    <w:rsid w:val="591946E0"/>
    <w:rsid w:val="5AAD7B94"/>
    <w:rsid w:val="5AF92295"/>
    <w:rsid w:val="5B8F57DF"/>
    <w:rsid w:val="5C3E7E15"/>
    <w:rsid w:val="5CD71FC4"/>
    <w:rsid w:val="5DBEB3DF"/>
    <w:rsid w:val="5E374219"/>
    <w:rsid w:val="5EAB191A"/>
    <w:rsid w:val="5EAF020E"/>
    <w:rsid w:val="5EDDF1F8"/>
    <w:rsid w:val="5F71328D"/>
    <w:rsid w:val="5FF7892E"/>
    <w:rsid w:val="5FF7DD0A"/>
    <w:rsid w:val="60620F67"/>
    <w:rsid w:val="60DB671F"/>
    <w:rsid w:val="616B53E3"/>
    <w:rsid w:val="61C176C2"/>
    <w:rsid w:val="61C827FF"/>
    <w:rsid w:val="627459EC"/>
    <w:rsid w:val="62865BBB"/>
    <w:rsid w:val="62DF37D3"/>
    <w:rsid w:val="63182B85"/>
    <w:rsid w:val="633655E1"/>
    <w:rsid w:val="635B2BC4"/>
    <w:rsid w:val="640B0ACA"/>
    <w:rsid w:val="6411656A"/>
    <w:rsid w:val="6438058B"/>
    <w:rsid w:val="655B398A"/>
    <w:rsid w:val="655C6C48"/>
    <w:rsid w:val="68E16B9C"/>
    <w:rsid w:val="6944072B"/>
    <w:rsid w:val="69A6964F"/>
    <w:rsid w:val="6AE478D2"/>
    <w:rsid w:val="6B5D256A"/>
    <w:rsid w:val="6C2475E1"/>
    <w:rsid w:val="6C4A05C8"/>
    <w:rsid w:val="6D000CF6"/>
    <w:rsid w:val="6D133CD5"/>
    <w:rsid w:val="6D5A86D2"/>
    <w:rsid w:val="6DEF1031"/>
    <w:rsid w:val="6E4753F3"/>
    <w:rsid w:val="6E5D739C"/>
    <w:rsid w:val="6E6FD6C7"/>
    <w:rsid w:val="6E7E3605"/>
    <w:rsid w:val="6EF77580"/>
    <w:rsid w:val="6F3D79E3"/>
    <w:rsid w:val="6FEE57EC"/>
    <w:rsid w:val="6FEF9C6E"/>
    <w:rsid w:val="6FF5CC65"/>
    <w:rsid w:val="6FFCA245"/>
    <w:rsid w:val="6FFF4524"/>
    <w:rsid w:val="705F4C76"/>
    <w:rsid w:val="70AE58B8"/>
    <w:rsid w:val="71225B6A"/>
    <w:rsid w:val="715C0E4B"/>
    <w:rsid w:val="721F6231"/>
    <w:rsid w:val="72621621"/>
    <w:rsid w:val="72734D90"/>
    <w:rsid w:val="72A746B3"/>
    <w:rsid w:val="739006D3"/>
    <w:rsid w:val="73AD73D5"/>
    <w:rsid w:val="73B6EB34"/>
    <w:rsid w:val="74391ADA"/>
    <w:rsid w:val="744731E5"/>
    <w:rsid w:val="746B7F80"/>
    <w:rsid w:val="7472484C"/>
    <w:rsid w:val="74CB5225"/>
    <w:rsid w:val="74E2151E"/>
    <w:rsid w:val="74E96F73"/>
    <w:rsid w:val="75E607DE"/>
    <w:rsid w:val="760B1060"/>
    <w:rsid w:val="76E3355F"/>
    <w:rsid w:val="770250B5"/>
    <w:rsid w:val="773BE34C"/>
    <w:rsid w:val="778769C8"/>
    <w:rsid w:val="77FFF8D3"/>
    <w:rsid w:val="79EE5BA4"/>
    <w:rsid w:val="7A894339"/>
    <w:rsid w:val="7AEDB63C"/>
    <w:rsid w:val="7C4B749D"/>
    <w:rsid w:val="7D170AA8"/>
    <w:rsid w:val="7D764258"/>
    <w:rsid w:val="7E3895FA"/>
    <w:rsid w:val="7E88328D"/>
    <w:rsid w:val="7EA0105E"/>
    <w:rsid w:val="7EEF11D3"/>
    <w:rsid w:val="7EFC5BEA"/>
    <w:rsid w:val="7F07224C"/>
    <w:rsid w:val="7F300B60"/>
    <w:rsid w:val="7FA30C79"/>
    <w:rsid w:val="7FB7269E"/>
    <w:rsid w:val="7FBF26A7"/>
    <w:rsid w:val="7FC6631A"/>
    <w:rsid w:val="7FC96657"/>
    <w:rsid w:val="7FDF0125"/>
    <w:rsid w:val="7FEF54C4"/>
    <w:rsid w:val="7FFE1AEF"/>
    <w:rsid w:val="7FFFD7EB"/>
    <w:rsid w:val="86F54974"/>
    <w:rsid w:val="99BEF085"/>
    <w:rsid w:val="9DB99A2C"/>
    <w:rsid w:val="ADEBC4B5"/>
    <w:rsid w:val="AEFF6C0B"/>
    <w:rsid w:val="D4E72AF3"/>
    <w:rsid w:val="D8D6DB89"/>
    <w:rsid w:val="DB6F4CAB"/>
    <w:rsid w:val="DD08E4C5"/>
    <w:rsid w:val="DF6F9789"/>
    <w:rsid w:val="DFF3DAD7"/>
    <w:rsid w:val="E5FF21DE"/>
    <w:rsid w:val="F7DB6A25"/>
    <w:rsid w:val="F7FBBF09"/>
    <w:rsid w:val="F9587DB4"/>
    <w:rsid w:val="FD351B10"/>
    <w:rsid w:val="FD3E91CF"/>
    <w:rsid w:val="FD8E1FCE"/>
    <w:rsid w:val="FDEFEC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index 5"/>
    <w:basedOn w:val="1"/>
    <w:next w:val="1"/>
    <w:qFormat/>
    <w:uiPriority w:val="0"/>
    <w:pPr>
      <w:ind w:left="800" w:leftChars="800"/>
    </w:pPr>
    <w:rPr>
      <w:rFonts w:ascii="Times New Roman" w:hAnsi="Times New Roman" w:eastAsia="宋体" w:cs="Times New Roman"/>
    </w:rPr>
  </w:style>
  <w:style w:type="paragraph" w:styleId="9">
    <w:name w:val="Body Text"/>
    <w:basedOn w:val="1"/>
    <w:link w:val="43"/>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Subtitle"/>
    <w:basedOn w:val="1"/>
    <w:next w:val="1"/>
    <w:qFormat/>
    <w:uiPriority w:val="0"/>
    <w:pPr>
      <w:spacing w:before="240" w:beforeAutospacing="0" w:after="60" w:afterAutospacing="0" w:line="312" w:lineRule="auto"/>
      <w:jc w:val="center"/>
      <w:outlineLvl w:val="1"/>
    </w:pPr>
    <w:rPr>
      <w:rFonts w:ascii="Arial" w:hAnsi="Arial" w:eastAsia="宋体" w:cs="Times New Roman"/>
      <w:b/>
      <w:kern w:val="28"/>
      <w:sz w:val="32"/>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0"/>
    <w:pPr>
      <w:widowControl/>
      <w:spacing w:before="158" w:after="153" w:line="323" w:lineRule="atLeast"/>
      <w:ind w:right="-120"/>
      <w:jc w:val="center"/>
      <w:textAlignment w:val="baseline"/>
    </w:pPr>
    <w:rPr>
      <w:color w:val="FF0000"/>
      <w:kern w:val="0"/>
      <w:sz w:val="18"/>
      <w:szCs w:val="18"/>
    </w:rPr>
  </w:style>
  <w:style w:type="paragraph" w:customStyle="1" w:styleId="23">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9"/>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5"/>
    <w:qFormat/>
    <w:uiPriority w:val="9"/>
    <w:rPr>
      <w:rFonts w:ascii="Times New Roman" w:hAnsi="Times New Roman"/>
      <w:b/>
      <w:bCs/>
      <w:kern w:val="44"/>
      <w:sz w:val="44"/>
      <w:szCs w:val="44"/>
    </w:rPr>
  </w:style>
  <w:style w:type="character" w:customStyle="1" w:styleId="34">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1"/>
    <w:semiHidden/>
    <w:qFormat/>
    <w:uiPriority w:val="99"/>
    <w:rPr>
      <w:rFonts w:ascii="Times New Roman" w:hAnsi="Times New Roman"/>
      <w:kern w:val="2"/>
      <w:sz w:val="18"/>
      <w:szCs w:val="18"/>
    </w:rPr>
  </w:style>
  <w:style w:type="character" w:customStyle="1" w:styleId="37">
    <w:name w:val="标题 3 Char"/>
    <w:basedOn w:val="19"/>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常用样式（方正仿宋简）"/>
    <w:basedOn w:val="1"/>
    <w:qFormat/>
    <w:uiPriority w:val="0"/>
    <w:pPr>
      <w:spacing w:line="560" w:lineRule="exact"/>
      <w:ind w:firstLine="200" w:firstLineChars="200"/>
    </w:pPr>
    <w:rPr>
      <w:rFonts w:eastAsia="方正仿宋简体"/>
      <w:sz w:val="32"/>
    </w:rPr>
  </w:style>
  <w:style w:type="character" w:customStyle="1" w:styleId="41">
    <w:name w:val="font91"/>
    <w:basedOn w:val="19"/>
    <w:qFormat/>
    <w:uiPriority w:val="0"/>
    <w:rPr>
      <w:rFonts w:hint="eastAsia" w:ascii="宋体" w:hAnsi="宋体" w:eastAsia="宋体" w:cs="宋体"/>
      <w:color w:val="000000"/>
      <w:sz w:val="24"/>
      <w:szCs w:val="24"/>
      <w:u w:val="none"/>
    </w:rPr>
  </w:style>
  <w:style w:type="character" w:customStyle="1" w:styleId="42">
    <w:name w:val="font122"/>
    <w:basedOn w:val="19"/>
    <w:qFormat/>
    <w:uiPriority w:val="0"/>
    <w:rPr>
      <w:rFonts w:hint="eastAsia" w:ascii="宋体" w:hAnsi="宋体" w:eastAsia="宋体" w:cs="宋体"/>
      <w:color w:val="FF0000"/>
      <w:sz w:val="24"/>
      <w:szCs w:val="24"/>
      <w:u w:val="none"/>
    </w:rPr>
  </w:style>
  <w:style w:type="character" w:customStyle="1" w:styleId="43">
    <w:name w:val="正文文本 字符"/>
    <w:basedOn w:val="19"/>
    <w:link w:val="9"/>
    <w:qFormat/>
    <w:uiPriority w:val="0"/>
    <w:rPr>
      <w:rFonts w:ascii="Calibri" w:hAnsi="Calibri" w:eastAsia="宋体" w:cs="Times New Roman"/>
    </w:rPr>
  </w:style>
  <w:style w:type="paragraph" w:customStyle="1" w:styleId="44">
    <w:name w:val="Body Text First Indent 21"/>
    <w:basedOn w:val="45"/>
    <w:next w:val="1"/>
    <w:qFormat/>
    <w:uiPriority w:val="99"/>
    <w:pPr>
      <w:ind w:firstLine="420" w:firstLineChars="200"/>
    </w:pPr>
  </w:style>
  <w:style w:type="paragraph" w:customStyle="1" w:styleId="45">
    <w:name w:val="Body Text Indent1"/>
    <w:basedOn w:val="1"/>
    <w:qFormat/>
    <w:uiPriority w:val="99"/>
    <w:pPr>
      <w:ind w:left="420" w:leftChars="200"/>
    </w:pPr>
    <w:rPr>
      <w:rFonts w:ascii="Times New Roman" w:hAnsi="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chart" Target="charts/chart7.xml"/><Relationship Id="rId35" Type="http://schemas.openxmlformats.org/officeDocument/2006/relationships/chart" Target="charts/chart6.xml"/><Relationship Id="rId34" Type="http://schemas.openxmlformats.org/officeDocument/2006/relationships/chart" Target="charts/chart5.xml"/><Relationship Id="rId33" Type="http://schemas.openxmlformats.org/officeDocument/2006/relationships/chart" Target="charts/chart4.xml"/><Relationship Id="rId32" Type="http://schemas.openxmlformats.org/officeDocument/2006/relationships/chart" Target="charts/chart3.xml"/><Relationship Id="rId31" Type="http://schemas.openxmlformats.org/officeDocument/2006/relationships/chart" Target="charts/chart2.xml"/><Relationship Id="rId30" Type="http://schemas.openxmlformats.org/officeDocument/2006/relationships/chart" Target="charts/chart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#,##0.00</c:formatCode>
                <c:ptCount val="2"/>
                <c:pt idx="0">
                  <c:v>41249.09</c:v>
                </c:pt>
                <c:pt idx="1">
                  <c:v>68718.06</c:v>
                </c:pt>
              </c:numCache>
            </c:numRef>
          </c:val>
        </c:ser>
        <c:dLbls>
          <c:showLegendKey val="0"/>
          <c:showVal val="0"/>
          <c:showCatName val="0"/>
          <c:showSerName val="0"/>
          <c:showPercent val="0"/>
          <c:showBubbleSize val="0"/>
        </c:dLbls>
        <c:gapWidth val="75"/>
        <c:overlap val="40"/>
        <c:axId val="642417357"/>
        <c:axId val="772203988"/>
      </c:barChart>
      <c:catAx>
        <c:axId val="642417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203988"/>
        <c:crosses val="autoZero"/>
        <c:auto val="1"/>
        <c:lblAlgn val="ctr"/>
        <c:lblOffset val="100"/>
        <c:noMultiLvlLbl val="0"/>
      </c:catAx>
      <c:valAx>
        <c:axId val="7722039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173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5051769432854"/>
          <c:y val="0.16231884057971"/>
          <c:w val="0.48802348941431"/>
          <c:h val="0.76280193236715"/>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11.22</a:t>
                    </a:r>
                    <a:r>
                      <a:t>%</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c:v>
                </c:pt>
                <c:pt idx="2">
                  <c:v>其他收入</c:v>
                </c:pt>
              </c:strCache>
            </c:strRef>
          </c:cat>
          <c:val>
            <c:numRef>
              <c:f>Sheet1!$B$2:$B$4</c:f>
              <c:numCache>
                <c:formatCode>#,##0.00</c:formatCode>
                <c:ptCount val="3"/>
                <c:pt idx="0">
                  <c:v>11874.17</c:v>
                </c:pt>
                <c:pt idx="1">
                  <c:v>24307.04</c:v>
                </c:pt>
                <c:pt idx="2">
                  <c:v>4572.54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78475479525628"/>
                  <c:y val="0.058513637065548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836.85</c:v>
                </c:pt>
                <c:pt idx="1">
                  <c:v>39726.31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#,##0.00</c:formatCode>
                <c:ptCount val="2"/>
                <c:pt idx="0">
                  <c:v>36181.21</c:v>
                </c:pt>
                <c:pt idx="1">
                  <c:v>58580.42</c:v>
                </c:pt>
              </c:numCache>
            </c:numRef>
          </c:val>
        </c:ser>
        <c:dLbls>
          <c:showLegendKey val="0"/>
          <c:showVal val="0"/>
          <c:showCatName val="0"/>
          <c:showSerName val="0"/>
          <c:showPercent val="0"/>
          <c:showBubbleSize val="0"/>
        </c:dLbls>
        <c:gapWidth val="75"/>
        <c:overlap val="40"/>
        <c:axId val="584095947"/>
        <c:axId val="265293819"/>
      </c:barChart>
      <c:catAx>
        <c:axId val="5840959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293819"/>
        <c:crosses val="autoZero"/>
        <c:auto val="1"/>
        <c:lblAlgn val="ctr"/>
        <c:lblOffset val="100"/>
        <c:noMultiLvlLbl val="0"/>
      </c:catAx>
      <c:valAx>
        <c:axId val="2652938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0959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11874.17</c:v>
                </c:pt>
                <c:pt idx="1">
                  <c:v>19982.26</c:v>
                </c:pt>
              </c:numCache>
            </c:numRef>
          </c:val>
        </c:ser>
        <c:dLbls>
          <c:showLegendKey val="0"/>
          <c:showVal val="1"/>
          <c:showCatName val="0"/>
          <c:showSerName val="0"/>
          <c:showPercent val="0"/>
          <c:showBubbleSize val="0"/>
        </c:dLbls>
        <c:gapWidth val="75"/>
        <c:overlap val="0"/>
        <c:axId val="237610778"/>
        <c:axId val="828350249"/>
      </c:barChart>
      <c:catAx>
        <c:axId val="237610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350249"/>
        <c:crosses val="autoZero"/>
        <c:auto val="1"/>
        <c:lblAlgn val="ctr"/>
        <c:lblOffset val="100"/>
        <c:noMultiLvlLbl val="0"/>
      </c:catAx>
      <c:valAx>
        <c:axId val="828350249"/>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107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63799887577291"/>
          <c:y val="0.252274702984642"/>
          <c:w val="0.574052838673412"/>
          <c:h val="0.627296435815706"/>
        </c:manualLayout>
      </c:layout>
      <c:ofPieChart>
        <c:ofPieType val="bar"/>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explosion val="13"/>
            <c:spPr>
              <a:solidFill>
                <a:schemeClr val="accent1">
                  <a:lumMod val="60000"/>
                </a:schemeClr>
              </a:solidFill>
              <a:ln w="19050">
                <a:solidFill>
                  <a:schemeClr val="lt1"/>
                </a:solidFill>
              </a:ln>
              <a:effectLst/>
            </c:spPr>
          </c:dPt>
          <c:dLbls>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0.3</a:t>
                    </a:r>
                    <a:r>
                      <a:rPr lang="en-US" altLang="zh-CN"/>
                      <a:t>6</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0.044622284559965"/>
                  <c:y val="-0.095624506846433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社会保障和就业支出</c:v>
                </c:pt>
                <c:pt idx="1">
                  <c:v>卫生健康支出</c:v>
                </c:pt>
                <c:pt idx="2">
                  <c:v>城乡社区支出</c:v>
                </c:pt>
                <c:pt idx="3">
                  <c:v>农林水支出</c:v>
                </c:pt>
                <c:pt idx="4">
                  <c:v>住房保障支出</c:v>
                </c:pt>
                <c:pt idx="5">
                  <c:v>其他支出</c:v>
                </c:pt>
              </c:strCache>
            </c:strRef>
          </c:cat>
          <c:val>
            <c:numRef>
              <c:f>Sheet1!$B$2:$B$7</c:f>
              <c:numCache>
                <c:formatCode>General</c:formatCode>
                <c:ptCount val="6"/>
                <c:pt idx="0">
                  <c:v>115.77</c:v>
                </c:pt>
                <c:pt idx="1">
                  <c:v>32.46</c:v>
                </c:pt>
                <c:pt idx="2">
                  <c:v>2589.78</c:v>
                </c:pt>
                <c:pt idx="3">
                  <c:v>8.25</c:v>
                </c:pt>
                <c:pt idx="4">
                  <c:v>9086.43</c:v>
                </c:pt>
                <c:pt idx="5">
                  <c:v>41.48</c:v>
                </c:pt>
              </c:numCache>
            </c:numRef>
          </c:val>
        </c:ser>
        <c:dLbls>
          <c:showLegendKey val="0"/>
          <c:showVal val="0"/>
          <c:showCatName val="0"/>
          <c:showSerName val="0"/>
          <c:showPercent val="1"/>
          <c:showBubbleSize val="0"/>
          <c:showLeaderLines val="1"/>
        </c:dLbls>
        <c:gapWidth val="96"/>
        <c:splitType val="percent"/>
        <c:splitPos val="5"/>
        <c:secondPieSize val="66"/>
        <c:serLines>
          <c:spPr>
            <a:ln w="9525" cap="flat" cmpd="sng" algn="ctr">
              <a:solidFill>
                <a:schemeClr val="tx1">
                  <a:lumMod val="35000"/>
                  <a:lumOff val="65000"/>
                </a:schemeClr>
              </a:solidFill>
              <a:round/>
            </a:ln>
            <a:effectLst/>
          </c:spPr>
        </c:serLines>
      </c:ofPieChart>
      <c:spPr>
        <a:noFill/>
        <a:ln>
          <a:noFill/>
        </a:ln>
        <a:effectLst/>
      </c:spPr>
    </c:plotArea>
    <c:legend>
      <c:legendPos val="r"/>
      <c:layout>
        <c:manualLayout>
          <c:xMode val="edge"/>
          <c:yMode val="edge"/>
          <c:x val="0.716554243957279"/>
          <c:y val="0.274992755722979"/>
          <c:w val="0.269392917369309"/>
          <c:h val="0.4952187771660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3.63</c:v>
                </c:pt>
                <c:pt idx="2">
                  <c:v>1.55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7366</Words>
  <Characters>8202</Characters>
  <Lines>61</Lines>
  <Paragraphs>17</Paragraphs>
  <TotalTime>32</TotalTime>
  <ScaleCrop>false</ScaleCrop>
  <LinksUpToDate>false</LinksUpToDate>
  <CharactersWithSpaces>8259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2023-08-04T18:35:00Z</cp:lastPrinted>
  <dcterms:modified xsi:type="dcterms:W3CDTF">2024-09-12T11:42:55Z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D3EB6CA048184A85A692FF71DBDF9064_12</vt:lpwstr>
  </property>
</Properties>
</file>