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6CDB7">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8441"/>
      <w:bookmarkStart w:id="2" w:name="_Toc15377425"/>
      <w:bookmarkStart w:id="3" w:name="_Toc15377193"/>
      <w:bookmarkStart w:id="4" w:name="_Toc15396475"/>
      <w:bookmarkStart w:id="5" w:name="_Toc15306267"/>
    </w:p>
    <w:p w14:paraId="7EC87A73">
      <w:pPr>
        <w:spacing w:line="600" w:lineRule="exact"/>
        <w:jc w:val="center"/>
        <w:outlineLvl w:val="9"/>
        <w:rPr>
          <w:rFonts w:ascii="方正小标宋简体" w:hAnsi="宋体" w:eastAsia="方正小标宋简体"/>
          <w:color w:val="auto"/>
          <w:sz w:val="72"/>
          <w:szCs w:val="72"/>
          <w:highlight w:val="none"/>
        </w:rPr>
      </w:pPr>
    </w:p>
    <w:p w14:paraId="2A1A2292">
      <w:pPr>
        <w:spacing w:line="600" w:lineRule="exact"/>
        <w:jc w:val="center"/>
        <w:outlineLvl w:val="9"/>
        <w:rPr>
          <w:rFonts w:ascii="方正小标宋简体" w:hAnsi="宋体" w:eastAsia="方正小标宋简体"/>
          <w:color w:val="auto"/>
          <w:sz w:val="72"/>
          <w:szCs w:val="72"/>
          <w:highlight w:val="none"/>
        </w:rPr>
      </w:pPr>
    </w:p>
    <w:p w14:paraId="6BD58B5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2023年</w:t>
      </w:r>
      <w:r>
        <w:rPr>
          <w:rFonts w:hint="eastAsia" w:ascii="方正小标宋简体" w:hAnsi="方正小标宋简体" w:eastAsia="方正小标宋简体" w:cs="方正小标宋简体"/>
          <w:color w:val="auto"/>
          <w:sz w:val="72"/>
          <w:szCs w:val="72"/>
          <w:highlight w:val="none"/>
        </w:rPr>
        <w:t>度</w:t>
      </w:r>
      <w:bookmarkEnd w:id="0"/>
      <w:bookmarkEnd w:id="1"/>
      <w:bookmarkEnd w:id="2"/>
      <w:bookmarkEnd w:id="3"/>
      <w:bookmarkEnd w:id="4"/>
    </w:p>
    <w:bookmarkEnd w:id="5"/>
    <w:p w14:paraId="57B3B10A">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stheme="minorBidi"/>
          <w:color w:val="auto"/>
          <w:sz w:val="28"/>
          <w:szCs w:val="28"/>
          <w:highlight w:val="none"/>
        </w:rPr>
      </w:pPr>
      <w:bookmarkStart w:id="6" w:name="_Toc15378442"/>
      <w:bookmarkStart w:id="7" w:name="_Toc15396476"/>
      <w:bookmarkStart w:id="8" w:name="_Toc15377194"/>
      <w:bookmarkStart w:id="9" w:name="_Toc15396598"/>
      <w:bookmarkStart w:id="10" w:name="_Toc15306268"/>
      <w:bookmarkStart w:id="11" w:name="_Toc15377426"/>
      <w:r>
        <w:rPr>
          <w:rFonts w:hint="eastAsia" w:ascii="方正小标宋简体" w:hAnsi="方正小标宋简体" w:eastAsia="方正小标宋简体" w:cs="方正小标宋简体"/>
          <w:color w:val="auto"/>
          <w:sz w:val="72"/>
          <w:szCs w:val="72"/>
          <w:highlight w:val="none"/>
        </w:rPr>
        <w:t>中国共产党遂宁市船山区委员会组织部部门决算</w:t>
      </w:r>
      <w:bookmarkEnd w:id="6"/>
      <w:bookmarkEnd w:id="7"/>
      <w:bookmarkEnd w:id="8"/>
      <w:bookmarkEnd w:id="9"/>
      <w:bookmarkEnd w:id="10"/>
      <w:bookmarkEnd w:id="11"/>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68E9C1D">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7EF1BDAD">
      <w:pPr>
        <w:rPr>
          <w:color w:val="auto"/>
          <w:highlight w:val="none"/>
        </w:rPr>
      </w:pPr>
    </w:p>
    <w:sdt>
      <w:sdtPr>
        <w:rPr>
          <w:rFonts w:ascii="宋体" w:hAnsi="宋体" w:eastAsia="宋体" w:cs="Times New Roman"/>
          <w:kern w:val="2"/>
          <w:sz w:val="21"/>
          <w:szCs w:val="24"/>
          <w:lang w:val="en-US" w:eastAsia="zh-CN" w:bidi="ar-SA"/>
        </w:rPr>
        <w:id w:val="147475963"/>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454B77B6">
          <w:pPr>
            <w:spacing w:before="0" w:beforeLines="0" w:after="0" w:afterLines="0" w:line="240" w:lineRule="auto"/>
            <w:ind w:left="0" w:leftChars="0" w:right="0" w:rightChars="0" w:firstLine="0" w:firstLineChars="0"/>
            <w:jc w:val="center"/>
          </w:pPr>
        </w:p>
        <w:p w14:paraId="05DCE0CE">
          <w:pPr>
            <w:pStyle w:val="39"/>
            <w:tabs>
              <w:tab w:val="right" w:leader="dot" w:pos="8306"/>
            </w:tabs>
            <w:rPr>
              <w:b/>
            </w:rPr>
          </w:pPr>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_Toc25304 </w:instrText>
          </w:r>
          <w:r>
            <w:rPr>
              <w:rFonts w:hint="eastAsia"/>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_Toc25304 \h </w:instrText>
          </w:r>
          <w:r>
            <w:rPr>
              <w:b/>
            </w:rPr>
            <w:fldChar w:fldCharType="separate"/>
          </w:r>
          <w:r>
            <w:rPr>
              <w:b/>
            </w:rPr>
            <w:t>1</w:t>
          </w:r>
          <w:r>
            <w:rPr>
              <w:b/>
            </w:rPr>
            <w:fldChar w:fldCharType="end"/>
          </w:r>
          <w:r>
            <w:rPr>
              <w:rFonts w:hint="eastAsia"/>
              <w:b/>
            </w:rPr>
            <w:fldChar w:fldCharType="end"/>
          </w:r>
        </w:p>
        <w:p w14:paraId="28D4D443">
          <w:pPr>
            <w:pStyle w:val="40"/>
            <w:tabs>
              <w:tab w:val="right" w:leader="dot" w:pos="8306"/>
            </w:tabs>
          </w:pPr>
          <w:r>
            <w:rPr>
              <w:rFonts w:hint="eastAsia"/>
            </w:rPr>
            <w:fldChar w:fldCharType="begin"/>
          </w:r>
          <w:r>
            <w:rPr>
              <w:rFonts w:hint="eastAsia"/>
            </w:rPr>
            <w:instrText xml:space="preserve"> HYPERLINK \l _Toc29049 </w:instrText>
          </w:r>
          <w:r>
            <w:rPr>
              <w:rFonts w:hint="eastAsia"/>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begin"/>
          </w:r>
          <w:r>
            <w:instrText xml:space="preserve"> PAGEREF _Toc29049 \h </w:instrText>
          </w:r>
          <w:r>
            <w:fldChar w:fldCharType="separate"/>
          </w:r>
          <w:r>
            <w:t>1</w:t>
          </w:r>
          <w:r>
            <w:fldChar w:fldCharType="end"/>
          </w:r>
          <w:r>
            <w:rPr>
              <w:rFonts w:hint="eastAsia"/>
            </w:rPr>
            <w:fldChar w:fldCharType="end"/>
          </w:r>
        </w:p>
        <w:p w14:paraId="377353A0">
          <w:pPr>
            <w:pStyle w:val="40"/>
            <w:tabs>
              <w:tab w:val="right" w:leader="dot" w:pos="8306"/>
            </w:tabs>
          </w:pPr>
          <w:r>
            <w:rPr>
              <w:rFonts w:hint="eastAsia"/>
            </w:rPr>
            <w:fldChar w:fldCharType="begin"/>
          </w:r>
          <w:r>
            <w:rPr>
              <w:rFonts w:hint="eastAsia"/>
            </w:rPr>
            <w:instrText xml:space="preserve"> HYPERLINK \l _Toc3750 </w:instrText>
          </w:r>
          <w:r>
            <w:rPr>
              <w:rFonts w:hint="eastAsia"/>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_Toc3750 \h </w:instrText>
          </w:r>
          <w:r>
            <w:fldChar w:fldCharType="separate"/>
          </w:r>
          <w:r>
            <w:t>2</w:t>
          </w:r>
          <w:r>
            <w:fldChar w:fldCharType="end"/>
          </w:r>
          <w:r>
            <w:rPr>
              <w:rFonts w:hint="eastAsia"/>
            </w:rPr>
            <w:fldChar w:fldCharType="end"/>
          </w:r>
        </w:p>
        <w:p w14:paraId="724FEB99">
          <w:pPr>
            <w:pStyle w:val="39"/>
            <w:tabs>
              <w:tab w:val="right" w:leader="dot" w:pos="8306"/>
            </w:tabs>
            <w:rPr>
              <w:b/>
            </w:rPr>
          </w:pPr>
          <w:r>
            <w:rPr>
              <w:rFonts w:hint="eastAsia"/>
              <w:b/>
            </w:rPr>
            <w:fldChar w:fldCharType="begin"/>
          </w:r>
          <w:r>
            <w:rPr>
              <w:rFonts w:hint="eastAsia"/>
              <w:b/>
            </w:rPr>
            <w:instrText xml:space="preserve"> HYPERLINK \l _Toc15842 </w:instrText>
          </w:r>
          <w:r>
            <w:rPr>
              <w:rFonts w:hint="eastAsia"/>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rPr>
            <w:t>部门决算情况说明</w:t>
          </w:r>
          <w:r>
            <w:rPr>
              <w:b/>
            </w:rPr>
            <w:tab/>
          </w:r>
          <w:r>
            <w:rPr>
              <w:b/>
            </w:rPr>
            <w:fldChar w:fldCharType="begin"/>
          </w:r>
          <w:r>
            <w:rPr>
              <w:b/>
            </w:rPr>
            <w:instrText xml:space="preserve"> PAGEREF _Toc15842 \h </w:instrText>
          </w:r>
          <w:r>
            <w:rPr>
              <w:b/>
            </w:rPr>
            <w:fldChar w:fldCharType="separate"/>
          </w:r>
          <w:r>
            <w:rPr>
              <w:b/>
            </w:rPr>
            <w:t>3</w:t>
          </w:r>
          <w:r>
            <w:rPr>
              <w:b/>
            </w:rPr>
            <w:fldChar w:fldCharType="end"/>
          </w:r>
          <w:r>
            <w:rPr>
              <w:rFonts w:hint="eastAsia"/>
              <w:b/>
            </w:rPr>
            <w:fldChar w:fldCharType="end"/>
          </w:r>
        </w:p>
        <w:p w14:paraId="2A6D030F">
          <w:pPr>
            <w:pStyle w:val="40"/>
            <w:tabs>
              <w:tab w:val="right" w:leader="dot" w:pos="8306"/>
            </w:tabs>
          </w:pPr>
          <w:r>
            <w:rPr>
              <w:rFonts w:hint="eastAsia"/>
            </w:rPr>
            <w:fldChar w:fldCharType="begin"/>
          </w:r>
          <w:r>
            <w:rPr>
              <w:rFonts w:hint="eastAsia"/>
            </w:rPr>
            <w:instrText xml:space="preserve"> HYPERLINK \l _Toc13851 </w:instrText>
          </w:r>
          <w:r>
            <w:rPr>
              <w:rFonts w:hint="eastAsia"/>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_Toc13851 \h </w:instrText>
          </w:r>
          <w:r>
            <w:fldChar w:fldCharType="separate"/>
          </w:r>
          <w:r>
            <w:t>3</w:t>
          </w:r>
          <w:r>
            <w:fldChar w:fldCharType="end"/>
          </w:r>
          <w:r>
            <w:rPr>
              <w:rFonts w:hint="eastAsia"/>
            </w:rPr>
            <w:fldChar w:fldCharType="end"/>
          </w:r>
        </w:p>
        <w:p w14:paraId="6A2C6AA8">
          <w:pPr>
            <w:pStyle w:val="40"/>
            <w:tabs>
              <w:tab w:val="right" w:leader="dot" w:pos="8306"/>
            </w:tabs>
          </w:pPr>
          <w:r>
            <w:rPr>
              <w:rFonts w:hint="eastAsia"/>
            </w:rPr>
            <w:fldChar w:fldCharType="begin"/>
          </w:r>
          <w:r>
            <w:rPr>
              <w:rFonts w:hint="eastAsia"/>
            </w:rPr>
            <w:instrText xml:space="preserve"> HYPERLINK \l _Toc11542 </w:instrText>
          </w:r>
          <w:r>
            <w:rPr>
              <w:rFonts w:hint="eastAsia"/>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_Toc11542 \h </w:instrText>
          </w:r>
          <w:r>
            <w:fldChar w:fldCharType="separate"/>
          </w:r>
          <w:r>
            <w:t>3</w:t>
          </w:r>
          <w:r>
            <w:fldChar w:fldCharType="end"/>
          </w:r>
          <w:r>
            <w:rPr>
              <w:rFonts w:hint="eastAsia"/>
            </w:rPr>
            <w:fldChar w:fldCharType="end"/>
          </w:r>
        </w:p>
        <w:p w14:paraId="4F5B4C07">
          <w:pPr>
            <w:pStyle w:val="40"/>
            <w:tabs>
              <w:tab w:val="right" w:leader="dot" w:pos="8306"/>
            </w:tabs>
          </w:pPr>
          <w:r>
            <w:rPr>
              <w:rFonts w:hint="eastAsia"/>
            </w:rPr>
            <w:fldChar w:fldCharType="begin"/>
          </w:r>
          <w:r>
            <w:rPr>
              <w:rFonts w:hint="eastAsia"/>
            </w:rPr>
            <w:instrText xml:space="preserve"> HYPERLINK \l _Toc5344 </w:instrText>
          </w:r>
          <w:r>
            <w:rPr>
              <w:rFonts w:hint="eastAsia"/>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_Toc5344 \h </w:instrText>
          </w:r>
          <w:r>
            <w:fldChar w:fldCharType="separate"/>
          </w:r>
          <w:r>
            <w:t>4</w:t>
          </w:r>
          <w:r>
            <w:fldChar w:fldCharType="end"/>
          </w:r>
          <w:r>
            <w:rPr>
              <w:rFonts w:hint="eastAsia"/>
            </w:rPr>
            <w:fldChar w:fldCharType="end"/>
          </w:r>
        </w:p>
        <w:p w14:paraId="043D9C22">
          <w:pPr>
            <w:pStyle w:val="40"/>
            <w:tabs>
              <w:tab w:val="right" w:leader="dot" w:pos="8306"/>
            </w:tabs>
          </w:pPr>
          <w:r>
            <w:rPr>
              <w:rFonts w:hint="eastAsia"/>
            </w:rPr>
            <w:fldChar w:fldCharType="begin"/>
          </w:r>
          <w:r>
            <w:rPr>
              <w:rFonts w:hint="eastAsia"/>
            </w:rPr>
            <w:instrText xml:space="preserve"> HYPERLINK \l _Toc29761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_Toc29761 \h </w:instrText>
          </w:r>
          <w:r>
            <w:fldChar w:fldCharType="separate"/>
          </w:r>
          <w:r>
            <w:t>4</w:t>
          </w:r>
          <w:r>
            <w:fldChar w:fldCharType="end"/>
          </w:r>
          <w:r>
            <w:rPr>
              <w:rFonts w:hint="eastAsia"/>
            </w:rPr>
            <w:fldChar w:fldCharType="end"/>
          </w:r>
        </w:p>
        <w:p w14:paraId="165FA4E3">
          <w:pPr>
            <w:pStyle w:val="40"/>
            <w:tabs>
              <w:tab w:val="right" w:leader="dot" w:pos="8306"/>
            </w:tabs>
          </w:pPr>
          <w:r>
            <w:rPr>
              <w:rFonts w:hint="eastAsia"/>
            </w:rPr>
            <w:fldChar w:fldCharType="begin"/>
          </w:r>
          <w:r>
            <w:rPr>
              <w:rFonts w:hint="eastAsia"/>
            </w:rPr>
            <w:instrText xml:space="preserve"> HYPERLINK \l _Toc23310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_Toc23310 \h </w:instrText>
          </w:r>
          <w:r>
            <w:fldChar w:fldCharType="separate"/>
          </w:r>
          <w:r>
            <w:t>5</w:t>
          </w:r>
          <w:r>
            <w:fldChar w:fldCharType="end"/>
          </w:r>
          <w:r>
            <w:rPr>
              <w:rFonts w:hint="eastAsia"/>
            </w:rPr>
            <w:fldChar w:fldCharType="end"/>
          </w:r>
        </w:p>
        <w:p w14:paraId="71C5BE83">
          <w:pPr>
            <w:pStyle w:val="40"/>
            <w:tabs>
              <w:tab w:val="right" w:leader="dot" w:pos="8306"/>
            </w:tabs>
          </w:pPr>
          <w:r>
            <w:rPr>
              <w:rFonts w:hint="eastAsia"/>
            </w:rPr>
            <w:fldChar w:fldCharType="begin"/>
          </w:r>
          <w:r>
            <w:rPr>
              <w:rFonts w:hint="eastAsia"/>
            </w:rPr>
            <w:instrText xml:space="preserve"> HYPERLINK \l _Toc31819 </w:instrText>
          </w:r>
          <w:r>
            <w:rPr>
              <w:rFonts w:hint="eastAsia"/>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_Toc31819 \h </w:instrText>
          </w:r>
          <w:r>
            <w:fldChar w:fldCharType="separate"/>
          </w:r>
          <w:r>
            <w:t>8</w:t>
          </w:r>
          <w:r>
            <w:fldChar w:fldCharType="end"/>
          </w:r>
          <w:r>
            <w:rPr>
              <w:rFonts w:hint="eastAsia"/>
            </w:rPr>
            <w:fldChar w:fldCharType="end"/>
          </w:r>
        </w:p>
        <w:p w14:paraId="319627C4">
          <w:pPr>
            <w:pStyle w:val="40"/>
            <w:tabs>
              <w:tab w:val="right" w:leader="dot" w:pos="8306"/>
            </w:tabs>
          </w:pPr>
          <w:r>
            <w:rPr>
              <w:rFonts w:hint="eastAsia"/>
            </w:rPr>
            <w:fldChar w:fldCharType="begin"/>
          </w:r>
          <w:r>
            <w:rPr>
              <w:rFonts w:hint="eastAsia"/>
            </w:rPr>
            <w:instrText xml:space="preserve"> HYPERLINK \l _Toc10838 </w:instrText>
          </w:r>
          <w:r>
            <w:rPr>
              <w:rFonts w:hint="eastAsia"/>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_Toc10838 \h </w:instrText>
          </w:r>
          <w:r>
            <w:fldChar w:fldCharType="separate"/>
          </w:r>
          <w:r>
            <w:t>8</w:t>
          </w:r>
          <w:r>
            <w:fldChar w:fldCharType="end"/>
          </w:r>
          <w:r>
            <w:rPr>
              <w:rFonts w:hint="eastAsia"/>
            </w:rPr>
            <w:fldChar w:fldCharType="end"/>
          </w:r>
        </w:p>
        <w:p w14:paraId="337C5DBD">
          <w:pPr>
            <w:pStyle w:val="40"/>
            <w:tabs>
              <w:tab w:val="right" w:leader="dot" w:pos="8306"/>
            </w:tabs>
          </w:pPr>
          <w:r>
            <w:rPr>
              <w:rFonts w:hint="eastAsia"/>
            </w:rPr>
            <w:fldChar w:fldCharType="begin"/>
          </w:r>
          <w:r>
            <w:rPr>
              <w:rFonts w:hint="eastAsia"/>
            </w:rPr>
            <w:instrText xml:space="preserve"> HYPERLINK \l _Toc29409 </w:instrText>
          </w:r>
          <w:r>
            <w:rPr>
              <w:rFonts w:hint="eastAsia"/>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_Toc29409 \h </w:instrText>
          </w:r>
          <w:r>
            <w:fldChar w:fldCharType="separate"/>
          </w:r>
          <w:r>
            <w:t>11</w:t>
          </w:r>
          <w:r>
            <w:fldChar w:fldCharType="end"/>
          </w:r>
          <w:r>
            <w:rPr>
              <w:rFonts w:hint="eastAsia"/>
            </w:rPr>
            <w:fldChar w:fldCharType="end"/>
          </w:r>
        </w:p>
        <w:p w14:paraId="7E2D7193">
          <w:pPr>
            <w:pStyle w:val="40"/>
            <w:tabs>
              <w:tab w:val="right" w:leader="dot" w:pos="8306"/>
            </w:tabs>
          </w:pPr>
          <w:r>
            <w:rPr>
              <w:rFonts w:hint="eastAsia"/>
            </w:rPr>
            <w:fldChar w:fldCharType="begin"/>
          </w:r>
          <w:r>
            <w:rPr>
              <w:rFonts w:hint="eastAsia"/>
            </w:rPr>
            <w:instrText xml:space="preserve"> HYPERLINK \l _Toc18796 </w:instrText>
          </w:r>
          <w:r>
            <w:rPr>
              <w:rFonts w:hint="eastAsia"/>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_Toc18796 \h </w:instrText>
          </w:r>
          <w:r>
            <w:fldChar w:fldCharType="separate"/>
          </w:r>
          <w:r>
            <w:t>11</w:t>
          </w:r>
          <w:r>
            <w:fldChar w:fldCharType="end"/>
          </w:r>
          <w:r>
            <w:rPr>
              <w:rFonts w:hint="eastAsia"/>
            </w:rPr>
            <w:fldChar w:fldCharType="end"/>
          </w:r>
        </w:p>
        <w:p w14:paraId="6ACFD262">
          <w:pPr>
            <w:pStyle w:val="40"/>
            <w:tabs>
              <w:tab w:val="right" w:leader="dot" w:pos="8306"/>
            </w:tabs>
          </w:pPr>
          <w:r>
            <w:rPr>
              <w:rFonts w:hint="eastAsia"/>
            </w:rPr>
            <w:fldChar w:fldCharType="begin"/>
          </w:r>
          <w:r>
            <w:rPr>
              <w:rFonts w:hint="eastAsia"/>
            </w:rPr>
            <w:instrText xml:space="preserve"> HYPERLINK \l _Toc31928 </w:instrText>
          </w:r>
          <w:r>
            <w:rPr>
              <w:rFonts w:hint="eastAsia"/>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_Toc31928 \h </w:instrText>
          </w:r>
          <w:r>
            <w:fldChar w:fldCharType="separate"/>
          </w:r>
          <w:r>
            <w:t>11</w:t>
          </w:r>
          <w:r>
            <w:fldChar w:fldCharType="end"/>
          </w:r>
          <w:r>
            <w:rPr>
              <w:rFonts w:hint="eastAsia"/>
            </w:rPr>
            <w:fldChar w:fldCharType="end"/>
          </w:r>
        </w:p>
        <w:p w14:paraId="325E1C74">
          <w:pPr>
            <w:pStyle w:val="39"/>
            <w:tabs>
              <w:tab w:val="right" w:leader="dot" w:pos="8306"/>
            </w:tabs>
            <w:rPr>
              <w:b/>
            </w:rPr>
          </w:pPr>
          <w:r>
            <w:rPr>
              <w:rFonts w:hint="eastAsia"/>
              <w:b/>
            </w:rPr>
            <w:fldChar w:fldCharType="begin"/>
          </w:r>
          <w:r>
            <w:rPr>
              <w:rFonts w:hint="eastAsia"/>
              <w:b/>
            </w:rPr>
            <w:instrText xml:space="preserve"> HYPERLINK \l _Toc10169 </w:instrText>
          </w:r>
          <w:r>
            <w:rPr>
              <w:rFonts w:hint="eastAsia"/>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_Toc10169 \h </w:instrText>
          </w:r>
          <w:r>
            <w:rPr>
              <w:b/>
            </w:rPr>
            <w:fldChar w:fldCharType="separate"/>
          </w:r>
          <w:r>
            <w:rPr>
              <w:b/>
            </w:rPr>
            <w:t>13</w:t>
          </w:r>
          <w:r>
            <w:rPr>
              <w:b/>
            </w:rPr>
            <w:fldChar w:fldCharType="end"/>
          </w:r>
          <w:r>
            <w:rPr>
              <w:rFonts w:hint="eastAsia"/>
              <w:b/>
            </w:rPr>
            <w:fldChar w:fldCharType="end"/>
          </w:r>
        </w:p>
        <w:p w14:paraId="6DC8FEC8">
          <w:pPr>
            <w:pStyle w:val="39"/>
            <w:tabs>
              <w:tab w:val="right" w:leader="dot" w:pos="8306"/>
            </w:tabs>
            <w:rPr>
              <w:b/>
            </w:rPr>
          </w:pPr>
          <w:r>
            <w:rPr>
              <w:rFonts w:hint="eastAsia"/>
              <w:b/>
            </w:rPr>
            <w:fldChar w:fldCharType="begin"/>
          </w:r>
          <w:r>
            <w:rPr>
              <w:rFonts w:hint="eastAsia"/>
              <w:b/>
            </w:rPr>
            <w:instrText xml:space="preserve"> HYPERLINK \l _Toc15319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_Toc15319 \h </w:instrText>
          </w:r>
          <w:r>
            <w:rPr>
              <w:b/>
            </w:rPr>
            <w:fldChar w:fldCharType="separate"/>
          </w:r>
          <w:r>
            <w:rPr>
              <w:b/>
            </w:rPr>
            <w:t>121</w:t>
          </w:r>
          <w:r>
            <w:rPr>
              <w:b/>
            </w:rPr>
            <w:fldChar w:fldCharType="end"/>
          </w:r>
          <w:r>
            <w:rPr>
              <w:rFonts w:hint="eastAsia"/>
              <w:b/>
            </w:rPr>
            <w:fldChar w:fldCharType="end"/>
          </w:r>
        </w:p>
        <w:p w14:paraId="67E05626">
          <w:pPr>
            <w:pStyle w:val="40"/>
            <w:tabs>
              <w:tab w:val="right" w:leader="dot" w:pos="8306"/>
            </w:tabs>
          </w:pPr>
          <w:r>
            <w:rPr>
              <w:rFonts w:hint="eastAsia"/>
            </w:rPr>
            <w:fldChar w:fldCharType="begin"/>
          </w:r>
          <w:r>
            <w:rPr>
              <w:rFonts w:hint="eastAsia"/>
            </w:rPr>
            <w:instrText xml:space="preserve"> HYPERLINK \l _Toc7569 </w:instrText>
          </w:r>
          <w:r>
            <w:rPr>
              <w:rFonts w:hint="eastAsia"/>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_Toc7569 \h </w:instrText>
          </w:r>
          <w:r>
            <w:fldChar w:fldCharType="separate"/>
          </w:r>
          <w:r>
            <w:t>121</w:t>
          </w:r>
          <w:r>
            <w:fldChar w:fldCharType="end"/>
          </w:r>
          <w:r>
            <w:rPr>
              <w:rFonts w:hint="eastAsia"/>
            </w:rPr>
            <w:fldChar w:fldCharType="end"/>
          </w:r>
        </w:p>
        <w:p w14:paraId="7CB6F7B1">
          <w:pPr>
            <w:pStyle w:val="40"/>
            <w:tabs>
              <w:tab w:val="right" w:leader="dot" w:pos="8306"/>
            </w:tabs>
          </w:pPr>
          <w:r>
            <w:rPr>
              <w:rFonts w:hint="eastAsia"/>
            </w:rPr>
            <w:fldChar w:fldCharType="begin"/>
          </w:r>
          <w:r>
            <w:rPr>
              <w:rFonts w:hint="eastAsia"/>
            </w:rPr>
            <w:instrText xml:space="preserve"> HYPERLINK \l _Toc12917 </w:instrText>
          </w:r>
          <w:r>
            <w:rPr>
              <w:rFonts w:hint="eastAsia"/>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_Toc12917 \h </w:instrText>
          </w:r>
          <w:r>
            <w:fldChar w:fldCharType="separate"/>
          </w:r>
          <w:r>
            <w:t>121</w:t>
          </w:r>
          <w:r>
            <w:fldChar w:fldCharType="end"/>
          </w:r>
          <w:r>
            <w:rPr>
              <w:rFonts w:hint="eastAsia"/>
            </w:rPr>
            <w:fldChar w:fldCharType="end"/>
          </w:r>
        </w:p>
        <w:p w14:paraId="55D7E9EF">
          <w:pPr>
            <w:pStyle w:val="40"/>
            <w:tabs>
              <w:tab w:val="right" w:leader="dot" w:pos="8306"/>
            </w:tabs>
          </w:pPr>
          <w:r>
            <w:rPr>
              <w:rFonts w:hint="eastAsia"/>
            </w:rPr>
            <w:fldChar w:fldCharType="begin"/>
          </w:r>
          <w:r>
            <w:rPr>
              <w:rFonts w:hint="eastAsia"/>
            </w:rPr>
            <w:instrText xml:space="preserve"> HYPERLINK \l _Toc12864 </w:instrText>
          </w:r>
          <w:r>
            <w:rPr>
              <w:rFonts w:hint="eastAsia"/>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_Toc12864 \h </w:instrText>
          </w:r>
          <w:r>
            <w:fldChar w:fldCharType="separate"/>
          </w:r>
          <w:r>
            <w:t>121</w:t>
          </w:r>
          <w:r>
            <w:fldChar w:fldCharType="end"/>
          </w:r>
          <w:r>
            <w:rPr>
              <w:rFonts w:hint="eastAsia"/>
            </w:rPr>
            <w:fldChar w:fldCharType="end"/>
          </w:r>
        </w:p>
        <w:p w14:paraId="73890656">
          <w:pPr>
            <w:pStyle w:val="40"/>
            <w:tabs>
              <w:tab w:val="right" w:leader="dot" w:pos="8306"/>
            </w:tabs>
          </w:pPr>
          <w:r>
            <w:rPr>
              <w:rFonts w:hint="eastAsia"/>
            </w:rPr>
            <w:fldChar w:fldCharType="begin"/>
          </w:r>
          <w:r>
            <w:rPr>
              <w:rFonts w:hint="eastAsia"/>
            </w:rPr>
            <w:instrText xml:space="preserve"> HYPERLINK \l _Toc29036 </w:instrText>
          </w:r>
          <w:r>
            <w:rPr>
              <w:rFonts w:hint="eastAsia"/>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_Toc29036 \h </w:instrText>
          </w:r>
          <w:r>
            <w:fldChar w:fldCharType="separate"/>
          </w:r>
          <w:r>
            <w:t>121</w:t>
          </w:r>
          <w:r>
            <w:fldChar w:fldCharType="end"/>
          </w:r>
          <w:r>
            <w:rPr>
              <w:rFonts w:hint="eastAsia"/>
            </w:rPr>
            <w:fldChar w:fldCharType="end"/>
          </w:r>
        </w:p>
        <w:p w14:paraId="5CDB8793">
          <w:pPr>
            <w:pStyle w:val="40"/>
            <w:tabs>
              <w:tab w:val="right" w:leader="dot" w:pos="8306"/>
            </w:tabs>
          </w:pPr>
          <w:r>
            <w:rPr>
              <w:rFonts w:hint="eastAsia"/>
            </w:rPr>
            <w:fldChar w:fldCharType="begin"/>
          </w:r>
          <w:r>
            <w:rPr>
              <w:rFonts w:hint="eastAsia"/>
            </w:rPr>
            <w:instrText xml:space="preserve"> HYPERLINK \l _Toc19054 </w:instrText>
          </w:r>
          <w:r>
            <w:rPr>
              <w:rFonts w:hint="eastAsia"/>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_Toc19054 \h </w:instrText>
          </w:r>
          <w:r>
            <w:fldChar w:fldCharType="separate"/>
          </w:r>
          <w:r>
            <w:t>121</w:t>
          </w:r>
          <w:r>
            <w:fldChar w:fldCharType="end"/>
          </w:r>
          <w:r>
            <w:rPr>
              <w:rFonts w:hint="eastAsia"/>
            </w:rPr>
            <w:fldChar w:fldCharType="end"/>
          </w:r>
        </w:p>
        <w:p w14:paraId="0CC761CC">
          <w:pPr>
            <w:pStyle w:val="40"/>
            <w:tabs>
              <w:tab w:val="right" w:leader="dot" w:pos="8306"/>
            </w:tabs>
          </w:pPr>
          <w:r>
            <w:rPr>
              <w:rFonts w:hint="eastAsia"/>
            </w:rPr>
            <w:fldChar w:fldCharType="begin"/>
          </w:r>
          <w:r>
            <w:rPr>
              <w:rFonts w:hint="eastAsia"/>
            </w:rPr>
            <w:instrText xml:space="preserve"> HYPERLINK \l _Toc17741 </w:instrText>
          </w:r>
          <w:r>
            <w:rPr>
              <w:rFonts w:hint="eastAsia"/>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_Toc17741 \h </w:instrText>
          </w:r>
          <w:r>
            <w:fldChar w:fldCharType="separate"/>
          </w:r>
          <w:r>
            <w:t>121</w:t>
          </w:r>
          <w:r>
            <w:fldChar w:fldCharType="end"/>
          </w:r>
          <w:r>
            <w:rPr>
              <w:rFonts w:hint="eastAsia"/>
            </w:rPr>
            <w:fldChar w:fldCharType="end"/>
          </w:r>
        </w:p>
        <w:p w14:paraId="3A4B3E96">
          <w:pPr>
            <w:pStyle w:val="40"/>
            <w:tabs>
              <w:tab w:val="right" w:leader="dot" w:pos="8306"/>
            </w:tabs>
          </w:pPr>
          <w:r>
            <w:rPr>
              <w:rFonts w:hint="eastAsia"/>
            </w:rPr>
            <w:fldChar w:fldCharType="begin"/>
          </w:r>
          <w:r>
            <w:rPr>
              <w:rFonts w:hint="eastAsia"/>
            </w:rPr>
            <w:instrText xml:space="preserve"> HYPERLINK \l _Toc9904 </w:instrText>
          </w:r>
          <w:r>
            <w:rPr>
              <w:rFonts w:hint="eastAsia"/>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_Toc9904 \h </w:instrText>
          </w:r>
          <w:r>
            <w:fldChar w:fldCharType="separate"/>
          </w:r>
          <w:r>
            <w:t>121</w:t>
          </w:r>
          <w:r>
            <w:fldChar w:fldCharType="end"/>
          </w:r>
          <w:r>
            <w:rPr>
              <w:rFonts w:hint="eastAsia"/>
            </w:rPr>
            <w:fldChar w:fldCharType="end"/>
          </w:r>
        </w:p>
        <w:p w14:paraId="66246F6A">
          <w:pPr>
            <w:pStyle w:val="40"/>
            <w:tabs>
              <w:tab w:val="right" w:leader="dot" w:pos="8306"/>
            </w:tabs>
          </w:pPr>
          <w:r>
            <w:rPr>
              <w:rFonts w:hint="eastAsia"/>
            </w:rPr>
            <w:fldChar w:fldCharType="begin"/>
          </w:r>
          <w:r>
            <w:rPr>
              <w:rFonts w:hint="eastAsia"/>
            </w:rPr>
            <w:instrText xml:space="preserve"> HYPERLINK \l _Toc8565 </w:instrText>
          </w:r>
          <w:r>
            <w:rPr>
              <w:rFonts w:hint="eastAsia"/>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_Toc8565 \h </w:instrText>
          </w:r>
          <w:r>
            <w:fldChar w:fldCharType="separate"/>
          </w:r>
          <w:r>
            <w:t>121</w:t>
          </w:r>
          <w:r>
            <w:fldChar w:fldCharType="end"/>
          </w:r>
          <w:r>
            <w:rPr>
              <w:rFonts w:hint="eastAsia"/>
            </w:rPr>
            <w:fldChar w:fldCharType="end"/>
          </w:r>
        </w:p>
        <w:p w14:paraId="50D9ACCD">
          <w:pPr>
            <w:pStyle w:val="40"/>
            <w:tabs>
              <w:tab w:val="right" w:leader="dot" w:pos="8306"/>
            </w:tabs>
          </w:pPr>
          <w:r>
            <w:rPr>
              <w:rFonts w:hint="eastAsia"/>
            </w:rPr>
            <w:fldChar w:fldCharType="begin"/>
          </w:r>
          <w:r>
            <w:rPr>
              <w:rFonts w:hint="eastAsia"/>
            </w:rPr>
            <w:instrText xml:space="preserve"> HYPERLINK \l _Toc21897 </w:instrText>
          </w:r>
          <w:r>
            <w:rPr>
              <w:rFonts w:hint="eastAsia"/>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_Toc21897 \h </w:instrText>
          </w:r>
          <w:r>
            <w:fldChar w:fldCharType="separate"/>
          </w:r>
          <w:r>
            <w:t>121</w:t>
          </w:r>
          <w:r>
            <w:fldChar w:fldCharType="end"/>
          </w:r>
          <w:r>
            <w:rPr>
              <w:rFonts w:hint="eastAsia"/>
            </w:rPr>
            <w:fldChar w:fldCharType="end"/>
          </w:r>
        </w:p>
        <w:p w14:paraId="11166F98">
          <w:pPr>
            <w:pStyle w:val="40"/>
            <w:tabs>
              <w:tab w:val="right" w:leader="dot" w:pos="8306"/>
            </w:tabs>
          </w:pPr>
          <w:r>
            <w:rPr>
              <w:rFonts w:hint="eastAsia"/>
            </w:rPr>
            <w:fldChar w:fldCharType="begin"/>
          </w:r>
          <w:r>
            <w:rPr>
              <w:rFonts w:hint="eastAsia"/>
            </w:rPr>
            <w:instrText xml:space="preserve"> HYPERLINK \l _Toc2194 </w:instrText>
          </w:r>
          <w:r>
            <w:rPr>
              <w:rFonts w:hint="eastAsia"/>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_Toc2194 \h </w:instrText>
          </w:r>
          <w:r>
            <w:fldChar w:fldCharType="separate"/>
          </w:r>
          <w:r>
            <w:t>121</w:t>
          </w:r>
          <w:r>
            <w:fldChar w:fldCharType="end"/>
          </w:r>
          <w:r>
            <w:rPr>
              <w:rFonts w:hint="eastAsia"/>
            </w:rPr>
            <w:fldChar w:fldCharType="end"/>
          </w:r>
        </w:p>
        <w:p w14:paraId="6B5F2441">
          <w:pPr>
            <w:pStyle w:val="40"/>
            <w:tabs>
              <w:tab w:val="right" w:leader="dot" w:pos="8306"/>
            </w:tabs>
          </w:pPr>
          <w:r>
            <w:rPr>
              <w:rFonts w:hint="eastAsia"/>
            </w:rPr>
            <w:fldChar w:fldCharType="begin"/>
          </w:r>
          <w:r>
            <w:rPr>
              <w:rFonts w:hint="eastAsia"/>
            </w:rPr>
            <w:instrText xml:space="preserve"> HYPERLINK \l _Toc3165 </w:instrText>
          </w:r>
          <w:r>
            <w:rPr>
              <w:rFonts w:hint="eastAsia"/>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_Toc3165 \h </w:instrText>
          </w:r>
          <w:r>
            <w:fldChar w:fldCharType="separate"/>
          </w:r>
          <w:r>
            <w:t>121</w:t>
          </w:r>
          <w:r>
            <w:fldChar w:fldCharType="end"/>
          </w:r>
          <w:r>
            <w:rPr>
              <w:rFonts w:hint="eastAsia"/>
            </w:rPr>
            <w:fldChar w:fldCharType="end"/>
          </w:r>
        </w:p>
        <w:p w14:paraId="637FE119">
          <w:pPr>
            <w:pStyle w:val="40"/>
            <w:tabs>
              <w:tab w:val="right" w:leader="dot" w:pos="8306"/>
            </w:tabs>
          </w:pPr>
          <w:r>
            <w:rPr>
              <w:rFonts w:hint="eastAsia"/>
            </w:rPr>
            <w:fldChar w:fldCharType="begin"/>
          </w:r>
          <w:r>
            <w:rPr>
              <w:rFonts w:hint="eastAsia"/>
            </w:rPr>
            <w:instrText xml:space="preserve"> HYPERLINK \l _Toc18997 </w:instrText>
          </w:r>
          <w:r>
            <w:rPr>
              <w:rFonts w:hint="eastAsia"/>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_Toc18997 \h </w:instrText>
          </w:r>
          <w:r>
            <w:fldChar w:fldCharType="separate"/>
          </w:r>
          <w:r>
            <w:t>121</w:t>
          </w:r>
          <w:r>
            <w:fldChar w:fldCharType="end"/>
          </w:r>
          <w:r>
            <w:rPr>
              <w:rFonts w:hint="eastAsia"/>
            </w:rPr>
            <w:fldChar w:fldCharType="end"/>
          </w:r>
        </w:p>
        <w:p w14:paraId="3E505BC4">
          <w:pPr>
            <w:pStyle w:val="40"/>
            <w:tabs>
              <w:tab w:val="right" w:leader="dot" w:pos="8306"/>
            </w:tabs>
          </w:pPr>
          <w:r>
            <w:rPr>
              <w:rFonts w:hint="eastAsia"/>
            </w:rPr>
            <w:fldChar w:fldCharType="begin"/>
          </w:r>
          <w:r>
            <w:rPr>
              <w:rFonts w:hint="eastAsia"/>
            </w:rPr>
            <w:instrText xml:space="preserve"> HYPERLINK \l _Toc5423 </w:instrText>
          </w:r>
          <w:r>
            <w:rPr>
              <w:rFonts w:hint="eastAsia"/>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_Toc5423 \h </w:instrText>
          </w:r>
          <w:r>
            <w:fldChar w:fldCharType="separate"/>
          </w:r>
          <w:r>
            <w:t>121</w:t>
          </w:r>
          <w:r>
            <w:fldChar w:fldCharType="end"/>
          </w:r>
          <w:r>
            <w:rPr>
              <w:rFonts w:hint="eastAsia"/>
            </w:rPr>
            <w:fldChar w:fldCharType="end"/>
          </w:r>
        </w:p>
        <w:p w14:paraId="6BF3BE78">
          <w:pPr>
            <w:rPr>
              <w:rFonts w:hint="eastAsia" w:ascii="Times New Roman" w:hAnsi="Times New Roman" w:eastAsia="宋体" w:cs="Times New Roman"/>
              <w:b/>
              <w:kern w:val="2"/>
              <w:sz w:val="21"/>
              <w:szCs w:val="24"/>
              <w:lang w:val="en-US" w:eastAsia="zh-CN" w:bidi="ar-SA"/>
            </w:rPr>
          </w:pPr>
          <w:r>
            <w:rPr>
              <w:rFonts w:hint="eastAsia"/>
              <w:b/>
            </w:rPr>
            <w:fldChar w:fldCharType="end"/>
          </w:r>
        </w:p>
      </w:sdtContent>
    </w:sdt>
    <w:p w14:paraId="6C374ADA">
      <w:pPr>
        <w:pStyle w:val="2"/>
        <w:rPr>
          <w:rFonts w:hint="eastAsia"/>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p>
    <w:p w14:paraId="11CC2C05">
      <w:pPr>
        <w:pStyle w:val="4"/>
        <w:jc w:val="center"/>
        <w:rPr>
          <w:rFonts w:ascii="黑体" w:eastAsia="黑体"/>
          <w:color w:val="auto"/>
          <w:sz w:val="32"/>
          <w:szCs w:val="32"/>
          <w:highlight w:val="none"/>
        </w:rPr>
      </w:pPr>
      <w:bookmarkStart w:id="12" w:name="_Toc25304"/>
      <w:bookmarkStart w:id="13" w:name="_Toc22974"/>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14:paraId="29AEFF8C">
      <w:pPr>
        <w:pStyle w:val="5"/>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rFonts w:hint="eastAsia" w:ascii="仿宋" w:hAnsi="仿宋" w:eastAsia="黑体"/>
          <w:b w:val="0"/>
          <w:bCs w:val="0"/>
          <w:color w:val="auto"/>
          <w:highlight w:val="none"/>
          <w:lang w:eastAsia="zh-CN"/>
        </w:rPr>
      </w:pPr>
      <w:bookmarkStart w:id="14" w:name="_Toc15377197"/>
      <w:bookmarkStart w:id="15" w:name="_Toc15396600"/>
      <w:bookmarkStart w:id="16" w:name="_Toc29049"/>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eastAsia="zh-CN"/>
        </w:rPr>
        <w:t>部门职责</w:t>
      </w:r>
      <w:bookmarkEnd w:id="16"/>
    </w:p>
    <w:p w14:paraId="41FA1783">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bookmarkStart w:id="17" w:name="_Toc15377200"/>
      <w:bookmarkStart w:id="18" w:name="_Toc15396601"/>
      <w:r>
        <w:rPr>
          <w:rFonts w:ascii="仿宋_GB2312" w:hAnsi="仿宋" w:eastAsia="仿宋_GB2312"/>
          <w:b w:val="0"/>
          <w:bCs w:val="0"/>
          <w:sz w:val="32"/>
          <w:szCs w:val="32"/>
        </w:rPr>
        <w:t>1.负责全区党的组织体系、组织制度建设，负责基层党组织建设规划指导和党员队伍宏观管理，指导开展党员教育工作。</w:t>
      </w:r>
    </w:p>
    <w:p w14:paraId="1E9FFA06">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2.负责全区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0B87DDE6">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3.负责管理全区公务员工作。牵头拟订和组织实施公务员管理政策规定，承担公务员录用、调配、考核、奖惩、培训、监督、工资福利等工作，指导公务员绩效管理工作。</w:t>
      </w:r>
    </w:p>
    <w:p w14:paraId="05C5FC42">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4.负责全区人才工作的宏观指导、组织协调和督促检查，牵头推进人才发展体制机制改革和政策创新，协调推进区校（院、企）战略合作，人才开发交流合作，指导推进党委联系服务专家工作，统筹实施重大人才工程和人才表扬奖励。</w:t>
      </w:r>
    </w:p>
    <w:p w14:paraId="627D1107">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5.负责全区干部教育培训工作的宏观指导、政策规划、组织协调和督促检查，负责区重点培训项目的策划、实施和管理，指导全区干部教育培训基地建设管理、师资队伍建设等工作</w:t>
      </w:r>
    </w:p>
    <w:p w14:paraId="574D87A2">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6.负责全区组织系统干部监督工作的宏观指导和综合协调、制定和落实干部监督工作制度，组织开展对选人用人工作情况的监督检查，受理和办理有关问题举报，组织实施领导干部报告个人有关事项及抽查核实工作。履行区纪委监委派出区直属机关纪检监察工作委员会职责。</w:t>
      </w:r>
    </w:p>
    <w:p w14:paraId="34F7E837">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7.负责管理全区老干部和关心下一代工作，对离退休干部进行宏观管理，研究制度或参与制定离退休干部工作的政策。</w:t>
      </w:r>
    </w:p>
    <w:p w14:paraId="0F7FA2E2">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8.负责职责范围内安全生产和职业健康、消防安全、生态环境保护等工作。</w:t>
      </w:r>
    </w:p>
    <w:p w14:paraId="1F96847D">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9.归口管理区委机构编制委员会办公室。</w:t>
      </w:r>
    </w:p>
    <w:p w14:paraId="407E5FA8">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10.承担区委党建领导小组、区人才工作领导小组日常工作。</w:t>
      </w:r>
    </w:p>
    <w:p w14:paraId="114D687B">
      <w:pPr>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eastAsia="黑体"/>
          <w:b w:val="0"/>
          <w:bCs w:val="0"/>
          <w:color w:val="auto"/>
          <w:highlight w:val="yellow"/>
        </w:rPr>
      </w:pPr>
      <w:r>
        <w:rPr>
          <w:rFonts w:ascii="仿宋_GB2312" w:hAnsi="仿宋" w:eastAsia="仿宋_GB2312"/>
          <w:b w:val="0"/>
          <w:bCs w:val="0"/>
          <w:sz w:val="32"/>
          <w:szCs w:val="32"/>
        </w:rPr>
        <w:t>11.完成区委交办的其他任务。</w:t>
      </w:r>
    </w:p>
    <w:p w14:paraId="79D3BC5B">
      <w:pPr>
        <w:pStyle w:val="5"/>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b w:val="0"/>
          <w:bCs w:val="0"/>
          <w:color w:val="auto"/>
          <w:highlight w:val="none"/>
        </w:rPr>
      </w:pPr>
      <w:bookmarkStart w:id="19" w:name="_Toc3750"/>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7"/>
      <w:bookmarkEnd w:id="18"/>
      <w:bookmarkEnd w:id="19"/>
    </w:p>
    <w:p w14:paraId="16EEDE1C">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区委组织部</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下设15个股室</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办公室、研究室、组织一股、组织二股、干部股、干部监督股、人才股、公务员管理股、城乡基层治理秘书股、机关党建股、老干部活动中心、干部档案中心、党研室、党员教育中心、高端人才服务中心。</w:t>
      </w:r>
    </w:p>
    <w:p w14:paraId="7B62FCCD">
      <w:pPr>
        <w:pStyle w:val="2"/>
        <w:adjustRightInd w:val="0"/>
        <w:snapToGrid w:val="0"/>
        <w:spacing w:before="93" w:line="600" w:lineRule="exact"/>
        <w:ind w:firstLine="672" w:firstLineChars="210"/>
        <w:rPr>
          <w:rFonts w:hint="default" w:ascii="仿宋_GB2312" w:hAnsi="仿宋_GB2312" w:eastAsia="仿宋_GB2312" w:cs="仿宋_GB2312"/>
          <w:color w:val="auto"/>
          <w:sz w:val="32"/>
          <w:szCs w:val="32"/>
          <w:highlight w:val="none"/>
          <w:lang w:val="en-US" w:eastAsia="zh-CN"/>
        </w:rPr>
      </w:pPr>
    </w:p>
    <w:p w14:paraId="730B605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23BD2A46">
      <w:pPr>
        <w:pStyle w:val="4"/>
        <w:ind w:right="440"/>
        <w:jc w:val="center"/>
        <w:rPr>
          <w:color w:val="auto"/>
          <w:highlight w:val="none"/>
        </w:rPr>
      </w:pPr>
      <w:bookmarkStart w:id="20" w:name="_Toc15842"/>
      <w:bookmarkStart w:id="21" w:name="_Toc15377204"/>
      <w:bookmarkStart w:id="22" w:name="_Toc10079"/>
      <w:bookmarkStart w:id="23" w:name="_Toc15396602"/>
      <w:bookmarkStart w:id="24" w:name="_Toc74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rPr>
        <w:t>部门决算情况说明</w:t>
      </w:r>
      <w:bookmarkEnd w:id="20"/>
      <w:bookmarkEnd w:id="21"/>
      <w:bookmarkEnd w:id="22"/>
      <w:bookmarkEnd w:id="23"/>
      <w:bookmarkEnd w:id="24"/>
    </w:p>
    <w:p w14:paraId="7CAD7963">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25" w:name="_Toc27023"/>
      <w:bookmarkStart w:id="26" w:name="_Toc13851"/>
      <w:bookmarkStart w:id="27" w:name="_Toc15396603"/>
      <w:bookmarkStart w:id="28" w:name="_Toc15377205"/>
      <w:bookmarkStart w:id="29" w:name="_Toc2603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5"/>
      <w:bookmarkEnd w:id="26"/>
      <w:bookmarkEnd w:id="27"/>
      <w:bookmarkEnd w:id="28"/>
      <w:bookmarkEnd w:id="29"/>
    </w:p>
    <w:p w14:paraId="71E7F91B">
      <w:pPr>
        <w:spacing w:line="600" w:lineRule="exact"/>
        <w:ind w:firstLine="640" w:firstLineChars="200"/>
        <w:jc w:val="both"/>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度收、支总计2</w:t>
      </w:r>
      <w:r>
        <w:rPr>
          <w:rFonts w:hint="eastAsia" w:ascii="仿宋" w:hAnsi="仿宋" w:eastAsia="仿宋"/>
          <w:color w:val="auto"/>
          <w:sz w:val="32"/>
          <w:szCs w:val="32"/>
          <w:highlight w:val="none"/>
          <w:lang w:val="en-US" w:eastAsia="zh-CN"/>
        </w:rPr>
        <w:t>,332.44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64.88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2023年较上年度人员增加，相应人员经费和日常办公经费增加</w:t>
      </w:r>
      <w:r>
        <w:rPr>
          <w:rFonts w:hint="eastAsia" w:ascii="仿宋" w:hAnsi="仿宋" w:eastAsia="仿宋"/>
          <w:color w:val="auto"/>
          <w:sz w:val="32"/>
          <w:szCs w:val="32"/>
          <w:highlight w:val="none"/>
          <w:lang w:eastAsia="zh-CN"/>
        </w:rPr>
        <w:t>。</w:t>
      </w:r>
    </w:p>
    <w:p w14:paraId="7ADA0672">
      <w:pPr>
        <w:pStyle w:val="20"/>
        <w:ind w:firstLine="640" w:firstLineChars="200"/>
        <w:jc w:val="both"/>
        <w:rPr>
          <w:rFonts w:hint="eastAsia"/>
          <w:color w:val="auto"/>
          <w:highlight w:val="none"/>
          <w:lang w:eastAsia="zh-CN"/>
        </w:rPr>
      </w:pPr>
      <w:r>
        <w:rPr>
          <w:rFonts w:hint="eastAsia" w:ascii="仿宋" w:hAnsi="仿宋" w:eastAsia="仿宋" w:cs="Times New Roman"/>
          <w:color w:val="auto"/>
          <w:kern w:val="2"/>
          <w:sz w:val="32"/>
          <w:szCs w:val="32"/>
          <w:highlight w:val="none"/>
          <w:lang w:val="en-US" w:eastAsia="zh-CN" w:bidi="ar-SA"/>
        </w:rPr>
        <w:t>图1：</w:t>
      </w:r>
    </w:p>
    <w:p w14:paraId="55A394D0">
      <w:pPr>
        <w:pStyle w:val="38"/>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drawing>
          <wp:anchor distT="0" distB="0" distL="114300" distR="114300" simplePos="0" relativeHeight="251661312" behindDoc="0" locked="0" layoutInCell="1" allowOverlap="1">
            <wp:simplePos x="0" y="0"/>
            <wp:positionH relativeFrom="column">
              <wp:posOffset>205740</wp:posOffset>
            </wp:positionH>
            <wp:positionV relativeFrom="paragraph">
              <wp:posOffset>160655</wp:posOffset>
            </wp:positionV>
            <wp:extent cx="4801235" cy="1942465"/>
            <wp:effectExtent l="4445" t="4445" r="13970"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779A9EF">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30" w:name="_Toc9495"/>
      <w:bookmarkStart w:id="31" w:name="_Toc11542"/>
      <w:bookmarkStart w:id="32" w:name="_Toc15396604"/>
      <w:bookmarkStart w:id="33" w:name="_Toc31433"/>
      <w:bookmarkStart w:id="34" w:name="_Toc1537720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0"/>
      <w:bookmarkEnd w:id="31"/>
      <w:bookmarkEnd w:id="32"/>
      <w:bookmarkEnd w:id="33"/>
      <w:bookmarkEnd w:id="34"/>
    </w:p>
    <w:p w14:paraId="48435E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本年收入合计2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73.94</w:t>
      </w:r>
      <w:r>
        <w:rPr>
          <w:rFonts w:hint="eastAsia" w:ascii="仿宋" w:hAnsi="仿宋" w:eastAsia="仿宋"/>
          <w:color w:val="auto"/>
          <w:sz w:val="32"/>
          <w:szCs w:val="32"/>
          <w:highlight w:val="none"/>
        </w:rPr>
        <w:t>万元，其中：一般公共预算财政拨款收入2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99.08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20.82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EFBC217">
      <w:pPr>
        <w:spacing w:line="600" w:lineRule="exact"/>
        <w:ind w:firstLine="640" w:firstLineChars="200"/>
        <w:jc w:val="both"/>
        <w:rPr>
          <w:rFonts w:hint="eastAsia" w:ascii="仿宋_GB2312" w:eastAsia="仿宋_GB2312"/>
          <w:color w:val="auto"/>
          <w:sz w:val="32"/>
          <w:szCs w:val="32"/>
          <w:highlight w:val="none"/>
          <w:lang w:eastAsia="zh-CN"/>
        </w:rPr>
      </w:pPr>
      <w:bookmarkStart w:id="35" w:name="_Toc15396605"/>
      <w:bookmarkStart w:id="36" w:name="_Toc15377207"/>
      <w:r>
        <w:rPr>
          <w:rFonts w:hint="eastAsia" w:ascii="仿宋" w:hAnsi="仿宋" w:eastAsia="仿宋"/>
          <w:color w:val="auto"/>
          <w:sz w:val="32"/>
          <w:szCs w:val="32"/>
          <w:highlight w:val="none"/>
        </w:rPr>
        <w:t>图2：</w:t>
      </w:r>
    </w:p>
    <w:p w14:paraId="791BD7B6">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096385" cy="2112010"/>
            <wp:effectExtent l="4445" t="5080" r="1397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F831D6">
      <w:pPr>
        <w:pStyle w:val="30"/>
        <w:numPr>
          <w:ilvl w:val="0"/>
          <w:numId w:val="1"/>
        </w:numPr>
        <w:spacing w:line="600" w:lineRule="exact"/>
        <w:ind w:firstLineChars="0"/>
        <w:outlineLvl w:val="1"/>
        <w:rPr>
          <w:rStyle w:val="32"/>
          <w:rFonts w:ascii="黑体" w:hAnsi="黑体" w:eastAsia="黑体"/>
          <w:b w:val="0"/>
          <w:color w:val="auto"/>
          <w:highlight w:val="none"/>
        </w:rPr>
      </w:pPr>
      <w:bookmarkStart w:id="37" w:name="_Toc5344"/>
      <w:bookmarkStart w:id="38" w:name="_Toc23606"/>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5"/>
      <w:bookmarkEnd w:id="36"/>
      <w:bookmarkEnd w:id="37"/>
      <w:bookmarkEnd w:id="38"/>
    </w:p>
    <w:p w14:paraId="627BE8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本年支出合计2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94.68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758.24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33.04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36.44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1AA5C46">
      <w:pPr>
        <w:pStyle w:val="38"/>
        <w:ind w:firstLine="640" w:firstLineChars="200"/>
        <w:jc w:val="both"/>
        <w:rPr>
          <w:rFonts w:hint="eastAsia" w:ascii="仿宋" w:hAnsi="仿宋" w:eastAsia="仿宋"/>
          <w:color w:val="auto"/>
          <w:sz w:val="32"/>
          <w:szCs w:val="32"/>
          <w:highlight w:val="none"/>
        </w:rPr>
      </w:pPr>
      <w:bookmarkStart w:id="39" w:name="_Toc15396606"/>
      <w:bookmarkStart w:id="40" w:name="_Toc15377208"/>
      <w:r>
        <w:rPr>
          <w:rFonts w:hint="eastAsia" w:ascii="仿宋" w:hAnsi="仿宋" w:eastAsia="仿宋"/>
          <w:color w:val="auto"/>
          <w:sz w:val="32"/>
          <w:szCs w:val="32"/>
          <w:highlight w:val="none"/>
        </w:rPr>
        <w:t>图3：</w:t>
      </w:r>
    </w:p>
    <w:p w14:paraId="18662065">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2336" behindDoc="0" locked="0" layoutInCell="1" allowOverlap="1">
            <wp:simplePos x="0" y="0"/>
            <wp:positionH relativeFrom="column">
              <wp:posOffset>79375</wp:posOffset>
            </wp:positionH>
            <wp:positionV relativeFrom="paragraph">
              <wp:posOffset>115570</wp:posOffset>
            </wp:positionV>
            <wp:extent cx="5175250" cy="20193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9BC3CA0">
      <w:pPr>
        <w:spacing w:line="600" w:lineRule="exact"/>
        <w:ind w:firstLine="640" w:firstLineChars="200"/>
        <w:jc w:val="both"/>
        <w:outlineLvl w:val="1"/>
        <w:rPr>
          <w:rStyle w:val="32"/>
          <w:rFonts w:ascii="黑体" w:hAnsi="黑体" w:eastAsia="黑体"/>
          <w:b w:val="0"/>
          <w:color w:val="auto"/>
          <w:highlight w:val="none"/>
        </w:rPr>
      </w:pPr>
      <w:bookmarkStart w:id="41" w:name="_Toc29761"/>
      <w:bookmarkStart w:id="42" w:name="_Toc12199"/>
      <w:bookmarkStart w:id="43" w:name="_Toc8966"/>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9"/>
      <w:bookmarkEnd w:id="40"/>
      <w:bookmarkEnd w:id="41"/>
      <w:bookmarkEnd w:id="42"/>
      <w:bookmarkEnd w:id="43"/>
    </w:p>
    <w:p w14:paraId="41E37C5A">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财政拨款收、支总计2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50.51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w:t>
      </w:r>
      <w:bookmarkStart w:id="44" w:name="_Toc15396607"/>
      <w:bookmarkStart w:id="45" w:name="_Toc15377209"/>
      <w:r>
        <w:rPr>
          <w:rFonts w:hint="eastAsia" w:ascii="仿宋" w:hAnsi="仿宋" w:eastAsia="仿宋"/>
          <w:color w:val="auto"/>
          <w:sz w:val="32"/>
          <w:szCs w:val="32"/>
          <w:highlight w:val="none"/>
          <w:lang w:val="en-US" w:eastAsia="zh-CN"/>
        </w:rPr>
        <w:t>度较上年度人员增加，相应人员经费和日常办公经费增加。</w:t>
      </w:r>
    </w:p>
    <w:p w14:paraId="23F53EE1">
      <w:pPr>
        <w:pStyle w:val="38"/>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w:t>
      </w:r>
      <w:r>
        <w:rPr>
          <w:rFonts w:hint="eastAsia" w:ascii="仿宋" w:hAnsi="仿宋" w:eastAsia="仿宋"/>
          <w:color w:val="auto"/>
          <w:sz w:val="32"/>
          <w:szCs w:val="32"/>
          <w:highlight w:val="none"/>
        </w:rPr>
        <w:drawing>
          <wp:anchor distT="0" distB="0" distL="114300" distR="114300" simplePos="0" relativeHeight="251663360" behindDoc="0" locked="0" layoutInCell="1" allowOverlap="1">
            <wp:simplePos x="0" y="0"/>
            <wp:positionH relativeFrom="column">
              <wp:posOffset>-8255</wp:posOffset>
            </wp:positionH>
            <wp:positionV relativeFrom="paragraph">
              <wp:posOffset>297815</wp:posOffset>
            </wp:positionV>
            <wp:extent cx="5252085" cy="1791335"/>
            <wp:effectExtent l="4445" t="4445" r="20320" b="1397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D56900E">
      <w:pPr>
        <w:spacing w:line="600" w:lineRule="exact"/>
        <w:ind w:firstLine="640" w:firstLineChars="200"/>
        <w:jc w:val="both"/>
        <w:outlineLvl w:val="1"/>
        <w:rPr>
          <w:rStyle w:val="32"/>
          <w:rFonts w:ascii="黑体" w:hAnsi="黑体" w:eastAsia="黑体"/>
          <w:b w:val="0"/>
          <w:color w:val="auto"/>
          <w:highlight w:val="none"/>
        </w:rPr>
      </w:pPr>
      <w:bookmarkStart w:id="46" w:name="_Toc23310"/>
      <w:bookmarkStart w:id="47" w:name="_Toc13746"/>
      <w:bookmarkStart w:id="48" w:name="_Toc368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4"/>
      <w:bookmarkEnd w:id="45"/>
      <w:bookmarkEnd w:id="46"/>
      <w:bookmarkEnd w:id="47"/>
      <w:bookmarkEnd w:id="48"/>
    </w:p>
    <w:p w14:paraId="4EE2ED36">
      <w:pPr>
        <w:spacing w:line="600" w:lineRule="exact"/>
        <w:ind w:firstLine="643" w:firstLineChars="200"/>
        <w:jc w:val="both"/>
        <w:outlineLvl w:val="2"/>
        <w:rPr>
          <w:rFonts w:ascii="仿宋" w:hAnsi="仿宋" w:eastAsia="仿宋"/>
          <w:b/>
          <w:color w:val="auto"/>
          <w:sz w:val="32"/>
          <w:szCs w:val="32"/>
          <w:highlight w:val="none"/>
        </w:rPr>
      </w:pPr>
      <w:bookmarkStart w:id="49" w:name="_Toc15377210"/>
      <w:r>
        <w:rPr>
          <w:rFonts w:hint="eastAsia" w:ascii="仿宋" w:hAnsi="仿宋" w:eastAsia="仿宋"/>
          <w:b/>
          <w:color w:val="auto"/>
          <w:sz w:val="32"/>
          <w:szCs w:val="32"/>
          <w:highlight w:val="none"/>
        </w:rPr>
        <w:t>（一）一般公共预算财政拨款支出决算总体情况</w:t>
      </w:r>
      <w:bookmarkEnd w:id="49"/>
    </w:p>
    <w:p w14:paraId="5A17EF4C">
      <w:pPr>
        <w:spacing w:line="600" w:lineRule="exact"/>
        <w:ind w:firstLine="640" w:firstLineChars="20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50.51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2023年度较上年度人员增加，相应人员经费和日常办公经费增加。</w:t>
      </w:r>
    </w:p>
    <w:p w14:paraId="7A57F04E">
      <w:pPr>
        <w:spacing w:line="600" w:lineRule="exact"/>
        <w:ind w:firstLine="640" w:firstLineChars="200"/>
        <w:jc w:val="both"/>
        <w:rPr>
          <w:rFonts w:hint="eastAsia" w:ascii="仿宋" w:hAnsi="仿宋" w:eastAsia="仿宋"/>
          <w:color w:val="auto"/>
          <w:sz w:val="32"/>
          <w:szCs w:val="32"/>
          <w:highlight w:val="none"/>
        </w:rPr>
      </w:pPr>
      <w:bookmarkStart w:id="50" w:name="_Toc15377211"/>
      <w:r>
        <w:rPr>
          <w:rFonts w:hint="eastAsia" w:ascii="仿宋" w:hAnsi="仿宋" w:eastAsia="仿宋"/>
          <w:color w:val="auto"/>
          <w:sz w:val="32"/>
          <w:szCs w:val="32"/>
          <w:highlight w:val="none"/>
        </w:rPr>
        <w:t>图5：</w:t>
      </w:r>
    </w:p>
    <w:p w14:paraId="2BD8A014">
      <w:pPr>
        <w:spacing w:line="60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drawing>
          <wp:anchor distT="0" distB="0" distL="114300" distR="114300" simplePos="0" relativeHeight="251664384" behindDoc="0" locked="0" layoutInCell="1" allowOverlap="1">
            <wp:simplePos x="0" y="0"/>
            <wp:positionH relativeFrom="column">
              <wp:posOffset>-63500</wp:posOffset>
            </wp:positionH>
            <wp:positionV relativeFrom="paragraph">
              <wp:posOffset>156210</wp:posOffset>
            </wp:positionV>
            <wp:extent cx="5489575" cy="1924685"/>
            <wp:effectExtent l="5080" t="4445" r="10795"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D2A2912">
      <w:pPr>
        <w:spacing w:line="600" w:lineRule="exact"/>
        <w:ind w:firstLine="643"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50"/>
    </w:p>
    <w:p w14:paraId="77759858">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54.90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92.96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9.26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20.00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6.00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D43AFDF">
      <w:pPr>
        <w:spacing w:line="600" w:lineRule="exact"/>
        <w:ind w:firstLine="640"/>
        <w:jc w:val="both"/>
        <w:rPr>
          <w:rFonts w:hint="eastAsia" w:ascii="仿宋" w:hAnsi="仿宋" w:eastAsia="仿宋"/>
          <w:color w:val="auto"/>
          <w:sz w:val="32"/>
          <w:szCs w:val="32"/>
          <w:highlight w:val="none"/>
        </w:rPr>
      </w:pPr>
      <w:bookmarkStart w:id="51" w:name="_Toc15377212"/>
      <w:r>
        <w:rPr>
          <w:rFonts w:hint="eastAsia" w:ascii="仿宋" w:hAnsi="仿宋" w:eastAsia="仿宋"/>
          <w:color w:val="auto"/>
          <w:sz w:val="32"/>
          <w:szCs w:val="32"/>
          <w:highlight w:val="none"/>
          <w:lang w:val="en-US" w:eastAsia="zh-CN"/>
        </w:rPr>
        <w:t>图6：</w:t>
      </w:r>
    </w:p>
    <w:p w14:paraId="3B2801A1">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5408" behindDoc="0" locked="0" layoutInCell="1" allowOverlap="1">
            <wp:simplePos x="0" y="0"/>
            <wp:positionH relativeFrom="column">
              <wp:posOffset>309245</wp:posOffset>
            </wp:positionH>
            <wp:positionV relativeFrom="paragraph">
              <wp:posOffset>146685</wp:posOffset>
            </wp:positionV>
            <wp:extent cx="4696460" cy="2520950"/>
            <wp:effectExtent l="4445" t="4445" r="23495" b="82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48BF203">
      <w:pPr>
        <w:spacing w:line="600" w:lineRule="exact"/>
        <w:ind w:firstLine="643"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51"/>
    </w:p>
    <w:p w14:paraId="0479CCA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 w:hAnsi="仿宋" w:eastAsia="仿宋"/>
          <w:color w:val="auto"/>
          <w:sz w:val="32"/>
          <w:szCs w:val="32"/>
          <w:highlight w:val="none"/>
        </w:rPr>
      </w:pPr>
      <w:bookmarkStart w:id="52" w:name="_Toc15377213"/>
      <w:bookmarkStart w:id="53" w:name="_Toc15378460"/>
      <w:bookmarkStart w:id="54" w:name="_Toc15377444"/>
      <w:r>
        <w:rPr>
          <w:rFonts w:hint="eastAsia" w:ascii="仿宋" w:hAnsi="仿宋" w:eastAsia="仿宋"/>
          <w:b/>
          <w:color w:val="auto"/>
          <w:sz w:val="32"/>
          <w:szCs w:val="32"/>
          <w:highlight w:val="none"/>
          <w:lang w:eastAsia="zh-CN"/>
        </w:rPr>
        <w:t>2023年一</w:t>
      </w:r>
      <w:r>
        <w:rPr>
          <w:rFonts w:hint="eastAsia" w:ascii="仿宋" w:hAnsi="仿宋" w:eastAsia="仿宋"/>
          <w:b/>
          <w:color w:val="auto"/>
          <w:sz w:val="32"/>
          <w:szCs w:val="32"/>
          <w:highlight w:val="none"/>
        </w:rPr>
        <w:t>般公共预算支出决算数为2</w:t>
      </w:r>
      <w:r>
        <w:rPr>
          <w:rFonts w:hint="eastAsia" w:ascii="仿宋" w:hAnsi="仿宋" w:eastAsia="仿宋"/>
          <w:b/>
          <w:color w:val="auto"/>
          <w:sz w:val="32"/>
          <w:szCs w:val="32"/>
          <w:highlight w:val="none"/>
          <w:lang w:val="en-US" w:eastAsia="zh-CN"/>
        </w:rPr>
        <w:t>,</w:t>
      </w:r>
      <w:r>
        <w:rPr>
          <w:rFonts w:hint="eastAsia" w:ascii="仿宋" w:hAnsi="仿宋" w:eastAsia="仿宋"/>
          <w:b/>
          <w:color w:val="auto"/>
          <w:sz w:val="32"/>
          <w:szCs w:val="32"/>
          <w:highlight w:val="none"/>
        </w:rPr>
        <w:t>2</w:t>
      </w:r>
      <w:r>
        <w:rPr>
          <w:rFonts w:hint="eastAsia" w:ascii="仿宋" w:hAnsi="仿宋" w:eastAsia="仿宋"/>
          <w:b/>
          <w:color w:val="auto"/>
          <w:sz w:val="32"/>
          <w:szCs w:val="32"/>
          <w:highlight w:val="none"/>
          <w:lang w:val="en-US" w:eastAsia="zh-CN"/>
        </w:rPr>
        <w:t>53.12</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2"/>
      <w:bookmarkEnd w:id="53"/>
      <w:bookmarkEnd w:id="54"/>
    </w:p>
    <w:p w14:paraId="0C8D4DDA">
      <w:pPr>
        <w:spacing w:line="600" w:lineRule="exact"/>
        <w:ind w:firstLine="643" w:firstLineChars="200"/>
        <w:jc w:val="both"/>
        <w:rPr>
          <w:rFonts w:ascii="仿宋" w:hAnsi="仿宋" w:eastAsia="仿宋"/>
          <w:b/>
          <w:color w:val="auto"/>
          <w:sz w:val="32"/>
          <w:szCs w:val="32"/>
          <w:highlight w:val="none"/>
        </w:rPr>
      </w:pPr>
      <w:bookmarkStart w:id="55" w:name="_Toc15396608"/>
      <w:bookmarkStart w:id="56" w:name="_Toc15377214"/>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）组织事务（</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）行政运行（</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515.72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6D00CC1B">
      <w:pPr>
        <w:spacing w:line="600" w:lineRule="exact"/>
        <w:ind w:firstLine="643" w:firstLineChars="200"/>
        <w:jc w:val="both"/>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）组织事务（</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）一般行政管理事务（</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1,475.74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p>
    <w:p w14:paraId="127C66D7">
      <w:pPr>
        <w:spacing w:line="600" w:lineRule="exact"/>
        <w:ind w:firstLine="643" w:firstLineChars="200"/>
        <w:jc w:val="both"/>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）组织事务（</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）事业运行（</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63.44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1A8362F4">
      <w:pPr>
        <w:spacing w:line="600" w:lineRule="exact"/>
        <w:ind w:firstLine="643" w:firstLineChars="200"/>
        <w:jc w:val="both"/>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4.</w:t>
      </w:r>
      <w:r>
        <w:rPr>
          <w:rStyle w:val="18"/>
          <w:rFonts w:eastAsia="仿宋_GB2312"/>
          <w:color w:val="auto"/>
          <w:sz w:val="32"/>
          <w:szCs w:val="32"/>
          <w:highlight w:val="none"/>
        </w:rPr>
        <w:t>社会保障和就业（208）</w:t>
      </w:r>
      <w:r>
        <w:rPr>
          <w:rStyle w:val="18"/>
          <w:rFonts w:hint="eastAsia" w:eastAsia="仿宋_GB2312"/>
          <w:color w:val="auto"/>
          <w:sz w:val="32"/>
          <w:szCs w:val="32"/>
          <w:highlight w:val="none"/>
        </w:rPr>
        <w:t>行政事业单位养老支出</w:t>
      </w:r>
      <w:r>
        <w:rPr>
          <w:rStyle w:val="18"/>
          <w:rFonts w:eastAsia="仿宋_GB2312"/>
          <w:color w:val="auto"/>
          <w:sz w:val="32"/>
          <w:szCs w:val="32"/>
          <w:highlight w:val="none"/>
        </w:rPr>
        <w:t>（05）</w:t>
      </w:r>
      <w:r>
        <w:rPr>
          <w:rStyle w:val="18"/>
          <w:rFonts w:hint="eastAsia" w:eastAsia="仿宋_GB2312"/>
          <w:color w:val="auto"/>
          <w:sz w:val="32"/>
          <w:szCs w:val="32"/>
          <w:highlight w:val="none"/>
        </w:rPr>
        <w:t>行政单位离退休</w:t>
      </w:r>
      <w:r>
        <w:rPr>
          <w:rStyle w:val="18"/>
          <w:rFonts w:eastAsia="仿宋_GB2312"/>
          <w:color w:val="auto"/>
          <w:sz w:val="32"/>
          <w:szCs w:val="32"/>
          <w:highlight w:val="none"/>
        </w:rPr>
        <w:t>（0</w:t>
      </w:r>
      <w:r>
        <w:rPr>
          <w:rStyle w:val="18"/>
          <w:rFonts w:hint="eastAsia" w:eastAsia="仿宋_GB2312"/>
          <w:color w:val="auto"/>
          <w:sz w:val="32"/>
          <w:szCs w:val="32"/>
          <w:highlight w:val="none"/>
          <w:lang w:val="en-US" w:eastAsia="zh-CN"/>
        </w:rPr>
        <w:t>1</w:t>
      </w:r>
      <w:r>
        <w:rPr>
          <w:rStyle w:val="18"/>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0.68</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18"/>
          <w:rFonts w:hint="eastAsia" w:eastAsia="仿宋_GB2312"/>
          <w:b w:val="0"/>
          <w:bCs/>
          <w:color w:val="auto"/>
          <w:sz w:val="32"/>
          <w:szCs w:val="32"/>
          <w:highlight w:val="none"/>
          <w:lang w:eastAsia="zh-CN"/>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4C3C33EC">
      <w:pPr>
        <w:spacing w:line="600" w:lineRule="exact"/>
        <w:ind w:firstLine="643" w:firstLineChars="200"/>
        <w:jc w:val="both"/>
        <w:rPr>
          <w:rStyle w:val="18"/>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 机关事业单位基本养老保险缴费支出（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67.07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3B1DCD27">
      <w:pPr>
        <w:spacing w:line="600" w:lineRule="exact"/>
        <w:ind w:firstLine="643" w:firstLineChars="200"/>
        <w:jc w:val="both"/>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社会保障和就业（208）</w:t>
      </w:r>
      <w:r>
        <w:rPr>
          <w:rStyle w:val="18"/>
          <w:rFonts w:hint="eastAsia" w:ascii="仿宋" w:hAnsi="仿宋" w:eastAsia="仿宋"/>
          <w:bCs/>
          <w:color w:val="auto"/>
          <w:sz w:val="32"/>
          <w:szCs w:val="32"/>
          <w:highlight w:val="none"/>
          <w:lang w:eastAsia="zh-CN"/>
        </w:rPr>
        <w:t>抚恤</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死亡抚恤</w:t>
      </w:r>
      <w:r>
        <w:rPr>
          <w:rStyle w:val="18"/>
          <w:rFonts w:hint="eastAsia" w:ascii="仿宋" w:hAnsi="仿宋" w:eastAsia="仿宋"/>
          <w:bCs/>
          <w:color w:val="auto"/>
          <w:sz w:val="32"/>
          <w:szCs w:val="32"/>
          <w:highlight w:val="none"/>
        </w:rPr>
        <w:t>（0</w:t>
      </w: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19.67</w:t>
      </w:r>
      <w:r>
        <w:rPr>
          <w:rStyle w:val="18"/>
          <w:rFonts w:hint="eastAsia" w:ascii="仿宋" w:hAnsi="仿宋" w:eastAsia="仿宋"/>
          <w:b w:val="0"/>
          <w:bCs/>
          <w:color w:val="auto"/>
          <w:sz w:val="32"/>
          <w:szCs w:val="32"/>
          <w:highlight w:val="none"/>
        </w:rPr>
        <w:t>万元，完成预算100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，决算数等于预算数</w:t>
      </w:r>
      <w:r>
        <w:rPr>
          <w:rStyle w:val="18"/>
          <w:rFonts w:hint="eastAsia" w:ascii="仿宋" w:hAnsi="仿宋" w:eastAsia="仿宋"/>
          <w:b w:val="0"/>
          <w:bCs/>
          <w:color w:val="auto"/>
          <w:sz w:val="32"/>
          <w:szCs w:val="32"/>
          <w:highlight w:val="none"/>
        </w:rPr>
        <w:t>。</w:t>
      </w:r>
    </w:p>
    <w:p w14:paraId="0D7D6C65">
      <w:pPr>
        <w:spacing w:line="600" w:lineRule="exact"/>
        <w:ind w:firstLine="643" w:firstLineChars="200"/>
        <w:jc w:val="both"/>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rPr>
        <w:t>社会保障和就业（208）残疾人事业（</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）残疾人就业（0</w:t>
      </w:r>
      <w:r>
        <w:rPr>
          <w:rStyle w:val="18"/>
          <w:rFonts w:hint="eastAsia" w:ascii="仿宋" w:hAnsi="仿宋" w:eastAsia="仿宋"/>
          <w:bCs/>
          <w:color w:val="auto"/>
          <w:sz w:val="32"/>
          <w:szCs w:val="32"/>
          <w:highlight w:val="none"/>
          <w:lang w:val="en-US" w:eastAsia="zh-CN"/>
        </w:rPr>
        <w:t>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4.67</w:t>
      </w:r>
      <w:r>
        <w:rPr>
          <w:rStyle w:val="18"/>
          <w:rFonts w:hint="eastAsia" w:ascii="仿宋" w:hAnsi="仿宋" w:eastAsia="仿宋"/>
          <w:b w:val="0"/>
          <w:bCs/>
          <w:color w:val="auto"/>
          <w:sz w:val="32"/>
          <w:szCs w:val="32"/>
          <w:highlight w:val="none"/>
        </w:rPr>
        <w:t>万元，完成预算100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，决算数等于预算数</w:t>
      </w:r>
      <w:r>
        <w:rPr>
          <w:rStyle w:val="18"/>
          <w:rFonts w:hint="eastAsia" w:ascii="仿宋" w:hAnsi="仿宋" w:eastAsia="仿宋"/>
          <w:b w:val="0"/>
          <w:bCs/>
          <w:color w:val="auto"/>
          <w:sz w:val="32"/>
          <w:szCs w:val="32"/>
          <w:highlight w:val="none"/>
        </w:rPr>
        <w:t>。</w:t>
      </w:r>
    </w:p>
    <w:p w14:paraId="61281D4F">
      <w:pPr>
        <w:spacing w:line="600" w:lineRule="exact"/>
        <w:ind w:firstLine="643" w:firstLineChars="200"/>
        <w:jc w:val="both"/>
        <w:rPr>
          <w:rStyle w:val="18"/>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）其他社会保障和就业支出（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）其他社会保障和就业支出（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73689649">
      <w:pPr>
        <w:spacing w:line="600" w:lineRule="exact"/>
        <w:ind w:firstLine="643" w:firstLineChars="200"/>
        <w:jc w:val="both"/>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w:t>
      </w:r>
      <w:r>
        <w:rPr>
          <w:rStyle w:val="18"/>
          <w:rFonts w:hint="eastAsia" w:ascii="仿宋" w:hAnsi="仿宋" w:eastAsia="仿宋"/>
          <w:bCs/>
          <w:color w:val="auto"/>
          <w:sz w:val="32"/>
          <w:szCs w:val="32"/>
          <w:highlight w:val="none"/>
        </w:rPr>
        <w:t>（210）行政事业单位医疗（11）行政单位医疗（01）</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7D6FB588">
      <w:pPr>
        <w:spacing w:line="600" w:lineRule="exact"/>
        <w:ind w:firstLine="643" w:firstLineChars="200"/>
        <w:jc w:val="both"/>
        <w:rPr>
          <w:rStyle w:val="18"/>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w:t>
      </w:r>
      <w:r>
        <w:rPr>
          <w:rStyle w:val="18"/>
          <w:rFonts w:hint="eastAsia" w:ascii="仿宋" w:hAnsi="仿宋" w:eastAsia="仿宋"/>
          <w:bCs/>
          <w:color w:val="auto"/>
          <w:sz w:val="32"/>
          <w:szCs w:val="32"/>
          <w:highlight w:val="none"/>
        </w:rPr>
        <w:t>（210）行政事业单位医疗（11）事业单位医疗（02）</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0A101B33">
      <w:pPr>
        <w:spacing w:line="600" w:lineRule="exact"/>
        <w:ind w:firstLine="643" w:firstLineChars="200"/>
        <w:jc w:val="both"/>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w:t>
      </w:r>
      <w:r>
        <w:rPr>
          <w:rStyle w:val="18"/>
          <w:rFonts w:hint="eastAsia" w:ascii="仿宋" w:hAnsi="仿宋" w:eastAsia="仿宋"/>
          <w:bCs/>
          <w:color w:val="auto"/>
          <w:sz w:val="32"/>
          <w:szCs w:val="32"/>
          <w:highlight w:val="none"/>
        </w:rPr>
        <w:t>（210）行政事业单位医疗（11）公务员医疗补助（03）</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7.12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2F4CFA46">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12.农林水（213）巩固脱贫衔接乡村振兴（05）其他巩固脱贫衔接乡村振兴支出（99）</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20.00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1E92E731">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rPr>
        <w:t>1</w:t>
      </w: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住房保障（221）住房改革支出（02） 住房公积金（01）</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56.00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val="en-US" w:eastAsia="zh-CN"/>
        </w:rPr>
        <w:t>。</w:t>
      </w:r>
    </w:p>
    <w:p w14:paraId="6AC53BAA">
      <w:pPr>
        <w:tabs>
          <w:tab w:val="right" w:pos="8306"/>
        </w:tabs>
        <w:spacing w:line="600" w:lineRule="exact"/>
        <w:ind w:firstLine="640"/>
        <w:jc w:val="both"/>
        <w:outlineLvl w:val="1"/>
        <w:rPr>
          <w:rStyle w:val="32"/>
          <w:color w:val="auto"/>
          <w:highlight w:val="none"/>
        </w:rPr>
      </w:pPr>
      <w:bookmarkStart w:id="57" w:name="_Toc3898"/>
      <w:bookmarkStart w:id="58" w:name="_Toc23654"/>
      <w:bookmarkStart w:id="59" w:name="_Toc3181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55"/>
      <w:bookmarkEnd w:id="56"/>
      <w:bookmarkEnd w:id="57"/>
      <w:bookmarkEnd w:id="58"/>
      <w:bookmarkEnd w:id="59"/>
      <w:r>
        <w:rPr>
          <w:rStyle w:val="32"/>
          <w:rFonts w:ascii="黑体" w:hAnsi="黑体" w:eastAsia="黑体"/>
          <w:b w:val="0"/>
          <w:color w:val="auto"/>
          <w:highlight w:val="none"/>
        </w:rPr>
        <w:tab/>
      </w:r>
    </w:p>
    <w:p w14:paraId="599161AF">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757.38</w:t>
      </w:r>
      <w:r>
        <w:rPr>
          <w:rFonts w:hint="eastAsia" w:ascii="仿宋" w:hAnsi="仿宋" w:eastAsia="仿宋"/>
          <w:color w:val="auto"/>
          <w:sz w:val="32"/>
          <w:szCs w:val="32"/>
          <w:highlight w:val="none"/>
        </w:rPr>
        <w:t>万元，其中：</w:t>
      </w:r>
    </w:p>
    <w:p w14:paraId="36910112">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rPr>
        <w:t>人员经费6</w:t>
      </w:r>
      <w:r>
        <w:rPr>
          <w:rFonts w:hint="eastAsia" w:ascii="仿宋" w:hAnsi="仿宋" w:eastAsia="仿宋"/>
          <w:color w:val="auto"/>
          <w:sz w:val="32"/>
          <w:szCs w:val="32"/>
          <w:highlight w:val="none"/>
          <w:lang w:val="en-US" w:eastAsia="zh-CN"/>
        </w:rPr>
        <w:t>62.61</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职工基本医疗保险缴费、公务员医疗补助缴费、其他社会保障缴费、住房公积金、其他工资福利支出、</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94.77</w:t>
      </w:r>
      <w:r>
        <w:rPr>
          <w:rFonts w:hint="eastAsia" w:ascii="仿宋" w:hAnsi="仿宋" w:eastAsia="仿宋"/>
          <w:color w:val="auto"/>
          <w:sz w:val="32"/>
          <w:szCs w:val="32"/>
          <w:highlight w:val="none"/>
        </w:rPr>
        <w:t>万元，主要包括：办公费、印刷费、邮电费、差旅费、维修（护）费、租赁费、会议费、</w:t>
      </w:r>
      <w:r>
        <w:rPr>
          <w:rFonts w:hint="eastAsia" w:ascii="仿宋" w:hAnsi="仿宋" w:eastAsia="仿宋"/>
          <w:color w:val="auto"/>
          <w:sz w:val="32"/>
          <w:szCs w:val="32"/>
          <w:highlight w:val="none"/>
          <w:lang w:eastAsia="zh-CN"/>
        </w:rPr>
        <w:t>培训费、</w:t>
      </w:r>
      <w:r>
        <w:rPr>
          <w:rFonts w:hint="eastAsia" w:ascii="仿宋" w:hAnsi="仿宋" w:eastAsia="仿宋"/>
          <w:color w:val="auto"/>
          <w:sz w:val="32"/>
          <w:szCs w:val="32"/>
          <w:highlight w:val="none"/>
        </w:rPr>
        <w:t>公务接待费、劳务费、委托业务费、</w:t>
      </w:r>
      <w:r>
        <w:rPr>
          <w:rFonts w:hint="eastAsia" w:ascii="仿宋" w:hAnsi="仿宋" w:eastAsia="仿宋"/>
          <w:color w:val="auto"/>
          <w:sz w:val="32"/>
          <w:szCs w:val="32"/>
          <w:highlight w:val="none"/>
          <w:lang w:eastAsia="zh-CN"/>
        </w:rPr>
        <w:t>工会经费、</w:t>
      </w:r>
      <w:r>
        <w:rPr>
          <w:rFonts w:hint="eastAsia" w:ascii="仿宋" w:hAnsi="仿宋" w:eastAsia="仿宋"/>
          <w:color w:val="auto"/>
          <w:sz w:val="32"/>
          <w:szCs w:val="32"/>
          <w:highlight w:val="none"/>
        </w:rPr>
        <w:t>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14:paraId="0B70AA45">
      <w:pPr>
        <w:spacing w:line="600" w:lineRule="exact"/>
        <w:ind w:firstLine="640"/>
        <w:jc w:val="both"/>
        <w:outlineLvl w:val="1"/>
        <w:rPr>
          <w:rStyle w:val="32"/>
          <w:rFonts w:ascii="黑体" w:hAnsi="黑体" w:eastAsia="黑体"/>
          <w:b w:val="0"/>
          <w:color w:val="auto"/>
          <w:highlight w:val="none"/>
        </w:rPr>
      </w:pPr>
      <w:bookmarkStart w:id="60" w:name="_Toc15396609"/>
      <w:bookmarkStart w:id="61" w:name="_Toc23318"/>
      <w:bookmarkStart w:id="62" w:name="_Toc16877"/>
      <w:bookmarkStart w:id="63" w:name="_Toc15377215"/>
      <w:bookmarkStart w:id="64" w:name="_Toc10838"/>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60"/>
      <w:bookmarkEnd w:id="61"/>
      <w:bookmarkEnd w:id="62"/>
      <w:bookmarkEnd w:id="63"/>
      <w:bookmarkEnd w:id="64"/>
    </w:p>
    <w:p w14:paraId="705C93C2">
      <w:pPr>
        <w:spacing w:line="600" w:lineRule="exact"/>
        <w:ind w:firstLine="640"/>
        <w:jc w:val="both"/>
        <w:outlineLvl w:val="2"/>
        <w:rPr>
          <w:rFonts w:ascii="仿宋" w:hAnsi="仿宋" w:eastAsia="仿宋"/>
          <w:b/>
          <w:color w:val="auto"/>
          <w:sz w:val="32"/>
          <w:szCs w:val="32"/>
          <w:highlight w:val="none"/>
        </w:rPr>
      </w:pPr>
      <w:bookmarkStart w:id="65" w:name="_Toc15377216"/>
      <w:r>
        <w:rPr>
          <w:rFonts w:hint="eastAsia" w:ascii="仿宋" w:hAnsi="仿宋" w:eastAsia="仿宋"/>
          <w:b/>
          <w:color w:val="auto"/>
          <w:sz w:val="32"/>
          <w:szCs w:val="32"/>
          <w:highlight w:val="none"/>
        </w:rPr>
        <w:t>（一）“三公”经费财政拨款支出决算总体情况说明</w:t>
      </w:r>
      <w:bookmarkEnd w:id="65"/>
    </w:p>
    <w:p w14:paraId="2B96D147">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“三公”经费财政拨款支出决算为6.</w:t>
      </w:r>
      <w:r>
        <w:rPr>
          <w:rFonts w:hint="eastAsia" w:ascii="仿宋" w:hAnsi="仿宋" w:eastAsia="仿宋"/>
          <w:color w:val="auto"/>
          <w:sz w:val="32"/>
          <w:szCs w:val="32"/>
          <w:highlight w:val="none"/>
          <w:lang w:val="en-US" w:eastAsia="zh-CN"/>
        </w:rPr>
        <w:t>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0.52万元，增长8.39%。</w:t>
      </w:r>
      <w:r>
        <w:rPr>
          <w:rFonts w:hint="eastAsia" w:ascii="仿宋" w:hAnsi="仿宋" w:eastAsia="仿宋"/>
          <w:color w:val="auto"/>
          <w:sz w:val="32"/>
          <w:szCs w:val="32"/>
          <w:highlight w:val="none"/>
        </w:rPr>
        <w:t>决算数与预算数持平。</w:t>
      </w:r>
    </w:p>
    <w:p w14:paraId="70EC491E">
      <w:pPr>
        <w:spacing w:line="600" w:lineRule="exact"/>
        <w:ind w:firstLine="640"/>
        <w:jc w:val="both"/>
        <w:outlineLvl w:val="2"/>
        <w:rPr>
          <w:rFonts w:ascii="仿宋" w:hAnsi="仿宋" w:eastAsia="仿宋"/>
          <w:b/>
          <w:color w:val="auto"/>
          <w:sz w:val="32"/>
          <w:szCs w:val="32"/>
          <w:highlight w:val="none"/>
        </w:rPr>
      </w:pPr>
      <w:bookmarkStart w:id="66" w:name="_Toc15377217"/>
      <w:r>
        <w:rPr>
          <w:rFonts w:hint="eastAsia" w:ascii="仿宋" w:hAnsi="仿宋" w:eastAsia="仿宋"/>
          <w:b/>
          <w:color w:val="auto"/>
          <w:sz w:val="32"/>
          <w:szCs w:val="32"/>
          <w:highlight w:val="none"/>
        </w:rPr>
        <w:t>（二）“三公”经费财政拨款支出决算具体情况说明</w:t>
      </w:r>
      <w:bookmarkEnd w:id="66"/>
    </w:p>
    <w:p w14:paraId="3A8F981A">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；公务用车购置及运行维护费支出决算4.8</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71.73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；公务接待费支出决算1.</w:t>
      </w:r>
      <w:r>
        <w:rPr>
          <w:rFonts w:hint="eastAsia" w:ascii="仿宋" w:hAnsi="仿宋" w:eastAsia="仿宋"/>
          <w:color w:val="auto"/>
          <w:sz w:val="32"/>
          <w:szCs w:val="32"/>
          <w:highlight w:val="none"/>
          <w:lang w:val="en-US" w:eastAsia="zh-CN"/>
        </w:rPr>
        <w:t>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28.27</w:t>
      </w:r>
      <w:r>
        <w:rPr>
          <w:rFonts w:hint="eastAsia" w:ascii="仿宋" w:hAnsi="仿宋" w:eastAsia="仿宋"/>
          <w:color w:val="auto"/>
          <w:sz w:val="32"/>
          <w:szCs w:val="32"/>
          <w:highlight w:val="none"/>
        </w:rPr>
        <w:t>%。具体情况如下：</w:t>
      </w:r>
    </w:p>
    <w:p w14:paraId="25D2E4F8">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p>
    <w:p w14:paraId="3035A14A">
      <w:pPr>
        <w:spacing w:line="600" w:lineRule="exact"/>
        <w:ind w:firstLine="640"/>
        <w:jc w:val="both"/>
        <w:rPr>
          <w:rFonts w:ascii="仿宋" w:hAnsi="仿宋" w:eastAsia="仿宋"/>
          <w:color w:val="auto"/>
          <w:sz w:val="32"/>
          <w:szCs w:val="32"/>
          <w:highlight w:val="none"/>
        </w:rPr>
      </w:pPr>
      <w:r>
        <w:rPr>
          <w:rFonts w:eastAsia="仿宋"/>
          <w:color w:val="auto"/>
          <w:sz w:val="32"/>
          <w:szCs w:val="32"/>
          <w:highlight w:val="none"/>
        </w:rPr>
        <w:drawing>
          <wp:anchor distT="0" distB="0" distL="114300" distR="114300" simplePos="0" relativeHeight="251666432" behindDoc="0" locked="0" layoutInCell="1" allowOverlap="1">
            <wp:simplePos x="0" y="0"/>
            <wp:positionH relativeFrom="column">
              <wp:posOffset>116840</wp:posOffset>
            </wp:positionH>
            <wp:positionV relativeFrom="paragraph">
              <wp:posOffset>106045</wp:posOffset>
            </wp:positionV>
            <wp:extent cx="4976495" cy="2113915"/>
            <wp:effectExtent l="5080" t="4445" r="9525" b="1524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7CF2C55">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14:paraId="05C5FC58">
      <w:pPr>
        <w:spacing w:line="600" w:lineRule="exact"/>
        <w:ind w:firstLine="640"/>
        <w:jc w:val="both"/>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rPr>
        <w:t>4.8</w:t>
      </w:r>
      <w:r>
        <w:rPr>
          <w:rFonts w:hint="eastAsia" w:ascii="仿宋" w:hAnsi="仿宋" w:eastAsia="仿宋"/>
          <w:color w:val="auto"/>
          <w:sz w:val="32"/>
          <w:szCs w:val="32"/>
          <w:highlight w:val="none"/>
          <w:lang w:val="en-US" w:eastAsia="zh-CN"/>
        </w:rPr>
        <w:t>2</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2022年减少</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0.62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w:t>
      </w:r>
      <w:r>
        <w:rPr>
          <w:rFonts w:hint="eastAsia" w:eastAsia="仿宋_GB2312"/>
          <w:color w:val="auto"/>
          <w:sz w:val="32"/>
          <w:szCs w:val="32"/>
          <w:highlight w:val="none"/>
          <w:lang w:eastAsia="zh-CN"/>
        </w:rPr>
        <w:t>单位厉行节约，减少公车出行次数</w:t>
      </w:r>
      <w:r>
        <w:rPr>
          <w:rFonts w:hint="eastAsia" w:ascii="仿宋_GB2312" w:eastAsia="仿宋_GB2312"/>
          <w:color w:val="auto"/>
          <w:sz w:val="32"/>
          <w:szCs w:val="32"/>
          <w:highlight w:val="none"/>
        </w:rPr>
        <w:t>。</w:t>
      </w:r>
    </w:p>
    <w:p w14:paraId="2C998A6D">
      <w:pPr>
        <w:spacing w:line="600" w:lineRule="exact"/>
        <w:ind w:firstLine="640" w:firstLineChars="200"/>
        <w:jc w:val="both"/>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1F8496CD">
      <w:pPr>
        <w:spacing w:line="600" w:lineRule="exact"/>
        <w:ind w:firstLine="640"/>
        <w:jc w:val="both"/>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color w:val="auto"/>
          <w:sz w:val="32"/>
          <w:szCs w:val="32"/>
          <w:highlight w:val="none"/>
        </w:rPr>
        <w:t>4.8</w:t>
      </w:r>
      <w:r>
        <w:rPr>
          <w:rFonts w:hint="eastAsia" w:ascii="仿宋" w:hAnsi="仿宋" w:eastAsia="仿宋"/>
          <w:color w:val="auto"/>
          <w:sz w:val="32"/>
          <w:szCs w:val="32"/>
          <w:highlight w:val="none"/>
          <w:lang w:val="en-US" w:eastAsia="zh-CN"/>
        </w:rPr>
        <w:t>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外出政审干部、看望援藏援彝干部、对接省、市上级组织部门工作、老干部工作、关工委工作、乡镇调研</w:t>
      </w:r>
      <w:r>
        <w:rPr>
          <w:rFonts w:hint="eastAsia" w:ascii="仿宋_GB2312" w:eastAsia="仿宋_GB2312"/>
          <w:color w:val="auto"/>
          <w:sz w:val="32"/>
          <w:szCs w:val="32"/>
          <w:highlight w:val="none"/>
        </w:rPr>
        <w:t>等所需的公务用车燃料费、维修费、过路过桥费、保险费等支出。</w:t>
      </w:r>
    </w:p>
    <w:p w14:paraId="4815CA64">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1.90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0.55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40.74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2023年单位公务接待任务增加，经费开支相应增加</w:t>
      </w:r>
      <w:r>
        <w:rPr>
          <w:rFonts w:hint="eastAsia" w:ascii="仿宋_GB2312" w:eastAsia="仿宋_GB2312"/>
          <w:color w:val="auto"/>
          <w:sz w:val="32"/>
          <w:szCs w:val="32"/>
          <w:highlight w:val="none"/>
        </w:rPr>
        <w:t>。其中：</w:t>
      </w:r>
    </w:p>
    <w:p w14:paraId="4998DBB4">
      <w:pPr>
        <w:spacing w:line="600" w:lineRule="exact"/>
        <w:ind w:firstLine="640"/>
        <w:jc w:val="both"/>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1.90</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1.90</w:t>
      </w:r>
      <w:r>
        <w:rPr>
          <w:rFonts w:hint="eastAsia" w:ascii="仿宋_GB2312" w:eastAsia="仿宋_GB2312"/>
          <w:color w:val="auto"/>
          <w:sz w:val="32"/>
          <w:szCs w:val="32"/>
          <w:highlight w:val="none"/>
        </w:rPr>
        <w:t>万元，具体内容包括：接待市委组织部调研船山区基层党建工作餐费</w:t>
      </w:r>
      <w:r>
        <w:rPr>
          <w:rFonts w:hint="eastAsia" w:ascii="仿宋_GB2312" w:eastAsia="仿宋_GB2312"/>
          <w:color w:val="auto"/>
          <w:sz w:val="32"/>
          <w:szCs w:val="32"/>
          <w:highlight w:val="none"/>
          <w:lang w:val="en-US" w:eastAsia="zh-CN"/>
        </w:rPr>
        <w:t>0.24万元、接待迎接高新区开展“新春送温暖、党暖万人心”活动餐费0.25万元、接待市委组织部验收船山区党员干部教育培训星级阵地餐费0.18万元、接待四川党的建设杂志社及市委组织部考察调研餐费0.21万元、接待市关工委一行领导考察调研用餐费0.33万元、接待理县县委组织部考察学习用餐0.19万元、接待市委老干局、市关工委调研“五老”工作用餐0.15万元、接待眉山市丹棱县委组织部来船考察用餐费0.16万元、接待安居区委组织部考察学习餐费0.19万元</w:t>
      </w:r>
      <w:r>
        <w:rPr>
          <w:rFonts w:hint="eastAsia" w:ascii="仿宋_GB2312" w:eastAsia="仿宋_GB2312"/>
          <w:color w:val="auto"/>
          <w:sz w:val="32"/>
          <w:szCs w:val="32"/>
          <w:highlight w:val="none"/>
        </w:rPr>
        <w:t>。</w:t>
      </w:r>
    </w:p>
    <w:p w14:paraId="647784EF">
      <w:pPr>
        <w:spacing w:line="600" w:lineRule="exact"/>
        <w:ind w:firstLine="643" w:firstLineChars="200"/>
        <w:jc w:val="both"/>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7" w:name="_Toc15396610"/>
      <w:bookmarkStart w:id="68" w:name="_Toc15377218"/>
    </w:p>
    <w:p w14:paraId="5BAFE487">
      <w:pPr>
        <w:spacing w:line="600" w:lineRule="exact"/>
        <w:ind w:firstLine="640"/>
        <w:jc w:val="both"/>
        <w:outlineLvl w:val="1"/>
        <w:rPr>
          <w:rStyle w:val="32"/>
          <w:rFonts w:ascii="黑体" w:hAnsi="黑体" w:eastAsia="黑体"/>
          <w:color w:val="auto"/>
          <w:highlight w:val="none"/>
        </w:rPr>
      </w:pPr>
      <w:bookmarkStart w:id="69" w:name="_Toc28353"/>
      <w:bookmarkStart w:id="70" w:name="_Toc20512"/>
      <w:bookmarkStart w:id="71" w:name="_Toc29409"/>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67"/>
      <w:bookmarkEnd w:id="68"/>
      <w:bookmarkEnd w:id="69"/>
      <w:bookmarkEnd w:id="70"/>
      <w:bookmarkEnd w:id="71"/>
    </w:p>
    <w:p w14:paraId="056EC24E">
      <w:pPr>
        <w:spacing w:line="600" w:lineRule="exact"/>
        <w:ind w:firstLine="64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84F07A9">
      <w:pPr>
        <w:numPr>
          <w:ilvl w:val="0"/>
          <w:numId w:val="2"/>
        </w:numPr>
        <w:spacing w:line="600" w:lineRule="exact"/>
        <w:ind w:firstLine="640"/>
        <w:jc w:val="both"/>
        <w:outlineLvl w:val="1"/>
        <w:rPr>
          <w:rStyle w:val="32"/>
          <w:rFonts w:ascii="黑体" w:hAnsi="黑体" w:eastAsia="黑体"/>
          <w:b w:val="0"/>
          <w:color w:val="auto"/>
          <w:highlight w:val="none"/>
        </w:rPr>
      </w:pPr>
      <w:bookmarkStart w:id="72" w:name="_Toc15377219"/>
      <w:bookmarkStart w:id="73" w:name="_Toc15396611"/>
      <w:bookmarkStart w:id="74" w:name="_Toc26492"/>
      <w:bookmarkStart w:id="75" w:name="_Toc17933"/>
      <w:bookmarkStart w:id="76" w:name="_Toc18796"/>
      <w:r>
        <w:rPr>
          <w:rStyle w:val="32"/>
          <w:rFonts w:hint="eastAsia" w:ascii="黑体" w:hAnsi="黑体" w:eastAsia="黑体"/>
          <w:b w:val="0"/>
          <w:color w:val="auto"/>
          <w:highlight w:val="none"/>
        </w:rPr>
        <w:t>国有资本经营预算支出决算情况说明</w:t>
      </w:r>
      <w:bookmarkEnd w:id="72"/>
      <w:bookmarkEnd w:id="73"/>
      <w:bookmarkEnd w:id="74"/>
      <w:bookmarkEnd w:id="75"/>
      <w:bookmarkEnd w:id="76"/>
    </w:p>
    <w:p w14:paraId="3A1D524C">
      <w:pPr>
        <w:spacing w:line="600" w:lineRule="exact"/>
        <w:ind w:firstLine="640"/>
        <w:jc w:val="both"/>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F79E6D0">
      <w:pPr>
        <w:numPr>
          <w:ilvl w:val="0"/>
          <w:numId w:val="2"/>
        </w:numPr>
        <w:spacing w:line="600" w:lineRule="exact"/>
        <w:ind w:firstLine="640"/>
        <w:jc w:val="both"/>
        <w:outlineLvl w:val="1"/>
        <w:rPr>
          <w:rStyle w:val="32"/>
          <w:rFonts w:hint="eastAsia" w:ascii="黑体" w:hAnsi="黑体" w:eastAsia="黑体"/>
          <w:b w:val="0"/>
          <w:color w:val="auto"/>
          <w:highlight w:val="none"/>
        </w:rPr>
      </w:pPr>
      <w:bookmarkStart w:id="77" w:name="_Toc15396612"/>
      <w:bookmarkStart w:id="78" w:name="_Toc2151"/>
      <w:bookmarkStart w:id="79" w:name="_Toc31045"/>
      <w:bookmarkStart w:id="80" w:name="_Toc15377221"/>
      <w:bookmarkStart w:id="81" w:name="_Toc31928"/>
      <w:r>
        <w:rPr>
          <w:rStyle w:val="32"/>
          <w:rFonts w:hint="eastAsia" w:ascii="黑体" w:hAnsi="黑体" w:eastAsia="黑体"/>
          <w:b w:val="0"/>
          <w:color w:val="auto"/>
          <w:highlight w:val="none"/>
        </w:rPr>
        <w:t>其他重要事项的情况说明</w:t>
      </w:r>
      <w:bookmarkEnd w:id="77"/>
      <w:bookmarkEnd w:id="78"/>
      <w:bookmarkEnd w:id="79"/>
      <w:bookmarkEnd w:id="80"/>
      <w:bookmarkEnd w:id="81"/>
    </w:p>
    <w:p w14:paraId="4B4CE6B0">
      <w:pPr>
        <w:spacing w:line="600" w:lineRule="exact"/>
        <w:ind w:firstLine="643" w:firstLineChars="200"/>
        <w:jc w:val="both"/>
        <w:outlineLvl w:val="2"/>
        <w:rPr>
          <w:rFonts w:ascii="仿宋" w:hAnsi="仿宋" w:eastAsia="仿宋"/>
          <w:color w:val="auto"/>
          <w:sz w:val="32"/>
          <w:szCs w:val="32"/>
          <w:highlight w:val="none"/>
        </w:rPr>
      </w:pPr>
      <w:bookmarkStart w:id="82" w:name="_Toc15377222"/>
      <w:r>
        <w:rPr>
          <w:rFonts w:hint="eastAsia" w:ascii="仿宋" w:hAnsi="仿宋" w:eastAsia="仿宋"/>
          <w:b/>
          <w:color w:val="auto"/>
          <w:sz w:val="32"/>
          <w:szCs w:val="32"/>
          <w:highlight w:val="none"/>
        </w:rPr>
        <w:t>（一）机关运行经费支出情况</w:t>
      </w:r>
      <w:bookmarkEnd w:id="82"/>
    </w:p>
    <w:p w14:paraId="6B76CF43">
      <w:pPr>
        <w:spacing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94.77</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13.05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15.97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2023年较上年度人员增加，日常办公经费相应增加</w:t>
      </w:r>
      <w:r>
        <w:rPr>
          <w:rFonts w:hint="eastAsia" w:ascii="仿宋_GB2312" w:eastAsia="仿宋_GB2312"/>
          <w:color w:val="auto"/>
          <w:sz w:val="32"/>
          <w:szCs w:val="32"/>
          <w:highlight w:val="none"/>
          <w:lang w:eastAsia="zh-CN"/>
        </w:rPr>
        <w:t>。</w:t>
      </w:r>
    </w:p>
    <w:p w14:paraId="4F547C24">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bookmarkStart w:id="83" w:name="_Toc15377223"/>
      <w:r>
        <w:rPr>
          <w:rFonts w:hint="eastAsia" w:ascii="仿宋" w:hAnsi="仿宋" w:eastAsia="仿宋"/>
          <w:b/>
          <w:color w:val="auto"/>
          <w:sz w:val="32"/>
          <w:szCs w:val="32"/>
          <w:highlight w:val="none"/>
        </w:rPr>
        <w:t>（二）政府采购支出情况</w:t>
      </w:r>
      <w:bookmarkEnd w:id="83"/>
    </w:p>
    <w:p w14:paraId="1B088C31">
      <w:pPr>
        <w:spacing w:line="600" w:lineRule="exact"/>
        <w:ind w:firstLine="640" w:firstLineChars="200"/>
        <w:jc w:val="both"/>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0579FEB">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bookmarkStart w:id="84" w:name="_Toc15377224"/>
      <w:r>
        <w:rPr>
          <w:rFonts w:hint="eastAsia" w:ascii="仿宋" w:hAnsi="仿宋" w:eastAsia="仿宋"/>
          <w:b/>
          <w:color w:val="auto"/>
          <w:sz w:val="32"/>
          <w:szCs w:val="32"/>
          <w:highlight w:val="none"/>
        </w:rPr>
        <w:t>（三）国有资产占有使用情况</w:t>
      </w:r>
      <w:bookmarkEnd w:id="84"/>
    </w:p>
    <w:p w14:paraId="6BF5055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569C9FE">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14:paraId="38C36198">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关工委工作经费、城乡基层治理能力建设专项资金、党员干部关爱资金、对口帮扶阿坝州理县帮扶资金、干部人事工作经费、老干部体检及活动经费、老干部慰问经费、人才工作经费、乡村振兴驻村帮扶工作经费、援藏援彝干部工作经费、组织工作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6CC3C5A1">
      <w:pPr>
        <w:widowControl/>
        <w:ind w:firstLine="640" w:firstLineChars="200"/>
        <w:jc w:val="both"/>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全面开展绩效自评，形成中共遂宁市船山区委组织部</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其中，中共遂宁市船山区委组织部部门整体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绩效自评得分为88分，绩效自评综述</w:t>
      </w:r>
      <w:r>
        <w:rPr>
          <w:rFonts w:hint="eastAsia" w:ascii="仿宋_GB2312" w:hAnsi="仿宋_GB2312" w:eastAsia="仿宋_GB2312" w:cs="仿宋_GB2312"/>
          <w:color w:val="000000"/>
          <w:sz w:val="32"/>
          <w:szCs w:val="32"/>
          <w:lang w:val="en-US" w:eastAsia="zh-CN"/>
        </w:rPr>
        <w:t>按照预算绩效管理要求，本部门对2023年一般公共预算项目支出开展了绩效目标管理，共编制绩效目标11个，涉及财政资金1438.76万元，覆盖率达到100 %。通过全年所有项目的实施，对全区的组织工作打下坚实基础奠定了强有力的组织基础保障，按照预算绩效管理要求，本部门对2023年整体支出开展绩效自评，自评得分88分。</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none"/>
        </w:rPr>
        <w:br w:type="page"/>
      </w:r>
    </w:p>
    <w:p w14:paraId="44C0035C">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85" w:name="_Toc19047"/>
      <w:bookmarkStart w:id="86" w:name="_Toc1003"/>
      <w:bookmarkStart w:id="87" w:name="_Toc15377225"/>
      <w:bookmarkStart w:id="88" w:name="_Toc15396613"/>
      <w:bookmarkStart w:id="89" w:name="_Toc10169"/>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85"/>
      <w:bookmarkEnd w:id="86"/>
      <w:bookmarkEnd w:id="87"/>
      <w:bookmarkEnd w:id="88"/>
      <w:bookmarkEnd w:id="89"/>
    </w:p>
    <w:p w14:paraId="31D16570">
      <w:pPr>
        <w:spacing w:line="600" w:lineRule="exact"/>
        <w:jc w:val="left"/>
        <w:rPr>
          <w:rFonts w:ascii="宋体"/>
          <w:b/>
          <w:color w:val="auto"/>
          <w:sz w:val="44"/>
          <w:szCs w:val="44"/>
          <w:highlight w:val="none"/>
        </w:rPr>
      </w:pPr>
    </w:p>
    <w:p w14:paraId="01E7BE7C">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1"/>
        <w:rPr>
          <w:rFonts w:ascii="仿宋_GB2312" w:eastAsia="仿宋_GB2312"/>
          <w:color w:val="auto"/>
          <w:sz w:val="32"/>
          <w:szCs w:val="32"/>
          <w:highlight w:val="none"/>
        </w:rPr>
      </w:pPr>
      <w:bookmarkStart w:id="90" w:name="_Toc23289"/>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90"/>
    </w:p>
    <w:p w14:paraId="4E0E427F">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其他收入：指单位取得的除上述收入以外的各项收入。主要是船山区委组织部党费专户转入党员干部关爱资金等。</w:t>
      </w:r>
      <w:r>
        <w:rPr>
          <w:rFonts w:ascii="仿宋_GB2312" w:eastAsia="仿宋_GB2312"/>
          <w:color w:val="auto"/>
          <w:sz w:val="32"/>
          <w:szCs w:val="32"/>
          <w:highlight w:val="none"/>
        </w:rPr>
        <w:t xml:space="preserve"> </w:t>
      </w:r>
    </w:p>
    <w:p w14:paraId="622BBFEF">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8BA3D25">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14:paraId="3B830924">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r>
        <w:rPr>
          <w:rFonts w:hint="eastAsia" w:ascii="仿宋_GB2312" w:eastAsia="仿宋_GB2312" w:cs="仿宋"/>
          <w:color w:val="auto"/>
          <w:kern w:val="0"/>
          <w:sz w:val="32"/>
          <w:szCs w:val="32"/>
          <w:highlight w:val="none"/>
        </w:rPr>
        <w:t>一般公共服务（</w:t>
      </w:r>
      <w:r>
        <w:rPr>
          <w:rFonts w:hint="eastAsia" w:ascii="仿宋_GB2312" w:eastAsia="仿宋_GB2312" w:cs="仿宋"/>
          <w:color w:val="auto"/>
          <w:kern w:val="0"/>
          <w:sz w:val="32"/>
          <w:szCs w:val="32"/>
          <w:highlight w:val="none"/>
          <w:lang w:val="en-US" w:eastAsia="zh-CN"/>
        </w:rPr>
        <w:t>201</w:t>
      </w:r>
      <w:r>
        <w:rPr>
          <w:rFonts w:hint="eastAsia" w:ascii="仿宋_GB2312" w:eastAsia="仿宋_GB2312" w:cs="仿宋"/>
          <w:color w:val="auto"/>
          <w:kern w:val="0"/>
          <w:sz w:val="32"/>
          <w:szCs w:val="32"/>
          <w:highlight w:val="none"/>
        </w:rPr>
        <w:t>）组织事务（</w:t>
      </w:r>
      <w:r>
        <w:rPr>
          <w:rFonts w:hint="eastAsia" w:ascii="仿宋_GB2312" w:eastAsia="仿宋_GB2312" w:cs="仿宋"/>
          <w:color w:val="auto"/>
          <w:kern w:val="0"/>
          <w:sz w:val="32"/>
          <w:szCs w:val="32"/>
          <w:highlight w:val="none"/>
          <w:lang w:val="en-US" w:eastAsia="zh-CN"/>
        </w:rPr>
        <w:t>32</w:t>
      </w:r>
      <w:r>
        <w:rPr>
          <w:rFonts w:hint="eastAsia" w:ascii="仿宋_GB2312" w:eastAsia="仿宋_GB2312" w:cs="仿宋"/>
          <w:color w:val="auto"/>
          <w:kern w:val="0"/>
          <w:sz w:val="32"/>
          <w:szCs w:val="32"/>
          <w:highlight w:val="none"/>
        </w:rPr>
        <w:t>）行政运行（</w:t>
      </w:r>
      <w:r>
        <w:rPr>
          <w:rFonts w:hint="eastAsia" w:ascii="仿宋_GB2312" w:eastAsia="仿宋_GB2312" w:cs="仿宋"/>
          <w:color w:val="auto"/>
          <w:kern w:val="0"/>
          <w:sz w:val="32"/>
          <w:szCs w:val="32"/>
          <w:highlight w:val="none"/>
          <w:lang w:val="en-US" w:eastAsia="zh-CN"/>
        </w:rPr>
        <w:t>01</w:t>
      </w:r>
      <w:r>
        <w:rPr>
          <w:rFonts w:hint="eastAsia" w:ascii="仿宋_GB2312" w:eastAsia="仿宋_GB2312" w:cs="仿宋"/>
          <w:color w:val="auto"/>
          <w:kern w:val="0"/>
          <w:sz w:val="32"/>
          <w:szCs w:val="32"/>
          <w:highlight w:val="none"/>
        </w:rPr>
        <w:t>）</w:t>
      </w:r>
      <w:r>
        <w:rPr>
          <w:rFonts w:hint="eastAsia" w:ascii="仿宋_GB2312" w:eastAsia="仿宋_GB2312"/>
          <w:color w:val="auto"/>
          <w:sz w:val="32"/>
          <w:szCs w:val="32"/>
          <w:highlight w:val="none"/>
        </w:rPr>
        <w:t>：指反映行政单位（包括实行公务员管理的事业单位）的基本支出。</w:t>
      </w:r>
    </w:p>
    <w:p w14:paraId="10C1A934">
      <w:pPr>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cs="仿宋"/>
          <w:color w:val="auto"/>
          <w:kern w:val="0"/>
          <w:sz w:val="32"/>
          <w:szCs w:val="32"/>
          <w:highlight w:val="none"/>
        </w:rPr>
        <w:t>一般公共服务（</w:t>
      </w:r>
      <w:r>
        <w:rPr>
          <w:rFonts w:hint="eastAsia" w:ascii="仿宋_GB2312" w:eastAsia="仿宋_GB2312" w:cs="仿宋"/>
          <w:color w:val="auto"/>
          <w:kern w:val="0"/>
          <w:sz w:val="32"/>
          <w:szCs w:val="32"/>
          <w:highlight w:val="none"/>
          <w:lang w:val="en-US" w:eastAsia="zh-CN"/>
        </w:rPr>
        <w:t>201</w:t>
      </w:r>
      <w:r>
        <w:rPr>
          <w:rFonts w:hint="eastAsia" w:ascii="仿宋_GB2312" w:eastAsia="仿宋_GB2312" w:cs="仿宋"/>
          <w:color w:val="auto"/>
          <w:kern w:val="0"/>
          <w:sz w:val="32"/>
          <w:szCs w:val="32"/>
          <w:highlight w:val="none"/>
        </w:rPr>
        <w:t>）组织事务（</w:t>
      </w:r>
      <w:r>
        <w:rPr>
          <w:rFonts w:hint="eastAsia" w:ascii="仿宋_GB2312" w:eastAsia="仿宋_GB2312" w:cs="仿宋"/>
          <w:color w:val="auto"/>
          <w:kern w:val="0"/>
          <w:sz w:val="32"/>
          <w:szCs w:val="32"/>
          <w:highlight w:val="none"/>
          <w:lang w:val="en-US" w:eastAsia="zh-CN"/>
        </w:rPr>
        <w:t>32</w:t>
      </w:r>
      <w:r>
        <w:rPr>
          <w:rFonts w:hint="eastAsia" w:ascii="仿宋_GB2312" w:eastAsia="仿宋_GB2312" w:cs="仿宋"/>
          <w:color w:val="auto"/>
          <w:kern w:val="0"/>
          <w:sz w:val="32"/>
          <w:szCs w:val="32"/>
          <w:highlight w:val="none"/>
        </w:rPr>
        <w:t>）一般行政管理事务（</w:t>
      </w:r>
      <w:r>
        <w:rPr>
          <w:rFonts w:hint="eastAsia" w:ascii="仿宋_GB2312" w:eastAsia="仿宋_GB2312" w:cs="仿宋"/>
          <w:color w:val="auto"/>
          <w:kern w:val="0"/>
          <w:sz w:val="32"/>
          <w:szCs w:val="32"/>
          <w:highlight w:val="none"/>
          <w:lang w:val="en-US" w:eastAsia="zh-CN"/>
        </w:rPr>
        <w:t>02</w:t>
      </w:r>
      <w:r>
        <w:rPr>
          <w:rFonts w:hint="eastAsia" w:ascii="仿宋_GB2312" w:eastAsia="仿宋_GB2312" w:cs="仿宋"/>
          <w:color w:val="auto"/>
          <w:kern w:val="0"/>
          <w:sz w:val="32"/>
          <w:szCs w:val="32"/>
          <w:highlight w:val="none"/>
        </w:rPr>
        <w:t>）</w:t>
      </w:r>
      <w:r>
        <w:rPr>
          <w:rFonts w:hint="eastAsia"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指</w:t>
      </w:r>
      <w:r>
        <w:rPr>
          <w:rFonts w:hint="eastAsia" w:ascii="仿宋_GB2312" w:eastAsia="仿宋_GB2312"/>
          <w:color w:val="auto"/>
          <w:sz w:val="32"/>
          <w:szCs w:val="32"/>
          <w:highlight w:val="none"/>
        </w:rPr>
        <w:t>行政单位（包括实行公务员管理的事业单位）</w:t>
      </w:r>
      <w:r>
        <w:rPr>
          <w:rFonts w:hint="eastAsia" w:ascii="仿宋_GB2312" w:hAnsi="Calibri" w:eastAsia="仿宋_GB2312" w:cs="仿宋"/>
          <w:color w:val="auto"/>
          <w:kern w:val="0"/>
          <w:sz w:val="32"/>
          <w:szCs w:val="32"/>
          <w:highlight w:val="none"/>
          <w:lang w:val="en-US" w:eastAsia="zh-CN" w:bidi="ar-SA"/>
        </w:rPr>
        <w:t>未单独设置项级科目的其他项目支出。</w:t>
      </w:r>
    </w:p>
    <w:p w14:paraId="67A1F4EB">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w:t>
      </w:r>
      <w:r>
        <w:rPr>
          <w:rFonts w:hint="eastAsia" w:ascii="仿宋_GB2312" w:eastAsia="仿宋_GB2312" w:cs="仿宋"/>
          <w:color w:val="auto"/>
          <w:kern w:val="0"/>
          <w:sz w:val="32"/>
          <w:szCs w:val="32"/>
          <w:highlight w:val="none"/>
        </w:rPr>
        <w:t>一般公共服务（</w:t>
      </w:r>
      <w:r>
        <w:rPr>
          <w:rFonts w:hint="eastAsia" w:ascii="仿宋_GB2312" w:eastAsia="仿宋_GB2312" w:cs="仿宋"/>
          <w:color w:val="auto"/>
          <w:kern w:val="0"/>
          <w:sz w:val="32"/>
          <w:szCs w:val="32"/>
          <w:highlight w:val="none"/>
          <w:lang w:val="en-US" w:eastAsia="zh-CN"/>
        </w:rPr>
        <w:t>201</w:t>
      </w:r>
      <w:r>
        <w:rPr>
          <w:rFonts w:hint="eastAsia" w:ascii="仿宋_GB2312" w:eastAsia="仿宋_GB2312" w:cs="仿宋"/>
          <w:color w:val="auto"/>
          <w:kern w:val="0"/>
          <w:sz w:val="32"/>
          <w:szCs w:val="32"/>
          <w:highlight w:val="none"/>
        </w:rPr>
        <w:t>）组织事务（</w:t>
      </w:r>
      <w:r>
        <w:rPr>
          <w:rFonts w:hint="eastAsia" w:ascii="仿宋_GB2312" w:eastAsia="仿宋_GB2312" w:cs="仿宋"/>
          <w:color w:val="auto"/>
          <w:kern w:val="0"/>
          <w:sz w:val="32"/>
          <w:szCs w:val="32"/>
          <w:highlight w:val="none"/>
          <w:lang w:val="en-US" w:eastAsia="zh-CN"/>
        </w:rPr>
        <w:t>32</w:t>
      </w:r>
      <w:r>
        <w:rPr>
          <w:rFonts w:hint="eastAsia" w:ascii="仿宋_GB2312" w:eastAsia="仿宋_GB2312" w:cs="仿宋"/>
          <w:color w:val="auto"/>
          <w:kern w:val="0"/>
          <w:sz w:val="32"/>
          <w:szCs w:val="32"/>
          <w:highlight w:val="none"/>
        </w:rPr>
        <w:t>）事业运行（</w:t>
      </w:r>
      <w:r>
        <w:rPr>
          <w:rFonts w:hint="eastAsia" w:ascii="仿宋_GB2312" w:eastAsia="仿宋_GB2312" w:cs="仿宋"/>
          <w:color w:val="auto"/>
          <w:kern w:val="0"/>
          <w:sz w:val="32"/>
          <w:szCs w:val="32"/>
          <w:highlight w:val="none"/>
          <w:lang w:val="en-US" w:eastAsia="zh-CN"/>
        </w:rPr>
        <w:t>50</w:t>
      </w:r>
      <w:r>
        <w:rPr>
          <w:rFonts w:hint="eastAsia" w:ascii="仿宋_GB2312" w:eastAsia="仿宋_GB2312" w:cs="仿宋"/>
          <w:color w:val="auto"/>
          <w:kern w:val="0"/>
          <w:sz w:val="32"/>
          <w:szCs w:val="32"/>
          <w:highlight w:val="none"/>
        </w:rPr>
        <w:t>）</w:t>
      </w:r>
      <w:r>
        <w:rPr>
          <w:rFonts w:hint="eastAsia" w:ascii="仿宋_GB2312" w:eastAsia="仿宋_GB2312"/>
          <w:color w:val="auto"/>
          <w:sz w:val="32"/>
          <w:szCs w:val="32"/>
          <w:highlight w:val="none"/>
        </w:rPr>
        <w:t>：指反映事业单位的基本支出，不包括行政单位（包括实行公务员管理的事业单位）后勤服务中心、医务室等附属事业单位。</w:t>
      </w:r>
    </w:p>
    <w:p w14:paraId="127D6E2E">
      <w:pPr>
        <w:pStyle w:val="29"/>
        <w:adjustRightInd/>
        <w:spacing w:line="600" w:lineRule="exact"/>
        <w:ind w:firstLine="640" w:firstLineChars="200"/>
        <w:jc w:val="both"/>
        <w:rPr>
          <w:rFonts w:ascii="仿宋_GB2312" w:eastAsia="仿宋_GB2312"/>
          <w:color w:val="auto"/>
          <w:sz w:val="32"/>
          <w:szCs w:val="32"/>
          <w:highlight w:val="none"/>
        </w:rPr>
      </w:pPr>
      <w:r>
        <w:rPr>
          <w:rFonts w:hint="eastAsia" w:ascii="仿宋_GB2312" w:eastAsia="仿宋_GB2312" w:cs="仿宋"/>
          <w:color w:val="auto"/>
          <w:kern w:val="0"/>
          <w:sz w:val="32"/>
          <w:szCs w:val="32"/>
          <w:highlight w:val="none"/>
          <w:lang w:val="en-US" w:eastAsia="zh-CN"/>
        </w:rPr>
        <w:t>8.社会保障和就业（208）行政事业单位养老支出（05）</w:t>
      </w:r>
      <w:r>
        <w:rPr>
          <w:rFonts w:hint="eastAsia" w:ascii="仿宋_GB2312" w:eastAsia="仿宋_GB2312" w:cs="仿宋"/>
          <w:b w:val="0"/>
          <w:bCs w:val="0"/>
          <w:color w:val="auto"/>
          <w:kern w:val="0"/>
          <w:sz w:val="32"/>
          <w:szCs w:val="32"/>
          <w:highlight w:val="none"/>
          <w:lang w:val="en-US" w:eastAsia="zh-CN"/>
        </w:rPr>
        <w:t>行政单位离退休</w:t>
      </w:r>
      <w:r>
        <w:rPr>
          <w:rFonts w:hint="eastAsia" w:ascii="仿宋_GB2312" w:eastAsia="仿宋_GB2312" w:cs="仿宋"/>
          <w:color w:val="auto"/>
          <w:kern w:val="0"/>
          <w:sz w:val="32"/>
          <w:szCs w:val="32"/>
          <w:highlight w:val="none"/>
          <w:lang w:val="en-US" w:eastAsia="zh-CN"/>
        </w:rPr>
        <w:t>（01）：指行政单位（</w:t>
      </w:r>
      <w:r>
        <w:rPr>
          <w:rFonts w:hint="eastAsia" w:ascii="仿宋_GB2312" w:hAnsi="Calibri" w:eastAsia="仿宋_GB2312" w:cs="仿宋"/>
          <w:color w:val="auto"/>
          <w:kern w:val="0"/>
          <w:sz w:val="32"/>
          <w:szCs w:val="32"/>
          <w:highlight w:val="none"/>
          <w:lang w:eastAsia="zh-CN"/>
        </w:rPr>
        <w:t>包括实行公务员管理的事业单位</w:t>
      </w:r>
      <w:r>
        <w:rPr>
          <w:rFonts w:hint="eastAsia" w:ascii="仿宋_GB2312" w:eastAsia="仿宋_GB2312" w:cs="仿宋"/>
          <w:color w:val="auto"/>
          <w:kern w:val="0"/>
          <w:sz w:val="32"/>
          <w:szCs w:val="32"/>
          <w:highlight w:val="none"/>
          <w:lang w:val="en-US" w:eastAsia="zh-CN"/>
        </w:rPr>
        <w:t>）开支的离退休经费。</w:t>
      </w:r>
    </w:p>
    <w:p w14:paraId="0E9E6F91">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lang w:val="en-US" w:eastAsia="zh-CN"/>
        </w:rPr>
        <w:t>9</w:t>
      </w:r>
      <w:r>
        <w:rPr>
          <w:rFonts w:hint="eastAsia" w:ascii="仿宋_GB2312" w:eastAsia="仿宋_GB2312" w:cs="仿宋"/>
          <w:color w:val="auto"/>
          <w:kern w:val="0"/>
          <w:sz w:val="32"/>
          <w:szCs w:val="32"/>
          <w:highlight w:val="none"/>
        </w:rPr>
        <w:t>.社会保障和就业（</w:t>
      </w:r>
      <w:r>
        <w:rPr>
          <w:rFonts w:hint="eastAsia" w:ascii="仿宋_GB2312" w:eastAsia="仿宋_GB2312" w:cs="仿宋"/>
          <w:color w:val="auto"/>
          <w:kern w:val="0"/>
          <w:sz w:val="32"/>
          <w:szCs w:val="32"/>
          <w:highlight w:val="none"/>
          <w:lang w:val="en-US" w:eastAsia="zh-CN"/>
        </w:rPr>
        <w:t>208</w:t>
      </w:r>
      <w:r>
        <w:rPr>
          <w:rFonts w:hint="eastAsia" w:ascii="仿宋_GB2312" w:eastAsia="仿宋_GB2312" w:cs="仿宋"/>
          <w:color w:val="auto"/>
          <w:kern w:val="0"/>
          <w:sz w:val="32"/>
          <w:szCs w:val="32"/>
          <w:highlight w:val="none"/>
        </w:rPr>
        <w:t>）行政事业单位养老支出（</w:t>
      </w:r>
      <w:r>
        <w:rPr>
          <w:rFonts w:hint="eastAsia" w:ascii="仿宋_GB2312" w:eastAsia="仿宋_GB2312" w:cs="仿宋"/>
          <w:color w:val="auto"/>
          <w:kern w:val="0"/>
          <w:sz w:val="32"/>
          <w:szCs w:val="32"/>
          <w:highlight w:val="none"/>
          <w:lang w:val="en-US" w:eastAsia="zh-CN"/>
        </w:rPr>
        <w:t>05</w:t>
      </w:r>
      <w:r>
        <w:rPr>
          <w:rFonts w:hint="eastAsia" w:ascii="仿宋_GB2312" w:eastAsia="仿宋_GB2312" w:cs="仿宋"/>
          <w:color w:val="auto"/>
          <w:kern w:val="0"/>
          <w:sz w:val="32"/>
          <w:szCs w:val="32"/>
          <w:highlight w:val="none"/>
        </w:rPr>
        <w:t>）机关事业单位基本养老保险支出（</w:t>
      </w:r>
      <w:r>
        <w:rPr>
          <w:rFonts w:hint="eastAsia" w:ascii="仿宋_GB2312" w:eastAsia="仿宋_GB2312" w:cs="仿宋"/>
          <w:color w:val="auto"/>
          <w:kern w:val="0"/>
          <w:sz w:val="32"/>
          <w:szCs w:val="32"/>
          <w:highlight w:val="none"/>
          <w:lang w:val="en-US" w:eastAsia="zh-CN"/>
        </w:rPr>
        <w:t>05</w:t>
      </w:r>
      <w:r>
        <w:rPr>
          <w:rFonts w:hint="eastAsia" w:ascii="仿宋_GB2312" w:eastAsia="仿宋_GB2312" w:cs="仿宋"/>
          <w:color w:val="auto"/>
          <w:kern w:val="0"/>
          <w:sz w:val="32"/>
          <w:szCs w:val="32"/>
          <w:highlight w:val="none"/>
        </w:rPr>
        <w:t>）：指反映机关事业单位实施养老保险制度由单位缴纳的基本养老保险费支出。</w:t>
      </w:r>
    </w:p>
    <w:p w14:paraId="497F7A3F">
      <w:pPr>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10.</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抚恤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死亡抚恤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：指按规定用于烈士和牺牲、病故人员家属的一次性和定期抚恤金、丧葬补助费以及烈士褒扬金。</w:t>
      </w:r>
    </w:p>
    <w:p w14:paraId="5FB6E091">
      <w:pPr>
        <w:ind w:firstLine="640" w:firstLineChars="200"/>
        <w:jc w:val="both"/>
        <w:rPr>
          <w:rFonts w:hint="eastAsia" w:ascii="仿宋_GB2312"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社会保障和就业（</w:t>
      </w:r>
      <w:r>
        <w:rPr>
          <w:rFonts w:hint="eastAsia" w:ascii="仿宋_GB2312" w:eastAsia="仿宋_GB2312" w:cs="仿宋"/>
          <w:color w:val="auto"/>
          <w:kern w:val="0"/>
          <w:sz w:val="32"/>
          <w:szCs w:val="32"/>
          <w:highlight w:val="none"/>
          <w:lang w:val="en-US" w:eastAsia="zh-CN"/>
        </w:rPr>
        <w:t>208</w:t>
      </w:r>
      <w:r>
        <w:rPr>
          <w:rFonts w:hint="eastAsia" w:ascii="仿宋_GB2312" w:hAnsi="Calibri" w:eastAsia="仿宋_GB2312" w:cs="仿宋"/>
          <w:color w:val="auto"/>
          <w:kern w:val="0"/>
          <w:sz w:val="32"/>
          <w:szCs w:val="32"/>
          <w:highlight w:val="none"/>
        </w:rPr>
        <w:t>）残疾人事业（</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）残疾人就业（</w:t>
      </w:r>
      <w:r>
        <w:rPr>
          <w:rFonts w:hint="eastAsia" w:ascii="仿宋_GB2312" w:hAnsi="Calibri" w:eastAsia="仿宋_GB2312" w:cs="仿宋"/>
          <w:color w:val="auto"/>
          <w:kern w:val="0"/>
          <w:sz w:val="32"/>
          <w:szCs w:val="32"/>
          <w:highlight w:val="none"/>
          <w:lang w:val="en-US" w:eastAsia="zh-CN"/>
        </w:rPr>
        <w:t>05</w:t>
      </w:r>
      <w:r>
        <w:rPr>
          <w:rFonts w:hint="eastAsia" w:ascii="仿宋_GB2312" w:hAnsi="Calibri" w:eastAsia="仿宋_GB2312" w:cs="仿宋"/>
          <w:color w:val="auto"/>
          <w:kern w:val="0"/>
          <w:sz w:val="32"/>
          <w:szCs w:val="32"/>
          <w:highlight w:val="none"/>
        </w:rPr>
        <w:t>）：</w:t>
      </w:r>
      <w:r>
        <w:rPr>
          <w:rFonts w:hint="eastAsia" w:ascii="仿宋_GB2312" w:eastAsia="仿宋_GB2312"/>
          <w:color w:val="auto"/>
          <w:sz w:val="32"/>
          <w:szCs w:val="32"/>
          <w:highlight w:val="none"/>
        </w:rPr>
        <w:t>指</w:t>
      </w:r>
      <w:r>
        <w:rPr>
          <w:rFonts w:hint="eastAsia" w:ascii="仿宋_GB2312" w:hAnsi="Calibri" w:eastAsia="仿宋_GB2312" w:cs="仿宋"/>
          <w:color w:val="auto"/>
          <w:kern w:val="0"/>
          <w:sz w:val="32"/>
          <w:szCs w:val="32"/>
          <w:highlight w:val="none"/>
          <w:lang w:eastAsia="zh-CN"/>
        </w:rPr>
        <w:t>残疾人联合会用于残疾人就业方面的支出</w:t>
      </w:r>
      <w:r>
        <w:rPr>
          <w:rFonts w:hint="eastAsia" w:ascii="仿宋_GB2312" w:hAnsi="Calibri" w:eastAsia="仿宋_GB2312" w:cs="仿宋"/>
          <w:color w:val="auto"/>
          <w:kern w:val="0"/>
          <w:sz w:val="32"/>
          <w:szCs w:val="32"/>
          <w:highlight w:val="none"/>
        </w:rPr>
        <w:t>。</w:t>
      </w:r>
    </w:p>
    <w:p w14:paraId="67A01839">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2</w:t>
      </w:r>
      <w:r>
        <w:rPr>
          <w:rFonts w:hint="eastAsia" w:ascii="仿宋_GB2312" w:eastAsia="仿宋_GB2312" w:cs="仿宋"/>
          <w:color w:val="auto"/>
          <w:kern w:val="0"/>
          <w:sz w:val="32"/>
          <w:szCs w:val="32"/>
          <w:highlight w:val="none"/>
        </w:rPr>
        <w:t>.社会保障和就业（</w:t>
      </w:r>
      <w:r>
        <w:rPr>
          <w:rFonts w:hint="eastAsia" w:ascii="仿宋_GB2312" w:eastAsia="仿宋_GB2312" w:cs="仿宋"/>
          <w:color w:val="auto"/>
          <w:kern w:val="0"/>
          <w:sz w:val="32"/>
          <w:szCs w:val="32"/>
          <w:highlight w:val="none"/>
          <w:lang w:val="en-US" w:eastAsia="zh-CN"/>
        </w:rPr>
        <w:t>208</w:t>
      </w:r>
      <w:r>
        <w:rPr>
          <w:rFonts w:hint="eastAsia" w:ascii="仿宋_GB2312" w:eastAsia="仿宋_GB2312" w:cs="仿宋"/>
          <w:color w:val="auto"/>
          <w:kern w:val="0"/>
          <w:sz w:val="32"/>
          <w:szCs w:val="32"/>
          <w:highlight w:val="none"/>
        </w:rPr>
        <w:t>）其他社会保障和就业支出（</w:t>
      </w:r>
      <w:r>
        <w:rPr>
          <w:rFonts w:hint="eastAsia" w:ascii="仿宋_GB2312" w:eastAsia="仿宋_GB2312" w:cs="仿宋"/>
          <w:color w:val="auto"/>
          <w:kern w:val="0"/>
          <w:sz w:val="32"/>
          <w:szCs w:val="32"/>
          <w:highlight w:val="none"/>
          <w:lang w:val="en-US" w:eastAsia="zh-CN"/>
        </w:rPr>
        <w:t>99</w:t>
      </w:r>
      <w:r>
        <w:rPr>
          <w:rFonts w:hint="eastAsia" w:ascii="仿宋_GB2312" w:eastAsia="仿宋_GB2312" w:cs="仿宋"/>
          <w:color w:val="auto"/>
          <w:kern w:val="0"/>
          <w:sz w:val="32"/>
          <w:szCs w:val="32"/>
          <w:highlight w:val="none"/>
        </w:rPr>
        <w:t>）其他社会保障和就业支出（</w:t>
      </w:r>
      <w:r>
        <w:rPr>
          <w:rFonts w:hint="eastAsia" w:ascii="仿宋_GB2312" w:eastAsia="仿宋_GB2312" w:cs="仿宋"/>
          <w:color w:val="auto"/>
          <w:kern w:val="0"/>
          <w:sz w:val="32"/>
          <w:szCs w:val="32"/>
          <w:highlight w:val="none"/>
          <w:lang w:val="en-US" w:eastAsia="zh-CN"/>
        </w:rPr>
        <w:t>99</w:t>
      </w:r>
      <w:r>
        <w:rPr>
          <w:rFonts w:hint="eastAsia" w:ascii="仿宋_GB2312" w:eastAsia="仿宋_GB2312" w:cs="仿宋"/>
          <w:color w:val="auto"/>
          <w:kern w:val="0"/>
          <w:sz w:val="32"/>
          <w:szCs w:val="32"/>
          <w:highlight w:val="none"/>
        </w:rPr>
        <w:t>）：指反映除上述项目以外其他用于社会保障和就业方面的支出。</w:t>
      </w:r>
    </w:p>
    <w:p w14:paraId="59860E6D">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3</w:t>
      </w:r>
      <w:r>
        <w:rPr>
          <w:rFonts w:hint="eastAsia" w:ascii="仿宋_GB2312" w:eastAsia="仿宋_GB2312" w:cs="仿宋"/>
          <w:color w:val="auto"/>
          <w:kern w:val="0"/>
          <w:sz w:val="32"/>
          <w:szCs w:val="32"/>
          <w:highlight w:val="none"/>
        </w:rPr>
        <w:t>.卫生健康（</w:t>
      </w:r>
      <w:r>
        <w:rPr>
          <w:rFonts w:hint="eastAsia" w:ascii="仿宋_GB2312" w:eastAsia="仿宋_GB2312" w:cs="仿宋"/>
          <w:color w:val="auto"/>
          <w:kern w:val="0"/>
          <w:sz w:val="32"/>
          <w:szCs w:val="32"/>
          <w:highlight w:val="none"/>
          <w:lang w:val="en-US" w:eastAsia="zh-CN"/>
        </w:rPr>
        <w:t>210</w:t>
      </w:r>
      <w:r>
        <w:rPr>
          <w:rFonts w:hint="eastAsia" w:ascii="仿宋_GB2312"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eastAsia="仿宋_GB2312" w:cs="仿宋"/>
          <w:color w:val="auto"/>
          <w:kern w:val="0"/>
          <w:sz w:val="32"/>
          <w:szCs w:val="32"/>
          <w:highlight w:val="none"/>
        </w:rPr>
        <w:t>）行政单位医疗（</w:t>
      </w:r>
      <w:r>
        <w:rPr>
          <w:rFonts w:hint="eastAsia" w:ascii="仿宋_GB2312" w:eastAsia="仿宋_GB2312" w:cs="仿宋"/>
          <w:color w:val="auto"/>
          <w:kern w:val="0"/>
          <w:sz w:val="32"/>
          <w:szCs w:val="32"/>
          <w:highlight w:val="none"/>
          <w:lang w:val="en-US" w:eastAsia="zh-CN"/>
        </w:rPr>
        <w:t>01</w:t>
      </w:r>
      <w:r>
        <w:rPr>
          <w:rFonts w:hint="eastAsia" w:ascii="仿宋_GB2312" w:eastAsia="仿宋_GB2312" w:cs="仿宋"/>
          <w:color w:val="auto"/>
          <w:kern w:val="0"/>
          <w:sz w:val="32"/>
          <w:szCs w:val="32"/>
          <w:highlight w:val="none"/>
        </w:rPr>
        <w:t>）：指反映财政部门集中安排的行政单位</w:t>
      </w:r>
      <w:r>
        <w:rPr>
          <w:rFonts w:hint="eastAsia" w:ascii="仿宋_GB2312" w:eastAsia="仿宋_GB2312"/>
          <w:color w:val="auto"/>
          <w:sz w:val="32"/>
          <w:szCs w:val="32"/>
          <w:highlight w:val="none"/>
        </w:rPr>
        <w:t>（包括实行公务员管理的事业单位）</w:t>
      </w:r>
      <w:r>
        <w:rPr>
          <w:rFonts w:hint="eastAsia" w:ascii="仿宋_GB2312" w:eastAsia="仿宋_GB2312" w:cs="仿宋"/>
          <w:color w:val="auto"/>
          <w:kern w:val="0"/>
          <w:sz w:val="32"/>
          <w:szCs w:val="32"/>
          <w:highlight w:val="none"/>
        </w:rPr>
        <w:t>基本医疗保险缴费经费，未参加医疗保险的行政单位的公费医疗经费，按国家规定享受离休人员、红军老战士待遇的医疗经费。</w:t>
      </w:r>
    </w:p>
    <w:p w14:paraId="21C1E9B9">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4</w:t>
      </w:r>
      <w:r>
        <w:rPr>
          <w:rFonts w:hint="eastAsia" w:ascii="仿宋_GB2312" w:eastAsia="仿宋_GB2312" w:cs="仿宋"/>
          <w:color w:val="auto"/>
          <w:kern w:val="0"/>
          <w:sz w:val="32"/>
          <w:szCs w:val="32"/>
          <w:highlight w:val="none"/>
        </w:rPr>
        <w:t>.卫生健康（</w:t>
      </w:r>
      <w:r>
        <w:rPr>
          <w:rFonts w:hint="eastAsia" w:ascii="仿宋_GB2312" w:eastAsia="仿宋_GB2312" w:cs="仿宋"/>
          <w:color w:val="auto"/>
          <w:kern w:val="0"/>
          <w:sz w:val="32"/>
          <w:szCs w:val="32"/>
          <w:highlight w:val="none"/>
          <w:lang w:val="en-US" w:eastAsia="zh-CN"/>
        </w:rPr>
        <w:t>210</w:t>
      </w:r>
      <w:r>
        <w:rPr>
          <w:rFonts w:hint="eastAsia" w:ascii="仿宋_GB2312"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eastAsia="仿宋_GB2312" w:cs="仿宋"/>
          <w:color w:val="auto"/>
          <w:kern w:val="0"/>
          <w:sz w:val="32"/>
          <w:szCs w:val="32"/>
          <w:highlight w:val="none"/>
        </w:rPr>
        <w:t>）事业单位医疗（</w:t>
      </w:r>
      <w:r>
        <w:rPr>
          <w:rFonts w:hint="eastAsia" w:ascii="仿宋_GB2312" w:eastAsia="仿宋_GB2312" w:cs="仿宋"/>
          <w:color w:val="auto"/>
          <w:kern w:val="0"/>
          <w:sz w:val="32"/>
          <w:szCs w:val="32"/>
          <w:highlight w:val="none"/>
          <w:lang w:val="en-US" w:eastAsia="zh-CN"/>
        </w:rPr>
        <w:t>02</w:t>
      </w:r>
      <w:r>
        <w:rPr>
          <w:rFonts w:hint="eastAsia" w:ascii="仿宋_GB2312" w:eastAsia="仿宋_GB2312" w:cs="仿宋"/>
          <w:color w:val="auto"/>
          <w:kern w:val="0"/>
          <w:sz w:val="32"/>
          <w:szCs w:val="32"/>
          <w:highlight w:val="none"/>
        </w:rPr>
        <w:t>）：指反映财政部门集中安排的事业单位基本医疗保险缴费经费，未参加医疗保险的事业单位的公费医疗经费，按国家规定享受离休人员待遇的医疗经费。</w:t>
      </w:r>
    </w:p>
    <w:p w14:paraId="7C3C4363">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5</w:t>
      </w:r>
      <w:r>
        <w:rPr>
          <w:rFonts w:hint="eastAsia" w:ascii="仿宋_GB2312" w:eastAsia="仿宋_GB2312" w:cs="仿宋"/>
          <w:color w:val="auto"/>
          <w:kern w:val="0"/>
          <w:sz w:val="32"/>
          <w:szCs w:val="32"/>
          <w:highlight w:val="none"/>
        </w:rPr>
        <w:t>.卫生健康（</w:t>
      </w:r>
      <w:r>
        <w:rPr>
          <w:rFonts w:hint="eastAsia" w:ascii="仿宋_GB2312" w:eastAsia="仿宋_GB2312" w:cs="仿宋"/>
          <w:color w:val="auto"/>
          <w:kern w:val="0"/>
          <w:sz w:val="32"/>
          <w:szCs w:val="32"/>
          <w:highlight w:val="none"/>
          <w:lang w:val="en-US" w:eastAsia="zh-CN"/>
        </w:rPr>
        <w:t>210</w:t>
      </w:r>
      <w:r>
        <w:rPr>
          <w:rFonts w:hint="eastAsia" w:ascii="仿宋_GB2312"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eastAsia="仿宋_GB2312" w:cs="仿宋"/>
          <w:color w:val="auto"/>
          <w:kern w:val="0"/>
          <w:sz w:val="32"/>
          <w:szCs w:val="32"/>
          <w:highlight w:val="none"/>
        </w:rPr>
        <w:t>）公务员医疗补助（</w:t>
      </w:r>
      <w:r>
        <w:rPr>
          <w:rFonts w:hint="eastAsia" w:ascii="仿宋_GB2312" w:eastAsia="仿宋_GB2312" w:cs="仿宋"/>
          <w:color w:val="auto"/>
          <w:kern w:val="0"/>
          <w:sz w:val="32"/>
          <w:szCs w:val="32"/>
          <w:highlight w:val="none"/>
          <w:lang w:val="en-US" w:eastAsia="zh-CN"/>
        </w:rPr>
        <w:t>03</w:t>
      </w:r>
      <w:r>
        <w:rPr>
          <w:rFonts w:hint="eastAsia" w:ascii="仿宋_GB2312" w:eastAsia="仿宋_GB2312" w:cs="仿宋"/>
          <w:color w:val="auto"/>
          <w:kern w:val="0"/>
          <w:sz w:val="32"/>
          <w:szCs w:val="32"/>
          <w:highlight w:val="none"/>
        </w:rPr>
        <w:t>）：指反映财政部门集中安排的公务员医疗补助经费。</w:t>
      </w:r>
    </w:p>
    <w:p w14:paraId="1B5AB1F6">
      <w:pPr>
        <w:spacing w:line="600" w:lineRule="exact"/>
        <w:ind w:firstLine="64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16.农林水（213）巩固脱贫衔接乡村振兴（05）其他巩固脱贫衔接乡村振兴支出（99）：指</w:t>
      </w:r>
      <w:r>
        <w:rPr>
          <w:rFonts w:hint="eastAsia" w:ascii="仿宋_GB2312" w:eastAsia="仿宋_GB2312" w:cs="仿宋"/>
          <w:color w:val="auto"/>
          <w:kern w:val="0"/>
          <w:sz w:val="32"/>
          <w:szCs w:val="32"/>
          <w:highlight w:val="none"/>
        </w:rPr>
        <w:t>反映除上述项目以外其他用于</w:t>
      </w:r>
      <w:r>
        <w:rPr>
          <w:rFonts w:hint="eastAsia" w:ascii="仿宋_GB2312" w:eastAsia="仿宋_GB2312" w:cs="仿宋"/>
          <w:color w:val="auto"/>
          <w:kern w:val="0"/>
          <w:sz w:val="32"/>
          <w:szCs w:val="32"/>
          <w:highlight w:val="none"/>
          <w:lang w:val="en-US" w:eastAsia="zh-CN"/>
        </w:rPr>
        <w:t>巩固拓展脱贫攻坚成果同乡村振兴有效衔接方面的支出。</w:t>
      </w:r>
    </w:p>
    <w:p w14:paraId="4DFB2195">
      <w:pPr>
        <w:spacing w:line="600" w:lineRule="exact"/>
        <w:ind w:firstLine="640"/>
        <w:jc w:val="both"/>
        <w:rPr>
          <w:rFonts w:ascii="仿宋" w:hAnsi="仿宋" w:eastAsia="仿宋"/>
          <w:b/>
          <w:color w:val="auto"/>
          <w:sz w:val="32"/>
          <w:szCs w:val="32"/>
          <w:highlight w:val="none"/>
        </w:rPr>
      </w:pPr>
      <w:r>
        <w:rPr>
          <w:rFonts w:hint="eastAsia" w:ascii="仿宋_GB2312" w:eastAsia="仿宋_GB2312" w:cs="仿宋"/>
          <w:color w:val="auto"/>
          <w:kern w:val="0"/>
          <w:sz w:val="32"/>
          <w:szCs w:val="32"/>
          <w:highlight w:val="none"/>
          <w:lang w:val="en-US" w:eastAsia="zh-CN"/>
        </w:rPr>
        <w:t>17</w:t>
      </w:r>
      <w:r>
        <w:rPr>
          <w:rFonts w:hint="eastAsia" w:ascii="仿宋_GB2312" w:eastAsia="仿宋_GB2312" w:cs="仿宋"/>
          <w:color w:val="auto"/>
          <w:kern w:val="0"/>
          <w:sz w:val="32"/>
          <w:szCs w:val="32"/>
          <w:highlight w:val="none"/>
        </w:rPr>
        <w:t>.住房保障（</w:t>
      </w:r>
      <w:r>
        <w:rPr>
          <w:rFonts w:hint="eastAsia" w:ascii="仿宋_GB2312" w:eastAsia="仿宋_GB2312" w:cs="仿宋"/>
          <w:color w:val="auto"/>
          <w:kern w:val="0"/>
          <w:sz w:val="32"/>
          <w:szCs w:val="32"/>
          <w:highlight w:val="none"/>
          <w:lang w:val="en-US" w:eastAsia="zh-CN"/>
        </w:rPr>
        <w:t>221</w:t>
      </w:r>
      <w:r>
        <w:rPr>
          <w:rFonts w:hint="eastAsia" w:ascii="仿宋_GB2312" w:eastAsia="仿宋_GB2312" w:cs="仿宋"/>
          <w:color w:val="auto"/>
          <w:kern w:val="0"/>
          <w:sz w:val="32"/>
          <w:szCs w:val="32"/>
          <w:highlight w:val="none"/>
        </w:rPr>
        <w:t>）住房改革支出（</w:t>
      </w:r>
      <w:r>
        <w:rPr>
          <w:rFonts w:hint="eastAsia" w:ascii="仿宋_GB2312" w:eastAsia="仿宋_GB2312" w:cs="仿宋"/>
          <w:color w:val="auto"/>
          <w:kern w:val="0"/>
          <w:sz w:val="32"/>
          <w:szCs w:val="32"/>
          <w:highlight w:val="none"/>
          <w:lang w:val="en-US" w:eastAsia="zh-CN"/>
        </w:rPr>
        <w:t>02</w:t>
      </w:r>
      <w:r>
        <w:rPr>
          <w:rFonts w:hint="eastAsia" w:ascii="仿宋_GB2312" w:eastAsia="仿宋_GB2312" w:cs="仿宋"/>
          <w:color w:val="auto"/>
          <w:kern w:val="0"/>
          <w:sz w:val="32"/>
          <w:szCs w:val="32"/>
          <w:highlight w:val="none"/>
        </w:rPr>
        <w:t>）住房公积金（</w:t>
      </w:r>
      <w:r>
        <w:rPr>
          <w:rFonts w:hint="eastAsia" w:ascii="仿宋_GB2312" w:eastAsia="仿宋_GB2312" w:cs="仿宋"/>
          <w:color w:val="auto"/>
          <w:kern w:val="0"/>
          <w:sz w:val="32"/>
          <w:szCs w:val="32"/>
          <w:highlight w:val="none"/>
          <w:lang w:val="en-US" w:eastAsia="zh-CN"/>
        </w:rPr>
        <w:t>01</w:t>
      </w:r>
      <w:r>
        <w:rPr>
          <w:rFonts w:hint="eastAsia" w:ascii="仿宋_GB2312" w:eastAsia="仿宋_GB2312" w:cs="仿宋"/>
          <w:color w:val="auto"/>
          <w:kern w:val="0"/>
          <w:sz w:val="32"/>
          <w:szCs w:val="32"/>
          <w:highlight w:val="none"/>
        </w:rPr>
        <w:t>）：指反映行政事业单位按人力资源和社会保障部、财政部规定的基本工资和津贴补贴以及规定比例为职工缴纳的住房公积金。</w:t>
      </w:r>
    </w:p>
    <w:p w14:paraId="60C46606">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26B5BC21">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F148F78">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384CE4">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ECC6B5">
      <w:pPr>
        <w:spacing w:line="600" w:lineRule="exact"/>
        <w:jc w:val="center"/>
        <w:outlineLvl w:val="0"/>
        <w:rPr>
          <w:rStyle w:val="31"/>
          <w:rFonts w:hint="eastAsia" w:ascii="黑体" w:hAnsi="黑体" w:eastAsia="黑体"/>
          <w:b w:val="0"/>
          <w:color w:val="auto"/>
          <w:highlight w:val="none"/>
          <w:lang w:eastAsia="zh-CN"/>
        </w:rPr>
      </w:pPr>
      <w:bookmarkStart w:id="91" w:name="_Toc15377226"/>
      <w:r>
        <w:rPr>
          <w:rFonts w:ascii="宋体"/>
          <w:b/>
          <w:color w:val="auto"/>
          <w:sz w:val="44"/>
          <w:szCs w:val="44"/>
          <w:highlight w:val="none"/>
        </w:rPr>
        <w:br w:type="page"/>
      </w:r>
      <w:bookmarkStart w:id="92" w:name="_Toc15396614"/>
      <w:bookmarkStart w:id="93" w:name="_Toc31959"/>
      <w:bookmarkStart w:id="94" w:name="_Toc5180"/>
      <w:bookmarkStart w:id="95" w:name="_Toc23453"/>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92"/>
      <w:bookmarkEnd w:id="93"/>
      <w:bookmarkEnd w:id="94"/>
      <w:bookmarkEnd w:id="95"/>
    </w:p>
    <w:p w14:paraId="1AC60A5C">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96" w:name="_Toc9463"/>
      <w:bookmarkStart w:id="97" w:name="_Toc15396618"/>
      <w:bookmarkStart w:id="98" w:name="_Toc23839"/>
      <w:bookmarkStart w:id="99" w:name="_Toc23495"/>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96"/>
    </w:p>
    <w:p w14:paraId="08E1E0D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2023年组织部</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967CEE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625A7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rPr>
      </w:pPr>
      <w:bookmarkStart w:id="100" w:name="_Toc22474"/>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部门基本情况</w:t>
      </w:r>
      <w:bookmarkEnd w:id="100"/>
    </w:p>
    <w:p w14:paraId="54E1516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14:paraId="066B1E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区委组织部一级预算单位1个，下属二级预算单位0个，其中行政单位0个，参照公务员法管理的事业单位0个，其他事业单位0个。区委组织部属行政县处级单位，设办公室、研究室、组织一股、组织二股、干部股、公务员管理股、人才股、干部监督股、干部人事档案管理服务中心、高端人才服务中心、党员教育中心、老干部活动中心。</w:t>
      </w:r>
    </w:p>
    <w:p w14:paraId="57CB5050">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4FB7E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1.负责研究、指导全区党的组织建设；探索各类新经济组织中党组织的设置和活动方式；协调、指导全区党员教育工作；主管党员的教育管理和发展工作，做好新时期党的建设和调查研究工作。</w:t>
      </w:r>
    </w:p>
    <w:p w14:paraId="006B3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负责考核乡镇和区直各部门科级领导班子，提出区委管理的科级领导班子和领导成员调整的意见和建议；负责本区由市委管理干部职务任免、工资、福利待遇和离退休上报材料和手续；负责有关上报市委组织部的备案材料；负责区委管理干部的考察、任免工作并承办区委管理干部职务任免、工资待遇和离退休手续；承办区委管理干部和区级党群系统干部的调配、交流、安置工作；负责区党代会、人代会、政协会的有关组织工作和乡镇党代会、人代会的指导工作。</w:t>
      </w:r>
    </w:p>
    <w:p w14:paraId="62258B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负责区直部门和街道、乡镇干部档案的审查管理工作；综合协调监督干部宏观管理工作；指导各级领导班子的思想作风建设；根据中共中央关于干部队伍建设的方针政策，研究制定全区干部队伍建设、领导班子建设的政策、措施、负责培养和选拔中、青年干部，负责全区后备干部队伍的建设和管理。</w:t>
      </w:r>
    </w:p>
    <w:p w14:paraId="14E12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4.研究指导党的组织制度和干部人事制度改革，制定或参与制定组织、干部、人事工作的重要政策和制度。</w:t>
      </w:r>
    </w:p>
    <w:p w14:paraId="09348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5.负责组织工作和干部工作的检查、督促，及时向区委和市委组织部反映情况，提出建议。</w:t>
      </w:r>
    </w:p>
    <w:p w14:paraId="4C6AD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主管干部教育工作。制定全区干部教育规划和有关政策规定；负责省委党校、市委党校、区委党校培训班的学员调训；负责组织一定层次的中、青年干部及组织系统的干部进行培训；指导、协调干部教育的基础建设、师资队伍建设和教材编写工作，研究、探索干部教育的基础建设、师资队伍建设和教材编写工作，研究、探索新形势下适应我区区情的干部教育培训制度。</w:t>
      </w:r>
    </w:p>
    <w:p w14:paraId="0A9750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7.负责牵头、抓总全区知识分子工作。调查了解知识分子工作情况，制定或参与制定知识分子政策，检查贯彻执行知识分子政策的情况；联系和组织拔尖人才开展有关活动。</w:t>
      </w:r>
    </w:p>
    <w:p w14:paraId="41A81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8.负责全区各乡镇、区直各部门两个文明建设实绩考核；负责对各乡镇领导班子、区直各部门和实职领导干部履行职责的情况、执行区委、区政府决策及工作部署情况进行督查考核。</w:t>
      </w:r>
    </w:p>
    <w:p w14:paraId="3D8E06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9.归口管理区委老干部局；负责离退休干部工作的宏观管理，研究制定或参与制定离退休干部的工作方针、政策措施。督促检查离退休干部“两个待遇”的落实。</w:t>
      </w:r>
    </w:p>
    <w:p w14:paraId="437C3B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Times New Roman"/>
          <w:sz w:val="32"/>
          <w:szCs w:val="32"/>
          <w:highlight w:val="none"/>
          <w:lang w:val="en-US" w:eastAsia="zh-CN"/>
        </w:rPr>
        <w:t>10.完成区委交办的其他任务。</w:t>
      </w:r>
    </w:p>
    <w:p w14:paraId="14EF8A4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689B48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截至202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年末，</w:t>
      </w:r>
      <w:r>
        <w:rPr>
          <w:rFonts w:hint="eastAsia" w:ascii="Times New Roman" w:hAnsi="Times New Roman" w:eastAsia="仿宋_GB2312" w:cs="Times New Roman"/>
          <w:sz w:val="32"/>
          <w:szCs w:val="32"/>
          <w:highlight w:val="none"/>
          <w:lang w:val="zh-CN" w:eastAsia="zh-CN"/>
        </w:rPr>
        <w:t>区委组织部核定编制数为47人，其中公务员编制数26人，参公编制数8人，事业编制数9人，工勤编制数4人；实有人数为42人，其中公务员26人，参公人员6人，事业人员6人，行政工勤人员4人。</w:t>
      </w:r>
    </w:p>
    <w:p w14:paraId="0F973D2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101" w:name="_Toc153"/>
      <w:r>
        <w:rPr>
          <w:rFonts w:hint="default" w:eastAsia="黑体" w:cs="Times New Roman"/>
          <w:color w:val="000000"/>
          <w:kern w:val="0"/>
          <w:sz w:val="32"/>
          <w:szCs w:val="32"/>
          <w:highlight w:val="none"/>
          <w:shd w:val="clear" w:color="auto" w:fill="FFFFFF"/>
          <w:lang w:val="zh-CN" w:eastAsia="zh-CN"/>
        </w:rPr>
        <w:t>二、部门资金收支情况</w:t>
      </w:r>
      <w:bookmarkEnd w:id="101"/>
    </w:p>
    <w:p w14:paraId="76C1011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40322E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2023年度组织部收入年初预算数为1,508.25万元，较2022年年初预算772.16万元增加736.09万元，增长95.33%，主要原因是本年度新增“城乡基层治理能力建设专项资金”等项目经费。</w:t>
      </w:r>
    </w:p>
    <w:p w14:paraId="7F6D77F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2023年组织部收入全年预算总额2,332.44万元，收入决算总额为2,332.44万元，收入预算执行100%。与2022</w:t>
      </w:r>
      <w:r>
        <w:rPr>
          <w:rFonts w:hint="eastAsia"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度收入预算执行情况相比无变动。</w:t>
      </w:r>
    </w:p>
    <w:p w14:paraId="154A3E9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2023年组织部本年收入为2,273.94万元，其中：财政拨款收入2,253.12万元，占99.08%</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其他收入20.82万元，占0.92%。与2022年相比财政拨款收入增长2.29%，主要是本年度基本支出、项目经费较上年度增加，其他收入减少40.01%，主要是本年度收到党员关爱资金低于上年度。</w:t>
      </w:r>
    </w:p>
    <w:p w14:paraId="535F5A82">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30B994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2023年组织部支出年初预算数为1,508.25万元，其中:一般公共预算财政拨款1,353.73万元、社会保障和就业支出72.56万元、卫生健康支出27.43万元、住房保障支出54.53万元。</w:t>
      </w:r>
    </w:p>
    <w:p w14:paraId="36A7687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组织部支出全年预算总额2,332.44万元，本年支出总计为2,294.68万元，预算执行率为98.38%，其中财政拨款支出2,253.12万元。与2022年支出预算执行率97.41%相比，增长0.97%，主要原因是本年度增加非财政专项支出“党员干部关爱资金”。</w:t>
      </w:r>
    </w:p>
    <w:p w14:paraId="62DB499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cs="Times New Roman"/>
          <w:szCs w:val="32"/>
          <w:highlight w:val="none"/>
          <w:lang w:val="zh-CN" w:eastAsia="zh-CN"/>
        </w:rPr>
      </w:pPr>
      <w:r>
        <w:rPr>
          <w:rFonts w:hint="eastAsia" w:ascii="Times New Roman" w:hAnsi="Times New Roman" w:eastAsia="仿宋_GB2312" w:cs="Times New Roman"/>
          <w:sz w:val="32"/>
          <w:szCs w:val="32"/>
          <w:highlight w:val="none"/>
          <w:lang w:val="en-US" w:eastAsia="zh-CN"/>
        </w:rPr>
        <w:t>2023年组织部本年支出2,294.68万元，按资金来源财政拨款2,253.12万元，占支出总额98.19%，其他资金41.56万元，占支出总额1.81%；按支出性质基本支出758.24万元，占支出总额33.04%，项目支出1,536.44万元，占支出总额66.96%；按支出经济分类工资福利支出614.50万元，占支出总额26.78%，商品和服务支出1,463.21万元，占支出总额63.76%，对个人和家庭的补助216.10万元，占支出总额9.42%，资本性支出0.87万元，占支出总额0.04%。与2022年支出相比，2023年度支出增长3.88%，主要是本年度基本支出、项目经费较上年度增加。</w:t>
      </w:r>
    </w:p>
    <w:p w14:paraId="7932A0E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5D12E2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2023年组织部年末结转和结余37.76万元，较2022年度年末结转和结余58.64万元减少20.88万元，下降35.61%，主要原因是本年度党员关爱资金结余数低于上年度，均为非财政资金，其中基本支出结余14.01万元、项目支出结转23.75万元。</w:t>
      </w:r>
    </w:p>
    <w:p w14:paraId="61B28F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102" w:name="_Toc14471"/>
      <w:r>
        <w:rPr>
          <w:rFonts w:hint="default" w:eastAsia="黑体" w:cs="Times New Roman"/>
          <w:color w:val="000000"/>
          <w:kern w:val="0"/>
          <w:sz w:val="32"/>
          <w:szCs w:val="32"/>
          <w:highlight w:val="none"/>
          <w:shd w:val="clear" w:color="auto" w:fill="FFFFFF"/>
          <w:lang w:val="zh-CN" w:eastAsia="zh-CN"/>
        </w:rPr>
        <w:t>三、部门预算绩效分析</w:t>
      </w:r>
      <w:bookmarkEnd w:id="102"/>
    </w:p>
    <w:p w14:paraId="2BBAC3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（一）预算编制</w:t>
      </w:r>
      <w:r>
        <w:rPr>
          <w:rFonts w:hint="eastAsia" w:ascii="Times New Roman" w:hAnsi="Times New Roman" w:eastAsia="楷体_GB2312" w:cs="Times New Roman"/>
          <w:b/>
          <w:bCs/>
          <w:color w:val="000000"/>
          <w:kern w:val="0"/>
          <w:sz w:val="32"/>
          <w:szCs w:val="32"/>
          <w:highlight w:val="none"/>
          <w:shd w:val="clear" w:color="auto" w:fill="FFFFFF"/>
          <w:lang w:val="en-US" w:eastAsia="zh-CN"/>
        </w:rPr>
        <w:t>管理</w:t>
      </w:r>
    </w:p>
    <w:p w14:paraId="1A7F8BF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预算</w:t>
      </w:r>
      <w:r>
        <w:rPr>
          <w:rFonts w:hint="eastAsia" w:ascii="仿宋" w:hAnsi="仿宋" w:eastAsia="仿宋" w:cs="仿宋"/>
          <w:b/>
          <w:bCs/>
          <w:color w:val="000000" w:themeColor="text1"/>
          <w:sz w:val="32"/>
          <w:szCs w:val="32"/>
          <w:lang w:eastAsia="zh-CN"/>
          <w14:textFill>
            <w14:solidFill>
              <w14:schemeClr w14:val="tx1"/>
            </w14:solidFill>
          </w14:textFill>
        </w:rPr>
        <w:t>编制情况</w:t>
      </w:r>
    </w:p>
    <w:p w14:paraId="7EA2A75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年我部</w:t>
      </w:r>
      <w:r>
        <w:rPr>
          <w:rFonts w:hint="eastAsia" w:ascii="Times New Roman" w:hAnsi="Times New Roman" w:eastAsia="仿宋_GB2312" w:cs="Times New Roman"/>
          <w:sz w:val="32"/>
          <w:szCs w:val="32"/>
          <w:highlight w:val="none"/>
          <w:lang w:val="en-US" w:eastAsia="zh-CN"/>
        </w:rPr>
        <w:t>核定</w:t>
      </w:r>
      <w:r>
        <w:rPr>
          <w:rFonts w:hint="default" w:ascii="Times New Roman" w:hAnsi="Times New Roman" w:eastAsia="仿宋_GB2312" w:cs="Times New Roman"/>
          <w:sz w:val="32"/>
          <w:szCs w:val="32"/>
          <w:highlight w:val="none"/>
          <w:lang w:val="en-US" w:eastAsia="zh-CN"/>
        </w:rPr>
        <w:t>编制数</w:t>
      </w:r>
      <w:r>
        <w:rPr>
          <w:rFonts w:hint="eastAsia" w:ascii="Times New Roman" w:hAnsi="Times New Roman" w:eastAsia="仿宋_GB2312" w:cs="Times New Roman"/>
          <w:sz w:val="32"/>
          <w:szCs w:val="32"/>
          <w:highlight w:val="none"/>
          <w:lang w:val="en-US" w:eastAsia="zh-CN"/>
        </w:rPr>
        <w:t>47</w:t>
      </w:r>
      <w:r>
        <w:rPr>
          <w:rFonts w:hint="default" w:ascii="Times New Roman" w:hAnsi="Times New Roman" w:eastAsia="仿宋_GB2312" w:cs="Times New Roman"/>
          <w:sz w:val="32"/>
          <w:szCs w:val="32"/>
          <w:highlight w:val="none"/>
          <w:lang w:val="en-US" w:eastAsia="zh-CN"/>
        </w:rPr>
        <w:t>人，在编在职人员</w:t>
      </w:r>
      <w:r>
        <w:rPr>
          <w:rFonts w:hint="eastAsia" w:ascii="Times New Roman" w:hAnsi="Times New Roman" w:eastAsia="仿宋_GB2312" w:cs="Times New Roman"/>
          <w:sz w:val="32"/>
          <w:szCs w:val="32"/>
          <w:highlight w:val="none"/>
          <w:lang w:val="en-US" w:eastAsia="zh-CN"/>
        </w:rPr>
        <w:t>42</w:t>
      </w:r>
      <w:r>
        <w:rPr>
          <w:rFonts w:hint="default" w:ascii="Times New Roman" w:hAnsi="Times New Roman" w:eastAsia="仿宋_GB2312" w:cs="Times New Roman"/>
          <w:sz w:val="32"/>
          <w:szCs w:val="32"/>
          <w:highlight w:val="none"/>
          <w:lang w:val="en-US" w:eastAsia="zh-CN"/>
        </w:rPr>
        <w:t>人。三公经费本年预算数</w:t>
      </w:r>
      <w:r>
        <w:rPr>
          <w:rFonts w:hint="eastAsia" w:ascii="Times New Roman" w:hAnsi="Times New Roman" w:eastAsia="仿宋_GB2312" w:cs="Times New Roman"/>
          <w:sz w:val="32"/>
          <w:szCs w:val="32"/>
          <w:highlight w:val="none"/>
          <w:lang w:val="en-US" w:eastAsia="zh-CN"/>
        </w:rPr>
        <w:t>6.94</w:t>
      </w:r>
      <w:r>
        <w:rPr>
          <w:rFonts w:hint="default" w:ascii="Times New Roman" w:hAnsi="Times New Roman" w:eastAsia="仿宋_GB2312" w:cs="Times New Roman"/>
          <w:sz w:val="32"/>
          <w:szCs w:val="32"/>
          <w:highlight w:val="none"/>
          <w:lang w:val="en-US" w:eastAsia="zh-CN"/>
        </w:rPr>
        <w:t>万元，上年预算数</w:t>
      </w:r>
      <w:r>
        <w:rPr>
          <w:rFonts w:hint="eastAsia" w:ascii="Times New Roman" w:hAnsi="Times New Roman" w:eastAsia="仿宋_GB2312" w:cs="Times New Roman"/>
          <w:sz w:val="32"/>
          <w:szCs w:val="32"/>
          <w:highlight w:val="none"/>
          <w:lang w:val="en-US" w:eastAsia="zh-CN"/>
        </w:rPr>
        <w:t>6.94</w:t>
      </w:r>
      <w:r>
        <w:rPr>
          <w:rFonts w:hint="default" w:ascii="Times New Roman" w:hAnsi="Times New Roman" w:eastAsia="仿宋_GB2312" w:cs="Times New Roman"/>
          <w:sz w:val="32"/>
          <w:szCs w:val="32"/>
          <w:highlight w:val="none"/>
          <w:lang w:val="en-US" w:eastAsia="zh-CN"/>
        </w:rPr>
        <w:t>万元，“三公经费”</w:t>
      </w:r>
      <w:r>
        <w:rPr>
          <w:rFonts w:hint="eastAsia" w:ascii="Times New Roman" w:hAnsi="Times New Roman" w:eastAsia="仿宋_GB2312" w:cs="Times New Roman"/>
          <w:sz w:val="32"/>
          <w:szCs w:val="32"/>
          <w:highlight w:val="none"/>
          <w:lang w:val="en-US" w:eastAsia="zh-CN"/>
        </w:rPr>
        <w:t>较上年持平</w:t>
      </w:r>
      <w:r>
        <w:rPr>
          <w:rFonts w:hint="default" w:ascii="Times New Roman" w:hAnsi="Times New Roman" w:eastAsia="仿宋_GB2312" w:cs="Times New Roman"/>
          <w:sz w:val="32"/>
          <w:szCs w:val="32"/>
          <w:highlight w:val="none"/>
          <w:lang w:val="en-US" w:eastAsia="zh-CN"/>
        </w:rPr>
        <w:t>。</w:t>
      </w:r>
    </w:p>
    <w:p w14:paraId="67FE296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2.绩效目标填报</w:t>
      </w:r>
    </w:p>
    <w:p w14:paraId="325AED1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本单位对2023年一般公共预算项目支出开展了绩效目标管理，全年共实施绩效目标11个，项目支出1438.76万元，占财政拨款支出的62.69%，项目资金覆盖率达到100 %。</w:t>
      </w:r>
    </w:p>
    <w:p w14:paraId="50A2E3A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3.2</w:t>
      </w:r>
      <w:r>
        <w:rPr>
          <w:rFonts w:hint="eastAsia" w:ascii="仿宋" w:hAnsi="仿宋" w:eastAsia="仿宋" w:cs="仿宋"/>
          <w:b/>
          <w:bCs/>
          <w:color w:val="000000" w:themeColor="text1"/>
          <w:sz w:val="32"/>
          <w:szCs w:val="32"/>
          <w:lang w:val="en-US" w:eastAsia="zh-CN"/>
          <w14:textFill>
            <w14:solidFill>
              <w14:schemeClr w14:val="tx1"/>
            </w14:solidFill>
          </w14:textFill>
        </w:rPr>
        <w:t>023</w:t>
      </w:r>
      <w:r>
        <w:rPr>
          <w:rFonts w:hint="default" w:ascii="仿宋" w:hAnsi="仿宋" w:eastAsia="仿宋" w:cs="仿宋"/>
          <w:b/>
          <w:bCs/>
          <w:color w:val="000000" w:themeColor="text1"/>
          <w:sz w:val="32"/>
          <w:szCs w:val="32"/>
          <w:lang w:val="en-US" w:eastAsia="zh-CN"/>
          <w14:textFill>
            <w14:solidFill>
              <w14:schemeClr w14:val="tx1"/>
            </w14:solidFill>
          </w14:textFill>
        </w:rPr>
        <w:t>年区委组织部无转移支付、无提前下达及专项转移支付。</w:t>
      </w:r>
    </w:p>
    <w:p w14:paraId="262D0EC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ascii="Times New Roman" w:hAnsi="Times New Roman" w:eastAsia="楷体_GB2312" w:cs="Times New Roman"/>
          <w:b/>
          <w:bCs/>
          <w:color w:val="000000"/>
          <w:kern w:val="0"/>
          <w:sz w:val="32"/>
          <w:szCs w:val="32"/>
          <w:highlight w:val="none"/>
          <w:shd w:val="clear" w:color="auto" w:fill="FFFFFF"/>
          <w:lang w:val="en-US" w:eastAsia="zh-CN"/>
        </w:rPr>
        <w:t>结果应用</w:t>
      </w:r>
      <w:r>
        <w:rPr>
          <w:rFonts w:hint="default" w:ascii="Times New Roman" w:hAnsi="Times New Roman" w:eastAsia="楷体_GB2312" w:cs="Times New Roman"/>
          <w:b/>
          <w:bCs/>
          <w:color w:val="000000"/>
          <w:kern w:val="0"/>
          <w:sz w:val="32"/>
          <w:szCs w:val="32"/>
          <w:highlight w:val="none"/>
          <w:shd w:val="clear" w:color="auto" w:fill="FFFFFF"/>
          <w:lang w:val="zh-CN"/>
        </w:rPr>
        <w:t>情况</w:t>
      </w:r>
      <w:r>
        <w:rPr>
          <w:rFonts w:hint="default" w:ascii="Times New Roman" w:hAnsi="Times New Roman" w:eastAsia="楷体_GB2312" w:cs="Times New Roman"/>
          <w:b/>
          <w:bCs/>
          <w:color w:val="000000"/>
          <w:kern w:val="0"/>
          <w:sz w:val="32"/>
          <w:szCs w:val="32"/>
          <w:highlight w:val="none"/>
          <w:shd w:val="clear" w:color="auto" w:fill="FFFFFF"/>
          <w:lang w:val="zh-CN"/>
        </w:rPr>
        <w:tab/>
      </w:r>
    </w:p>
    <w:p w14:paraId="611AB09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1.预算管理指标</w:t>
      </w:r>
    </w:p>
    <w:p w14:paraId="4C9A7498">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年我部预算管理各项指标控制较好。</w:t>
      </w:r>
      <w:r>
        <w:rPr>
          <w:rFonts w:hint="eastAsia" w:ascii="Times New Roman" w:hAnsi="Times New Roman" w:eastAsia="仿宋_GB2312" w:cs="Times New Roman"/>
          <w:sz w:val="32"/>
          <w:szCs w:val="32"/>
          <w:highlight w:val="none"/>
          <w:lang w:val="en-US" w:eastAsia="zh-CN"/>
        </w:rPr>
        <w:t>2023年组织部机关运行经费支出94.77万元，较2022年机关运行经费81.72万元增加13.05万元，增长13.05万元，增长15.97%</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本年度人员较上年度增加，相应机关运行经费增加</w:t>
      </w:r>
      <w:r>
        <w:rPr>
          <w:rFonts w:hint="default" w:ascii="Times New Roman" w:hAnsi="Times New Roman" w:eastAsia="仿宋_GB2312" w:cs="Times New Roman"/>
          <w:sz w:val="32"/>
          <w:szCs w:val="32"/>
          <w:highlight w:val="none"/>
          <w:lang w:val="en-US" w:eastAsia="zh-CN"/>
        </w:rPr>
        <w:t>。</w:t>
      </w:r>
    </w:p>
    <w:p w14:paraId="645E6B4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2.规范管理部机关财务</w:t>
      </w:r>
    </w:p>
    <w:p w14:paraId="26EE8EB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年我部严格按文件要求执行，加强对差旅费、会议费、培训费等管理。按照船山区财政局印发《船山区</w:t>
      </w:r>
      <w:r>
        <w:rPr>
          <w:rFonts w:hint="eastAsia"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直机关差旅费管理办法》《船山区区直机关培训费管理办法》《船山区区直机关会议费管理办法》文件要求，严格公务差旅费、培训费、会议费报销管理。对违反文件规定的有关公务支出一律不予报销，较好</w:t>
      </w:r>
      <w:r>
        <w:rPr>
          <w:rFonts w:hint="eastAsia"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lang w:val="en-US" w:eastAsia="zh-CN"/>
        </w:rPr>
        <w:t>落实了有关文件规定的要求，进一步规范了部机关财务。</w:t>
      </w:r>
    </w:p>
    <w:p w14:paraId="056BE00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3.从严控制各项经费尤其是“三公”经费支出</w:t>
      </w:r>
    </w:p>
    <w:p w14:paraId="76FE2FF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highlight w:val="none"/>
          <w:lang w:val="en-US" w:eastAsia="zh-CN"/>
        </w:rPr>
        <w:t>突出重点工作和重点开支项目，大力压缩一般性支出。特别是对“三公”经费支出，更是按要求严格把关。公务用车严格执行定点维修、定点加油和定点保险，否则不予签字，有效控制了公务用车运行维护支出；对公务接待，严格执行党政机关公务接待有关规定及我区《公务接待管理办法》，严控接待人数及标准，公务接待费支出得到了进一步控制。</w:t>
      </w:r>
    </w:p>
    <w:p w14:paraId="3554550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（三）综合管理情况</w:t>
      </w:r>
    </w:p>
    <w:p w14:paraId="235ADF4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1.政府采购支出情况</w:t>
      </w:r>
    </w:p>
    <w:p w14:paraId="5F3F0A06">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年度，区委组织部政府采购支出总额</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万元，其中：政府采购货物支出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政府采购</w:t>
      </w:r>
      <w:r>
        <w:rPr>
          <w:rFonts w:hint="eastAsia" w:ascii="Times New Roman" w:hAnsi="Times New Roman" w:eastAsia="仿宋_GB2312" w:cs="Times New Roman"/>
          <w:sz w:val="32"/>
          <w:szCs w:val="32"/>
          <w:highlight w:val="none"/>
          <w:lang w:val="en-US" w:eastAsia="zh-CN"/>
        </w:rPr>
        <w:t>服务</w:t>
      </w:r>
      <w:r>
        <w:rPr>
          <w:rFonts w:hint="default" w:ascii="Times New Roman" w:hAnsi="Times New Roman" w:eastAsia="仿宋_GB2312" w:cs="Times New Roman"/>
          <w:sz w:val="32"/>
          <w:szCs w:val="32"/>
          <w:highlight w:val="none"/>
          <w:lang w:val="en-US" w:eastAsia="zh-CN"/>
        </w:rPr>
        <w:t>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w:t>
      </w:r>
    </w:p>
    <w:p w14:paraId="69C43AD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2.国有资产占有使用情况</w:t>
      </w:r>
    </w:p>
    <w:p w14:paraId="1F3278A1">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截至</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年12月31日，区委组织部共有车辆</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辆，其中：部级领导干部用车0辆、一般公务用车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辆、一般执法执勤用车0辆、特种专业技术用车0辆、其他用车0辆；单价50万元以上通用设备0台（套），单价100万元以上专用设备0台（套）。</w:t>
      </w:r>
    </w:p>
    <w:p w14:paraId="44AC9E5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3.20</w:t>
      </w:r>
      <w:r>
        <w:rPr>
          <w:rFonts w:hint="eastAsia" w:ascii="仿宋" w:hAnsi="仿宋" w:eastAsia="仿宋" w:cs="仿宋"/>
          <w:b/>
          <w:bCs/>
          <w:color w:val="000000" w:themeColor="text1"/>
          <w:sz w:val="32"/>
          <w:szCs w:val="32"/>
          <w:lang w:val="en-US" w:eastAsia="zh-CN"/>
          <w14:textFill>
            <w14:solidFill>
              <w14:schemeClr w14:val="tx1"/>
            </w14:solidFill>
          </w14:textFill>
        </w:rPr>
        <w:t>23</w:t>
      </w:r>
      <w:r>
        <w:rPr>
          <w:rFonts w:hint="default" w:ascii="仿宋" w:hAnsi="仿宋" w:eastAsia="仿宋" w:cs="仿宋"/>
          <w:b/>
          <w:bCs/>
          <w:color w:val="000000" w:themeColor="text1"/>
          <w:sz w:val="32"/>
          <w:szCs w:val="32"/>
          <w:lang w:val="en-US" w:eastAsia="zh-CN"/>
          <w14:textFill>
            <w14:solidFill>
              <w14:schemeClr w14:val="tx1"/>
            </w14:solidFill>
          </w14:textFill>
        </w:rPr>
        <w:t>年区委组织部无政府性债务、无非税收入</w:t>
      </w:r>
    </w:p>
    <w:p w14:paraId="4057B94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4.认真落实部门预决算公开工作</w:t>
      </w:r>
    </w:p>
    <w:p w14:paraId="073FE630">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按照统一要求和</w:t>
      </w:r>
      <w:r>
        <w:rPr>
          <w:rFonts w:hint="eastAsia" w:eastAsia="仿宋_GB2312" w:cs="Times New Roman"/>
          <w:sz w:val="32"/>
          <w:szCs w:val="32"/>
          <w:highlight w:val="none"/>
          <w:lang w:val="en-US" w:eastAsia="zh-CN"/>
        </w:rPr>
        <w:t>部</w:t>
      </w:r>
      <w:r>
        <w:rPr>
          <w:rFonts w:hint="default" w:ascii="Times New Roman" w:hAnsi="Times New Roman" w:eastAsia="仿宋_GB2312" w:cs="Times New Roman"/>
          <w:sz w:val="32"/>
          <w:szCs w:val="32"/>
          <w:highlight w:val="none"/>
          <w:lang w:val="en-US" w:eastAsia="zh-CN"/>
        </w:rPr>
        <w:t>署，我部在政府门户网站公开了</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年部门预决算和“三公”经费预决算，圆满完成了预决算公开工作。</w:t>
      </w:r>
    </w:p>
    <w:p w14:paraId="0316B08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方正仿宋简体" w:cs="Times New Roman"/>
          <w:b w:val="0"/>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5.总体绩效评价</w:t>
      </w:r>
    </w:p>
    <w:p w14:paraId="1A6D205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highlight w:val="none"/>
          <w:lang w:val="en-US" w:eastAsia="zh-CN"/>
        </w:rPr>
        <w:t>本部门对</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val="en-US" w:eastAsia="zh-CN"/>
        </w:rPr>
        <w:t>年一般公共预算项目支出开展了绩效目标管理，共编制绩效目标</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val="en-US" w:eastAsia="zh-CN"/>
        </w:rPr>
        <w:t>个，涉及财政资金</w:t>
      </w:r>
      <w:r>
        <w:rPr>
          <w:rFonts w:hint="eastAsia" w:ascii="Times New Roman" w:hAnsi="Times New Roman" w:eastAsia="仿宋_GB2312" w:cs="Times New Roman"/>
          <w:sz w:val="32"/>
          <w:szCs w:val="32"/>
          <w:highlight w:val="none"/>
          <w:lang w:val="en-US" w:eastAsia="zh-CN"/>
        </w:rPr>
        <w:t>1438.76</w:t>
      </w:r>
      <w:r>
        <w:rPr>
          <w:rFonts w:hint="default" w:ascii="Times New Roman" w:hAnsi="Times New Roman" w:eastAsia="仿宋_GB2312" w:cs="Times New Roman"/>
          <w:sz w:val="32"/>
          <w:szCs w:val="32"/>
          <w:highlight w:val="none"/>
          <w:lang w:val="en-US" w:eastAsia="zh-CN"/>
        </w:rPr>
        <w:t>万元，覆盖率达到</w:t>
      </w:r>
      <w:r>
        <w:rPr>
          <w:rFonts w:hint="eastAsia" w:ascii="Times New Roman" w:hAnsi="Times New Roman" w:eastAsia="仿宋_GB2312" w:cs="Times New Roman"/>
          <w:sz w:val="32"/>
          <w:szCs w:val="32"/>
          <w:highlight w:val="none"/>
          <w:lang w:val="en-US" w:eastAsia="zh-CN"/>
        </w:rPr>
        <w:t xml:space="preserve">100 </w:t>
      </w:r>
      <w:r>
        <w:rPr>
          <w:rFonts w:hint="default" w:ascii="Times New Roman" w:hAnsi="Times New Roman" w:eastAsia="仿宋_GB2312" w:cs="Times New Roman"/>
          <w:sz w:val="32"/>
          <w:szCs w:val="32"/>
          <w:highlight w:val="none"/>
          <w:lang w:val="en-US" w:eastAsia="zh-CN"/>
        </w:rPr>
        <w:t>%。</w:t>
      </w:r>
    </w:p>
    <w:p w14:paraId="396D40A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6.依法接受财政监督情况</w:t>
      </w:r>
    </w:p>
    <w:p w14:paraId="39B7C95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2022</w:t>
      </w:r>
      <w:r>
        <w:rPr>
          <w:rFonts w:hint="default" w:ascii="Times New Roman" w:hAnsi="Times New Roman" w:eastAsia="仿宋_GB2312" w:cs="Times New Roman"/>
          <w:sz w:val="32"/>
          <w:szCs w:val="32"/>
          <w:highlight w:val="none"/>
          <w:lang w:val="en-US" w:eastAsia="zh-CN"/>
        </w:rPr>
        <w:t>年区委组织部依法接受财政监督，完成预决算公开及审核、接受重点项目第三方现场绩效评价，依规完成其他需接受监督的工作。</w:t>
      </w:r>
    </w:p>
    <w:p w14:paraId="7C43FE8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（四）整体绩效</w:t>
      </w:r>
    </w:p>
    <w:p w14:paraId="64451D2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1.重点项目绩效评价结果</w:t>
      </w:r>
    </w:p>
    <w:p w14:paraId="0C4D9C79">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船山区将以宣传贯彻</w:t>
      </w:r>
      <w:r>
        <w:rPr>
          <w:rFonts w:hint="eastAsia" w:ascii="Times New Roman" w:hAnsi="Times New Roman" w:eastAsia="仿宋_GB2312" w:cs="Times New Roman"/>
          <w:color w:val="auto"/>
          <w:kern w:val="2"/>
          <w:sz w:val="32"/>
          <w:szCs w:val="32"/>
          <w:highlight w:val="none"/>
          <w:lang w:val="en-US" w:eastAsia="zh-CN" w:bidi="ar-SA"/>
        </w:rPr>
        <w:t>学习</w:t>
      </w:r>
      <w:r>
        <w:rPr>
          <w:rFonts w:hint="default" w:ascii="Times New Roman" w:hAnsi="Times New Roman" w:eastAsia="仿宋_GB2312" w:cs="Times New Roman"/>
          <w:color w:val="auto"/>
          <w:kern w:val="2"/>
          <w:sz w:val="32"/>
          <w:szCs w:val="32"/>
          <w:highlight w:val="none"/>
          <w:lang w:val="en-US" w:eastAsia="zh-CN" w:bidi="ar-SA"/>
        </w:rPr>
        <w:t>党的二十大精神作为主题主线，按照“坚定不移全面从严治党，深入推进新时代党的建设新的伟大工程”的总体要求，对照省委组织部明确的六项重点工作，持续抓好干部队伍、基层党建、优质人才重点工作，全力推动组织工作高质量发展。</w:t>
      </w:r>
    </w:p>
    <w:p w14:paraId="1F93BA9B">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是深入学习贯彻党的二十大精神。充分发挥组织动员能力和组织体系优势，推动各级党组织制定学习计划，确保第一时间将党的二十大精神学习传达到每个支部、每名党员。跟进实施党的二十大精神专题培训计划，分级举办主要领导干部读书班，开展科级以上领导干部集中轮训，分层分类对党员干部进行全员培训，切实把思想和行动统一到大会精神上来，激发奋进新征程、担当新使命的精神气象。</w:t>
      </w:r>
    </w:p>
    <w:p w14:paraId="6C94626C">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是着力锻造拼经济搞建设的中坚力量。践行新时代好干部标准，树立选人用人正确导向，聚焦拼经济搞建设，坚持拓宽渠道与源头储备并举，能力锤炼与实践锻炼并进，严管厚爱与激励约束并行，推动干部能上能下、能进能出，形成能者上、优者奖、庸者下、劣者汰的良好局面，有效激发各层面干部干事创业活力，为服务全区中心工作提供坚强的干部保障。</w:t>
      </w:r>
    </w:p>
    <w:p w14:paraId="77F93B25">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是抓牢抓实各领域基层党建。围绕完善上下贯通、执行有力的组织体系，持续建强基层战斗堡垒。大力开展基层党组织标准规范化建设，加强两新领域“两个覆盖”动态清零，推动全区各级各层各领域党建工作有形有魂。持续深化“三级联创”行动，探索推行“十户长”工作，重点做好三无小区治理，着力提升基层治理质效。深入实施5A级村党组织创建行动，加快党群服务中心改造提升，不断增强村党组织带动发展的能力。</w:t>
      </w:r>
    </w:p>
    <w:p w14:paraId="0E5E0408">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是全面激发人才创新活力。把多元优化人才生态作为人才工作破题晋位抓手，不断完善人才全链条服务体系，充分激发人才创新活力。建好平台载体，积极拓宽引才渠道，切实增强人才招引的驱动力，力争吸引更多高端人才落户船山。拓展巩固校地院企产学研合作，加强人才培育，做实人才引进“后半篇”文章。积极推动高端人才服务联盟组建，优化人才发展生态，全力打造一批主城区人才服务特色平台和活动品牌。</w:t>
      </w:r>
    </w:p>
    <w:p w14:paraId="1580DC08">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是持续做好老干部服务。加强老干部三项建设，引导老干部当好弘扬践行党的优良传统和社会主义核心价值观的宣传员、践行者。规范打造顺城社区、燕山社区等老党员工作室，推进“老党员工作室”党建品牌增点扩面、增效提质。严格落实“两项待遇”，坚持因人制宜、强化统筹联动，“一人一策”做好老干部管理服务，不断提升老干部的满意度和幸福感。</w:t>
      </w:r>
    </w:p>
    <w:p w14:paraId="49459066">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zh-CN" w:eastAsia="zh-CN" w:bidi="ar-SA"/>
        </w:rPr>
        <w:t>这些重点项目资金拨付及时到位，资金总额为</w:t>
      </w:r>
      <w:r>
        <w:rPr>
          <w:rFonts w:hint="eastAsia" w:ascii="Times New Roman" w:hAnsi="Times New Roman" w:eastAsia="仿宋_GB2312" w:cs="Times New Roman"/>
          <w:color w:val="auto"/>
          <w:kern w:val="2"/>
          <w:sz w:val="32"/>
          <w:szCs w:val="32"/>
          <w:highlight w:val="none"/>
          <w:lang w:val="en-US" w:eastAsia="zh-CN" w:bidi="ar-SA"/>
        </w:rPr>
        <w:t>1,495.74</w:t>
      </w:r>
      <w:r>
        <w:rPr>
          <w:rFonts w:hint="default" w:ascii="Times New Roman" w:hAnsi="Times New Roman" w:eastAsia="仿宋_GB2312" w:cs="Times New Roman"/>
          <w:color w:val="auto"/>
          <w:kern w:val="2"/>
          <w:sz w:val="32"/>
          <w:szCs w:val="32"/>
          <w:highlight w:val="none"/>
          <w:lang w:val="en-US" w:eastAsia="zh-CN" w:bidi="ar-SA"/>
        </w:rPr>
        <w:t>万元，按项目开展的时序进度拨付相关资金，重点项目产生良好的社会效益和人才效益。</w:t>
      </w:r>
    </w:p>
    <w:p w14:paraId="200465F3">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2.部门职能完成情况</w:t>
      </w:r>
    </w:p>
    <w:p w14:paraId="3D9C7DB5">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 w:eastAsia="zh-CN" w:bidi="ar-SA"/>
        </w:rPr>
      </w:pPr>
      <w:r>
        <w:rPr>
          <w:rFonts w:hint="default" w:ascii="Times New Roman" w:hAnsi="Times New Roman" w:eastAsia="楷体_GB2312" w:cs="Times New Roman"/>
          <w:sz w:val="32"/>
          <w:szCs w:val="32"/>
          <w:lang w:eastAsia="zh-CN"/>
        </w:rPr>
        <w:t>一是</w:t>
      </w:r>
      <w:r>
        <w:rPr>
          <w:rFonts w:hint="default" w:ascii="Times New Roman" w:hAnsi="Times New Roman" w:eastAsia="楷体_GB2312" w:cs="Times New Roman"/>
          <w:b w:val="0"/>
          <w:bCs w:val="0"/>
          <w:color w:val="000000"/>
          <w:kern w:val="0"/>
          <w:sz w:val="32"/>
          <w:szCs w:val="32"/>
          <w:highlight w:val="none"/>
          <w:shd w:val="clear" w:color="auto" w:fill="auto"/>
          <w:lang w:val="en-US" w:eastAsia="zh-CN" w:bidi="ar-SA"/>
        </w:rPr>
        <w:t>深入学习贯彻党的二十大精神。</w:t>
      </w:r>
      <w:r>
        <w:rPr>
          <w:rFonts w:hint="default" w:ascii="Times New Roman" w:hAnsi="Times New Roman" w:eastAsia="仿宋_GB2312" w:cs="Times New Roman"/>
          <w:color w:val="auto"/>
          <w:kern w:val="2"/>
          <w:sz w:val="32"/>
          <w:szCs w:val="32"/>
          <w:highlight w:val="none"/>
          <w:lang w:val="en-US" w:eastAsia="zh-CN" w:bidi="ar-SA"/>
        </w:rPr>
        <w:t>第一时间组织党员干部收听收看党的二十大开幕直播，围绕习近平总书记所作</w:t>
      </w:r>
      <w:r>
        <w:rPr>
          <w:rFonts w:hint="eastAsia" w:ascii="Times New Roman" w:hAnsi="Times New Roman" w:eastAsia="仿宋_GB2312" w:cs="Times New Roman"/>
          <w:color w:val="auto"/>
          <w:kern w:val="2"/>
          <w:sz w:val="32"/>
          <w:szCs w:val="32"/>
          <w:highlight w:val="none"/>
          <w:lang w:val="en-US" w:eastAsia="zh-CN" w:bidi="ar-SA"/>
        </w:rPr>
        <w:t>的</w:t>
      </w:r>
      <w:r>
        <w:rPr>
          <w:rFonts w:hint="default" w:ascii="Times New Roman" w:hAnsi="Times New Roman" w:eastAsia="仿宋_GB2312" w:cs="Times New Roman"/>
          <w:color w:val="auto"/>
          <w:kern w:val="2"/>
          <w:sz w:val="32"/>
          <w:szCs w:val="32"/>
          <w:highlight w:val="none"/>
          <w:lang w:val="en-US" w:eastAsia="zh-CN" w:bidi="ar-SA"/>
        </w:rPr>
        <w:t>报告进行学习讨论，迅速掀起学习党的二十大精神热潮。及时将学习</w:t>
      </w:r>
      <w:r>
        <w:rPr>
          <w:rFonts w:hint="eastAsia" w:ascii="Times New Roman" w:hAnsi="Times New Roman" w:eastAsia="仿宋_GB2312" w:cs="Times New Roman"/>
          <w:color w:val="auto"/>
          <w:kern w:val="2"/>
          <w:sz w:val="32"/>
          <w:szCs w:val="32"/>
          <w:highlight w:val="none"/>
          <w:lang w:val="en-US" w:eastAsia="zh-CN" w:bidi="ar-SA"/>
        </w:rPr>
        <w:t>党的</w:t>
      </w:r>
      <w:r>
        <w:rPr>
          <w:rFonts w:hint="default" w:ascii="Times New Roman" w:hAnsi="Times New Roman" w:eastAsia="仿宋_GB2312" w:cs="Times New Roman"/>
          <w:color w:val="auto"/>
          <w:kern w:val="2"/>
          <w:sz w:val="32"/>
          <w:szCs w:val="32"/>
          <w:highlight w:val="none"/>
          <w:lang w:val="en-US" w:eastAsia="zh-CN" w:bidi="ar-SA"/>
        </w:rPr>
        <w:t>二十大精神内容纳入</w:t>
      </w:r>
      <w:r>
        <w:rPr>
          <w:rFonts w:hint="default" w:ascii="Times New Roman" w:hAnsi="Times New Roman" w:eastAsia="仿宋_GB2312" w:cs="Times New Roman"/>
          <w:color w:val="auto"/>
          <w:kern w:val="2"/>
          <w:sz w:val="32"/>
          <w:szCs w:val="32"/>
          <w:highlight w:val="none"/>
          <w:lang w:val="en" w:eastAsia="zh-CN" w:bidi="ar-SA"/>
        </w:rPr>
        <w:t>理论学习中心组学习会、党委（党组）会、“三会一课”</w:t>
      </w:r>
      <w:r>
        <w:rPr>
          <w:rFonts w:hint="default" w:ascii="Times New Roman" w:hAnsi="Times New Roman" w:eastAsia="仿宋_GB2312" w:cs="Times New Roman"/>
          <w:color w:val="auto"/>
          <w:kern w:val="2"/>
          <w:sz w:val="32"/>
          <w:szCs w:val="32"/>
          <w:highlight w:val="none"/>
          <w:lang w:val="en-US" w:eastAsia="zh-CN" w:bidi="ar-SA"/>
        </w:rPr>
        <w:t>，开设“学习二十大 奋进新征程”宣传专版、学习专刊、课程专栏，确保将党的创新理论入脑入心、学深悟透。二是持续抓好教育培训。</w:t>
      </w:r>
      <w:r>
        <w:rPr>
          <w:rFonts w:hint="default" w:ascii="Times New Roman" w:hAnsi="Times New Roman" w:eastAsia="仿宋_GB2312" w:cs="Times New Roman"/>
          <w:color w:val="auto"/>
          <w:kern w:val="2"/>
          <w:sz w:val="32"/>
          <w:szCs w:val="32"/>
          <w:highlight w:val="none"/>
          <w:lang w:val="en" w:eastAsia="zh-CN" w:bidi="ar-SA"/>
        </w:rPr>
        <w:t>制定《202</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 w:eastAsia="zh-CN" w:bidi="ar-SA"/>
        </w:rPr>
        <w:t>年全区干部教育培训计划》，紧扣全区中心工作和干部成长需求，将培训计划细分为13大项45小项，综合运用理论授课、案例分享、互动交流等方式，聚焦关键少数，先后举办县级领导干部和科级主要负责同志读书班、年轻干部铸魂培训班，村（社区）党组织书记进修班等主</w:t>
      </w:r>
      <w:r>
        <w:rPr>
          <w:rFonts w:hint="eastAsia" w:ascii="Times New Roman" w:hAnsi="Times New Roman" w:eastAsia="仿宋_GB2312" w:cs="Times New Roman"/>
          <w:color w:val="auto"/>
          <w:kern w:val="2"/>
          <w:sz w:val="32"/>
          <w:szCs w:val="32"/>
          <w:highlight w:val="none"/>
          <w:lang w:val="en" w:eastAsia="zh-CN" w:bidi="ar-SA"/>
        </w:rPr>
        <w:t>题</w:t>
      </w:r>
      <w:r>
        <w:rPr>
          <w:rFonts w:hint="default" w:ascii="Times New Roman" w:hAnsi="Times New Roman" w:eastAsia="仿宋_GB2312" w:cs="Times New Roman"/>
          <w:color w:val="auto"/>
          <w:kern w:val="2"/>
          <w:sz w:val="32"/>
          <w:szCs w:val="32"/>
          <w:highlight w:val="none"/>
          <w:lang w:val="en" w:eastAsia="zh-CN" w:bidi="ar-SA"/>
        </w:rPr>
        <w:t>培训班次12期，培训干部1</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 w:eastAsia="zh-CN" w:bidi="ar-SA"/>
        </w:rPr>
        <w:t>00余人次。大力实施党建引领新时代基层干部培训行动计划，采用线上和线下相结合的培训方式，累计举办新时代基层干部主</w:t>
      </w:r>
      <w:r>
        <w:rPr>
          <w:rFonts w:hint="eastAsia" w:ascii="Times New Roman" w:hAnsi="Times New Roman" w:eastAsia="仿宋_GB2312" w:cs="Times New Roman"/>
          <w:color w:val="auto"/>
          <w:kern w:val="2"/>
          <w:sz w:val="32"/>
          <w:szCs w:val="32"/>
          <w:highlight w:val="none"/>
          <w:lang w:val="en" w:eastAsia="zh-CN" w:bidi="ar-SA"/>
        </w:rPr>
        <w:t>题</w:t>
      </w:r>
      <w:r>
        <w:rPr>
          <w:rFonts w:hint="default" w:ascii="Times New Roman" w:hAnsi="Times New Roman" w:eastAsia="仿宋_GB2312" w:cs="Times New Roman"/>
          <w:color w:val="auto"/>
          <w:kern w:val="2"/>
          <w:sz w:val="32"/>
          <w:szCs w:val="32"/>
          <w:highlight w:val="none"/>
          <w:lang w:val="en" w:eastAsia="zh-CN" w:bidi="ar-SA"/>
        </w:rPr>
        <w:t>培训班次24期，培训干部1921人次，全覆盖网络培训基层干部3698人次。</w:t>
      </w:r>
      <w:r>
        <w:rPr>
          <w:rFonts w:hint="default" w:ascii="Times New Roman" w:hAnsi="Times New Roman" w:eastAsia="仿宋_GB2312" w:cs="Times New Roman"/>
          <w:color w:val="auto"/>
          <w:kern w:val="2"/>
          <w:sz w:val="32"/>
          <w:szCs w:val="32"/>
          <w:highlight w:val="none"/>
          <w:lang w:val="en-US" w:eastAsia="zh-CN" w:bidi="ar-SA"/>
        </w:rPr>
        <w:t>三是不断丰富教育载体。</w:t>
      </w:r>
      <w:r>
        <w:rPr>
          <w:rFonts w:hint="default" w:ascii="Times New Roman" w:hAnsi="Times New Roman" w:eastAsia="仿宋_GB2312" w:cs="Times New Roman"/>
          <w:color w:val="auto"/>
          <w:kern w:val="2"/>
          <w:sz w:val="32"/>
          <w:szCs w:val="32"/>
          <w:highlight w:val="none"/>
          <w:lang w:val="en" w:eastAsia="zh-CN" w:bidi="ar-SA"/>
        </w:rPr>
        <w:t>大力</w:t>
      </w:r>
      <w:r>
        <w:rPr>
          <w:rFonts w:hint="default" w:ascii="Times New Roman" w:hAnsi="Times New Roman" w:eastAsia="仿宋_GB2312" w:cs="Times New Roman"/>
          <w:color w:val="auto"/>
          <w:kern w:val="2"/>
          <w:sz w:val="32"/>
          <w:szCs w:val="32"/>
          <w:highlight w:val="none"/>
          <w:lang w:val="en-US" w:eastAsia="zh-CN" w:bidi="ar-SA"/>
        </w:rPr>
        <w:t>实施“红色矩阵”工程，</w:t>
      </w:r>
      <w:r>
        <w:rPr>
          <w:rFonts w:hint="default" w:ascii="Times New Roman" w:hAnsi="Times New Roman" w:eastAsia="仿宋_GB2312" w:cs="Times New Roman"/>
          <w:color w:val="auto"/>
          <w:kern w:val="2"/>
          <w:sz w:val="32"/>
          <w:szCs w:val="32"/>
          <w:highlight w:val="none"/>
          <w:lang w:val="en" w:eastAsia="zh-CN" w:bidi="ar-SA"/>
        </w:rPr>
        <w:t>加快推进中共遂蓬南中心县委旧址文物修缮，联线打造凤凰村党员教育阵地，精心研发“凤凰湖畔话振兴”“遂蓬南革命史”等精品课程9个，不断增强培训教育的有效性和针对性。</w:t>
      </w:r>
      <w:r>
        <w:rPr>
          <w:rFonts w:hint="default" w:ascii="Times New Roman" w:hAnsi="Times New Roman" w:eastAsia="仿宋_GB2312" w:cs="Times New Roman"/>
          <w:color w:val="auto"/>
          <w:kern w:val="2"/>
          <w:sz w:val="32"/>
          <w:szCs w:val="32"/>
          <w:highlight w:val="none"/>
          <w:lang w:val="en-US" w:eastAsia="zh-CN" w:bidi="ar-SA"/>
        </w:rPr>
        <w:t>开展</w:t>
      </w:r>
      <w:r>
        <w:rPr>
          <w:rFonts w:hint="default" w:ascii="Times New Roman" w:hAnsi="Times New Roman" w:eastAsia="仿宋_GB2312" w:cs="Times New Roman"/>
          <w:color w:val="auto"/>
          <w:kern w:val="2"/>
          <w:sz w:val="32"/>
          <w:szCs w:val="32"/>
          <w:highlight w:val="none"/>
          <w:lang w:val="zh-CN" w:eastAsia="zh-CN" w:bidi="ar-SA"/>
        </w:rPr>
        <w:t>“学</w:t>
      </w:r>
      <w:r>
        <w:rPr>
          <w:rFonts w:hint="default" w:ascii="Times New Roman" w:hAnsi="Times New Roman" w:eastAsia="仿宋_GB2312" w:cs="Times New Roman"/>
          <w:color w:val="auto"/>
          <w:kern w:val="2"/>
          <w:sz w:val="32"/>
          <w:szCs w:val="32"/>
          <w:highlight w:val="none"/>
          <w:lang w:val="en-US" w:eastAsia="zh-CN" w:bidi="ar-SA"/>
        </w:rPr>
        <w:t>习</w:t>
      </w:r>
      <w:r>
        <w:rPr>
          <w:rFonts w:hint="eastAsia" w:ascii="Times New Roman" w:hAnsi="Times New Roman" w:eastAsia="仿宋_GB2312" w:cs="Times New Roman"/>
          <w:color w:val="auto"/>
          <w:kern w:val="2"/>
          <w:sz w:val="32"/>
          <w:szCs w:val="32"/>
          <w:highlight w:val="none"/>
          <w:lang w:val="en-US" w:eastAsia="zh-CN" w:bidi="ar-SA"/>
        </w:rPr>
        <w:t>党的</w:t>
      </w:r>
      <w:r>
        <w:rPr>
          <w:rFonts w:hint="default" w:ascii="Times New Roman" w:hAnsi="Times New Roman" w:eastAsia="仿宋_GB2312" w:cs="Times New Roman"/>
          <w:color w:val="auto"/>
          <w:kern w:val="2"/>
          <w:sz w:val="32"/>
          <w:szCs w:val="32"/>
          <w:highlight w:val="none"/>
          <w:lang w:val="en-US" w:eastAsia="zh-CN" w:bidi="ar-SA"/>
        </w:rPr>
        <w:t>二十大精神·万场微党课进支部</w:t>
      </w:r>
      <w:r>
        <w:rPr>
          <w:rFonts w:hint="default" w:ascii="Times New Roman" w:hAnsi="Times New Roman" w:eastAsia="仿宋_GB2312" w:cs="Times New Roman"/>
          <w:color w:val="auto"/>
          <w:kern w:val="2"/>
          <w:sz w:val="32"/>
          <w:szCs w:val="32"/>
          <w:highlight w:val="none"/>
          <w:lang w:val="en" w:eastAsia="zh-CN" w:bidi="ar-SA"/>
        </w:rPr>
        <w:t>”</w:t>
      </w:r>
      <w:r>
        <w:rPr>
          <w:rFonts w:hint="default" w:ascii="Times New Roman" w:hAnsi="Times New Roman" w:eastAsia="仿宋_GB2312" w:cs="Times New Roman"/>
          <w:color w:val="auto"/>
          <w:kern w:val="2"/>
          <w:sz w:val="32"/>
          <w:szCs w:val="32"/>
          <w:highlight w:val="none"/>
          <w:lang w:val="en-US" w:eastAsia="zh-CN" w:bidi="ar-SA"/>
        </w:rPr>
        <w:t>活动，用</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接地气</w:t>
      </w:r>
      <w:r>
        <w:rPr>
          <w:rFonts w:hint="default" w:ascii="Times New Roman" w:hAnsi="Times New Roman" w:eastAsia="仿宋_GB2312" w:cs="Times New Roman"/>
          <w:color w:val="auto"/>
          <w:kern w:val="2"/>
          <w:sz w:val="32"/>
          <w:szCs w:val="32"/>
          <w:highlight w:val="none"/>
          <w:lang w:val="en" w:eastAsia="zh-CN" w:bidi="ar-SA"/>
        </w:rPr>
        <w:t>”</w:t>
      </w:r>
      <w:r>
        <w:rPr>
          <w:rFonts w:hint="default" w:ascii="Times New Roman" w:hAnsi="Times New Roman" w:eastAsia="仿宋_GB2312" w:cs="Times New Roman"/>
          <w:color w:val="auto"/>
          <w:kern w:val="2"/>
          <w:sz w:val="32"/>
          <w:szCs w:val="32"/>
          <w:highlight w:val="none"/>
          <w:lang w:val="en-US" w:eastAsia="zh-CN" w:bidi="ar-SA"/>
        </w:rPr>
        <w:t>的方式，把党的二十大声音传到</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田间地头</w:t>
      </w:r>
      <w:r>
        <w:rPr>
          <w:rFonts w:hint="default" w:ascii="Times New Roman" w:hAnsi="Times New Roman" w:eastAsia="仿宋_GB2312" w:cs="Times New Roman"/>
          <w:color w:val="auto"/>
          <w:kern w:val="2"/>
          <w:sz w:val="32"/>
          <w:szCs w:val="32"/>
          <w:highlight w:val="none"/>
          <w:lang w:val="en" w:eastAsia="zh-CN" w:bidi="ar-SA"/>
        </w:rPr>
        <w:t>”</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工厂车间</w:t>
      </w:r>
      <w:r>
        <w:rPr>
          <w:rFonts w:hint="default" w:ascii="Times New Roman" w:hAnsi="Times New Roman" w:eastAsia="仿宋_GB2312" w:cs="Times New Roman"/>
          <w:color w:val="auto"/>
          <w:kern w:val="2"/>
          <w:sz w:val="32"/>
          <w:szCs w:val="32"/>
          <w:highlight w:val="none"/>
          <w:lang w:val="en" w:eastAsia="zh-CN" w:bidi="ar-SA"/>
        </w:rPr>
        <w:t>”</w:t>
      </w:r>
      <w:r>
        <w:rPr>
          <w:rFonts w:hint="default" w:ascii="Times New Roman" w:hAnsi="Times New Roman" w:eastAsia="仿宋_GB2312" w:cs="Times New Roman"/>
          <w:color w:val="auto"/>
          <w:kern w:val="2"/>
          <w:sz w:val="32"/>
          <w:szCs w:val="32"/>
          <w:highlight w:val="none"/>
          <w:lang w:val="en-US" w:eastAsia="zh-CN" w:bidi="ar-SA"/>
        </w:rPr>
        <w:t>，引导全区广大干部群众不断深化对新时代新征程党的使命任务的认识，切实为船山经济社会发展凝心聚力。</w:t>
      </w:r>
    </w:p>
    <w:p w14:paraId="2FC5C4F2">
      <w:pPr>
        <w:pStyle w:val="29"/>
        <w:keepNext w:val="0"/>
        <w:keepLines w:val="0"/>
        <w:pageBreakBefore w:val="0"/>
        <w:widowControl w:val="0"/>
        <w:numPr>
          <w:ilvl w:val="0"/>
          <w:numId w:val="0"/>
        </w:numPr>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是全力拼经济搞建设。</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color w:val="auto"/>
          <w:kern w:val="2"/>
          <w:sz w:val="32"/>
          <w:szCs w:val="32"/>
          <w:highlight w:val="none"/>
          <w:lang w:val="en-US" w:eastAsia="zh-CN" w:bidi="ar-SA"/>
        </w:rPr>
        <w:t>面落实区委“拼经济搞建设”部署要求，推动优秀干部主动担当、一线攻坚。落实“揭榜挂帅”工作制度，选派35名优秀干部“揭榜”下沉经济建设一线，全面做好为企服务工作，助力12个重点项目</w:t>
      </w:r>
      <w:r>
        <w:rPr>
          <w:rFonts w:hint="eastAsia" w:ascii="Times New Roman" w:hAnsi="Times New Roman" w:eastAsia="仿宋_GB2312" w:cs="Times New Roman"/>
          <w:color w:val="auto"/>
          <w:kern w:val="2"/>
          <w:sz w:val="32"/>
          <w:szCs w:val="32"/>
          <w:highlight w:val="none"/>
          <w:lang w:val="en-US" w:eastAsia="zh-CN" w:bidi="ar-SA"/>
        </w:rPr>
        <w:t>加快</w:t>
      </w:r>
      <w:r>
        <w:rPr>
          <w:rFonts w:hint="default" w:ascii="Times New Roman" w:hAnsi="Times New Roman" w:eastAsia="仿宋_GB2312" w:cs="Times New Roman"/>
          <w:color w:val="auto"/>
          <w:kern w:val="2"/>
          <w:sz w:val="32"/>
          <w:szCs w:val="32"/>
          <w:highlight w:val="none"/>
          <w:lang w:val="en-US" w:eastAsia="zh-CN" w:bidi="ar-SA"/>
        </w:rPr>
        <w:t>推进，为高效统筹疫情防控和经济社会发展提供坚强组织保障。二是全力防疫情守家园。面对今年“3.30”“9.20”两次疫情</w:t>
      </w:r>
      <w:r>
        <w:rPr>
          <w:rFonts w:hint="eastAsia" w:ascii="Times New Roman" w:hAnsi="Times New Roman" w:eastAsia="仿宋_GB2312" w:cs="Times New Roman"/>
          <w:color w:val="auto"/>
          <w:kern w:val="2"/>
          <w:sz w:val="32"/>
          <w:szCs w:val="32"/>
          <w:highlight w:val="none"/>
          <w:lang w:val="en-US" w:eastAsia="zh-CN" w:bidi="ar-SA"/>
        </w:rPr>
        <w:t>暴</w:t>
      </w:r>
      <w:r>
        <w:rPr>
          <w:rFonts w:hint="default" w:ascii="Times New Roman" w:hAnsi="Times New Roman" w:eastAsia="仿宋_GB2312" w:cs="Times New Roman"/>
          <w:color w:val="auto"/>
          <w:kern w:val="2"/>
          <w:sz w:val="32"/>
          <w:szCs w:val="32"/>
          <w:highlight w:val="none"/>
          <w:lang w:val="en-US" w:eastAsia="zh-CN" w:bidi="ar-SA"/>
        </w:rPr>
        <w:t>发，第一时间发布倡议书，动员全区744个基层党组织1.6万余名党员迅速集结，开展“防疫一线红旗飘、党员先行当尖刀”行动，发动1200余名机关事业单位党员干部下沉一线参与疫情防控，组建临时党支部33个、党员先锋队和志愿服务队210支。出台《船山区激励广大党员干部人才在疫情防控一线担当作为的七条措施》，激励干部“疫线担当”，125名科级及以上领导担任微网格点长，39名优秀后备干部进驻高风险区，真正做到疫情防控任务延伸到哪里，党的组织和党的工作就覆盖到哪里。三是全力战高温保生产。面对今夏连续高温、用电紧张的问题，开展党员“亮身份、亮承诺、亮成绩”行动，组建79支党员先锋队伍下沉一线，集中开展保电保水、抗旱助农、森林防火、安全生产各项工作，切实为群众排忧解难，让党旗高高飘扬在基层一线。开展党员志愿者“夏日送清凉”活动，依托党员先锋驿站，为一线劳作的工人提供歇脚休息、饮水纳凉、手机充电等服务设施，为大家撑起清凉伞，筑牢补给站。</w:t>
      </w:r>
    </w:p>
    <w:p w14:paraId="519B9C77">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是提升干部选任精准度。</w:t>
      </w:r>
      <w:r>
        <w:rPr>
          <w:rFonts w:hint="default" w:ascii="Times New Roman" w:hAnsi="Times New Roman" w:eastAsia="仿宋_GB2312" w:cs="Times New Roman"/>
          <w:color w:val="auto"/>
          <w:kern w:val="2"/>
          <w:sz w:val="32"/>
          <w:szCs w:val="32"/>
          <w:highlight w:val="none"/>
          <w:lang w:val="en-US" w:eastAsia="zh-CN" w:bidi="ar-SA"/>
        </w:rPr>
        <w:t>坚持把干部政治素质考察摆在首位，进一步细化考察类别、具体举措，“一人一档”建立政治素质档案，“一人一策”强化政治监督，结合全覆盖谈心谈话、正反测评、走访调研、定期家访等方式，了解干部台上台下、人前人后的真实表现，切实画好干部“全息画像”。鲜明以干成之事评价干事之人的用人导向，打破干部提拔定向思维，不唯年龄、不唯资历，注重以实干考量、用实绩说话，通过“蹲点式调研”“嵌入式考察”等方式，记录干部在拼经济搞建设、疫情防控等</w:t>
      </w:r>
      <w:r>
        <w:rPr>
          <w:rFonts w:hint="eastAsia" w:ascii="Times New Roman" w:hAnsi="Times New Roman" w:eastAsia="仿宋_GB2312" w:cs="Times New Roman"/>
          <w:color w:val="auto"/>
          <w:kern w:val="2"/>
          <w:sz w:val="32"/>
          <w:szCs w:val="32"/>
          <w:highlight w:val="none"/>
          <w:lang w:val="en-US" w:eastAsia="zh-CN" w:bidi="ar-SA"/>
        </w:rPr>
        <w:t>急难险重任务中</w:t>
      </w:r>
      <w:r>
        <w:rPr>
          <w:rFonts w:hint="default" w:ascii="Times New Roman" w:hAnsi="Times New Roman" w:eastAsia="仿宋_GB2312" w:cs="Times New Roman"/>
          <w:color w:val="auto"/>
          <w:kern w:val="2"/>
          <w:sz w:val="32"/>
          <w:szCs w:val="32"/>
          <w:highlight w:val="none"/>
          <w:lang w:val="en-US" w:eastAsia="zh-CN" w:bidi="ar-SA"/>
        </w:rPr>
        <w:t>的政治表现，提拔表现优秀、实绩突出的干部65名。二是增强干部培养针对性。实施年轻干部“薪火</w:t>
      </w:r>
      <w:r>
        <w:rPr>
          <w:rFonts w:hint="eastAsia" w:ascii="Times New Roman" w:hAnsi="Times New Roman" w:eastAsia="仿宋_GB2312" w:cs="Times New Roman"/>
          <w:color w:val="auto"/>
          <w:kern w:val="2"/>
          <w:sz w:val="32"/>
          <w:szCs w:val="32"/>
          <w:highlight w:val="none"/>
          <w:lang w:val="en-US" w:eastAsia="zh-CN" w:bidi="ar-SA"/>
        </w:rPr>
        <w:t>传</w:t>
      </w:r>
      <w:r>
        <w:rPr>
          <w:rFonts w:hint="default" w:ascii="Times New Roman" w:hAnsi="Times New Roman" w:eastAsia="仿宋_GB2312" w:cs="Times New Roman"/>
          <w:color w:val="auto"/>
          <w:kern w:val="2"/>
          <w:sz w:val="32"/>
          <w:szCs w:val="32"/>
          <w:highlight w:val="none"/>
          <w:lang w:val="en-US" w:eastAsia="zh-CN" w:bidi="ar-SA"/>
        </w:rPr>
        <w:t>承”培养工程，健全干部人才“332”发现机制，动态发现掌握优秀年轻干部156名。建立“双导师帮带”机制，为新入职的38名年轻干部配备政治、业务“双导师”66名，助力年轻干部快速成长。创新设立年轻干部“骏马奖”“黄牛奖”，强化正面引领作用，常态化举办年轻干部微论坛，通过专题研讨、互动交流等方式，让广大年轻干部受锻炼、得提高、长本领。实施“纵横历练”计划，建立“压担式”实践锻炼机制，持续选派年轻干部到重点岗位跟班学习，参与重点项目工作，不断锤炼年轻干部综合能力。换届以来，累计选派114名干部到急难险重岗位进行实践锻炼，选派37名选调生到村任职。三是激发干事创业新活力。注重正向激励，坚持把平时考核、年度考核结果与干部提拔任用、交流调整、职级晋升、表彰奖励等相结合，切实发挥年度考核的导向和激励作用。统筹全区职务职数，推动激励政策向乡镇</w:t>
      </w:r>
      <w:r>
        <w:rPr>
          <w:rFonts w:hint="eastAsia" w:ascii="Times New Roman" w:hAnsi="Times New Roman" w:eastAsia="仿宋_GB2312" w:cs="Times New Roman"/>
          <w:color w:val="auto"/>
          <w:kern w:val="2"/>
          <w:sz w:val="32"/>
          <w:szCs w:val="32"/>
          <w:highlight w:val="none"/>
          <w:lang w:val="en-US" w:eastAsia="zh-CN" w:bidi="ar-SA"/>
        </w:rPr>
        <w:t>（街道）</w:t>
      </w:r>
      <w:r>
        <w:rPr>
          <w:rFonts w:hint="default" w:ascii="Times New Roman" w:hAnsi="Times New Roman" w:eastAsia="仿宋_GB2312" w:cs="Times New Roman"/>
          <w:color w:val="auto"/>
          <w:kern w:val="2"/>
          <w:sz w:val="32"/>
          <w:szCs w:val="32"/>
          <w:highlight w:val="none"/>
          <w:lang w:val="en-US" w:eastAsia="zh-CN" w:bidi="ar-SA"/>
        </w:rPr>
        <w:t>倾斜，引导干部合理流动，充分调动基层一线公务员队伍积极性。大力推动干部能上能下，将关键时候经不住考验、敷衍塞责甚至临阵退缩等情况纳入“下”的情形，结合“排整提”专项行动，查处作风问题55件，处理158人。探索建立年轻干部廉洁从政“红黄双色”预警机制，建立年轻干部负面行为清单，实行“五方会诊”，跟踪掌握思想动态、工作状态。今年以来，谈话提醒13名“黄色预警”干部，3名“红色预警”干部调出后备干部库。全面加强领导干部八小时外监督管理，引导领导干部进一步规范社交圈生活圈，切实营造风清气正的政治生态。</w:t>
      </w:r>
    </w:p>
    <w:p w14:paraId="478FBF07">
      <w:pPr>
        <w:pStyle w:val="29"/>
        <w:keepNext w:val="0"/>
        <w:keepLines w:val="0"/>
        <w:pageBreakBefore w:val="0"/>
        <w:widowControl w:val="0"/>
        <w:numPr>
          <w:ilvl w:val="0"/>
          <w:numId w:val="0"/>
        </w:numPr>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是推进各领域基层党建提质增效。</w:t>
      </w:r>
      <w:r>
        <w:rPr>
          <w:rFonts w:hint="default" w:ascii="Times New Roman" w:hAnsi="Times New Roman" w:eastAsia="仿宋_GB2312" w:cs="Times New Roman"/>
          <w:color w:val="auto"/>
          <w:kern w:val="2"/>
          <w:sz w:val="32"/>
          <w:szCs w:val="32"/>
          <w:highlight w:val="none"/>
          <w:lang w:val="en-US" w:eastAsia="zh-CN" w:bidi="ar-SA"/>
        </w:rPr>
        <w:t>全面压实党建工作责任，组织召开组织工作月例会，定期研究推进各领域党建工作，抓实开展乡镇（街道）党（工）委书记党建政绩考核竞进拉练，督促领导干部把责任扛在肩上，把工作抓在手中。推行街道“大工委”和社区“大党委”制，吸纳公安、城管、住建、非公企业和社会组织等</w:t>
      </w:r>
      <w:r>
        <w:rPr>
          <w:rFonts w:hint="eastAsia" w:ascii="Times New Roman" w:hAnsi="Times New Roman" w:eastAsia="仿宋_GB2312" w:cs="Times New Roman"/>
          <w:color w:val="auto"/>
          <w:kern w:val="2"/>
          <w:sz w:val="32"/>
          <w:szCs w:val="32"/>
          <w:highlight w:val="none"/>
          <w:lang w:val="en-US" w:eastAsia="zh-CN" w:bidi="ar-SA"/>
        </w:rPr>
        <w:t>行业领域</w:t>
      </w:r>
      <w:r>
        <w:rPr>
          <w:rFonts w:hint="default" w:ascii="Times New Roman" w:hAnsi="Times New Roman" w:eastAsia="仿宋_GB2312" w:cs="Times New Roman"/>
          <w:color w:val="auto"/>
          <w:kern w:val="2"/>
          <w:sz w:val="32"/>
          <w:szCs w:val="32"/>
          <w:highlight w:val="none"/>
          <w:lang w:val="en-US" w:eastAsia="zh-CN" w:bidi="ar-SA"/>
        </w:rPr>
        <w:t>72名党员担任兼职委员，36个社区党委书记、居委会主任“一肩挑”比例达100%。推行发展党员“基层党支部+党（工）委+区委组织部”三级预审机制，明确基层党（工）委每半年对拟确定为“</w:t>
      </w:r>
      <w:r>
        <w:rPr>
          <w:rFonts w:hint="eastAsia" w:ascii="Times New Roman" w:hAnsi="Times New Roman" w:eastAsia="仿宋_GB2312" w:cs="Times New Roman"/>
          <w:color w:val="auto"/>
          <w:kern w:val="2"/>
          <w:sz w:val="32"/>
          <w:szCs w:val="32"/>
          <w:highlight w:val="none"/>
          <w:lang w:val="en-US" w:eastAsia="zh-CN" w:bidi="ar-SA"/>
        </w:rPr>
        <w:t>党员发展</w:t>
      </w:r>
      <w:r>
        <w:rPr>
          <w:rFonts w:hint="default" w:ascii="Times New Roman" w:hAnsi="Times New Roman" w:eastAsia="仿宋_GB2312" w:cs="Times New Roman"/>
          <w:color w:val="auto"/>
          <w:kern w:val="2"/>
          <w:sz w:val="32"/>
          <w:szCs w:val="32"/>
          <w:highlight w:val="none"/>
          <w:lang w:val="en-US" w:eastAsia="zh-CN" w:bidi="ar-SA"/>
        </w:rPr>
        <w:t>对象”的入党积极分子开展“前置审查”，发展党员程序更加规范。持续开展基层党组织“查问题、补短板、提质效”规范化建设和清查突出问题规范党务工作专项行动，221个问题实现整改清零。深入开展新兴行业党组织建设“百日攻坚”行动，及时清理不符合党建条件的两新组织2081家，推动27家两新企业建立党组织。统筹交运局、经科局等部门，组建区交通行业党委、区科技创新综合党委等4个行业党委，增强党建指导力度，切实推动各行业党建工作实化强化。出台《关于试点推行学校党组织领导的校长负责制的工作方案（试行）》，在高升实验小学和顺南街小学2所集团校先行试点学校党组织领导的校长负责制，全面提升现代学校治理能力。二是提升党建引领基层治理成效。扎实抓好城市基层治理示范“三级联创”行动，有序推进2个“五好”街道、5个“五好”社区、50个“五好”小区创建评选工作，加快形成示范体系。持续深化“红心船情·五色治理”党建品牌创建行动，打造“犀牛老街”，建成“智慧+”社区治理平台，推动实现“一屏观街区、一网管全域、一键解民忧”。精心编制“船山区红心船情·五色治理示范案例汇编”，加强对首批命名的黄家湾新村、广电小区等10个示范</w:t>
      </w:r>
      <w:r>
        <w:rPr>
          <w:rFonts w:hint="eastAsia" w:ascii="Times New Roman" w:hAnsi="Times New Roman" w:eastAsia="仿宋_GB2312" w:cs="Times New Roman"/>
          <w:color w:val="auto"/>
          <w:kern w:val="2"/>
          <w:sz w:val="32"/>
          <w:szCs w:val="32"/>
          <w:highlight w:val="none"/>
          <w:lang w:val="en-US" w:eastAsia="zh-CN" w:bidi="ar-SA"/>
        </w:rPr>
        <w:t>点位</w:t>
      </w:r>
      <w:r>
        <w:rPr>
          <w:rFonts w:hint="default" w:ascii="Times New Roman" w:hAnsi="Times New Roman" w:eastAsia="仿宋_GB2312" w:cs="Times New Roman"/>
          <w:color w:val="auto"/>
          <w:kern w:val="2"/>
          <w:sz w:val="32"/>
          <w:szCs w:val="32"/>
          <w:highlight w:val="none"/>
          <w:lang w:val="en-US" w:eastAsia="zh-CN" w:bidi="ar-SA"/>
        </w:rPr>
        <w:t>宣传报道，以点带面推动基层治理全面提质、全面过硬。探索“拆墙并院”三无小区治理新模式，将介福路东路98号、明康医院宿舍等相邻小区融为一体，推动管理“化零为整”，打通老旧小区“内循环”。构建“联区包户”工作机制，将全区所有小区网格细分为542个小微区域，结合“红心船情·五色治理”帮带先锋行动，选派1098名机关干部主动包联，常态化服务小微区域内8万余户居民。积极探索社</w:t>
      </w:r>
      <w:r>
        <w:rPr>
          <w:rFonts w:hint="eastAsia" w:ascii="Times New Roman" w:hAnsi="Times New Roman" w:eastAsia="仿宋_GB2312" w:cs="Times New Roman"/>
          <w:color w:val="auto"/>
          <w:kern w:val="2"/>
          <w:sz w:val="32"/>
          <w:szCs w:val="32"/>
          <w:highlight w:val="none"/>
          <w:lang w:val="en-US" w:eastAsia="zh-CN" w:bidi="ar-SA"/>
        </w:rPr>
        <w:t>会</w:t>
      </w:r>
      <w:r>
        <w:rPr>
          <w:rFonts w:hint="default" w:ascii="Times New Roman" w:hAnsi="Times New Roman" w:eastAsia="仿宋_GB2312" w:cs="Times New Roman"/>
          <w:color w:val="auto"/>
          <w:kern w:val="2"/>
          <w:sz w:val="32"/>
          <w:szCs w:val="32"/>
          <w:highlight w:val="none"/>
          <w:lang w:val="en-US" w:eastAsia="zh-CN" w:bidi="ar-SA"/>
        </w:rPr>
        <w:t>经济试点，成立船山区首家社区企业，通过“社企”合作，引进华西二院医疗资源，丰富完善为民服务功能，实现社</w:t>
      </w:r>
      <w:r>
        <w:rPr>
          <w:rFonts w:hint="eastAsia" w:ascii="Times New Roman" w:hAnsi="Times New Roman" w:eastAsia="仿宋_GB2312" w:cs="Times New Roman"/>
          <w:color w:val="auto"/>
          <w:kern w:val="2"/>
          <w:sz w:val="32"/>
          <w:szCs w:val="32"/>
          <w:highlight w:val="none"/>
          <w:lang w:val="en-US" w:eastAsia="zh-CN" w:bidi="ar-SA"/>
        </w:rPr>
        <w:t>会</w:t>
      </w:r>
      <w:r>
        <w:rPr>
          <w:rFonts w:hint="default" w:ascii="Times New Roman" w:hAnsi="Times New Roman" w:eastAsia="仿宋_GB2312" w:cs="Times New Roman"/>
          <w:color w:val="auto"/>
          <w:kern w:val="2"/>
          <w:sz w:val="32"/>
          <w:szCs w:val="32"/>
          <w:highlight w:val="none"/>
          <w:lang w:val="en-US" w:eastAsia="zh-CN" w:bidi="ar-SA"/>
        </w:rPr>
        <w:t>经济实体化运作。三是大力推动抓党建促乡村振兴。实施“五强”联村党委培育计划，依托猪八戒乐园规划，新组建响堂村、金井村、桂郪村、翰林村联村党委，启动建设桂花镇桂郪村区域性联村党群服务中心，有力推进片区发展提速提质。</w:t>
      </w:r>
      <w:r>
        <w:rPr>
          <w:rFonts w:hint="default" w:ascii="Times New Roman" w:hAnsi="Times New Roman" w:eastAsia="仿宋_GB2312" w:cs="Times New Roman"/>
          <w:color w:val="auto"/>
          <w:kern w:val="2"/>
          <w:sz w:val="32"/>
          <w:szCs w:val="32"/>
          <w:highlight w:val="none"/>
          <w:lang w:val="en" w:eastAsia="zh-CN" w:bidi="ar-SA"/>
        </w:rPr>
        <w:t>落实发展村级集体经济十条措施，成立乡镇村集体经济发展指导中心，组建</w:t>
      </w:r>
      <w:r>
        <w:rPr>
          <w:rFonts w:hint="default" w:ascii="Times New Roman" w:hAnsi="Times New Roman" w:eastAsia="仿宋_GB2312" w:cs="Times New Roman"/>
          <w:color w:val="auto"/>
          <w:kern w:val="2"/>
          <w:sz w:val="32"/>
          <w:szCs w:val="32"/>
          <w:highlight w:val="none"/>
          <w:lang w:val="en-US" w:eastAsia="zh-CN" w:bidi="ar-SA"/>
        </w:rPr>
        <w:t>凤凰村联村集体经济有限责任公司，集中连片打造生态粮油、水果基地2000余亩，今年以来，吸纳500余人就近就业，带动人均增收3000元，公司获取服务收益7万余元。深化“两库两引”机制，面向社会招聘7名“职业经理”，全职发展村集体经济，力争年底20%的村集体经济年经营性收入达10万元以上。</w:t>
      </w:r>
    </w:p>
    <w:p w14:paraId="1B098055">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val="en-US" w:eastAsia="zh-CN"/>
        </w:rPr>
        <w:t>是拓渠道优政策。</w:t>
      </w:r>
      <w:r>
        <w:rPr>
          <w:rFonts w:hint="default" w:ascii="Times New Roman" w:hAnsi="Times New Roman" w:eastAsia="仿宋_GB2312" w:cs="Times New Roman"/>
          <w:color w:val="auto"/>
          <w:kern w:val="2"/>
          <w:sz w:val="32"/>
          <w:szCs w:val="32"/>
          <w:highlight w:val="none"/>
          <w:lang w:val="en-US" w:eastAsia="zh-CN" w:bidi="ar-SA"/>
        </w:rPr>
        <w:t>深入实施“八大工程”，研究制定“1+4+N”人才工作方案、高层次和急需紧缺人才分类目录，在北京建立“船山区驻京人才工作站”，推动前置引才关口，引进急需紧缺人才36名。紧扣“乡情纽带”，举办寒暑两期“返家乡”实践活动，开展乡村振兴调研大赛，累计吸引400余名大学生踊跃报名，收到调研报告30份。成功承办2022川渝创业项目推介会暨潼船创业项目投融资线上对接会，引导在外人才带项目、带资金、带技术返乡创业就业。二是建平台育人才。拓展巩固校地院企产学研合作，与省农科院共建生物治理重点实验室，挂牌成立“国家水稻产业技术体系</w:t>
      </w:r>
      <w:r>
        <w:rPr>
          <w:rFonts w:hint="eastAsia" w:ascii="Times New Roman" w:hAnsi="Times New Roman" w:eastAsia="仿宋_GB2312" w:cs="Times New Roman"/>
          <w:color w:val="auto"/>
          <w:kern w:val="2"/>
          <w:sz w:val="32"/>
          <w:szCs w:val="32"/>
          <w:highlight w:val="none"/>
          <w:lang w:val="en-US" w:eastAsia="zh-CN" w:bidi="ar-SA"/>
        </w:rPr>
        <w:t>专家</w:t>
      </w:r>
      <w:r>
        <w:rPr>
          <w:rFonts w:hint="default" w:ascii="Times New Roman" w:hAnsi="Times New Roman" w:eastAsia="仿宋_GB2312" w:cs="Times New Roman"/>
          <w:color w:val="auto"/>
          <w:kern w:val="2"/>
          <w:sz w:val="32"/>
          <w:szCs w:val="32"/>
          <w:highlight w:val="none"/>
          <w:lang w:val="en-US" w:eastAsia="zh-CN" w:bidi="ar-SA"/>
        </w:rPr>
        <w:t>岗位专家工作点”。扎实开展乡村人才振兴培训，通过线下培训班、汇贤学堂等平台载体，覆盖乡村人才1633人次。深入实施人才“五进”活动，统筹下沉77名专业人才指导帮助行业生产，推动优质人才锻炼提升。截</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6月，全区1人荣获全国优秀共青团员，2人入选第七批省级非遗传承人，1人入选“川中明珠计划”。三是优服务激活力。落实人才安居工程，首期62套人才公寓投入使用，配套打造人才之家，实现人才服务“24小时不打烊”。足额兑付人才激励政策，发放人才津贴60余万元，千方百计帮助解决好住房、子女入学、医疗保健等关心关注的“关键小事”，努力营造保障有力、后顾无忧的生活环境。持续开展“最美科技工作者”“社区治理基层人才”等评选表彰活动，通报表扬全区人才工作先进集体7个、先进个人15名。精心制作《亦舟亦山 宜居宜业》人才专题宣传片，大力宣传先进典型，持续激活人才“链式反应”。</w:t>
      </w:r>
    </w:p>
    <w:p w14:paraId="31F9D864">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val="en-US" w:eastAsia="zh-CN"/>
        </w:rPr>
        <w:t>是加强政治建设。</w:t>
      </w:r>
      <w:r>
        <w:rPr>
          <w:rFonts w:hint="default" w:ascii="Times New Roman" w:hAnsi="Times New Roman" w:eastAsia="仿宋_GB2312" w:cs="Times New Roman"/>
          <w:color w:val="auto"/>
          <w:kern w:val="2"/>
          <w:sz w:val="32"/>
          <w:szCs w:val="32"/>
          <w:highlight w:val="none"/>
          <w:lang w:val="en-US" w:eastAsia="zh-CN" w:bidi="ar-SA"/>
        </w:rPr>
        <w:t>坚持把政治建设摆在老干部工作首位，组织老干部深入学习党的二十大、</w:t>
      </w:r>
      <w:r>
        <w:rPr>
          <w:rFonts w:hint="eastAsia" w:ascii="Times New Roman" w:hAnsi="Times New Roman" w:eastAsia="仿宋_GB2312" w:cs="Times New Roman"/>
          <w:color w:val="auto"/>
          <w:kern w:val="2"/>
          <w:sz w:val="32"/>
          <w:szCs w:val="32"/>
          <w:highlight w:val="none"/>
          <w:lang w:val="en-US" w:eastAsia="zh-CN" w:bidi="ar-SA"/>
        </w:rPr>
        <w:t>党的</w:t>
      </w:r>
      <w:r>
        <w:rPr>
          <w:rFonts w:hint="default" w:ascii="Times New Roman" w:hAnsi="Times New Roman" w:eastAsia="仿宋_GB2312" w:cs="Times New Roman"/>
          <w:color w:val="auto"/>
          <w:kern w:val="2"/>
          <w:sz w:val="32"/>
          <w:szCs w:val="32"/>
          <w:highlight w:val="none"/>
          <w:lang w:val="en-US" w:eastAsia="zh-CN" w:bidi="ar-SA"/>
        </w:rPr>
        <w:t>十九届六中全会、省委十一届</w:t>
      </w:r>
      <w:r>
        <w:rPr>
          <w:rFonts w:hint="eastAsia" w:ascii="Times New Roman" w:hAnsi="Times New Roman" w:eastAsia="仿宋_GB2312" w:cs="Times New Roman"/>
          <w:color w:val="auto"/>
          <w:kern w:val="2"/>
          <w:sz w:val="32"/>
          <w:szCs w:val="32"/>
          <w:highlight w:val="none"/>
          <w:lang w:val="en-US" w:eastAsia="zh-CN" w:bidi="ar-SA"/>
        </w:rPr>
        <w:t>一次全会</w:t>
      </w:r>
      <w:r>
        <w:rPr>
          <w:rFonts w:hint="default" w:ascii="Times New Roman" w:hAnsi="Times New Roman" w:eastAsia="仿宋_GB2312" w:cs="Times New Roman"/>
          <w:color w:val="auto"/>
          <w:kern w:val="2"/>
          <w:sz w:val="32"/>
          <w:szCs w:val="32"/>
          <w:highlight w:val="none"/>
          <w:lang w:val="en-US" w:eastAsia="zh-CN" w:bidi="ar-SA"/>
        </w:rPr>
        <w:t>、市委八届二次全会及区委五届八次全会精神，引导老同志进一步坚定政治立场，严守党的政治纪律和政治规矩。组织老干部老同志参观考察市区重点项目，调研全区经济社会发展情况，引导老干部老同志建真言、献良策，收集上报高质量建言20余条。二是激发</w:t>
      </w:r>
      <w:r>
        <w:rPr>
          <w:rFonts w:hint="eastAsia" w:ascii="Times New Roman" w:hAnsi="Times New Roman" w:eastAsia="仿宋_GB2312" w:cs="Times New Roman"/>
          <w:color w:val="auto"/>
          <w:kern w:val="2"/>
          <w:sz w:val="32"/>
          <w:szCs w:val="32"/>
          <w:highlight w:val="none"/>
          <w:lang w:val="en-US" w:eastAsia="zh-CN" w:bidi="ar-SA"/>
        </w:rPr>
        <w:t>引</w:t>
      </w:r>
      <w:r>
        <w:rPr>
          <w:rFonts w:hint="default" w:ascii="Times New Roman" w:hAnsi="Times New Roman" w:eastAsia="仿宋_GB2312" w:cs="Times New Roman"/>
          <w:color w:val="auto"/>
          <w:kern w:val="2"/>
          <w:sz w:val="32"/>
          <w:szCs w:val="32"/>
          <w:highlight w:val="none"/>
          <w:lang w:val="en-US" w:eastAsia="zh-CN" w:bidi="ar-SA"/>
        </w:rPr>
        <w:t>发力量。推行“亮相、发声、管事”三步走工作法，成立“老党员志愿服务组”，支持老党员在社区亮身份、解难题，积极宣传方针政策、收集民情民意、助力疫情防控，带动志愿者、社会力量、群众主动参与、主动融入发展大局。高标准建设犀牛社区“和美犀牛”、正兴社区“梨园·星火”、北河街社区“王前生”、裕丰社区、天宫路社区等五个社区老党员工作室及永兴镇新开村“危仁建”、桂花镇桂郪村两个村级老党员工作室，联合打造关爱未成年人心理健康“暖心屋”，引导老干部继续发挥余热，践行担当。三是用心用情服务。严格落实离退休干部政治生活待遇，组织开展老干部日常关怀、问需活动。重阳节期间，印发《致全区离退休干部的重阳慰问信》，区四大班子主要负责同志分别带队看望慰问老干部代表，累计送出慰问金及慰问物资8万余元。加强空巢、独居、失能和重病老同志亲情服务关怀，看望慰问生病住院局管老干部31人，发放慰问金1.5万元。持续巩固离休干部“三个机制”，落实节日必访、有病必访、有故必访、家庭有疑难事必访“四必访”，切实做到日常有人问、问题有人管、困难有人帮。</w:t>
      </w:r>
    </w:p>
    <w:p w14:paraId="70610EB0">
      <w:pPr>
        <w:pStyle w:val="29"/>
        <w:keepNext w:val="0"/>
        <w:keepLines w:val="0"/>
        <w:pageBreakBefore w:val="0"/>
        <w:widowControl w:val="0"/>
        <w:kinsoku/>
        <w:wordWrap/>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社会公众满意度方面，</w:t>
      </w:r>
      <w:r>
        <w:rPr>
          <w:rFonts w:hint="eastAsia" w:ascii="Times New Roman" w:hAnsi="Times New Roman" w:eastAsia="仿宋_GB2312" w:cs="Times New Roman"/>
          <w:color w:val="auto"/>
          <w:kern w:val="2"/>
          <w:sz w:val="32"/>
          <w:szCs w:val="32"/>
          <w:highlight w:val="none"/>
          <w:lang w:val="en-US" w:eastAsia="zh-CN" w:bidi="ar-SA"/>
        </w:rPr>
        <w:t>2023</w:t>
      </w:r>
      <w:r>
        <w:rPr>
          <w:rFonts w:hint="default" w:ascii="Times New Roman" w:hAnsi="Times New Roman" w:eastAsia="仿宋_GB2312" w:cs="Times New Roman"/>
          <w:color w:val="auto"/>
          <w:kern w:val="2"/>
          <w:sz w:val="32"/>
          <w:szCs w:val="32"/>
          <w:highlight w:val="none"/>
          <w:lang w:val="en-US" w:eastAsia="zh-CN" w:bidi="ar-SA"/>
        </w:rPr>
        <w:t>年，我部各项工作都取得了新的成绩，得到了区委、区政府的充分肯定，也得到了社会各界的普遍好评。部机关连续几年保持了区政府绩效评估优秀等次等荣誉。</w:t>
      </w:r>
    </w:p>
    <w:p w14:paraId="39F1419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黑体" w:eastAsia="黑体" w:cs="黑体"/>
          <w:color w:val="000000" w:themeColor="text1"/>
          <w:sz w:val="32"/>
          <w:szCs w:val="32"/>
          <w:lang w:val="en-US" w:eastAsia="zh-CN"/>
          <w14:textFill>
            <w14:solidFill>
              <w14:schemeClr w14:val="tx1"/>
            </w14:solidFill>
          </w14:textFill>
        </w:rPr>
      </w:pPr>
      <w:bookmarkStart w:id="103" w:name="_Toc22306"/>
      <w:r>
        <w:rPr>
          <w:rFonts w:hint="eastAsia" w:ascii="黑体" w:hAnsi="黑体" w:eastAsia="黑体" w:cs="黑体"/>
          <w:color w:val="000000" w:themeColor="text1"/>
          <w:sz w:val="32"/>
          <w:szCs w:val="32"/>
          <w:lang w:val="en-US" w:eastAsia="zh-CN"/>
          <w14:textFill>
            <w14:solidFill>
              <w14:schemeClr w14:val="tx1"/>
            </w14:solidFill>
          </w14:textFill>
        </w:rPr>
        <w:t>四、评价结论及建议</w:t>
      </w:r>
      <w:bookmarkEnd w:id="103"/>
    </w:p>
    <w:p w14:paraId="57300E0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zh-CN" w:eastAsia="zh-CN"/>
        </w:rPr>
        <w:t>（一）评价结论</w:t>
      </w:r>
    </w:p>
    <w:p w14:paraId="40A73E4B">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按照预算绩效管理要求，本部门对</w:t>
      </w:r>
      <w:r>
        <w:rPr>
          <w:rFonts w:hint="eastAsia" w:ascii="Times New Roman" w:hAnsi="Times New Roman" w:eastAsia="仿宋_GB2312" w:cs="Times New Roman"/>
          <w:color w:val="auto"/>
          <w:kern w:val="2"/>
          <w:sz w:val="32"/>
          <w:szCs w:val="32"/>
          <w:highlight w:val="none"/>
          <w:lang w:val="en-US" w:eastAsia="zh-CN" w:bidi="ar-SA"/>
        </w:rPr>
        <w:t>2023</w:t>
      </w:r>
      <w:r>
        <w:rPr>
          <w:rFonts w:hint="default" w:ascii="Times New Roman" w:hAnsi="Times New Roman" w:eastAsia="仿宋_GB2312" w:cs="Times New Roman"/>
          <w:color w:val="auto"/>
          <w:kern w:val="2"/>
          <w:sz w:val="32"/>
          <w:szCs w:val="32"/>
          <w:highlight w:val="none"/>
          <w:lang w:val="en-US" w:eastAsia="zh-CN" w:bidi="ar-SA"/>
        </w:rPr>
        <w:t>年一般公共预算项目支出开展了绩效目标管理，共编制绩效目标</w:t>
      </w:r>
      <w:r>
        <w:rPr>
          <w:rFonts w:hint="eastAsia" w:ascii="Times New Roman" w:hAnsi="Times New Roman"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个，涉及财政资金</w:t>
      </w:r>
      <w:r>
        <w:rPr>
          <w:rFonts w:hint="eastAsia" w:ascii="Times New Roman" w:hAnsi="Times New Roman" w:eastAsia="仿宋_GB2312" w:cs="Times New Roman"/>
          <w:color w:val="auto"/>
          <w:kern w:val="2"/>
          <w:sz w:val="32"/>
          <w:szCs w:val="32"/>
          <w:highlight w:val="none"/>
          <w:lang w:val="en-US" w:eastAsia="zh-CN" w:bidi="ar-SA"/>
        </w:rPr>
        <w:t>1438.76</w:t>
      </w:r>
      <w:r>
        <w:rPr>
          <w:rFonts w:hint="default" w:ascii="Times New Roman" w:hAnsi="Times New Roman" w:eastAsia="仿宋_GB2312" w:cs="Times New Roman"/>
          <w:color w:val="auto"/>
          <w:kern w:val="2"/>
          <w:sz w:val="32"/>
          <w:szCs w:val="32"/>
          <w:highlight w:val="none"/>
          <w:lang w:val="en-US" w:eastAsia="zh-CN" w:bidi="ar-SA"/>
        </w:rPr>
        <w:t>万元，覆盖率达到</w:t>
      </w:r>
      <w:r>
        <w:rPr>
          <w:rFonts w:hint="eastAsia" w:ascii="Times New Roman" w:hAnsi="Times New Roman" w:eastAsia="仿宋_GB2312" w:cs="Times New Roman"/>
          <w:color w:val="auto"/>
          <w:kern w:val="2"/>
          <w:sz w:val="32"/>
          <w:szCs w:val="32"/>
          <w:highlight w:val="none"/>
          <w:lang w:val="en-US" w:eastAsia="zh-CN" w:bidi="ar-SA"/>
        </w:rPr>
        <w:t xml:space="preserve">100 </w:t>
      </w:r>
      <w:r>
        <w:rPr>
          <w:rFonts w:hint="default" w:ascii="Times New Roman" w:hAnsi="Times New Roman" w:eastAsia="仿宋_GB2312" w:cs="Times New Roman"/>
          <w:color w:val="auto"/>
          <w:kern w:val="2"/>
          <w:sz w:val="32"/>
          <w:szCs w:val="32"/>
          <w:highlight w:val="none"/>
          <w:lang w:val="en-US" w:eastAsia="zh-CN" w:bidi="ar-SA"/>
        </w:rPr>
        <w:t>%。按照预算绩效管理要求，本部门对</w:t>
      </w:r>
      <w:r>
        <w:rPr>
          <w:rFonts w:hint="eastAsia" w:ascii="Times New Roman" w:hAnsi="Times New Roman" w:eastAsia="仿宋_GB2312" w:cs="Times New Roman"/>
          <w:color w:val="auto"/>
          <w:kern w:val="2"/>
          <w:sz w:val="32"/>
          <w:szCs w:val="32"/>
          <w:highlight w:val="none"/>
          <w:lang w:val="en-US" w:eastAsia="zh-CN" w:bidi="ar-SA"/>
        </w:rPr>
        <w:t>2023</w:t>
      </w:r>
      <w:r>
        <w:rPr>
          <w:rFonts w:hint="default" w:ascii="Times New Roman" w:hAnsi="Times New Roman" w:eastAsia="仿宋_GB2312" w:cs="Times New Roman"/>
          <w:color w:val="auto"/>
          <w:kern w:val="2"/>
          <w:sz w:val="32"/>
          <w:szCs w:val="32"/>
          <w:highlight w:val="none"/>
          <w:lang w:val="en-US" w:eastAsia="zh-CN" w:bidi="ar-SA"/>
        </w:rPr>
        <w:t>年整体支出开展绩效自评，自评得分</w:t>
      </w:r>
      <w:r>
        <w:rPr>
          <w:rFonts w:hint="eastAsia" w:ascii="Times New Roman" w:hAnsi="Times New Roman" w:eastAsia="仿宋_GB2312" w:cs="Times New Roman"/>
          <w:color w:val="auto"/>
          <w:kern w:val="2"/>
          <w:sz w:val="32"/>
          <w:szCs w:val="32"/>
          <w:highlight w:val="none"/>
          <w:lang w:val="en-US" w:eastAsia="zh-CN" w:bidi="ar-SA"/>
        </w:rPr>
        <w:t>88</w:t>
      </w:r>
      <w:r>
        <w:rPr>
          <w:rFonts w:hint="default" w:ascii="Times New Roman" w:hAnsi="Times New Roman" w:eastAsia="仿宋_GB2312" w:cs="Times New Roman"/>
          <w:color w:val="auto"/>
          <w:kern w:val="2"/>
          <w:sz w:val="32"/>
          <w:szCs w:val="32"/>
          <w:highlight w:val="none"/>
          <w:lang w:val="en-US" w:eastAsia="zh-CN" w:bidi="ar-SA"/>
        </w:rPr>
        <w:t>分。项目</w:t>
      </w:r>
      <w:r>
        <w:rPr>
          <w:rFonts w:hint="eastAsia" w:ascii="Times New Roman" w:hAnsi="Times New Roman" w:eastAsia="仿宋_GB2312" w:cs="Times New Roman"/>
          <w:color w:val="auto"/>
          <w:kern w:val="2"/>
          <w:sz w:val="32"/>
          <w:szCs w:val="32"/>
          <w:highlight w:val="none"/>
          <w:lang w:val="en-US" w:eastAsia="zh-CN" w:bidi="ar-SA"/>
        </w:rPr>
        <w:t>支出绩效评价指标体系</w:t>
      </w:r>
      <w:r>
        <w:rPr>
          <w:rFonts w:hint="default" w:ascii="Times New Roman" w:hAnsi="Times New Roman" w:eastAsia="仿宋_GB2312" w:cs="Times New Roman"/>
          <w:color w:val="auto"/>
          <w:kern w:val="2"/>
          <w:sz w:val="32"/>
          <w:szCs w:val="32"/>
          <w:highlight w:val="none"/>
          <w:lang w:val="en-US" w:eastAsia="zh-CN" w:bidi="ar-SA"/>
        </w:rPr>
        <w:t>表附后。</w:t>
      </w:r>
    </w:p>
    <w:p w14:paraId="0E2A0C9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zh-CN" w:eastAsia="zh-CN"/>
        </w:rPr>
        <w:t>（二）存在问题</w:t>
      </w:r>
    </w:p>
    <w:p w14:paraId="1C30EBF8">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一是对本年度重点工作、项目安排预见性不够，年中追加预算较多，二是重点项目绩效目标细化和可量化程度不够。</w:t>
      </w:r>
    </w:p>
    <w:p w14:paraId="40801D47">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zh-CN" w:eastAsia="zh-CN"/>
        </w:rPr>
        <w:t>（三）改进建议</w:t>
      </w:r>
    </w:p>
    <w:p w14:paraId="30CEC2E8">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一是细化预算编制工作，认真做好预算的编制。</w:t>
      </w:r>
    </w:p>
    <w:p w14:paraId="30334E7E">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二是加强对部门本年度重点工作、重点项目、重大工程的预见和安排，减少年中预算资金的追加，体现预算强制性，进一步细化大额项目资金的管理。</w:t>
      </w:r>
    </w:p>
    <w:p w14:paraId="5B57195D">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三是加强财务管理，严格财务审核。在费用报账支付时，按照预算规定的费用项目和用途进行资金使用审核、列报支付、财务核算，杜绝超支现象的发生。</w:t>
      </w:r>
    </w:p>
    <w:p w14:paraId="6D023D0A">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四是对部门重点项目，特别是金额超过20万以上的专项经费，绩效指标需更加细化，可量化指标更明确。</w:t>
      </w:r>
    </w:p>
    <w:p w14:paraId="77D05D70">
      <w:pP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sectPr>
          <w:footerReference r:id="rId6" w:type="default"/>
          <w:pgSz w:w="11906" w:h="16838"/>
          <w:pgMar w:top="2098" w:right="1474" w:bottom="1984" w:left="1587" w:header="851" w:footer="992" w:gutter="0"/>
          <w:pgNumType w:fmt="decimal" w:start="1"/>
          <w:cols w:space="0" w:num="1"/>
          <w:rtlGutter w:val="0"/>
          <w:docGrid w:type="lines" w:linePitch="441" w:charSpace="0"/>
        </w:sectPr>
      </w:pPr>
    </w:p>
    <w:p w14:paraId="29E39371">
      <w:pPr>
        <w:widowControl/>
        <w:jc w:val="center"/>
        <w:textAlignment w:val="center"/>
        <w:rPr>
          <w:rFonts w:hint="default" w:ascii="Times New Roman" w:hAnsi="Times New Roman" w:eastAsia="方正小标宋简体" w:cs="Times New Roman"/>
          <w:b w:val="0"/>
          <w:bCs w:val="0"/>
          <w:color w:val="auto"/>
          <w:sz w:val="44"/>
          <w:szCs w:val="44"/>
          <w:u w:val="none"/>
        </w:rPr>
      </w:pPr>
      <w:r>
        <w:rPr>
          <w:rFonts w:hint="default" w:ascii="Times New Roman" w:hAnsi="Times New Roman" w:eastAsia="方正小标宋简体" w:cs="Times New Roman"/>
          <w:b w:val="0"/>
          <w:bCs w:val="0"/>
          <w:color w:val="auto"/>
          <w:sz w:val="44"/>
          <w:szCs w:val="44"/>
          <w:u w:val="none"/>
          <w:lang w:bidi="ar"/>
        </w:rPr>
        <w:t>202</w:t>
      </w:r>
      <w:r>
        <w:rPr>
          <w:rFonts w:hint="eastAsia" w:eastAsia="方正小标宋简体" w:cs="Times New Roman"/>
          <w:b w:val="0"/>
          <w:bCs w:val="0"/>
          <w:color w:val="auto"/>
          <w:sz w:val="44"/>
          <w:szCs w:val="44"/>
          <w:u w:val="none"/>
          <w:lang w:val="en-US" w:eastAsia="zh-CN" w:bidi="ar"/>
        </w:rPr>
        <w:t>3</w:t>
      </w:r>
      <w:r>
        <w:rPr>
          <w:rFonts w:hint="default" w:ascii="Times New Roman" w:hAnsi="Times New Roman" w:eastAsia="方正小标宋简体" w:cs="Times New Roman"/>
          <w:b w:val="0"/>
          <w:bCs w:val="0"/>
          <w:color w:val="auto"/>
          <w:sz w:val="44"/>
          <w:szCs w:val="44"/>
          <w:u w:val="none"/>
          <w:lang w:bidi="ar"/>
        </w:rPr>
        <w:t>年部门整体支出绩效评价指标体系</w:t>
      </w:r>
    </w:p>
    <w:tbl>
      <w:tblPr>
        <w:tblStyle w:val="16"/>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00"/>
        <w:gridCol w:w="741"/>
        <w:gridCol w:w="483"/>
        <w:gridCol w:w="464"/>
        <w:gridCol w:w="464"/>
        <w:gridCol w:w="1279"/>
        <w:gridCol w:w="3967"/>
        <w:gridCol w:w="2622"/>
        <w:gridCol w:w="1342"/>
        <w:gridCol w:w="767"/>
      </w:tblGrid>
      <w:tr w14:paraId="1662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0" w:type="auto"/>
            <w:gridSpan w:val="3"/>
            <w:shd w:val="clear" w:color="auto" w:fill="auto"/>
            <w:noWrap w:val="0"/>
            <w:vAlign w:val="center"/>
          </w:tcPr>
          <w:p w14:paraId="25FE22A3">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rPr>
            </w:pPr>
            <w:r>
              <w:rPr>
                <w:rFonts w:hint="default" w:ascii="Times New Roman" w:hAnsi="Times New Roman" w:eastAsia="黑体" w:cs="Times New Roman"/>
                <w:b w:val="0"/>
                <w:bCs w:val="0"/>
                <w:color w:val="auto"/>
                <w:sz w:val="21"/>
                <w:szCs w:val="21"/>
                <w:u w:val="none"/>
                <w:lang w:bidi="ar"/>
              </w:rPr>
              <w:t>绩效指标</w:t>
            </w:r>
          </w:p>
        </w:tc>
        <w:tc>
          <w:tcPr>
            <w:tcW w:w="0" w:type="auto"/>
            <w:vMerge w:val="restart"/>
            <w:shd w:val="clear" w:color="auto" w:fill="FFFFFF"/>
            <w:noWrap w:val="0"/>
            <w:vAlign w:val="center"/>
          </w:tcPr>
          <w:p w14:paraId="40E0A276">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rPr>
            </w:pPr>
            <w:r>
              <w:rPr>
                <w:rFonts w:hint="default" w:ascii="Times New Roman" w:hAnsi="Times New Roman" w:eastAsia="黑体" w:cs="Times New Roman"/>
                <w:b w:val="0"/>
                <w:bCs w:val="0"/>
                <w:color w:val="auto"/>
                <w:sz w:val="21"/>
                <w:szCs w:val="21"/>
                <w:u w:val="none"/>
                <w:lang w:bidi="ar"/>
              </w:rPr>
              <w:t>指标分值</w:t>
            </w:r>
          </w:p>
        </w:tc>
        <w:tc>
          <w:tcPr>
            <w:tcW w:w="0" w:type="auto"/>
            <w:shd w:val="clear" w:color="auto" w:fill="FFFFFF"/>
            <w:noWrap w:val="0"/>
            <w:vAlign w:val="center"/>
          </w:tcPr>
          <w:p w14:paraId="70E492BB">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rPr>
            </w:pPr>
            <w:r>
              <w:rPr>
                <w:rFonts w:hint="default" w:ascii="Times New Roman" w:hAnsi="Times New Roman" w:eastAsia="黑体" w:cs="Times New Roman"/>
                <w:b w:val="0"/>
                <w:bCs w:val="0"/>
                <w:color w:val="auto"/>
                <w:sz w:val="21"/>
                <w:szCs w:val="21"/>
                <w:u w:val="none"/>
                <w:lang w:bidi="ar"/>
              </w:rPr>
              <w:t>目标指</w:t>
            </w:r>
          </w:p>
        </w:tc>
        <w:tc>
          <w:tcPr>
            <w:tcW w:w="0" w:type="auto"/>
            <w:shd w:val="clear" w:color="auto" w:fill="FFFFFF"/>
            <w:noWrap w:val="0"/>
            <w:vAlign w:val="center"/>
          </w:tcPr>
          <w:p w14:paraId="48E069C5">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rPr>
            </w:pPr>
            <w:r>
              <w:rPr>
                <w:rFonts w:hint="default" w:ascii="Times New Roman" w:hAnsi="Times New Roman" w:eastAsia="黑体" w:cs="Times New Roman"/>
                <w:b w:val="0"/>
                <w:bCs w:val="0"/>
                <w:color w:val="auto"/>
                <w:sz w:val="21"/>
                <w:szCs w:val="21"/>
                <w:u w:val="none"/>
                <w:lang w:bidi="ar"/>
              </w:rPr>
              <w:t>完成值</w:t>
            </w:r>
          </w:p>
        </w:tc>
        <w:tc>
          <w:tcPr>
            <w:tcW w:w="0" w:type="auto"/>
            <w:vMerge w:val="restart"/>
            <w:shd w:val="clear" w:color="auto" w:fill="FFFFFF"/>
            <w:noWrap w:val="0"/>
            <w:vAlign w:val="center"/>
          </w:tcPr>
          <w:p w14:paraId="137ED639">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rPr>
            </w:pPr>
            <w:r>
              <w:rPr>
                <w:rFonts w:hint="default" w:ascii="Times New Roman" w:hAnsi="Times New Roman" w:eastAsia="黑体" w:cs="Times New Roman"/>
                <w:b w:val="0"/>
                <w:bCs w:val="0"/>
                <w:color w:val="auto"/>
                <w:sz w:val="21"/>
                <w:szCs w:val="21"/>
                <w:u w:val="none"/>
                <w:lang w:bidi="ar"/>
              </w:rPr>
              <w:t>指标解释</w:t>
            </w:r>
          </w:p>
        </w:tc>
        <w:tc>
          <w:tcPr>
            <w:tcW w:w="3967" w:type="dxa"/>
            <w:vMerge w:val="restart"/>
            <w:shd w:val="clear" w:color="auto" w:fill="FFFFFF"/>
            <w:noWrap w:val="0"/>
            <w:vAlign w:val="center"/>
          </w:tcPr>
          <w:p w14:paraId="0286359A">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lang w:bidi="ar"/>
              </w:rPr>
            </w:pPr>
            <w:r>
              <w:rPr>
                <w:rFonts w:hint="default" w:ascii="Times New Roman" w:hAnsi="Times New Roman" w:eastAsia="黑体" w:cs="Times New Roman"/>
                <w:b w:val="0"/>
                <w:bCs w:val="0"/>
                <w:color w:val="auto"/>
                <w:sz w:val="21"/>
                <w:szCs w:val="21"/>
                <w:u w:val="none"/>
                <w:lang w:bidi="ar"/>
              </w:rPr>
              <w:t>计分标准</w:t>
            </w:r>
          </w:p>
        </w:tc>
        <w:tc>
          <w:tcPr>
            <w:tcW w:w="2622" w:type="dxa"/>
            <w:vMerge w:val="restart"/>
            <w:shd w:val="clear" w:color="auto" w:fill="FFFFFF"/>
            <w:noWrap w:val="0"/>
            <w:vAlign w:val="center"/>
          </w:tcPr>
          <w:p w14:paraId="49AE83E9">
            <w:pPr>
              <w:widowControl w:val="0"/>
              <w:snapToGrid w:val="0"/>
              <w:spacing w:line="240" w:lineRule="atLeast"/>
              <w:jc w:val="center"/>
              <w:textAlignment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依据资料</w:t>
            </w:r>
          </w:p>
        </w:tc>
        <w:tc>
          <w:tcPr>
            <w:tcW w:w="1342" w:type="dxa"/>
            <w:vMerge w:val="restart"/>
            <w:shd w:val="clear" w:color="auto" w:fill="FFFFFF"/>
            <w:noWrap w:val="0"/>
            <w:vAlign w:val="center"/>
          </w:tcPr>
          <w:p w14:paraId="5656C2C6">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lang w:bidi="ar"/>
              </w:rPr>
            </w:pPr>
            <w:r>
              <w:rPr>
                <w:rFonts w:hint="default" w:ascii="Times New Roman" w:hAnsi="Times New Roman" w:eastAsia="黑体" w:cs="Times New Roman"/>
                <w:b w:val="0"/>
                <w:bCs w:val="0"/>
                <w:color w:val="auto"/>
                <w:sz w:val="21"/>
                <w:szCs w:val="21"/>
                <w:u w:val="none"/>
                <w:lang w:bidi="ar"/>
              </w:rPr>
              <w:t>评价过程（只写扣分项的原因）</w:t>
            </w:r>
          </w:p>
        </w:tc>
        <w:tc>
          <w:tcPr>
            <w:tcW w:w="682" w:type="dxa"/>
            <w:vMerge w:val="restart"/>
            <w:shd w:val="clear" w:color="auto" w:fill="FFFFFF"/>
            <w:noWrap w:val="0"/>
            <w:vAlign w:val="center"/>
          </w:tcPr>
          <w:p w14:paraId="4B34B549">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lang w:bidi="ar"/>
              </w:rPr>
            </w:pPr>
            <w:r>
              <w:rPr>
                <w:rFonts w:hint="default" w:ascii="Times New Roman" w:hAnsi="Times New Roman" w:eastAsia="黑体" w:cs="Times New Roman"/>
                <w:b w:val="0"/>
                <w:bCs w:val="0"/>
                <w:color w:val="auto"/>
                <w:sz w:val="21"/>
                <w:szCs w:val="21"/>
                <w:u w:val="none"/>
                <w:lang w:bidi="ar"/>
              </w:rPr>
              <w:t>自评得分</w:t>
            </w:r>
          </w:p>
        </w:tc>
      </w:tr>
      <w:tr w14:paraId="6ABE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9" w:type="dxa"/>
            <w:shd w:val="clear" w:color="auto" w:fill="auto"/>
            <w:noWrap w:val="0"/>
            <w:vAlign w:val="center"/>
          </w:tcPr>
          <w:p w14:paraId="771A313C">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lang w:bidi="ar"/>
              </w:rPr>
            </w:pPr>
            <w:r>
              <w:rPr>
                <w:rFonts w:hint="default" w:ascii="Times New Roman" w:hAnsi="Times New Roman" w:eastAsia="黑体" w:cs="Times New Roman"/>
                <w:b w:val="0"/>
                <w:bCs w:val="0"/>
                <w:color w:val="auto"/>
                <w:sz w:val="21"/>
                <w:szCs w:val="21"/>
                <w:u w:val="none"/>
                <w:lang w:bidi="ar"/>
              </w:rPr>
              <w:t>一级指标</w:t>
            </w:r>
          </w:p>
        </w:tc>
        <w:tc>
          <w:tcPr>
            <w:tcW w:w="1300" w:type="dxa"/>
            <w:shd w:val="clear" w:color="auto" w:fill="auto"/>
            <w:noWrap w:val="0"/>
            <w:vAlign w:val="center"/>
          </w:tcPr>
          <w:p w14:paraId="33FAF4CA">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lang w:bidi="ar"/>
              </w:rPr>
            </w:pPr>
            <w:r>
              <w:rPr>
                <w:rFonts w:hint="default" w:ascii="Times New Roman" w:hAnsi="Times New Roman" w:eastAsia="黑体" w:cs="Times New Roman"/>
                <w:b w:val="0"/>
                <w:bCs w:val="0"/>
                <w:color w:val="auto"/>
                <w:sz w:val="21"/>
                <w:szCs w:val="21"/>
                <w:u w:val="none"/>
                <w:lang w:bidi="ar"/>
              </w:rPr>
              <w:t>二级指标</w:t>
            </w:r>
          </w:p>
        </w:tc>
        <w:tc>
          <w:tcPr>
            <w:tcW w:w="741" w:type="dxa"/>
            <w:shd w:val="clear" w:color="auto" w:fill="auto"/>
            <w:noWrap w:val="0"/>
            <w:vAlign w:val="center"/>
          </w:tcPr>
          <w:p w14:paraId="2BC04059">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u w:val="none"/>
                <w:lang w:bidi="ar"/>
              </w:rPr>
            </w:pPr>
            <w:r>
              <w:rPr>
                <w:rFonts w:hint="default" w:ascii="Times New Roman" w:hAnsi="Times New Roman" w:eastAsia="黑体" w:cs="Times New Roman"/>
                <w:b w:val="0"/>
                <w:bCs w:val="0"/>
                <w:color w:val="auto"/>
                <w:sz w:val="21"/>
                <w:szCs w:val="21"/>
                <w:u w:val="none"/>
                <w:lang w:bidi="ar"/>
              </w:rPr>
              <w:t>三级指标</w:t>
            </w:r>
          </w:p>
        </w:tc>
        <w:tc>
          <w:tcPr>
            <w:tcW w:w="0" w:type="auto"/>
            <w:vMerge w:val="continue"/>
            <w:shd w:val="clear" w:color="auto" w:fill="FFFFFF"/>
            <w:noWrap w:val="0"/>
            <w:vAlign w:val="center"/>
          </w:tcPr>
          <w:p w14:paraId="533D8831">
            <w:pPr>
              <w:snapToGrid w:val="0"/>
              <w:spacing w:line="240" w:lineRule="atLeast"/>
              <w:jc w:val="center"/>
              <w:rPr>
                <w:rFonts w:hint="default" w:ascii="Times New Roman" w:hAnsi="Times New Roman" w:cs="Times New Roman"/>
                <w:b w:val="0"/>
                <w:bCs w:val="0"/>
                <w:color w:val="auto"/>
                <w:sz w:val="21"/>
                <w:szCs w:val="21"/>
                <w:u w:val="none"/>
              </w:rPr>
            </w:pPr>
          </w:p>
        </w:tc>
        <w:tc>
          <w:tcPr>
            <w:tcW w:w="0" w:type="auto"/>
            <w:shd w:val="clear" w:color="auto" w:fill="FFFFFF"/>
            <w:noWrap w:val="0"/>
            <w:vAlign w:val="center"/>
          </w:tcPr>
          <w:p w14:paraId="1120193A">
            <w:pPr>
              <w:snapToGrid w:val="0"/>
              <w:spacing w:line="240" w:lineRule="atLeast"/>
              <w:jc w:val="center"/>
              <w:rPr>
                <w:rFonts w:hint="default" w:ascii="Times New Roman" w:hAnsi="Times New Roman" w:cs="Times New Roman"/>
                <w:b w:val="0"/>
                <w:bCs w:val="0"/>
                <w:color w:val="auto"/>
                <w:sz w:val="21"/>
                <w:szCs w:val="21"/>
                <w:u w:val="none"/>
              </w:rPr>
            </w:pPr>
          </w:p>
        </w:tc>
        <w:tc>
          <w:tcPr>
            <w:tcW w:w="0" w:type="auto"/>
            <w:shd w:val="clear" w:color="auto" w:fill="FFFFFF"/>
            <w:noWrap w:val="0"/>
            <w:vAlign w:val="center"/>
          </w:tcPr>
          <w:p w14:paraId="5D0C433A">
            <w:pPr>
              <w:snapToGrid w:val="0"/>
              <w:spacing w:line="240" w:lineRule="atLeast"/>
              <w:jc w:val="center"/>
              <w:rPr>
                <w:rFonts w:hint="default" w:ascii="Times New Roman" w:hAnsi="Times New Roman" w:cs="Times New Roman"/>
                <w:b w:val="0"/>
                <w:bCs w:val="0"/>
                <w:color w:val="auto"/>
                <w:sz w:val="21"/>
                <w:szCs w:val="21"/>
                <w:u w:val="none"/>
              </w:rPr>
            </w:pPr>
          </w:p>
        </w:tc>
        <w:tc>
          <w:tcPr>
            <w:tcW w:w="0" w:type="auto"/>
            <w:vMerge w:val="continue"/>
            <w:shd w:val="clear" w:color="auto" w:fill="FFFFFF"/>
            <w:noWrap w:val="0"/>
            <w:vAlign w:val="center"/>
          </w:tcPr>
          <w:p w14:paraId="0E8180B6">
            <w:pPr>
              <w:snapToGrid w:val="0"/>
              <w:spacing w:line="240" w:lineRule="atLeast"/>
              <w:jc w:val="center"/>
              <w:rPr>
                <w:rFonts w:hint="default" w:ascii="Times New Roman" w:hAnsi="Times New Roman" w:cs="Times New Roman"/>
                <w:b w:val="0"/>
                <w:bCs w:val="0"/>
                <w:color w:val="auto"/>
                <w:sz w:val="21"/>
                <w:szCs w:val="21"/>
                <w:u w:val="none"/>
              </w:rPr>
            </w:pPr>
          </w:p>
        </w:tc>
        <w:tc>
          <w:tcPr>
            <w:tcW w:w="3967" w:type="dxa"/>
            <w:vMerge w:val="continue"/>
            <w:shd w:val="clear" w:color="auto" w:fill="FFFFFF"/>
            <w:noWrap w:val="0"/>
            <w:vAlign w:val="center"/>
          </w:tcPr>
          <w:p w14:paraId="37775F61">
            <w:pPr>
              <w:snapToGrid w:val="0"/>
              <w:spacing w:line="240" w:lineRule="atLeast"/>
              <w:jc w:val="center"/>
              <w:rPr>
                <w:rFonts w:hint="default" w:ascii="Times New Roman" w:hAnsi="Times New Roman" w:cs="Times New Roman"/>
                <w:b w:val="0"/>
                <w:bCs w:val="0"/>
                <w:color w:val="auto"/>
                <w:sz w:val="21"/>
                <w:szCs w:val="21"/>
                <w:u w:val="none"/>
              </w:rPr>
            </w:pPr>
          </w:p>
        </w:tc>
        <w:tc>
          <w:tcPr>
            <w:tcW w:w="2622" w:type="dxa"/>
            <w:vMerge w:val="continue"/>
            <w:shd w:val="clear" w:color="auto" w:fill="FFFFFF"/>
            <w:noWrap w:val="0"/>
            <w:vAlign w:val="center"/>
          </w:tcPr>
          <w:p w14:paraId="2AA6A50E">
            <w:pPr>
              <w:snapToGrid w:val="0"/>
              <w:spacing w:line="240" w:lineRule="atLeast"/>
              <w:jc w:val="center"/>
              <w:rPr>
                <w:rFonts w:hint="default" w:ascii="Times New Roman" w:hAnsi="Times New Roman" w:cs="Times New Roman"/>
                <w:color w:val="auto"/>
                <w:sz w:val="21"/>
                <w:szCs w:val="21"/>
                <w:u w:val="none"/>
              </w:rPr>
            </w:pPr>
          </w:p>
        </w:tc>
        <w:tc>
          <w:tcPr>
            <w:tcW w:w="1342" w:type="dxa"/>
            <w:vMerge w:val="continue"/>
            <w:shd w:val="clear" w:color="auto" w:fill="FFFFFF"/>
            <w:noWrap w:val="0"/>
            <w:vAlign w:val="center"/>
          </w:tcPr>
          <w:p w14:paraId="23AFBCEE">
            <w:pPr>
              <w:snapToGrid w:val="0"/>
              <w:spacing w:line="240" w:lineRule="atLeast"/>
              <w:jc w:val="center"/>
              <w:rPr>
                <w:rFonts w:hint="default" w:ascii="Times New Roman" w:hAnsi="Times New Roman" w:cs="Times New Roman"/>
                <w:b w:val="0"/>
                <w:bCs w:val="0"/>
                <w:color w:val="auto"/>
                <w:sz w:val="21"/>
                <w:szCs w:val="21"/>
                <w:u w:val="none"/>
              </w:rPr>
            </w:pPr>
          </w:p>
        </w:tc>
        <w:tc>
          <w:tcPr>
            <w:tcW w:w="682" w:type="dxa"/>
            <w:vMerge w:val="continue"/>
            <w:shd w:val="clear" w:color="auto" w:fill="FFFFFF"/>
            <w:noWrap w:val="0"/>
            <w:vAlign w:val="center"/>
          </w:tcPr>
          <w:p w14:paraId="4F79E86F">
            <w:pPr>
              <w:snapToGrid w:val="0"/>
              <w:spacing w:line="240" w:lineRule="atLeast"/>
              <w:jc w:val="center"/>
              <w:rPr>
                <w:rFonts w:hint="default" w:ascii="Times New Roman" w:hAnsi="Times New Roman" w:cs="Times New Roman"/>
                <w:b w:val="0"/>
                <w:bCs w:val="0"/>
                <w:color w:val="auto"/>
                <w:sz w:val="21"/>
                <w:szCs w:val="21"/>
                <w:u w:val="none"/>
              </w:rPr>
            </w:pPr>
          </w:p>
        </w:tc>
      </w:tr>
      <w:tr w14:paraId="368E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19" w:type="dxa"/>
            <w:vMerge w:val="restart"/>
            <w:shd w:val="clear" w:color="auto" w:fill="auto"/>
            <w:noWrap w:val="0"/>
            <w:vAlign w:val="center"/>
          </w:tcPr>
          <w:p w14:paraId="7204F3BD">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部门预算管理（80分）</w:t>
            </w:r>
          </w:p>
        </w:tc>
        <w:tc>
          <w:tcPr>
            <w:tcW w:w="1300" w:type="dxa"/>
            <w:vMerge w:val="restart"/>
            <w:shd w:val="clear" w:color="auto" w:fill="auto"/>
            <w:noWrap w:val="0"/>
            <w:vAlign w:val="center"/>
          </w:tcPr>
          <w:p w14:paraId="13F801DF">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预算编制（30分）</w:t>
            </w:r>
          </w:p>
        </w:tc>
        <w:tc>
          <w:tcPr>
            <w:tcW w:w="741" w:type="dxa"/>
            <w:shd w:val="clear" w:color="auto" w:fill="auto"/>
            <w:noWrap w:val="0"/>
            <w:vAlign w:val="center"/>
          </w:tcPr>
          <w:p w14:paraId="52594C59">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目标制定</w:t>
            </w:r>
          </w:p>
        </w:tc>
        <w:tc>
          <w:tcPr>
            <w:tcW w:w="0" w:type="auto"/>
            <w:shd w:val="clear" w:color="auto" w:fill="auto"/>
            <w:noWrap w:val="0"/>
            <w:vAlign w:val="center"/>
          </w:tcPr>
          <w:p w14:paraId="63176785">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3C524CAB">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00345245">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384255AE">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评价部门绩效目标是否要素完整、细化量化。</w:t>
            </w:r>
          </w:p>
        </w:tc>
        <w:tc>
          <w:tcPr>
            <w:tcW w:w="3967" w:type="dxa"/>
            <w:shd w:val="clear" w:color="auto" w:fill="auto"/>
            <w:noWrap w:val="0"/>
            <w:vAlign w:val="center"/>
          </w:tcPr>
          <w:p w14:paraId="2E8E0B3B">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 xml:space="preserve">1.绩效目标编制要素完整的，得5分，否则酌情扣分。                                                       2.绩效指标细化量化的，得5分，否则酌情扣分。                                                                    </w:t>
            </w:r>
          </w:p>
        </w:tc>
        <w:tc>
          <w:tcPr>
            <w:tcW w:w="2622" w:type="dxa"/>
            <w:shd w:val="clear" w:color="auto" w:fill="FFFFFF"/>
            <w:noWrap w:val="0"/>
            <w:vAlign w:val="center"/>
          </w:tcPr>
          <w:p w14:paraId="2214BF35">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要素指目标的完成指标及效益指标、满意度指标是否填写完整，根据年初制定目标财政局的要求。指标细化量化指该定量表达的是否表达。</w:t>
            </w:r>
          </w:p>
        </w:tc>
        <w:tc>
          <w:tcPr>
            <w:tcW w:w="1342" w:type="dxa"/>
            <w:noWrap w:val="0"/>
            <w:vAlign w:val="center"/>
          </w:tcPr>
          <w:p w14:paraId="34EDAF2D">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6CCD5B91">
            <w:pPr>
              <w:snapToGrid w:val="0"/>
              <w:spacing w:line="240" w:lineRule="atLeast"/>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10</w:t>
            </w:r>
          </w:p>
        </w:tc>
      </w:tr>
      <w:tr w14:paraId="2255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19" w:type="dxa"/>
            <w:vMerge w:val="continue"/>
            <w:shd w:val="clear" w:color="auto" w:fill="auto"/>
            <w:noWrap w:val="0"/>
            <w:vAlign w:val="center"/>
          </w:tcPr>
          <w:p w14:paraId="67A2E410">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shd w:val="clear" w:color="auto" w:fill="auto"/>
            <w:noWrap w:val="0"/>
            <w:vAlign w:val="center"/>
          </w:tcPr>
          <w:p w14:paraId="2AE6FD8D">
            <w:pPr>
              <w:snapToGrid w:val="0"/>
              <w:spacing w:line="240" w:lineRule="atLeast"/>
              <w:jc w:val="center"/>
              <w:rPr>
                <w:rFonts w:hint="default" w:ascii="Times New Roman" w:hAnsi="Times New Roman" w:cs="Times New Roman"/>
                <w:color w:val="auto"/>
                <w:sz w:val="21"/>
                <w:szCs w:val="21"/>
                <w:u w:val="none"/>
              </w:rPr>
            </w:pPr>
          </w:p>
        </w:tc>
        <w:tc>
          <w:tcPr>
            <w:tcW w:w="741" w:type="dxa"/>
            <w:shd w:val="clear" w:color="auto" w:fill="auto"/>
            <w:noWrap w:val="0"/>
            <w:vAlign w:val="center"/>
          </w:tcPr>
          <w:p w14:paraId="51E0B830">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目标完成</w:t>
            </w:r>
          </w:p>
        </w:tc>
        <w:tc>
          <w:tcPr>
            <w:tcW w:w="0" w:type="auto"/>
            <w:shd w:val="clear" w:color="auto" w:fill="auto"/>
            <w:noWrap w:val="0"/>
            <w:vAlign w:val="center"/>
          </w:tcPr>
          <w:p w14:paraId="7F22DDF5">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49FACF15">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5DB01AC3">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4BC21538">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评价部门绩效目标实际实现程度与预期目标的偏离度。</w:t>
            </w:r>
          </w:p>
        </w:tc>
        <w:tc>
          <w:tcPr>
            <w:tcW w:w="3967" w:type="dxa"/>
            <w:shd w:val="clear" w:color="auto" w:fill="auto"/>
            <w:noWrap w:val="0"/>
            <w:vAlign w:val="center"/>
          </w:tcPr>
          <w:p w14:paraId="08D7E143">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以项目完成数量指标为核心，评价项目实际完成情况是否达到预期绩效目标，指标得分=达到预期绩效目标的部门项目个数/纳入绩效目标管理的部门预算项目个数*10</w:t>
            </w:r>
          </w:p>
        </w:tc>
        <w:tc>
          <w:tcPr>
            <w:tcW w:w="2622" w:type="dxa"/>
            <w:shd w:val="clear" w:color="auto" w:fill="FFFFFF"/>
            <w:noWrap w:val="0"/>
            <w:vAlign w:val="center"/>
          </w:tcPr>
          <w:p w14:paraId="2151FD5A">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项目绩效目标申报表（数量指标）</w:t>
            </w:r>
          </w:p>
        </w:tc>
        <w:tc>
          <w:tcPr>
            <w:tcW w:w="1342" w:type="dxa"/>
            <w:noWrap w:val="0"/>
            <w:vAlign w:val="center"/>
          </w:tcPr>
          <w:p w14:paraId="2A6D243F">
            <w:pPr>
              <w:snapToGrid w:val="0"/>
              <w:spacing w:line="240" w:lineRule="atLeast"/>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个别项目未达到预期绩效目标情况</w:t>
            </w:r>
          </w:p>
        </w:tc>
        <w:tc>
          <w:tcPr>
            <w:tcW w:w="682" w:type="dxa"/>
            <w:noWrap w:val="0"/>
            <w:vAlign w:val="center"/>
          </w:tcPr>
          <w:p w14:paraId="6D62BD4E">
            <w:pPr>
              <w:snapToGrid w:val="0"/>
              <w:spacing w:line="240" w:lineRule="atLeast"/>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9</w:t>
            </w:r>
          </w:p>
        </w:tc>
      </w:tr>
      <w:tr w14:paraId="5D97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819" w:type="dxa"/>
            <w:vMerge w:val="continue"/>
            <w:shd w:val="clear" w:color="auto" w:fill="auto"/>
            <w:noWrap w:val="0"/>
            <w:vAlign w:val="center"/>
          </w:tcPr>
          <w:p w14:paraId="0CD3D6EA">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shd w:val="clear" w:color="auto" w:fill="auto"/>
            <w:noWrap w:val="0"/>
            <w:vAlign w:val="center"/>
          </w:tcPr>
          <w:p w14:paraId="055C9EC0">
            <w:pPr>
              <w:snapToGrid w:val="0"/>
              <w:spacing w:line="240" w:lineRule="atLeast"/>
              <w:jc w:val="center"/>
              <w:rPr>
                <w:rFonts w:hint="default" w:ascii="Times New Roman" w:hAnsi="Times New Roman" w:cs="Times New Roman"/>
                <w:color w:val="auto"/>
                <w:sz w:val="21"/>
                <w:szCs w:val="21"/>
                <w:u w:val="none"/>
              </w:rPr>
            </w:pPr>
          </w:p>
        </w:tc>
        <w:tc>
          <w:tcPr>
            <w:tcW w:w="741" w:type="dxa"/>
            <w:shd w:val="clear" w:color="auto" w:fill="auto"/>
            <w:noWrap w:val="0"/>
            <w:vAlign w:val="center"/>
          </w:tcPr>
          <w:p w14:paraId="579CD37B">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编制准确</w:t>
            </w:r>
          </w:p>
        </w:tc>
        <w:tc>
          <w:tcPr>
            <w:tcW w:w="0" w:type="auto"/>
            <w:shd w:val="clear" w:color="auto" w:fill="auto"/>
            <w:noWrap w:val="0"/>
            <w:vAlign w:val="center"/>
          </w:tcPr>
          <w:p w14:paraId="69784916">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2CE6C4F6">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2EAC5B6F">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1F22AA59">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评价部门年初预算编制是否科学准确</w:t>
            </w:r>
            <w:r>
              <w:rPr>
                <w:rFonts w:hint="eastAsia" w:cs="Times New Roman"/>
                <w:color w:val="auto"/>
                <w:sz w:val="21"/>
                <w:szCs w:val="21"/>
                <w:u w:val="none"/>
                <w:lang w:eastAsia="zh-CN" w:bidi="ar"/>
              </w:rPr>
              <w:t>率</w:t>
            </w:r>
            <w:r>
              <w:rPr>
                <w:rFonts w:hint="default" w:ascii="Times New Roman" w:hAnsi="Times New Roman" w:cs="Times New Roman"/>
                <w:color w:val="auto"/>
                <w:sz w:val="21"/>
                <w:szCs w:val="21"/>
                <w:u w:val="none"/>
                <w:lang w:bidi="ar"/>
              </w:rPr>
              <w:t>。</w:t>
            </w:r>
          </w:p>
        </w:tc>
        <w:tc>
          <w:tcPr>
            <w:tcW w:w="3967" w:type="dxa"/>
            <w:shd w:val="clear" w:color="auto" w:fill="auto"/>
            <w:noWrap w:val="0"/>
            <w:vAlign w:val="center"/>
          </w:tcPr>
          <w:p w14:paraId="00C15751">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指标得分=（1-（10×部门全年预算调剂金额/年初部门预算数））*10。其中：若部门全年预算调剂金额/年初部门预算数&gt;0.1，此项得0分。</w:t>
            </w:r>
          </w:p>
        </w:tc>
        <w:tc>
          <w:tcPr>
            <w:tcW w:w="2622" w:type="dxa"/>
            <w:shd w:val="clear" w:color="auto" w:fill="FFFFFF"/>
            <w:noWrap w:val="0"/>
            <w:vAlign w:val="center"/>
          </w:tcPr>
          <w:p w14:paraId="49C9D087">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预算调剂金额：大平台中预算下达指标明细对账单—业务类型中“专项调剂”和“非专项调剂”绝对值合计数</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年初部门预算数：年初部门预算批复表，表1部门预算收支总表“本年支出合计”</w:t>
            </w:r>
          </w:p>
        </w:tc>
        <w:tc>
          <w:tcPr>
            <w:tcW w:w="1342" w:type="dxa"/>
            <w:noWrap w:val="0"/>
            <w:vAlign w:val="center"/>
          </w:tcPr>
          <w:p w14:paraId="683C9B91">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6EBFFF54">
            <w:pPr>
              <w:snapToGrid w:val="0"/>
              <w:spacing w:line="240" w:lineRule="atLeast"/>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10</w:t>
            </w:r>
          </w:p>
        </w:tc>
      </w:tr>
      <w:tr w14:paraId="1A64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19" w:type="dxa"/>
            <w:vMerge w:val="continue"/>
            <w:shd w:val="clear" w:color="auto" w:fill="auto"/>
            <w:noWrap w:val="0"/>
            <w:vAlign w:val="center"/>
          </w:tcPr>
          <w:p w14:paraId="2DF7BF31">
            <w:pPr>
              <w:snapToGrid w:val="0"/>
              <w:spacing w:line="240" w:lineRule="atLeast"/>
              <w:jc w:val="center"/>
              <w:rPr>
                <w:rFonts w:hint="default" w:ascii="Times New Roman" w:hAnsi="Times New Roman" w:cs="Times New Roman"/>
                <w:color w:val="auto"/>
                <w:sz w:val="21"/>
                <w:szCs w:val="21"/>
                <w:u w:val="none"/>
              </w:rPr>
            </w:pPr>
          </w:p>
        </w:tc>
        <w:tc>
          <w:tcPr>
            <w:tcW w:w="1300" w:type="dxa"/>
            <w:vMerge w:val="restart"/>
            <w:shd w:val="clear" w:color="auto" w:fill="auto"/>
            <w:noWrap w:val="0"/>
            <w:vAlign w:val="center"/>
          </w:tcPr>
          <w:p w14:paraId="45C61D7E">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预算执行（30分）</w:t>
            </w:r>
          </w:p>
        </w:tc>
        <w:tc>
          <w:tcPr>
            <w:tcW w:w="741" w:type="dxa"/>
            <w:shd w:val="clear" w:color="auto" w:fill="auto"/>
            <w:noWrap w:val="0"/>
            <w:vAlign w:val="center"/>
          </w:tcPr>
          <w:p w14:paraId="172F0A58">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支出控制</w:t>
            </w:r>
          </w:p>
        </w:tc>
        <w:tc>
          <w:tcPr>
            <w:tcW w:w="0" w:type="auto"/>
            <w:shd w:val="clear" w:color="auto" w:fill="auto"/>
            <w:noWrap w:val="0"/>
            <w:vAlign w:val="center"/>
          </w:tcPr>
          <w:p w14:paraId="3BB61419">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384C1DF8">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17898FC9">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74608E47">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部门公用经费及非定额公用支出控制情况。</w:t>
            </w:r>
          </w:p>
        </w:tc>
        <w:tc>
          <w:tcPr>
            <w:tcW w:w="3967" w:type="dxa"/>
            <w:shd w:val="clear" w:color="auto" w:fill="auto"/>
            <w:noWrap w:val="0"/>
            <w:vAlign w:val="center"/>
          </w:tcPr>
          <w:p w14:paraId="3BA50078">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622" w:type="dxa"/>
            <w:shd w:val="clear" w:color="auto" w:fill="FFFFFF"/>
            <w:noWrap w:val="0"/>
            <w:vAlign w:val="center"/>
          </w:tcPr>
          <w:p w14:paraId="7290EA37">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决算数：财政批复的决算套表-从决算科目里删选</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预算数：财政批复预算公开表</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偏差程度=（决算数-预算数）的绝对值/决算数*100%</w:t>
            </w:r>
          </w:p>
        </w:tc>
        <w:tc>
          <w:tcPr>
            <w:tcW w:w="1342" w:type="dxa"/>
            <w:noWrap w:val="0"/>
            <w:vAlign w:val="center"/>
          </w:tcPr>
          <w:p w14:paraId="3FDC2C69">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4CADB4A2">
            <w:pPr>
              <w:snapToGrid w:val="0"/>
              <w:spacing w:line="240" w:lineRule="atLeast"/>
              <w:ind w:firstLine="341"/>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10</w:t>
            </w:r>
          </w:p>
        </w:tc>
      </w:tr>
      <w:tr w14:paraId="0663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19" w:type="dxa"/>
            <w:vMerge w:val="continue"/>
            <w:shd w:val="clear" w:color="auto" w:fill="auto"/>
            <w:noWrap w:val="0"/>
            <w:vAlign w:val="center"/>
          </w:tcPr>
          <w:p w14:paraId="35F5A406">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shd w:val="clear" w:color="auto" w:fill="auto"/>
            <w:noWrap w:val="0"/>
            <w:vAlign w:val="center"/>
          </w:tcPr>
          <w:p w14:paraId="16D83EBB">
            <w:pPr>
              <w:snapToGrid w:val="0"/>
              <w:spacing w:line="240" w:lineRule="atLeast"/>
              <w:jc w:val="center"/>
              <w:rPr>
                <w:rFonts w:hint="default" w:ascii="Times New Roman" w:hAnsi="Times New Roman" w:cs="Times New Roman"/>
                <w:color w:val="auto"/>
                <w:sz w:val="21"/>
                <w:szCs w:val="21"/>
                <w:u w:val="none"/>
              </w:rPr>
            </w:pPr>
          </w:p>
        </w:tc>
        <w:tc>
          <w:tcPr>
            <w:tcW w:w="741" w:type="dxa"/>
            <w:shd w:val="clear" w:color="auto" w:fill="auto"/>
            <w:noWrap w:val="0"/>
            <w:vAlign w:val="center"/>
          </w:tcPr>
          <w:p w14:paraId="190DE8BF">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动态调整</w:t>
            </w:r>
          </w:p>
        </w:tc>
        <w:tc>
          <w:tcPr>
            <w:tcW w:w="0" w:type="auto"/>
            <w:shd w:val="clear" w:color="auto" w:fill="auto"/>
            <w:noWrap w:val="0"/>
            <w:vAlign w:val="center"/>
          </w:tcPr>
          <w:p w14:paraId="33D0C48E">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246DAB80">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0B10C21C">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5572AA4B">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评价部门开展绩效运行监控后，将绩效监控结果应用到预算调整的情况。</w:t>
            </w:r>
          </w:p>
        </w:tc>
        <w:tc>
          <w:tcPr>
            <w:tcW w:w="3967" w:type="dxa"/>
            <w:shd w:val="clear" w:color="auto" w:fill="auto"/>
            <w:noWrap w:val="0"/>
            <w:vAlign w:val="center"/>
          </w:tcPr>
          <w:p w14:paraId="035E6B9D">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 xml:space="preserve">3.当部门绩效监控调整取消额与结余注销额均为零时，得满分。   </w:t>
            </w:r>
          </w:p>
        </w:tc>
        <w:tc>
          <w:tcPr>
            <w:tcW w:w="2622" w:type="dxa"/>
            <w:shd w:val="clear" w:color="auto" w:fill="FFFFFF"/>
            <w:noWrap w:val="0"/>
            <w:vAlign w:val="center"/>
          </w:tcPr>
          <w:p w14:paraId="65638485">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预决算套表（Z01调整预算数、CS01）</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年度预算总额：Z01总计调整预算数</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绩效监控调整取消额：调整前年初结转和结余-调整后年初结转和结余=0，则没有取消额</w:t>
            </w:r>
            <w:r>
              <w:rPr>
                <w:rFonts w:hint="default" w:ascii="Times New Roman" w:hAnsi="Times New Roman" w:cs="Times New Roman"/>
                <w:color w:val="auto"/>
                <w:sz w:val="21"/>
                <w:szCs w:val="21"/>
                <w:u w:val="none"/>
                <w:lang w:bidi="ar"/>
              </w:rPr>
              <w:br w:type="textWrapping"/>
            </w:r>
            <w:r>
              <w:rPr>
                <w:rFonts w:hint="default" w:ascii="Times New Roman" w:hAnsi="Times New Roman" w:cs="Times New Roman"/>
                <w:color w:val="auto"/>
                <w:sz w:val="21"/>
                <w:szCs w:val="21"/>
                <w:u w:val="none"/>
                <w:lang w:bidi="ar"/>
              </w:rPr>
              <w:t>预算结余注销额：归集上缴和缴回资金栏为0，表示当年没有注销，如果有数就是注销额</w:t>
            </w:r>
          </w:p>
        </w:tc>
        <w:tc>
          <w:tcPr>
            <w:tcW w:w="1342" w:type="dxa"/>
            <w:noWrap w:val="0"/>
            <w:vAlign w:val="center"/>
          </w:tcPr>
          <w:p w14:paraId="713A674F">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611ED738">
            <w:pPr>
              <w:snapToGrid w:val="0"/>
              <w:spacing w:line="240" w:lineRule="atLeast"/>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10</w:t>
            </w:r>
          </w:p>
        </w:tc>
      </w:tr>
      <w:tr w14:paraId="6F5E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19" w:type="dxa"/>
            <w:vMerge w:val="continue"/>
            <w:shd w:val="clear" w:color="auto" w:fill="auto"/>
            <w:noWrap w:val="0"/>
            <w:vAlign w:val="center"/>
          </w:tcPr>
          <w:p w14:paraId="59957ECE">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shd w:val="clear" w:color="auto" w:fill="auto"/>
            <w:noWrap w:val="0"/>
            <w:vAlign w:val="center"/>
          </w:tcPr>
          <w:p w14:paraId="31F6F6AA">
            <w:pPr>
              <w:snapToGrid w:val="0"/>
              <w:spacing w:line="240" w:lineRule="atLeast"/>
              <w:jc w:val="center"/>
              <w:rPr>
                <w:rFonts w:hint="default" w:ascii="Times New Roman" w:hAnsi="Times New Roman" w:cs="Times New Roman"/>
                <w:color w:val="auto"/>
                <w:sz w:val="21"/>
                <w:szCs w:val="21"/>
                <w:u w:val="none"/>
              </w:rPr>
            </w:pPr>
          </w:p>
        </w:tc>
        <w:tc>
          <w:tcPr>
            <w:tcW w:w="741" w:type="dxa"/>
            <w:shd w:val="clear" w:color="auto" w:fill="auto"/>
            <w:noWrap w:val="0"/>
            <w:vAlign w:val="center"/>
          </w:tcPr>
          <w:p w14:paraId="5653F515">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执行进度</w:t>
            </w:r>
          </w:p>
        </w:tc>
        <w:tc>
          <w:tcPr>
            <w:tcW w:w="0" w:type="auto"/>
            <w:shd w:val="clear" w:color="auto" w:fill="auto"/>
            <w:noWrap w:val="0"/>
            <w:vAlign w:val="center"/>
          </w:tcPr>
          <w:p w14:paraId="6EDFACC9">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4F1A5D62">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35C12AB1">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2033D6D8">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评价部门在6、9、11月的预算执行情况。</w:t>
            </w:r>
          </w:p>
        </w:tc>
        <w:tc>
          <w:tcPr>
            <w:tcW w:w="3967" w:type="dxa"/>
            <w:shd w:val="clear" w:color="auto" w:fill="auto"/>
            <w:noWrap w:val="0"/>
            <w:vAlign w:val="center"/>
          </w:tcPr>
          <w:p w14:paraId="24854B17">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2622" w:type="dxa"/>
            <w:shd w:val="clear" w:color="auto" w:fill="FFFFFF"/>
            <w:noWrap w:val="0"/>
            <w:vAlign w:val="center"/>
          </w:tcPr>
          <w:p w14:paraId="2D721E64">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财政部门统一从国库总会计那取数字发送到各单位</w:t>
            </w:r>
          </w:p>
        </w:tc>
        <w:tc>
          <w:tcPr>
            <w:tcW w:w="1342" w:type="dxa"/>
            <w:noWrap w:val="0"/>
            <w:vAlign w:val="center"/>
          </w:tcPr>
          <w:p w14:paraId="3D50CBE5">
            <w:pPr>
              <w:snapToGrid w:val="0"/>
              <w:spacing w:line="240" w:lineRule="atLeast"/>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部分项目未达到预算执行进度</w:t>
            </w:r>
          </w:p>
        </w:tc>
        <w:tc>
          <w:tcPr>
            <w:tcW w:w="682" w:type="dxa"/>
            <w:noWrap w:val="0"/>
            <w:vAlign w:val="center"/>
          </w:tcPr>
          <w:p w14:paraId="24C89850">
            <w:pPr>
              <w:snapToGrid w:val="0"/>
              <w:spacing w:line="240" w:lineRule="atLeast"/>
              <w:jc w:val="center"/>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10</w:t>
            </w:r>
          </w:p>
        </w:tc>
      </w:tr>
      <w:tr w14:paraId="43B2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19" w:type="dxa"/>
            <w:vMerge w:val="continue"/>
            <w:shd w:val="clear" w:color="auto" w:fill="auto"/>
            <w:noWrap w:val="0"/>
            <w:vAlign w:val="center"/>
          </w:tcPr>
          <w:p w14:paraId="27C3D5C7">
            <w:pPr>
              <w:snapToGrid w:val="0"/>
              <w:spacing w:line="240" w:lineRule="atLeast"/>
              <w:jc w:val="center"/>
              <w:rPr>
                <w:rFonts w:hint="default" w:ascii="Times New Roman" w:hAnsi="Times New Roman" w:cs="Times New Roman"/>
                <w:color w:val="auto"/>
                <w:sz w:val="21"/>
                <w:szCs w:val="21"/>
                <w:u w:val="none"/>
              </w:rPr>
            </w:pPr>
          </w:p>
        </w:tc>
        <w:tc>
          <w:tcPr>
            <w:tcW w:w="1300" w:type="dxa"/>
            <w:vMerge w:val="restart"/>
            <w:shd w:val="clear" w:color="auto" w:fill="auto"/>
            <w:noWrap w:val="0"/>
            <w:vAlign w:val="center"/>
          </w:tcPr>
          <w:p w14:paraId="24F5A977">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完成结果（20分）</w:t>
            </w:r>
          </w:p>
        </w:tc>
        <w:tc>
          <w:tcPr>
            <w:tcW w:w="741" w:type="dxa"/>
            <w:shd w:val="clear" w:color="auto" w:fill="auto"/>
            <w:noWrap w:val="0"/>
            <w:vAlign w:val="center"/>
          </w:tcPr>
          <w:p w14:paraId="2FA94943">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预算完成</w:t>
            </w:r>
          </w:p>
        </w:tc>
        <w:tc>
          <w:tcPr>
            <w:tcW w:w="0" w:type="auto"/>
            <w:shd w:val="clear" w:color="auto" w:fill="auto"/>
            <w:noWrap w:val="0"/>
            <w:vAlign w:val="center"/>
          </w:tcPr>
          <w:p w14:paraId="6CD67AA3">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6CED0437">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1AFEE578">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6782EE9E">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评价部门预算项目年终预算执行情况。</w:t>
            </w:r>
          </w:p>
        </w:tc>
        <w:tc>
          <w:tcPr>
            <w:tcW w:w="3967" w:type="dxa"/>
            <w:shd w:val="clear" w:color="auto" w:fill="auto"/>
            <w:noWrap w:val="0"/>
            <w:vAlign w:val="center"/>
          </w:tcPr>
          <w:p w14:paraId="4D008121">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部门预算项目12月预算执行进度达到100%的，得10分，未达100%的，按照实际进度量化计算得分。(含所有下属单位)</w:t>
            </w:r>
          </w:p>
        </w:tc>
        <w:tc>
          <w:tcPr>
            <w:tcW w:w="2622" w:type="dxa"/>
            <w:shd w:val="clear" w:color="auto" w:fill="FFFFFF"/>
            <w:noWrap w:val="0"/>
            <w:vAlign w:val="center"/>
          </w:tcPr>
          <w:p w14:paraId="1309EAA0">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预决算套表（Z01调整预算数、决算数）；实际进度量化计算得分=80%*10=8</w:t>
            </w:r>
          </w:p>
        </w:tc>
        <w:tc>
          <w:tcPr>
            <w:tcW w:w="1342" w:type="dxa"/>
            <w:noWrap w:val="0"/>
            <w:vAlign w:val="center"/>
          </w:tcPr>
          <w:p w14:paraId="18BEB54B">
            <w:pPr>
              <w:snapToGrid w:val="0"/>
              <w:spacing w:line="240" w:lineRule="atLeast"/>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个别项目</w:t>
            </w:r>
            <w:r>
              <w:rPr>
                <w:rFonts w:hint="eastAsia" w:cs="Times New Roman"/>
                <w:color w:val="auto"/>
                <w:sz w:val="21"/>
                <w:szCs w:val="21"/>
                <w:u w:val="none"/>
                <w:lang w:val="en-US" w:eastAsia="zh-CN"/>
              </w:rPr>
              <w:t>未</w:t>
            </w:r>
            <w:r>
              <w:rPr>
                <w:rFonts w:hint="eastAsia" w:ascii="Times New Roman" w:hAnsi="Times New Roman" w:cs="Times New Roman"/>
                <w:color w:val="auto"/>
                <w:sz w:val="21"/>
                <w:szCs w:val="21"/>
                <w:u w:val="none"/>
                <w:lang w:val="en-US" w:eastAsia="zh-CN"/>
              </w:rPr>
              <w:t>达到年初预算项目执行</w:t>
            </w:r>
            <w:r>
              <w:rPr>
                <w:rFonts w:hint="eastAsia" w:cs="Times New Roman"/>
                <w:color w:val="auto"/>
                <w:sz w:val="21"/>
                <w:szCs w:val="21"/>
                <w:u w:val="none"/>
                <w:lang w:val="en-US" w:eastAsia="zh-CN"/>
              </w:rPr>
              <w:t>进度</w:t>
            </w:r>
          </w:p>
        </w:tc>
        <w:tc>
          <w:tcPr>
            <w:tcW w:w="682" w:type="dxa"/>
            <w:noWrap w:val="0"/>
            <w:vAlign w:val="center"/>
          </w:tcPr>
          <w:p w14:paraId="725C1374">
            <w:pPr>
              <w:snapToGrid w:val="0"/>
              <w:spacing w:line="240" w:lineRule="atLeast"/>
              <w:jc w:val="center"/>
              <w:rPr>
                <w:rFonts w:hint="eastAsia"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9</w:t>
            </w:r>
          </w:p>
        </w:tc>
      </w:tr>
      <w:tr w14:paraId="4B56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819" w:type="dxa"/>
            <w:vMerge w:val="continue"/>
            <w:shd w:val="clear" w:color="auto" w:fill="auto"/>
            <w:noWrap w:val="0"/>
            <w:vAlign w:val="center"/>
          </w:tcPr>
          <w:p w14:paraId="7D5666C9">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shd w:val="clear" w:color="auto" w:fill="auto"/>
            <w:noWrap w:val="0"/>
            <w:vAlign w:val="center"/>
          </w:tcPr>
          <w:p w14:paraId="362FBCEC">
            <w:pPr>
              <w:snapToGrid w:val="0"/>
              <w:spacing w:line="240" w:lineRule="atLeast"/>
              <w:jc w:val="center"/>
              <w:rPr>
                <w:rFonts w:hint="default" w:ascii="Times New Roman" w:hAnsi="Times New Roman" w:cs="Times New Roman"/>
                <w:color w:val="auto"/>
                <w:sz w:val="21"/>
                <w:szCs w:val="21"/>
                <w:u w:val="none"/>
              </w:rPr>
            </w:pPr>
          </w:p>
        </w:tc>
        <w:tc>
          <w:tcPr>
            <w:tcW w:w="741" w:type="dxa"/>
            <w:shd w:val="clear" w:color="auto" w:fill="auto"/>
            <w:noWrap w:val="0"/>
            <w:vAlign w:val="center"/>
          </w:tcPr>
          <w:p w14:paraId="3EAAD5EB">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违规记录</w:t>
            </w:r>
          </w:p>
        </w:tc>
        <w:tc>
          <w:tcPr>
            <w:tcW w:w="0" w:type="auto"/>
            <w:shd w:val="clear" w:color="auto" w:fill="auto"/>
            <w:noWrap w:val="0"/>
            <w:vAlign w:val="center"/>
          </w:tcPr>
          <w:p w14:paraId="05A35F33">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shd w:val="clear" w:color="auto" w:fill="auto"/>
            <w:noWrap w:val="0"/>
            <w:vAlign w:val="center"/>
          </w:tcPr>
          <w:p w14:paraId="7476C009">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7FC2E68D">
            <w:pPr>
              <w:snapToGrid w:val="0"/>
              <w:spacing w:line="240" w:lineRule="atLeast"/>
              <w:jc w:val="center"/>
              <w:rPr>
                <w:rFonts w:hint="default" w:ascii="Times New Roman" w:hAnsi="Times New Roman" w:cs="Times New Roman"/>
                <w:color w:val="auto"/>
                <w:sz w:val="21"/>
                <w:szCs w:val="21"/>
                <w:u w:val="none"/>
              </w:rPr>
            </w:pPr>
          </w:p>
        </w:tc>
        <w:tc>
          <w:tcPr>
            <w:tcW w:w="0" w:type="auto"/>
            <w:shd w:val="clear" w:color="auto" w:fill="auto"/>
            <w:noWrap w:val="0"/>
            <w:vAlign w:val="center"/>
          </w:tcPr>
          <w:p w14:paraId="52C68209">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根据审计监督、财政检查结果反映部门上一年度部门预算管理是否合规。</w:t>
            </w:r>
          </w:p>
        </w:tc>
        <w:tc>
          <w:tcPr>
            <w:tcW w:w="3967" w:type="dxa"/>
            <w:shd w:val="clear" w:color="auto" w:fill="auto"/>
            <w:noWrap w:val="0"/>
            <w:vAlign w:val="center"/>
          </w:tcPr>
          <w:p w14:paraId="32D2DDF6">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依据上一年度审计监督、财政检查结果，出现部门预算管理方面违纪违规问题的，每个问题扣0.5分，直至扣完。</w:t>
            </w:r>
          </w:p>
        </w:tc>
        <w:tc>
          <w:tcPr>
            <w:tcW w:w="2622" w:type="dxa"/>
            <w:shd w:val="clear" w:color="auto" w:fill="FFFFFF"/>
            <w:noWrap w:val="0"/>
            <w:vAlign w:val="center"/>
          </w:tcPr>
          <w:p w14:paraId="4FC935FB">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上一年度的审计监督、财政检查报告</w:t>
            </w:r>
          </w:p>
        </w:tc>
        <w:tc>
          <w:tcPr>
            <w:tcW w:w="1342" w:type="dxa"/>
            <w:noWrap w:val="0"/>
            <w:vAlign w:val="center"/>
          </w:tcPr>
          <w:p w14:paraId="3E9FB6E7">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4FE7ECCA">
            <w:pPr>
              <w:snapToGrid w:val="0"/>
              <w:spacing w:line="240" w:lineRule="atLeast"/>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10</w:t>
            </w:r>
          </w:p>
        </w:tc>
      </w:tr>
      <w:tr w14:paraId="2A20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9" w:type="dxa"/>
            <w:vMerge w:val="restart"/>
            <w:noWrap w:val="0"/>
            <w:vAlign w:val="center"/>
          </w:tcPr>
          <w:p w14:paraId="2AC875F1">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绩效结果应用（10分）</w:t>
            </w:r>
          </w:p>
        </w:tc>
        <w:tc>
          <w:tcPr>
            <w:tcW w:w="1300" w:type="dxa"/>
            <w:vMerge w:val="restart"/>
            <w:noWrap w:val="0"/>
            <w:vAlign w:val="center"/>
          </w:tcPr>
          <w:p w14:paraId="77FFA1AD">
            <w:pPr>
              <w:widowControl w:val="0"/>
              <w:snapToGrid w:val="0"/>
              <w:spacing w:line="240" w:lineRule="atLeast"/>
              <w:jc w:val="center"/>
              <w:textAlignment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信息公开</w:t>
            </w:r>
          </w:p>
          <w:p w14:paraId="4367A05D">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（6分）</w:t>
            </w:r>
          </w:p>
        </w:tc>
        <w:tc>
          <w:tcPr>
            <w:tcW w:w="741" w:type="dxa"/>
            <w:noWrap w:val="0"/>
            <w:vAlign w:val="center"/>
          </w:tcPr>
          <w:p w14:paraId="011CA5F1">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目标公开</w:t>
            </w:r>
          </w:p>
        </w:tc>
        <w:tc>
          <w:tcPr>
            <w:tcW w:w="0" w:type="auto"/>
            <w:noWrap w:val="0"/>
            <w:vAlign w:val="center"/>
          </w:tcPr>
          <w:p w14:paraId="2C9C1356">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3</w:t>
            </w:r>
          </w:p>
        </w:tc>
        <w:tc>
          <w:tcPr>
            <w:tcW w:w="0" w:type="auto"/>
            <w:noWrap w:val="0"/>
            <w:vAlign w:val="center"/>
          </w:tcPr>
          <w:p w14:paraId="793AC044">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6ACA2730">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3FEB69F0">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评价部门绩效目标是否按要求向社会公开。</w:t>
            </w:r>
          </w:p>
        </w:tc>
        <w:tc>
          <w:tcPr>
            <w:tcW w:w="3967" w:type="dxa"/>
            <w:noWrap w:val="0"/>
            <w:vAlign w:val="center"/>
          </w:tcPr>
          <w:p w14:paraId="25BD64B4">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按要求随同预算公开的，得3分。</w:t>
            </w:r>
          </w:p>
        </w:tc>
        <w:tc>
          <w:tcPr>
            <w:tcW w:w="2622" w:type="dxa"/>
            <w:noWrap w:val="0"/>
            <w:vAlign w:val="center"/>
          </w:tcPr>
          <w:p w14:paraId="3A7D54F4">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人民政府信息公开网—预决算公开栏</w:t>
            </w:r>
          </w:p>
        </w:tc>
        <w:tc>
          <w:tcPr>
            <w:tcW w:w="1342" w:type="dxa"/>
            <w:noWrap w:val="0"/>
            <w:vAlign w:val="center"/>
          </w:tcPr>
          <w:p w14:paraId="3C0D6AA9">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4380EDE4">
            <w:pPr>
              <w:snapToGrid w:val="0"/>
              <w:spacing w:line="240" w:lineRule="atLeast"/>
              <w:jc w:val="center"/>
              <w:rPr>
                <w:rFonts w:hint="eastAsia"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3</w:t>
            </w:r>
          </w:p>
        </w:tc>
      </w:tr>
      <w:tr w14:paraId="1C03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819" w:type="dxa"/>
            <w:vMerge w:val="continue"/>
            <w:noWrap w:val="0"/>
            <w:vAlign w:val="center"/>
          </w:tcPr>
          <w:p w14:paraId="3FCBA119">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noWrap w:val="0"/>
            <w:vAlign w:val="center"/>
          </w:tcPr>
          <w:p w14:paraId="2EE02BB8">
            <w:pPr>
              <w:snapToGrid w:val="0"/>
              <w:spacing w:line="240" w:lineRule="atLeast"/>
              <w:jc w:val="center"/>
              <w:rPr>
                <w:rFonts w:hint="default" w:ascii="Times New Roman" w:hAnsi="Times New Roman" w:cs="Times New Roman"/>
                <w:color w:val="auto"/>
                <w:sz w:val="21"/>
                <w:szCs w:val="21"/>
                <w:u w:val="none"/>
              </w:rPr>
            </w:pPr>
          </w:p>
        </w:tc>
        <w:tc>
          <w:tcPr>
            <w:tcW w:w="741" w:type="dxa"/>
            <w:noWrap w:val="0"/>
            <w:vAlign w:val="center"/>
          </w:tcPr>
          <w:p w14:paraId="2E448CDC">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自评公开</w:t>
            </w:r>
          </w:p>
        </w:tc>
        <w:tc>
          <w:tcPr>
            <w:tcW w:w="0" w:type="auto"/>
            <w:noWrap w:val="0"/>
            <w:vAlign w:val="center"/>
          </w:tcPr>
          <w:p w14:paraId="52AACDFB">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3</w:t>
            </w:r>
          </w:p>
        </w:tc>
        <w:tc>
          <w:tcPr>
            <w:tcW w:w="0" w:type="auto"/>
            <w:noWrap w:val="0"/>
            <w:vAlign w:val="center"/>
          </w:tcPr>
          <w:p w14:paraId="46B701C0">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0FAFC99D">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7944ED4E">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评价部门是否按要求将部门整体绩效自评情况和自行组织的评价情况向社会公开。</w:t>
            </w:r>
          </w:p>
        </w:tc>
        <w:tc>
          <w:tcPr>
            <w:tcW w:w="3967" w:type="dxa"/>
            <w:noWrap w:val="0"/>
            <w:vAlign w:val="center"/>
          </w:tcPr>
          <w:p w14:paraId="67FC1729">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按要求随同决算公开的，得3分。</w:t>
            </w:r>
          </w:p>
        </w:tc>
        <w:tc>
          <w:tcPr>
            <w:tcW w:w="2622" w:type="dxa"/>
            <w:noWrap w:val="0"/>
            <w:vAlign w:val="center"/>
          </w:tcPr>
          <w:p w14:paraId="3DE91E16">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人民政府信息公开网—预决算公开栏</w:t>
            </w:r>
          </w:p>
        </w:tc>
        <w:tc>
          <w:tcPr>
            <w:tcW w:w="1342" w:type="dxa"/>
            <w:noWrap w:val="0"/>
            <w:vAlign w:val="center"/>
          </w:tcPr>
          <w:p w14:paraId="62D50D11">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204D1383">
            <w:pPr>
              <w:snapToGrid w:val="0"/>
              <w:spacing w:line="240" w:lineRule="atLeast"/>
              <w:jc w:val="center"/>
              <w:rPr>
                <w:rFonts w:hint="eastAsia"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3</w:t>
            </w:r>
          </w:p>
        </w:tc>
      </w:tr>
      <w:tr w14:paraId="2EFA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9" w:type="dxa"/>
            <w:vMerge w:val="restart"/>
            <w:noWrap w:val="0"/>
            <w:vAlign w:val="center"/>
          </w:tcPr>
          <w:p w14:paraId="30383EF8">
            <w:pPr>
              <w:snapToGrid w:val="0"/>
              <w:spacing w:line="240" w:lineRule="atLeas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绩效结果应用（10分）</w:t>
            </w:r>
          </w:p>
        </w:tc>
        <w:tc>
          <w:tcPr>
            <w:tcW w:w="1300" w:type="dxa"/>
            <w:vMerge w:val="restart"/>
            <w:noWrap w:val="0"/>
            <w:vAlign w:val="center"/>
          </w:tcPr>
          <w:p w14:paraId="3F111976">
            <w:pPr>
              <w:widowControl w:val="0"/>
              <w:snapToGrid w:val="0"/>
              <w:spacing w:line="240" w:lineRule="atLeast"/>
              <w:jc w:val="center"/>
              <w:textAlignment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整改反馈</w:t>
            </w:r>
          </w:p>
          <w:p w14:paraId="16F13F6B">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（4分）</w:t>
            </w:r>
          </w:p>
        </w:tc>
        <w:tc>
          <w:tcPr>
            <w:tcW w:w="741" w:type="dxa"/>
            <w:noWrap w:val="0"/>
            <w:vAlign w:val="center"/>
          </w:tcPr>
          <w:p w14:paraId="4E8AADD2">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结果整改</w:t>
            </w:r>
          </w:p>
        </w:tc>
        <w:tc>
          <w:tcPr>
            <w:tcW w:w="0" w:type="auto"/>
            <w:noWrap w:val="0"/>
            <w:vAlign w:val="center"/>
          </w:tcPr>
          <w:p w14:paraId="0142867E">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2</w:t>
            </w:r>
          </w:p>
        </w:tc>
        <w:tc>
          <w:tcPr>
            <w:tcW w:w="0" w:type="auto"/>
            <w:noWrap w:val="0"/>
            <w:vAlign w:val="center"/>
          </w:tcPr>
          <w:p w14:paraId="669F473A">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5922A89B">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5558E544">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评价部门根据绩效管理结果整改问题、完善政策、改进管理的情况。</w:t>
            </w:r>
          </w:p>
        </w:tc>
        <w:tc>
          <w:tcPr>
            <w:tcW w:w="3967" w:type="dxa"/>
            <w:noWrap w:val="0"/>
            <w:vAlign w:val="center"/>
          </w:tcPr>
          <w:p w14:paraId="1E5AB4B8">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针对绩效管理过程中（包括绩效目标核查、绩效监控核查和重点绩效评价）提出的问题，发现一处未整改的，扣1分，直至扣完。</w:t>
            </w:r>
          </w:p>
        </w:tc>
        <w:tc>
          <w:tcPr>
            <w:tcW w:w="2622" w:type="dxa"/>
            <w:noWrap w:val="0"/>
            <w:vAlign w:val="center"/>
          </w:tcPr>
          <w:p w14:paraId="37E7DDAE">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结果整改说明、整改报告，现场检查</w:t>
            </w:r>
          </w:p>
        </w:tc>
        <w:tc>
          <w:tcPr>
            <w:tcW w:w="1342" w:type="dxa"/>
            <w:noWrap w:val="0"/>
            <w:vAlign w:val="center"/>
          </w:tcPr>
          <w:p w14:paraId="70688C2F">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77750706">
            <w:pPr>
              <w:snapToGrid w:val="0"/>
              <w:spacing w:line="240" w:lineRule="atLeast"/>
              <w:jc w:val="center"/>
              <w:rPr>
                <w:rFonts w:hint="eastAsia"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2</w:t>
            </w:r>
          </w:p>
        </w:tc>
      </w:tr>
      <w:tr w14:paraId="2352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19" w:type="dxa"/>
            <w:vMerge w:val="continue"/>
            <w:noWrap w:val="0"/>
            <w:vAlign w:val="center"/>
          </w:tcPr>
          <w:p w14:paraId="4652A925">
            <w:pPr>
              <w:snapToGrid w:val="0"/>
              <w:spacing w:line="240" w:lineRule="atLeast"/>
              <w:jc w:val="center"/>
              <w:rPr>
                <w:rFonts w:hint="default" w:ascii="Times New Roman" w:hAnsi="Times New Roman" w:cs="Times New Roman"/>
                <w:color w:val="auto"/>
                <w:sz w:val="21"/>
                <w:szCs w:val="21"/>
                <w:u w:val="none"/>
              </w:rPr>
            </w:pPr>
          </w:p>
        </w:tc>
        <w:tc>
          <w:tcPr>
            <w:tcW w:w="1300" w:type="dxa"/>
            <w:vMerge w:val="continue"/>
            <w:noWrap w:val="0"/>
            <w:vAlign w:val="center"/>
          </w:tcPr>
          <w:p w14:paraId="66CA4F6C">
            <w:pPr>
              <w:snapToGrid w:val="0"/>
              <w:spacing w:line="240" w:lineRule="atLeast"/>
              <w:jc w:val="center"/>
              <w:rPr>
                <w:rFonts w:hint="default" w:ascii="Times New Roman" w:hAnsi="Times New Roman" w:cs="Times New Roman"/>
                <w:color w:val="auto"/>
                <w:sz w:val="21"/>
                <w:szCs w:val="21"/>
                <w:u w:val="none"/>
              </w:rPr>
            </w:pPr>
          </w:p>
        </w:tc>
        <w:tc>
          <w:tcPr>
            <w:tcW w:w="741" w:type="dxa"/>
            <w:noWrap w:val="0"/>
            <w:vAlign w:val="center"/>
          </w:tcPr>
          <w:p w14:paraId="568D7E61">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应用反馈</w:t>
            </w:r>
          </w:p>
        </w:tc>
        <w:tc>
          <w:tcPr>
            <w:tcW w:w="0" w:type="auto"/>
            <w:noWrap w:val="0"/>
            <w:vAlign w:val="center"/>
          </w:tcPr>
          <w:p w14:paraId="21DEAC5E">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2</w:t>
            </w:r>
          </w:p>
        </w:tc>
        <w:tc>
          <w:tcPr>
            <w:tcW w:w="0" w:type="auto"/>
            <w:noWrap w:val="0"/>
            <w:vAlign w:val="center"/>
          </w:tcPr>
          <w:p w14:paraId="4D9B6AA7">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502FFA38">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6A38EA10">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评价部门按要求及时向财政部门反馈结果应用情况。</w:t>
            </w:r>
          </w:p>
        </w:tc>
        <w:tc>
          <w:tcPr>
            <w:tcW w:w="3967" w:type="dxa"/>
            <w:noWrap w:val="0"/>
            <w:vAlign w:val="center"/>
          </w:tcPr>
          <w:p w14:paraId="4868A637">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部门在规定时间内向财政部门反馈应用绩效结果报告的，得满分，否则不得分。</w:t>
            </w:r>
          </w:p>
        </w:tc>
        <w:tc>
          <w:tcPr>
            <w:tcW w:w="2622" w:type="dxa"/>
            <w:noWrap w:val="0"/>
            <w:vAlign w:val="center"/>
          </w:tcPr>
          <w:p w14:paraId="5F3865C2">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根据财政部门要求反馈的时间限制。</w:t>
            </w:r>
          </w:p>
        </w:tc>
        <w:tc>
          <w:tcPr>
            <w:tcW w:w="1342" w:type="dxa"/>
            <w:noWrap w:val="0"/>
            <w:vAlign w:val="center"/>
          </w:tcPr>
          <w:p w14:paraId="24BDD731">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12DD4E07">
            <w:pPr>
              <w:snapToGrid w:val="0"/>
              <w:spacing w:line="240" w:lineRule="atLeast"/>
              <w:jc w:val="center"/>
              <w:rPr>
                <w:rFonts w:hint="eastAsia"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2</w:t>
            </w:r>
          </w:p>
        </w:tc>
      </w:tr>
      <w:tr w14:paraId="4C75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9" w:type="dxa"/>
            <w:noWrap w:val="0"/>
            <w:vAlign w:val="center"/>
          </w:tcPr>
          <w:p w14:paraId="6948433A">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自评质量（10分）</w:t>
            </w:r>
          </w:p>
        </w:tc>
        <w:tc>
          <w:tcPr>
            <w:tcW w:w="1300" w:type="dxa"/>
            <w:noWrap w:val="0"/>
            <w:vAlign w:val="center"/>
          </w:tcPr>
          <w:p w14:paraId="06FF15C7">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自评质量（10分）</w:t>
            </w:r>
          </w:p>
        </w:tc>
        <w:tc>
          <w:tcPr>
            <w:tcW w:w="741" w:type="dxa"/>
            <w:noWrap w:val="0"/>
            <w:vAlign w:val="center"/>
          </w:tcPr>
          <w:p w14:paraId="2643E8F9">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自评准确</w:t>
            </w:r>
          </w:p>
        </w:tc>
        <w:tc>
          <w:tcPr>
            <w:tcW w:w="0" w:type="auto"/>
            <w:noWrap w:val="0"/>
            <w:vAlign w:val="center"/>
          </w:tcPr>
          <w:p w14:paraId="42809342">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10</w:t>
            </w:r>
          </w:p>
        </w:tc>
        <w:tc>
          <w:tcPr>
            <w:tcW w:w="0" w:type="auto"/>
            <w:noWrap w:val="0"/>
            <w:vAlign w:val="center"/>
          </w:tcPr>
          <w:p w14:paraId="59596CFE">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699B68E3">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186C10C9">
            <w:pPr>
              <w:widowControl w:val="0"/>
              <w:snapToGrid w:val="0"/>
              <w:spacing w:line="240" w:lineRule="atLeast"/>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评价部门整体支出自评准确率。</w:t>
            </w:r>
          </w:p>
        </w:tc>
        <w:tc>
          <w:tcPr>
            <w:tcW w:w="3967" w:type="dxa"/>
            <w:noWrap w:val="0"/>
            <w:vAlign w:val="center"/>
          </w:tcPr>
          <w:p w14:paraId="07F0D25E">
            <w:pPr>
              <w:widowControl w:val="0"/>
              <w:snapToGrid w:val="0"/>
              <w:spacing w:line="240" w:lineRule="atLeast"/>
              <w:textAlignment w:val="center"/>
              <w:rPr>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lang w:bidi="ar"/>
              </w:rPr>
              <w:t>部门整体支出自评得分与评价组抽查得分差异在5%以内的，不扣分；在5%-10%之间的，扣4分，在10%-20%的，扣8分，在20%以上的，扣10分。</w:t>
            </w:r>
            <w:r>
              <w:rPr>
                <w:rStyle w:val="46"/>
                <w:rFonts w:hint="default" w:ascii="Times New Roman" w:hAnsi="Times New Roman" w:cs="Times New Roman"/>
                <w:color w:val="auto"/>
                <w:sz w:val="21"/>
                <w:szCs w:val="21"/>
                <w:u w:val="none"/>
                <w:lang w:bidi="ar"/>
              </w:rPr>
              <w:t>（部门在自评时，此项指标无需打分，部门自评满分为90分）</w:t>
            </w:r>
          </w:p>
        </w:tc>
        <w:tc>
          <w:tcPr>
            <w:tcW w:w="2622" w:type="dxa"/>
            <w:noWrap w:val="0"/>
            <w:vAlign w:val="center"/>
          </w:tcPr>
          <w:p w14:paraId="75D17AB9">
            <w:pPr>
              <w:snapToGrid w:val="0"/>
              <w:spacing w:line="240" w:lineRule="atLeast"/>
              <w:rPr>
                <w:rFonts w:hint="default" w:ascii="Times New Roman" w:hAnsi="Times New Roman" w:cs="Times New Roman"/>
                <w:color w:val="auto"/>
                <w:sz w:val="21"/>
                <w:szCs w:val="21"/>
                <w:u w:val="none"/>
              </w:rPr>
            </w:pPr>
          </w:p>
        </w:tc>
        <w:tc>
          <w:tcPr>
            <w:tcW w:w="1342" w:type="dxa"/>
            <w:noWrap w:val="0"/>
            <w:vAlign w:val="center"/>
          </w:tcPr>
          <w:p w14:paraId="5C65F191">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7BEEA141">
            <w:pPr>
              <w:snapToGrid w:val="0"/>
              <w:spacing w:line="240" w:lineRule="atLeast"/>
              <w:rPr>
                <w:rFonts w:hint="default" w:ascii="Times New Roman" w:hAnsi="Times New Roman" w:cs="Times New Roman"/>
                <w:color w:val="auto"/>
                <w:sz w:val="21"/>
                <w:szCs w:val="21"/>
                <w:u w:val="none"/>
              </w:rPr>
            </w:pPr>
          </w:p>
        </w:tc>
      </w:tr>
      <w:tr w14:paraId="6D58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gridSpan w:val="2"/>
            <w:noWrap w:val="0"/>
            <w:vAlign w:val="center"/>
          </w:tcPr>
          <w:p w14:paraId="79B5E7EC">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自评总分</w:t>
            </w:r>
          </w:p>
        </w:tc>
        <w:tc>
          <w:tcPr>
            <w:tcW w:w="741" w:type="dxa"/>
            <w:noWrap w:val="0"/>
            <w:vAlign w:val="center"/>
          </w:tcPr>
          <w:p w14:paraId="5EE471B7">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26D25B55">
            <w:pPr>
              <w:widowControl w:val="0"/>
              <w:snapToGrid w:val="0"/>
              <w:spacing w:line="240" w:lineRule="atLeast"/>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bidi="ar"/>
              </w:rPr>
              <w:t>90</w:t>
            </w:r>
          </w:p>
        </w:tc>
        <w:tc>
          <w:tcPr>
            <w:tcW w:w="0" w:type="auto"/>
            <w:noWrap w:val="0"/>
            <w:vAlign w:val="center"/>
          </w:tcPr>
          <w:p w14:paraId="441F36A1">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4D4762F7">
            <w:pPr>
              <w:snapToGrid w:val="0"/>
              <w:spacing w:line="240" w:lineRule="atLeast"/>
              <w:jc w:val="center"/>
              <w:rPr>
                <w:rFonts w:hint="default" w:ascii="Times New Roman" w:hAnsi="Times New Roman" w:cs="Times New Roman"/>
                <w:color w:val="auto"/>
                <w:sz w:val="21"/>
                <w:szCs w:val="21"/>
                <w:u w:val="none"/>
              </w:rPr>
            </w:pPr>
          </w:p>
        </w:tc>
        <w:tc>
          <w:tcPr>
            <w:tcW w:w="0" w:type="auto"/>
            <w:noWrap w:val="0"/>
            <w:vAlign w:val="center"/>
          </w:tcPr>
          <w:p w14:paraId="5F9CE2FA">
            <w:pPr>
              <w:snapToGrid w:val="0"/>
              <w:spacing w:line="240" w:lineRule="atLeast"/>
              <w:rPr>
                <w:rFonts w:hint="default" w:ascii="Times New Roman" w:hAnsi="Times New Roman" w:cs="Times New Roman"/>
                <w:color w:val="auto"/>
                <w:sz w:val="21"/>
                <w:szCs w:val="21"/>
                <w:u w:val="none"/>
              </w:rPr>
            </w:pPr>
          </w:p>
        </w:tc>
        <w:tc>
          <w:tcPr>
            <w:tcW w:w="3967" w:type="dxa"/>
            <w:noWrap w:val="0"/>
            <w:vAlign w:val="center"/>
          </w:tcPr>
          <w:p w14:paraId="40591930">
            <w:pPr>
              <w:snapToGrid w:val="0"/>
              <w:spacing w:line="240" w:lineRule="atLeast"/>
              <w:rPr>
                <w:rFonts w:hint="default" w:ascii="Times New Roman" w:hAnsi="Times New Roman" w:cs="Times New Roman"/>
                <w:color w:val="auto"/>
                <w:sz w:val="21"/>
                <w:szCs w:val="21"/>
                <w:u w:val="none"/>
              </w:rPr>
            </w:pPr>
          </w:p>
        </w:tc>
        <w:tc>
          <w:tcPr>
            <w:tcW w:w="2622" w:type="dxa"/>
            <w:noWrap w:val="0"/>
            <w:vAlign w:val="center"/>
          </w:tcPr>
          <w:p w14:paraId="3C8D7478">
            <w:pPr>
              <w:snapToGrid w:val="0"/>
              <w:spacing w:line="240" w:lineRule="atLeast"/>
              <w:rPr>
                <w:rFonts w:hint="default" w:ascii="Times New Roman" w:hAnsi="Times New Roman" w:cs="Times New Roman"/>
                <w:color w:val="auto"/>
                <w:sz w:val="21"/>
                <w:szCs w:val="21"/>
                <w:u w:val="none"/>
              </w:rPr>
            </w:pPr>
          </w:p>
        </w:tc>
        <w:tc>
          <w:tcPr>
            <w:tcW w:w="1342" w:type="dxa"/>
            <w:noWrap w:val="0"/>
            <w:vAlign w:val="center"/>
          </w:tcPr>
          <w:p w14:paraId="07E91C3E">
            <w:pPr>
              <w:snapToGrid w:val="0"/>
              <w:spacing w:line="240" w:lineRule="atLeast"/>
              <w:rPr>
                <w:rFonts w:hint="default" w:ascii="Times New Roman" w:hAnsi="Times New Roman" w:cs="Times New Roman"/>
                <w:color w:val="auto"/>
                <w:sz w:val="21"/>
                <w:szCs w:val="21"/>
                <w:u w:val="none"/>
              </w:rPr>
            </w:pPr>
          </w:p>
        </w:tc>
        <w:tc>
          <w:tcPr>
            <w:tcW w:w="682" w:type="dxa"/>
            <w:noWrap w:val="0"/>
            <w:vAlign w:val="center"/>
          </w:tcPr>
          <w:p w14:paraId="3E542BBF">
            <w:pPr>
              <w:snapToGrid w:val="0"/>
              <w:spacing w:line="240" w:lineRule="atLeast"/>
              <w:jc w:val="center"/>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88</w:t>
            </w:r>
          </w:p>
        </w:tc>
      </w:tr>
    </w:tbl>
    <w:p w14:paraId="3034FA90">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14:paraId="1641A3C1">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14:paraId="7339E99E">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14:paraId="4C8AEB14">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14:paraId="06AA3FC0">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br w:type="page"/>
      </w:r>
    </w:p>
    <w:p w14:paraId="6274DB2A">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p>
    <w:tbl>
      <w:tblPr>
        <w:tblStyle w:val="16"/>
        <w:tblW w:w="12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823"/>
        <w:gridCol w:w="1575"/>
        <w:gridCol w:w="2015"/>
        <w:gridCol w:w="471"/>
        <w:gridCol w:w="1502"/>
        <w:gridCol w:w="471"/>
        <w:gridCol w:w="984"/>
        <w:gridCol w:w="486"/>
        <w:gridCol w:w="486"/>
        <w:gridCol w:w="2264"/>
      </w:tblGrid>
      <w:tr w14:paraId="7B2C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419E9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AF8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EE8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DA6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51090322T000000347845-城乡基层治理能力建设专项资金</w:t>
            </w:r>
          </w:p>
        </w:tc>
      </w:tr>
      <w:tr w14:paraId="5BBA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03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49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769C36A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4A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1B25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5B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B25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3F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5BC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EC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617D">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6313">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C4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通过该项目的实施，建立起党组织统一领导、政府依法履责、各类组织积极协同、群众广泛参与；自治、依法、德治相结合的基层治理体系，健全常态化管理和应急管理动态</w:t>
            </w:r>
            <w:r>
              <w:rPr>
                <w:rFonts w:hint="eastAsia" w:ascii="宋体" w:hAnsi="宋体" w:cs="宋体"/>
                <w:i w:val="0"/>
                <w:iCs w:val="0"/>
                <w:color w:val="000000"/>
                <w:kern w:val="0"/>
                <w:sz w:val="18"/>
                <w:szCs w:val="18"/>
                <w:u w:val="none"/>
                <w:lang w:val="en-US" w:eastAsia="zh-CN" w:bidi="ar"/>
              </w:rPr>
              <w:t>衔</w:t>
            </w:r>
            <w:r>
              <w:rPr>
                <w:rFonts w:ascii="宋体" w:hAnsi="宋体" w:eastAsia="宋体" w:cs="宋体"/>
                <w:i w:val="0"/>
                <w:iCs w:val="0"/>
                <w:color w:val="000000"/>
                <w:kern w:val="0"/>
                <w:sz w:val="18"/>
                <w:szCs w:val="18"/>
                <w:u w:val="none"/>
                <w:lang w:val="en-US" w:eastAsia="zh-CN" w:bidi="ar"/>
              </w:rPr>
              <w:t>接的基层治理机制，构建网格化管理、精细化服务、信息化支撑、开放共享的基层管理服务平台；党建引领基层治理机制全面完善，基层政权坚强有力，基层群众自治充满活力，基层公共服务精准高效，党的执政基础更加坚实，基层治理体系和治理能力现代化水平明显提高，重点支持城乡基层治理具有重点项目、影响性的品牌打造、基层党组织活动阵地规范、专业人才培育和服务群众能力提升等基础项目。</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777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批复数为3000000元，到位3000000元，调剂数为-2230000元，预算数为770000元，支付数为770000元，占预算100%。（该项经费为区委组织部2023年城乡基层治理项目建设提供了保障支撑，有效保证了全区城乡基层治理项目得以顺利推进全面完成。</w:t>
            </w:r>
          </w:p>
        </w:tc>
      </w:tr>
      <w:tr w14:paraId="6EE6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29C5">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B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038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（其中：育才路街道云上睦邻金港共享家项目20万元；河沙镇鹤林村党群服务中心新建项目21万元、</w:t>
            </w:r>
            <w:r>
              <w:rPr>
                <w:rFonts w:hint="eastAsia" w:ascii="宋体" w:hAnsi="宋体" w:cs="宋体"/>
                <w:i w:val="0"/>
                <w:iCs w:val="0"/>
                <w:color w:val="000000"/>
                <w:kern w:val="0"/>
                <w:sz w:val="18"/>
                <w:szCs w:val="18"/>
                <w:u w:val="none"/>
                <w:lang w:val="en-US" w:eastAsia="zh-CN" w:bidi="ar"/>
              </w:rPr>
              <w:t>宋</w:t>
            </w:r>
            <w:r>
              <w:rPr>
                <w:rFonts w:ascii="宋体" w:hAnsi="宋体" w:eastAsia="宋体" w:cs="宋体"/>
                <w:i w:val="0"/>
                <w:iCs w:val="0"/>
                <w:color w:val="000000"/>
                <w:kern w:val="0"/>
                <w:sz w:val="18"/>
                <w:szCs w:val="18"/>
                <w:u w:val="none"/>
                <w:lang w:val="en-US" w:eastAsia="zh-CN" w:bidi="ar"/>
              </w:rPr>
              <w:t>家沟村服务中心建设项目22万元；龙凤镇清河村阵地建设项目6万元、宝塔村党群服务中心提档升级项目8万元）。</w:t>
            </w:r>
          </w:p>
        </w:tc>
      </w:tr>
      <w:tr w14:paraId="0180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C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C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1F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3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7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24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7DD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1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48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9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4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2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8384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83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C69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4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6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8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E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C9ED">
            <w:pPr>
              <w:rPr>
                <w:rFonts w:hint="eastAsia" w:ascii="黑体" w:hAnsi="黑体" w:eastAsia="黑体" w:cs="黑体"/>
                <w:i/>
                <w:iCs/>
                <w:color w:val="000000"/>
                <w:sz w:val="18"/>
                <w:szCs w:val="18"/>
                <w:u w:val="none"/>
              </w:rPr>
            </w:pPr>
          </w:p>
        </w:tc>
      </w:tr>
      <w:tr w14:paraId="37F5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EA1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32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9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1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C938">
            <w:pPr>
              <w:rPr>
                <w:rFonts w:hint="eastAsia" w:ascii="黑体" w:hAnsi="黑体" w:eastAsia="黑体" w:cs="黑体"/>
                <w:i/>
                <w:iCs/>
                <w:color w:val="000000"/>
                <w:sz w:val="18"/>
                <w:szCs w:val="18"/>
                <w:u w:val="none"/>
              </w:rPr>
            </w:pPr>
          </w:p>
        </w:tc>
      </w:tr>
      <w:tr w14:paraId="7E9F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D24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D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DC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7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2114">
            <w:pPr>
              <w:rPr>
                <w:rFonts w:hint="eastAsia" w:ascii="黑体" w:hAnsi="黑体" w:eastAsia="黑体" w:cs="黑体"/>
                <w:i/>
                <w:iCs/>
                <w:color w:val="000000"/>
                <w:sz w:val="18"/>
                <w:szCs w:val="18"/>
                <w:u w:val="none"/>
              </w:rPr>
            </w:pPr>
          </w:p>
        </w:tc>
      </w:tr>
      <w:tr w14:paraId="14C7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FF3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F587">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9CF">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F8A5C">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CA75">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6FAF">
            <w:pPr>
              <w:rPr>
                <w:rFonts w:hint="eastAsia" w:ascii="黑体" w:hAnsi="黑体" w:eastAsia="黑体" w:cs="黑体"/>
                <w:i/>
                <w:iCs/>
                <w:color w:val="000000"/>
                <w:sz w:val="18"/>
                <w:szCs w:val="18"/>
                <w:u w:val="none"/>
              </w:rPr>
            </w:pPr>
          </w:p>
        </w:tc>
      </w:tr>
      <w:tr w14:paraId="352A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59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7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4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A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4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6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1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6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13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26B5">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C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13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8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打造基层治理能力重点项目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F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2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9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C0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A507">
            <w:pPr>
              <w:jc w:val="center"/>
              <w:rPr>
                <w:rFonts w:hint="eastAsia" w:ascii="微软雅黑" w:hAnsi="微软雅黑" w:eastAsia="微软雅黑" w:cs="微软雅黑"/>
                <w:i/>
                <w:iCs/>
                <w:color w:val="000000"/>
                <w:sz w:val="16"/>
                <w:szCs w:val="16"/>
                <w:u w:val="none"/>
              </w:rPr>
            </w:pPr>
          </w:p>
        </w:tc>
      </w:tr>
      <w:tr w14:paraId="5C80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3AE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B85A">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7B6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C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打造专业人才培育和服务群众能力提升基础项目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6A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3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F610">
            <w:pPr>
              <w:jc w:val="center"/>
              <w:rPr>
                <w:rFonts w:hint="eastAsia" w:ascii="微软雅黑" w:hAnsi="微软雅黑" w:eastAsia="微软雅黑" w:cs="微软雅黑"/>
                <w:i/>
                <w:iCs/>
                <w:color w:val="000000"/>
                <w:sz w:val="16"/>
                <w:szCs w:val="16"/>
                <w:u w:val="none"/>
              </w:rPr>
            </w:pPr>
          </w:p>
        </w:tc>
      </w:tr>
      <w:tr w14:paraId="6C5A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3E5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439A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EE4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基层治理能力影响性的品牌打造</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B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1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3B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E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7F02">
            <w:pPr>
              <w:jc w:val="center"/>
              <w:rPr>
                <w:rFonts w:hint="eastAsia" w:ascii="微软雅黑" w:hAnsi="微软雅黑" w:eastAsia="微软雅黑" w:cs="微软雅黑"/>
                <w:i/>
                <w:iCs/>
                <w:color w:val="000000"/>
                <w:sz w:val="16"/>
                <w:szCs w:val="16"/>
                <w:u w:val="none"/>
              </w:rPr>
            </w:pPr>
          </w:p>
        </w:tc>
      </w:tr>
      <w:tr w14:paraId="1F91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1C1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33C9">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89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打造基层治理能力影响率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4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8C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F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5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3359">
            <w:pPr>
              <w:jc w:val="center"/>
              <w:rPr>
                <w:rFonts w:hint="eastAsia" w:ascii="微软雅黑" w:hAnsi="微软雅黑" w:eastAsia="微软雅黑" w:cs="微软雅黑"/>
                <w:i/>
                <w:iCs/>
                <w:color w:val="000000"/>
                <w:sz w:val="16"/>
                <w:szCs w:val="16"/>
                <w:u w:val="none"/>
              </w:rPr>
            </w:pPr>
          </w:p>
        </w:tc>
      </w:tr>
      <w:tr w14:paraId="6337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1FE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180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60C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基层党组织活动阵地规范化建设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9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D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6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A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5925">
            <w:pPr>
              <w:jc w:val="center"/>
              <w:rPr>
                <w:rFonts w:hint="eastAsia" w:ascii="微软雅黑" w:hAnsi="微软雅黑" w:eastAsia="微软雅黑" w:cs="微软雅黑"/>
                <w:i/>
                <w:iCs/>
                <w:color w:val="000000"/>
                <w:sz w:val="16"/>
                <w:szCs w:val="16"/>
                <w:u w:val="none"/>
              </w:rPr>
            </w:pPr>
          </w:p>
        </w:tc>
      </w:tr>
      <w:tr w14:paraId="4042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3F6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13D0">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629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9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基层公共服务率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4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F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3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1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2A20">
            <w:pPr>
              <w:jc w:val="center"/>
              <w:rPr>
                <w:rFonts w:hint="eastAsia" w:ascii="微软雅黑" w:hAnsi="微软雅黑" w:eastAsia="微软雅黑" w:cs="微软雅黑"/>
                <w:i/>
                <w:iCs/>
                <w:color w:val="000000"/>
                <w:sz w:val="16"/>
                <w:szCs w:val="16"/>
                <w:u w:val="none"/>
              </w:rPr>
            </w:pPr>
          </w:p>
        </w:tc>
      </w:tr>
      <w:tr w14:paraId="4E10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7EC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9FB9">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4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专业人才培育和服务群众能力提升等基础项目时效性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3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BD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8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3DB3">
            <w:pPr>
              <w:jc w:val="center"/>
              <w:rPr>
                <w:rFonts w:hint="eastAsia" w:ascii="微软雅黑" w:hAnsi="微软雅黑" w:eastAsia="微软雅黑" w:cs="微软雅黑"/>
                <w:i/>
                <w:iCs/>
                <w:color w:val="000000"/>
                <w:sz w:val="16"/>
                <w:szCs w:val="16"/>
                <w:u w:val="none"/>
              </w:rPr>
            </w:pPr>
          </w:p>
        </w:tc>
      </w:tr>
      <w:tr w14:paraId="3F61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C9C6">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9B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0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建立信息资源共享平台机制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9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3FBE">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B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D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B89E">
            <w:pPr>
              <w:jc w:val="center"/>
              <w:rPr>
                <w:rFonts w:hint="eastAsia" w:ascii="微软雅黑" w:hAnsi="微软雅黑" w:eastAsia="微软雅黑" w:cs="微软雅黑"/>
                <w:i/>
                <w:iCs/>
                <w:color w:val="000000"/>
                <w:sz w:val="16"/>
                <w:szCs w:val="16"/>
                <w:u w:val="none"/>
              </w:rPr>
            </w:pPr>
          </w:p>
        </w:tc>
      </w:tr>
      <w:tr w14:paraId="7C10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7C4F">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A83C">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0B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0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E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E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B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3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07C">
            <w:pPr>
              <w:jc w:val="center"/>
              <w:rPr>
                <w:rFonts w:hint="eastAsia" w:ascii="微软雅黑" w:hAnsi="微软雅黑" w:eastAsia="微软雅黑" w:cs="微软雅黑"/>
                <w:i/>
                <w:iCs/>
                <w:color w:val="000000"/>
                <w:sz w:val="16"/>
                <w:szCs w:val="16"/>
                <w:u w:val="none"/>
              </w:rPr>
            </w:pPr>
          </w:p>
        </w:tc>
      </w:tr>
      <w:tr w14:paraId="20AC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8A2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E1DD">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536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基层治理对基层群众服务长期性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8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A8D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A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9417">
            <w:pPr>
              <w:jc w:val="center"/>
              <w:rPr>
                <w:rFonts w:hint="eastAsia" w:ascii="微软雅黑" w:hAnsi="微软雅黑" w:eastAsia="微软雅黑" w:cs="微软雅黑"/>
                <w:i/>
                <w:iCs/>
                <w:color w:val="000000"/>
                <w:sz w:val="16"/>
                <w:szCs w:val="16"/>
                <w:u w:val="none"/>
              </w:rPr>
            </w:pPr>
          </w:p>
        </w:tc>
      </w:tr>
      <w:tr w14:paraId="05AF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215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E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9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A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基层受益群众满意度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4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1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091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C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4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C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7FE4">
            <w:pPr>
              <w:jc w:val="center"/>
              <w:rPr>
                <w:rFonts w:hint="eastAsia" w:ascii="微软雅黑" w:hAnsi="微软雅黑" w:eastAsia="微软雅黑" w:cs="微软雅黑"/>
                <w:i/>
                <w:iCs/>
                <w:color w:val="000000"/>
                <w:sz w:val="16"/>
                <w:szCs w:val="16"/>
                <w:u w:val="none"/>
              </w:rPr>
            </w:pPr>
          </w:p>
        </w:tc>
      </w:tr>
      <w:tr w14:paraId="0F39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461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9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7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5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A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D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B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8E86">
            <w:pPr>
              <w:jc w:val="center"/>
              <w:rPr>
                <w:rFonts w:hint="eastAsia" w:ascii="微软雅黑" w:hAnsi="微软雅黑" w:eastAsia="微软雅黑" w:cs="微软雅黑"/>
                <w:i/>
                <w:iCs/>
                <w:color w:val="000000"/>
                <w:sz w:val="16"/>
                <w:szCs w:val="16"/>
                <w:u w:val="none"/>
              </w:rPr>
            </w:pPr>
          </w:p>
        </w:tc>
      </w:tr>
      <w:tr w14:paraId="1062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870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3646">
            <w:pPr>
              <w:rPr>
                <w:rFonts w:hint="eastAsia" w:ascii="宋体" w:hAnsi="宋体" w:eastAsia="宋体" w:cs="宋体"/>
                <w:i w:val="0"/>
                <w:iCs w:val="0"/>
                <w:color w:val="000000"/>
                <w:sz w:val="18"/>
                <w:szCs w:val="18"/>
                <w:u w:val="none"/>
              </w:rPr>
            </w:pPr>
          </w:p>
        </w:tc>
      </w:tr>
      <w:tr w14:paraId="2AA0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8A5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（该项经费为区委组织部2023年城乡基层治理项目建设提供了保障支撑，有效保证了全区城乡基层治理项目得以顺利推进全面完成。</w:t>
            </w:r>
          </w:p>
        </w:tc>
      </w:tr>
      <w:tr w14:paraId="2E94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D20A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42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6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713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4F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326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9F2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AAE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227DAE3D">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6BE00558">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900B5C4">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0D42611A">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F32CBDC">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63BA0073">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6EB2F7F">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5CFDC0F3">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0B1AAA8">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58570198">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21DEC512">
            <w:pPr>
              <w:rPr>
                <w:rFonts w:hint="eastAsia" w:ascii="宋体" w:hAnsi="宋体" w:eastAsia="宋体" w:cs="宋体"/>
                <w:i w:val="0"/>
                <w:iCs w:val="0"/>
                <w:color w:val="000000"/>
                <w:sz w:val="18"/>
                <w:szCs w:val="18"/>
                <w:u w:val="none"/>
              </w:rPr>
            </w:pPr>
          </w:p>
        </w:tc>
      </w:tr>
      <w:tr w14:paraId="4D26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AE7CE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5AA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20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965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51090322T000000347991-关工委工作经费</w:t>
            </w:r>
          </w:p>
        </w:tc>
      </w:tr>
      <w:tr w14:paraId="4980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37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F3DA8">
            <w:pPr>
              <w:keepNext w:val="0"/>
              <w:keepLines w:val="0"/>
              <w:widowControl/>
              <w:suppressLineNumbers w:val="0"/>
              <w:jc w:val="left"/>
              <w:textAlignment w:val="center"/>
              <w:rPr>
                <w:rFonts w:ascii="SimSun-ExtB" w:hAnsi="SimSun-ExtB" w:eastAsia="SimSun-ExtB" w:cs="SimSun-ExtB"/>
                <w:i w:val="0"/>
                <w:iCs w:val="0"/>
                <w:color w:val="000000"/>
                <w:sz w:val="18"/>
                <w:szCs w:val="18"/>
                <w:u w:val="none"/>
              </w:rPr>
            </w:pPr>
            <w:r>
              <w:rPr>
                <w:rFonts w:hint="eastAsia" w:ascii="SimSun-ExtB" w:hAnsi="SimSun-ExtB" w:eastAsia="SimSun-ExtB" w:cs="SimSun-ExtB"/>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2C11D0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B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375D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551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B2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37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620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B0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3A3B">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00C9">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8B6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应于2023年实施；将该项目资金30万元，主要用于关工委日常工作经费、开展扶弱助困关爱活动经费、及开展未成年人各种主题活动工作经费等，通过该项目的实施，充分利用老党员的余热为青少年做好传统教育工作，为青少年健康成长优化环境，激励青少年积极向上的热情，对青少年给予扶持、对贫困留守儿童给予慰问，通过各种渠道为老年人和青少年进行教育、帮助、树立良好生产、生活环境为构建和谐社会稳定奠定了良好的基础。</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9E9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关工委按时按质完成了全年目标任务工作，全年关工委举办“六一”慰问贫困儿童、“金秋助学”、“暖冬行动”等活动次数5次、订阅《关心下一代》杂志300本，慰问金发放全部到位资金使用合规率达到100%，在本年度按期开展完所有活动、开展活动及时率100%，本着倡导厉行节约，科学合理控制开支，达到了资金使用的预定目标。</w:t>
            </w:r>
          </w:p>
        </w:tc>
      </w:tr>
      <w:tr w14:paraId="7518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1F85">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8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A58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计划用于关工委日常工作，开展扶弱助困活动及未成年人各种主题活动，对青少年给予扶持、对贫困留守儿童给予慰问通过各种渠道对青少年进行教育、帮助、树立良好生产、生活环境为构建和谐社会稳定奠定良好基础。通过该项目的实施，完成了关工委主任扩大会议的召开、外出调研活动的进行、“六一”儿童节对特殊困难儿童的慰问、全区《关爱明天杂志》的征订、关心下一代暖冬行动活动的开展、“五老”工作室的开展与创建等</w:t>
            </w:r>
          </w:p>
        </w:tc>
      </w:tr>
      <w:tr w14:paraId="1F28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75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E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D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82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F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A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FE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6E5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5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F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E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06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5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00DD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69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A341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C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D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85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B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1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DF1D">
            <w:pPr>
              <w:rPr>
                <w:rFonts w:hint="eastAsia" w:ascii="黑体" w:hAnsi="黑体" w:eastAsia="黑体" w:cs="黑体"/>
                <w:i/>
                <w:iCs/>
                <w:color w:val="000000"/>
                <w:sz w:val="18"/>
                <w:szCs w:val="18"/>
                <w:u w:val="none"/>
              </w:rPr>
            </w:pPr>
          </w:p>
        </w:tc>
      </w:tr>
      <w:tr w14:paraId="087E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7CC9">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7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E0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2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9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F650">
            <w:pPr>
              <w:rPr>
                <w:rFonts w:hint="eastAsia" w:ascii="黑体" w:hAnsi="黑体" w:eastAsia="黑体" w:cs="黑体"/>
                <w:i/>
                <w:iCs/>
                <w:color w:val="000000"/>
                <w:sz w:val="18"/>
                <w:szCs w:val="18"/>
                <w:u w:val="none"/>
              </w:rPr>
            </w:pPr>
          </w:p>
        </w:tc>
      </w:tr>
      <w:tr w14:paraId="54A2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4668">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F6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D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0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4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C03F">
            <w:pPr>
              <w:rPr>
                <w:rFonts w:hint="eastAsia" w:ascii="黑体" w:hAnsi="黑体" w:eastAsia="黑体" w:cs="黑体"/>
                <w:i/>
                <w:iCs/>
                <w:color w:val="000000"/>
                <w:sz w:val="18"/>
                <w:szCs w:val="18"/>
                <w:u w:val="none"/>
              </w:rPr>
            </w:pPr>
          </w:p>
        </w:tc>
      </w:tr>
      <w:tr w14:paraId="4902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246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D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0DB">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AB89">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C4000">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D038">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9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C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FC4C">
            <w:pPr>
              <w:rPr>
                <w:rFonts w:hint="eastAsia" w:ascii="黑体" w:hAnsi="黑体" w:eastAsia="黑体" w:cs="黑体"/>
                <w:i/>
                <w:iCs/>
                <w:color w:val="000000"/>
                <w:sz w:val="18"/>
                <w:szCs w:val="18"/>
                <w:u w:val="none"/>
              </w:rPr>
            </w:pPr>
          </w:p>
        </w:tc>
      </w:tr>
      <w:tr w14:paraId="0461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B1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D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4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6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1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F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56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21F1">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EC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2C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E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关工委举办活动次数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0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9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A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1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E3C">
            <w:pPr>
              <w:jc w:val="center"/>
              <w:rPr>
                <w:rFonts w:hint="eastAsia" w:ascii="微软雅黑" w:hAnsi="微软雅黑" w:eastAsia="微软雅黑" w:cs="微软雅黑"/>
                <w:i/>
                <w:iCs/>
                <w:color w:val="000000"/>
                <w:sz w:val="16"/>
                <w:szCs w:val="16"/>
                <w:u w:val="none"/>
              </w:rPr>
            </w:pPr>
          </w:p>
        </w:tc>
      </w:tr>
      <w:tr w14:paraId="18CF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A49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28E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073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订阅《关心下一代》杂志</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8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4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7FF3">
            <w:pPr>
              <w:jc w:val="center"/>
              <w:rPr>
                <w:rFonts w:hint="eastAsia" w:ascii="微软雅黑" w:hAnsi="微软雅黑" w:eastAsia="微软雅黑" w:cs="微软雅黑"/>
                <w:i/>
                <w:iCs/>
                <w:color w:val="000000"/>
                <w:sz w:val="16"/>
                <w:szCs w:val="16"/>
                <w:u w:val="none"/>
              </w:rPr>
            </w:pPr>
          </w:p>
        </w:tc>
      </w:tr>
      <w:tr w14:paraId="0FBD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31E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CB44">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5C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D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4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36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1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8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036">
            <w:pPr>
              <w:jc w:val="center"/>
              <w:rPr>
                <w:rFonts w:hint="eastAsia" w:ascii="微软雅黑" w:hAnsi="微软雅黑" w:eastAsia="微软雅黑" w:cs="微软雅黑"/>
                <w:i/>
                <w:iCs/>
                <w:color w:val="000000"/>
                <w:sz w:val="16"/>
                <w:szCs w:val="16"/>
                <w:u w:val="none"/>
              </w:rPr>
            </w:pPr>
          </w:p>
        </w:tc>
      </w:tr>
      <w:tr w14:paraId="775B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D90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68C8">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43D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工作补贴发放率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4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6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2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1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9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1A6">
            <w:pPr>
              <w:jc w:val="center"/>
              <w:rPr>
                <w:rFonts w:hint="eastAsia" w:ascii="微软雅黑" w:hAnsi="微软雅黑" w:eastAsia="微软雅黑" w:cs="微软雅黑"/>
                <w:i/>
                <w:iCs/>
                <w:color w:val="000000"/>
                <w:sz w:val="16"/>
                <w:szCs w:val="16"/>
                <w:u w:val="none"/>
              </w:rPr>
            </w:pPr>
          </w:p>
        </w:tc>
      </w:tr>
      <w:tr w14:paraId="5435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0C75">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25AD">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38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3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按期开展活动及时率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D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8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2C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F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B5B2">
            <w:pPr>
              <w:jc w:val="center"/>
              <w:rPr>
                <w:rFonts w:hint="eastAsia" w:ascii="微软雅黑" w:hAnsi="微软雅黑" w:eastAsia="微软雅黑" w:cs="微软雅黑"/>
                <w:i/>
                <w:iCs/>
                <w:color w:val="000000"/>
                <w:sz w:val="16"/>
                <w:szCs w:val="16"/>
                <w:u w:val="none"/>
              </w:rPr>
            </w:pPr>
          </w:p>
        </w:tc>
      </w:tr>
      <w:tr w14:paraId="1DA9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310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6AF4">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F70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按期开展活动完成率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0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D7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4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0B64">
            <w:pPr>
              <w:jc w:val="center"/>
              <w:rPr>
                <w:rFonts w:hint="eastAsia" w:ascii="微软雅黑" w:hAnsi="微软雅黑" w:eastAsia="微软雅黑" w:cs="微软雅黑"/>
                <w:i/>
                <w:iCs/>
                <w:color w:val="000000"/>
                <w:sz w:val="16"/>
                <w:szCs w:val="16"/>
                <w:u w:val="none"/>
              </w:rPr>
            </w:pPr>
          </w:p>
        </w:tc>
      </w:tr>
      <w:tr w14:paraId="7265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7BC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7E7E">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A07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资金使用期限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A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8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9B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8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22D1">
            <w:pPr>
              <w:jc w:val="center"/>
              <w:rPr>
                <w:rFonts w:hint="eastAsia" w:ascii="微软雅黑" w:hAnsi="微软雅黑" w:eastAsia="微软雅黑" w:cs="微软雅黑"/>
                <w:i/>
                <w:iCs/>
                <w:color w:val="000000"/>
                <w:sz w:val="16"/>
                <w:szCs w:val="16"/>
                <w:u w:val="none"/>
              </w:rPr>
            </w:pPr>
          </w:p>
        </w:tc>
      </w:tr>
      <w:tr w14:paraId="5DCD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BB8B">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2A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6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更好发挥五老优势、加强新时代关心下一代工作中的内涵和实践</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A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E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0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3B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0BE">
            <w:pPr>
              <w:jc w:val="center"/>
              <w:rPr>
                <w:rFonts w:hint="eastAsia" w:ascii="微软雅黑" w:hAnsi="微软雅黑" w:eastAsia="微软雅黑" w:cs="微软雅黑"/>
                <w:i/>
                <w:iCs/>
                <w:color w:val="000000"/>
                <w:sz w:val="16"/>
                <w:szCs w:val="16"/>
                <w:u w:val="none"/>
              </w:rPr>
            </w:pPr>
          </w:p>
        </w:tc>
      </w:tr>
      <w:tr w14:paraId="303E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F74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67D0">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4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F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8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933F">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5D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8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7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B7E">
            <w:pPr>
              <w:jc w:val="center"/>
              <w:rPr>
                <w:rFonts w:hint="eastAsia" w:ascii="微软雅黑" w:hAnsi="微软雅黑" w:eastAsia="微软雅黑" w:cs="微软雅黑"/>
                <w:i/>
                <w:iCs/>
                <w:color w:val="000000"/>
                <w:sz w:val="16"/>
                <w:szCs w:val="16"/>
                <w:u w:val="none"/>
              </w:rPr>
            </w:pPr>
          </w:p>
        </w:tc>
      </w:tr>
      <w:tr w14:paraId="6870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62D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9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F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7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受助儿童满意度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E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0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5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8062">
            <w:pPr>
              <w:jc w:val="center"/>
              <w:rPr>
                <w:rFonts w:hint="eastAsia" w:ascii="微软雅黑" w:hAnsi="微软雅黑" w:eastAsia="微软雅黑" w:cs="微软雅黑"/>
                <w:i/>
                <w:iCs/>
                <w:color w:val="000000"/>
                <w:sz w:val="16"/>
                <w:szCs w:val="16"/>
                <w:u w:val="none"/>
              </w:rPr>
            </w:pPr>
          </w:p>
        </w:tc>
      </w:tr>
      <w:tr w14:paraId="1DA2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59E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0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8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4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该项目预算成本控制数成本</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A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nil"/>
              <w:left w:val="nil"/>
              <w:bottom w:val="nil"/>
              <w:right w:val="nil"/>
            </w:tcBorders>
            <w:shd w:val="clear" w:color="auto" w:fill="auto"/>
            <w:noWrap/>
            <w:vAlign w:val="center"/>
          </w:tcPr>
          <w:p w14:paraId="2D67575F">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w:t>
            </w:r>
            <w:r>
              <w:rPr>
                <w:rStyle w:val="49"/>
                <w:rFonts w:eastAsia="仿宋_GB2312"/>
                <w:lang w:val="en-US" w:eastAsia="zh-CN" w:bidi="ar"/>
              </w:rPr>
              <w:t>18.43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1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9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5D20">
            <w:pPr>
              <w:jc w:val="center"/>
              <w:rPr>
                <w:rFonts w:hint="eastAsia" w:ascii="微软雅黑" w:hAnsi="微软雅黑" w:eastAsia="微软雅黑" w:cs="微软雅黑"/>
                <w:i/>
                <w:iCs/>
                <w:color w:val="000000"/>
                <w:sz w:val="16"/>
                <w:szCs w:val="16"/>
                <w:u w:val="none"/>
              </w:rPr>
            </w:pPr>
          </w:p>
        </w:tc>
      </w:tr>
      <w:tr w14:paraId="1E38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87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5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4A5">
            <w:pPr>
              <w:rPr>
                <w:rFonts w:hint="eastAsia" w:ascii="宋体" w:hAnsi="宋体" w:eastAsia="宋体" w:cs="宋体"/>
                <w:i w:val="0"/>
                <w:iCs w:val="0"/>
                <w:color w:val="000000"/>
                <w:sz w:val="18"/>
                <w:szCs w:val="18"/>
                <w:u w:val="none"/>
              </w:rPr>
            </w:pPr>
          </w:p>
        </w:tc>
      </w:tr>
      <w:tr w14:paraId="4541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C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C890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主要用于关工委日常工作，开展扶弱助困活动及未成年人各种主题活动，对青少年给予扶持、对贫困留守儿童给予慰问通过各种渠道对青少年进行教育、帮助、树立良好生产、生活环境为构建和谐社会稳定奠定良好基础，全面完成区关工委的基础工作。</w:t>
            </w:r>
          </w:p>
        </w:tc>
      </w:tr>
      <w:tr w14:paraId="788F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3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5BBF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全区基层关工委组织建设发展还不够平衡，仍有个别村未建立关工委组织无法正常开展青少年教育关爱活动；“五老”志愿者比例偏少；关工委开展业务培训较少。</w:t>
            </w:r>
          </w:p>
        </w:tc>
      </w:tr>
      <w:tr w14:paraId="5D14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142B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拓宽投入渠道，通过财政投入、社会捐助、部门支持等办法，确保关爱活动有经费保障；二是要继续加强关爱活动阵地建设，借助现有的便民综合服务中心、党员服务中心、综合文化站等场所，实现资源共享；三是要动员更多的“五老”志愿者特别是老教师、老专家担任校外教育辅导员，鼓励支持大学生村官和在职教师参与辅导工作。</w:t>
            </w:r>
          </w:p>
        </w:tc>
      </w:tr>
      <w:tr w14:paraId="1B5F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6EF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0D3A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B72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26DA4C10">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3B1C004A">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82678CA">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301D943E">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8FF7E55">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E84350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FBA794E">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6CA6F695">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3A5FB60">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1AA2BD4">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43025EEE">
            <w:pPr>
              <w:rPr>
                <w:rFonts w:hint="eastAsia" w:ascii="宋体" w:hAnsi="宋体" w:eastAsia="宋体" w:cs="宋体"/>
                <w:i w:val="0"/>
                <w:iCs w:val="0"/>
                <w:color w:val="000000"/>
                <w:sz w:val="18"/>
                <w:szCs w:val="18"/>
                <w:u w:val="none"/>
              </w:rPr>
            </w:pPr>
          </w:p>
        </w:tc>
      </w:tr>
      <w:tr w14:paraId="3FB2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12BDF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F5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0F1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76D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51090322T000000348353-乡村振兴驻村帮扶工作经费</w:t>
            </w:r>
          </w:p>
        </w:tc>
      </w:tr>
      <w:tr w14:paraId="36FC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D0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89A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069DAA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C5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0A49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F4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6C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6C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4C8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48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4ED6">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4E25">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FA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该项目应</w:t>
            </w:r>
            <w:r>
              <w:rPr>
                <w:rFonts w:hint="eastAsia" w:ascii="宋体" w:hAnsi="宋体" w:cs="宋体"/>
                <w:i w:val="0"/>
                <w:iCs w:val="0"/>
                <w:color w:val="000000"/>
                <w:kern w:val="0"/>
                <w:sz w:val="18"/>
                <w:szCs w:val="18"/>
                <w:u w:val="none"/>
                <w:lang w:val="en-US" w:eastAsia="zh-CN" w:bidi="ar"/>
              </w:rPr>
              <w:t>于</w:t>
            </w:r>
            <w:r>
              <w:rPr>
                <w:rFonts w:ascii="宋体" w:hAnsi="宋体" w:eastAsia="宋体" w:cs="宋体"/>
                <w:i w:val="0"/>
                <w:iCs w:val="0"/>
                <w:color w:val="000000"/>
                <w:kern w:val="0"/>
                <w:sz w:val="18"/>
                <w:szCs w:val="18"/>
                <w:u w:val="none"/>
                <w:lang w:val="en-US" w:eastAsia="zh-CN" w:bidi="ar"/>
              </w:rPr>
              <w:t>2023年内开展实施，将30000元用于开展乡村振兴督查、迎接上级部门检查差旅费及租车费、将5000元用于乡村振兴各种资料印刷费、将5000元</w:t>
            </w:r>
            <w:r>
              <w:rPr>
                <w:rFonts w:hint="eastAsia" w:ascii="宋体" w:hAnsi="宋体" w:cs="宋体"/>
                <w:i w:val="0"/>
                <w:iCs w:val="0"/>
                <w:color w:val="000000"/>
                <w:kern w:val="0"/>
                <w:sz w:val="18"/>
                <w:szCs w:val="18"/>
                <w:u w:val="none"/>
                <w:lang w:val="en-US" w:eastAsia="zh-CN" w:bidi="ar"/>
              </w:rPr>
              <w:t>应</w:t>
            </w:r>
            <w:r>
              <w:rPr>
                <w:rFonts w:ascii="宋体" w:hAnsi="宋体" w:eastAsia="宋体" w:cs="宋体"/>
                <w:i w:val="0"/>
                <w:iCs w:val="0"/>
                <w:color w:val="000000"/>
                <w:kern w:val="0"/>
                <w:sz w:val="18"/>
                <w:szCs w:val="18"/>
                <w:u w:val="none"/>
                <w:lang w:val="en-US" w:eastAsia="zh-CN" w:bidi="ar"/>
              </w:rPr>
              <w:t>用于乡村振兴工作会议。通过该项目的实施聚焦乡村振兴各项任务指标能够顺利开展，解决乡村振兴中各种攻坚和难题破解，增加农民收入、改善农村人居环境、不断推进乡村振兴各种工作上新台阶。</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00D8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是重点围绕加快农业农村现代化、扎实推进共同富裕，推动巩固拓展脱贫攻坚成果，做好常态化监测和精准帮扶；推动加快发展乡村产业，发展壮大新型农村集体经济，促进农民增收致富；推动农村精神文明建设、生态文明建设、深化农村改革、乡村建设行动等重大任务落地见效，促进农业农村高质量发展。</w:t>
            </w:r>
          </w:p>
        </w:tc>
      </w:tr>
      <w:tr w14:paraId="73AB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387E">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E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7A5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40000元，调剂数为-31140元，预算数为8860元，全年支付数为8860元，占预算的100%。该项经费为改善农村民生、密切党群干群关系，推动落实党的惠民政策，经常联系走访群众，参与便民利民服务，帮助群众解决急难愁盼问题；推动加强对困难人群的关爱服务，经常</w:t>
            </w:r>
            <w:r>
              <w:rPr>
                <w:rFonts w:hint="eastAsia" w:ascii="宋体" w:hAnsi="宋体" w:cs="宋体"/>
                <w:i w:val="0"/>
                <w:iCs w:val="0"/>
                <w:color w:val="000000"/>
                <w:kern w:val="0"/>
                <w:sz w:val="18"/>
                <w:szCs w:val="18"/>
                <w:u w:val="none"/>
                <w:lang w:val="en-US" w:eastAsia="zh-CN" w:bidi="ar"/>
              </w:rPr>
              <w:t>嘘</w:t>
            </w:r>
            <w:r>
              <w:rPr>
                <w:rFonts w:ascii="宋体" w:hAnsi="宋体" w:eastAsia="宋体" w:cs="宋体"/>
                <w:i w:val="0"/>
                <w:iCs w:val="0"/>
                <w:color w:val="000000"/>
                <w:kern w:val="0"/>
                <w:sz w:val="18"/>
                <w:szCs w:val="18"/>
                <w:u w:val="none"/>
                <w:lang w:val="en-US" w:eastAsia="zh-CN" w:bidi="ar"/>
              </w:rPr>
              <w:t>寒问暖，协调做好帮扶工作；推动各类资源向基层下沉、不断增强人民群众获得感、幸福感、安全感。</w:t>
            </w:r>
          </w:p>
        </w:tc>
      </w:tr>
      <w:tr w14:paraId="220B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4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30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0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7D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15B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8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2A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D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0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3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755D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4C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E17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2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1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4C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5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9264">
            <w:pPr>
              <w:rPr>
                <w:rFonts w:hint="eastAsia" w:ascii="黑体" w:hAnsi="黑体" w:eastAsia="黑体" w:cs="黑体"/>
                <w:i/>
                <w:iCs/>
                <w:color w:val="000000"/>
                <w:sz w:val="18"/>
                <w:szCs w:val="18"/>
                <w:u w:val="none"/>
              </w:rPr>
            </w:pPr>
          </w:p>
        </w:tc>
      </w:tr>
      <w:tr w14:paraId="61FE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0CA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B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97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7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A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B979">
            <w:pPr>
              <w:rPr>
                <w:rFonts w:hint="eastAsia" w:ascii="黑体" w:hAnsi="黑体" w:eastAsia="黑体" w:cs="黑体"/>
                <w:i/>
                <w:iCs/>
                <w:color w:val="000000"/>
                <w:sz w:val="18"/>
                <w:szCs w:val="18"/>
                <w:u w:val="none"/>
              </w:rPr>
            </w:pPr>
          </w:p>
        </w:tc>
      </w:tr>
      <w:tr w14:paraId="2575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653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8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D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B7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B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C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2261">
            <w:pPr>
              <w:rPr>
                <w:rFonts w:hint="eastAsia" w:ascii="黑体" w:hAnsi="黑体" w:eastAsia="黑体" w:cs="黑体"/>
                <w:i/>
                <w:iCs/>
                <w:color w:val="000000"/>
                <w:sz w:val="18"/>
                <w:szCs w:val="18"/>
                <w:u w:val="none"/>
              </w:rPr>
            </w:pPr>
          </w:p>
        </w:tc>
      </w:tr>
      <w:tr w14:paraId="4DCC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58E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40D">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2363">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A1776">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E2E">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9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5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C3AD">
            <w:pPr>
              <w:rPr>
                <w:rFonts w:hint="eastAsia" w:ascii="黑体" w:hAnsi="黑体" w:eastAsia="黑体" w:cs="黑体"/>
                <w:i/>
                <w:iCs/>
                <w:color w:val="000000"/>
                <w:sz w:val="18"/>
                <w:szCs w:val="18"/>
                <w:u w:val="none"/>
              </w:rPr>
            </w:pPr>
          </w:p>
        </w:tc>
      </w:tr>
      <w:tr w14:paraId="6FB0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29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A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C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9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7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5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5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5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45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6C33">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0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76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开展乡村振兴督查、迎检</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8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7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D139">
            <w:pPr>
              <w:jc w:val="center"/>
              <w:rPr>
                <w:rFonts w:hint="eastAsia" w:ascii="微软雅黑" w:hAnsi="微软雅黑" w:eastAsia="微软雅黑" w:cs="微软雅黑"/>
                <w:i/>
                <w:iCs/>
                <w:color w:val="000000"/>
                <w:sz w:val="16"/>
                <w:szCs w:val="16"/>
                <w:u w:val="none"/>
              </w:rPr>
            </w:pPr>
          </w:p>
        </w:tc>
      </w:tr>
      <w:tr w14:paraId="2980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4BC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312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E9A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3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开展联系帮扶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9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5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0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ED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A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FD22">
            <w:pPr>
              <w:jc w:val="center"/>
              <w:rPr>
                <w:rFonts w:hint="eastAsia" w:ascii="微软雅黑" w:hAnsi="微软雅黑" w:eastAsia="微软雅黑" w:cs="微软雅黑"/>
                <w:i/>
                <w:iCs/>
                <w:color w:val="000000"/>
                <w:sz w:val="16"/>
                <w:szCs w:val="16"/>
                <w:u w:val="none"/>
              </w:rPr>
            </w:pPr>
          </w:p>
        </w:tc>
      </w:tr>
      <w:tr w14:paraId="54ED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B7C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E2BC">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643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开展乡村振兴工作会议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0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4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F1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C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8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5562">
            <w:pPr>
              <w:jc w:val="center"/>
              <w:rPr>
                <w:rFonts w:hint="eastAsia" w:ascii="微软雅黑" w:hAnsi="微软雅黑" w:eastAsia="微软雅黑" w:cs="微软雅黑"/>
                <w:i/>
                <w:iCs/>
                <w:color w:val="000000"/>
                <w:sz w:val="16"/>
                <w:szCs w:val="16"/>
                <w:u w:val="none"/>
              </w:rPr>
            </w:pPr>
          </w:p>
        </w:tc>
      </w:tr>
      <w:tr w14:paraId="6223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327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F041">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08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3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召开乡村振兴会议主题内容契合度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4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B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3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6D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B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03F8">
            <w:pPr>
              <w:jc w:val="center"/>
              <w:rPr>
                <w:rFonts w:hint="eastAsia" w:ascii="微软雅黑" w:hAnsi="微软雅黑" w:eastAsia="微软雅黑" w:cs="微软雅黑"/>
                <w:i/>
                <w:iCs/>
                <w:color w:val="000000"/>
                <w:sz w:val="16"/>
                <w:szCs w:val="16"/>
                <w:u w:val="none"/>
              </w:rPr>
            </w:pPr>
          </w:p>
        </w:tc>
      </w:tr>
      <w:tr w14:paraId="7284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6BF5">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C05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75C5">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开展乡村振兴督查出勤率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7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93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9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A22C">
            <w:pPr>
              <w:jc w:val="center"/>
              <w:rPr>
                <w:rFonts w:hint="eastAsia" w:ascii="微软雅黑" w:hAnsi="微软雅黑" w:eastAsia="微软雅黑" w:cs="微软雅黑"/>
                <w:i/>
                <w:iCs/>
                <w:color w:val="000000"/>
                <w:sz w:val="16"/>
                <w:szCs w:val="16"/>
                <w:u w:val="none"/>
              </w:rPr>
            </w:pPr>
          </w:p>
        </w:tc>
      </w:tr>
      <w:tr w14:paraId="3E41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8285">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752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AD8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4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开展乡村振兴会议达标率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B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4C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1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5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8DCE">
            <w:pPr>
              <w:jc w:val="center"/>
              <w:rPr>
                <w:rFonts w:hint="eastAsia" w:ascii="微软雅黑" w:hAnsi="微软雅黑" w:eastAsia="微软雅黑" w:cs="微软雅黑"/>
                <w:i/>
                <w:iCs/>
                <w:color w:val="000000"/>
                <w:sz w:val="16"/>
                <w:szCs w:val="16"/>
                <w:u w:val="none"/>
              </w:rPr>
            </w:pPr>
          </w:p>
        </w:tc>
      </w:tr>
      <w:tr w14:paraId="12EF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070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6D0B">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CE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0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开展乡村振兴会议及时性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5FF1">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59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7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7E7">
            <w:pPr>
              <w:jc w:val="center"/>
              <w:rPr>
                <w:rFonts w:hint="eastAsia" w:ascii="微软雅黑" w:hAnsi="微软雅黑" w:eastAsia="微软雅黑" w:cs="微软雅黑"/>
                <w:i/>
                <w:iCs/>
                <w:color w:val="000000"/>
                <w:sz w:val="16"/>
                <w:szCs w:val="16"/>
                <w:u w:val="none"/>
              </w:rPr>
            </w:pPr>
          </w:p>
        </w:tc>
      </w:tr>
      <w:tr w14:paraId="4FEB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C22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6EDE">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15D1">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5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2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9D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F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8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37A7">
            <w:pPr>
              <w:jc w:val="center"/>
              <w:rPr>
                <w:rFonts w:hint="eastAsia" w:ascii="微软雅黑" w:hAnsi="微软雅黑" w:eastAsia="微软雅黑" w:cs="微软雅黑"/>
                <w:i/>
                <w:iCs/>
                <w:color w:val="000000"/>
                <w:sz w:val="16"/>
                <w:szCs w:val="16"/>
                <w:u w:val="none"/>
              </w:rPr>
            </w:pPr>
          </w:p>
        </w:tc>
      </w:tr>
      <w:tr w14:paraId="0E21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CB8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94D0">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97F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开展乡村振兴督查及时率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08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6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0F07">
            <w:pPr>
              <w:jc w:val="center"/>
              <w:rPr>
                <w:rFonts w:hint="eastAsia" w:ascii="微软雅黑" w:hAnsi="微软雅黑" w:eastAsia="微软雅黑" w:cs="微软雅黑"/>
                <w:i/>
                <w:iCs/>
                <w:color w:val="000000"/>
                <w:sz w:val="16"/>
                <w:szCs w:val="16"/>
                <w:u w:val="none"/>
              </w:rPr>
            </w:pPr>
          </w:p>
        </w:tc>
      </w:tr>
      <w:tr w14:paraId="4E0E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F55B">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B6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A8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6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农村居民生产生活环境大幅度改善</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B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5C56">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F5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B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73D5">
            <w:pPr>
              <w:jc w:val="center"/>
              <w:rPr>
                <w:rFonts w:hint="eastAsia" w:ascii="微软雅黑" w:hAnsi="微软雅黑" w:eastAsia="微软雅黑" w:cs="微软雅黑"/>
                <w:i/>
                <w:iCs/>
                <w:color w:val="000000"/>
                <w:sz w:val="16"/>
                <w:szCs w:val="16"/>
                <w:u w:val="none"/>
              </w:rPr>
            </w:pPr>
          </w:p>
        </w:tc>
      </w:tr>
      <w:tr w14:paraId="4E84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4C7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E699">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5FF1">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各行业、各部门乡村振兴工作参与率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0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51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89EB">
            <w:pPr>
              <w:jc w:val="center"/>
              <w:rPr>
                <w:rFonts w:hint="eastAsia" w:ascii="微软雅黑" w:hAnsi="微软雅黑" w:eastAsia="微软雅黑" w:cs="微软雅黑"/>
                <w:i/>
                <w:iCs/>
                <w:color w:val="000000"/>
                <w:sz w:val="16"/>
                <w:szCs w:val="16"/>
                <w:u w:val="none"/>
              </w:rPr>
            </w:pPr>
          </w:p>
        </w:tc>
      </w:tr>
      <w:tr w14:paraId="2DBB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DAE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AE0B">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A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D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辐射带动农村人居环境得到持续改善</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4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93A1">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D7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4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172D">
            <w:pPr>
              <w:jc w:val="center"/>
              <w:rPr>
                <w:rFonts w:hint="eastAsia" w:ascii="微软雅黑" w:hAnsi="微软雅黑" w:eastAsia="微软雅黑" w:cs="微软雅黑"/>
                <w:i/>
                <w:iCs/>
                <w:color w:val="000000"/>
                <w:sz w:val="16"/>
                <w:szCs w:val="16"/>
                <w:u w:val="none"/>
              </w:rPr>
            </w:pPr>
          </w:p>
        </w:tc>
      </w:tr>
      <w:tr w14:paraId="7100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B566">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4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E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3D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4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F09">
            <w:pPr>
              <w:jc w:val="center"/>
              <w:rPr>
                <w:rFonts w:hint="eastAsia" w:ascii="微软雅黑" w:hAnsi="微软雅黑" w:eastAsia="微软雅黑" w:cs="微软雅黑"/>
                <w:i/>
                <w:iCs/>
                <w:color w:val="000000"/>
                <w:sz w:val="16"/>
                <w:szCs w:val="16"/>
                <w:u w:val="none"/>
              </w:rPr>
            </w:pPr>
          </w:p>
        </w:tc>
      </w:tr>
      <w:tr w14:paraId="2E20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3EA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8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2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A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F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FF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8860元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1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F3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因年底财政收回项目资金</w:t>
            </w:r>
          </w:p>
        </w:tc>
      </w:tr>
      <w:tr w14:paraId="24F8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F80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4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8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2A0">
            <w:pPr>
              <w:rPr>
                <w:rFonts w:hint="eastAsia" w:ascii="宋体" w:hAnsi="宋体" w:eastAsia="宋体" w:cs="宋体"/>
                <w:i w:val="0"/>
                <w:iCs w:val="0"/>
                <w:color w:val="000000"/>
                <w:sz w:val="18"/>
                <w:szCs w:val="18"/>
                <w:u w:val="none"/>
              </w:rPr>
            </w:pPr>
          </w:p>
        </w:tc>
      </w:tr>
      <w:tr w14:paraId="3206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7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18A3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完成对贫困群众的精神及物质帮扶，本着倡导厉行节约，科学合理控制开支，达到了资金使用的预定目标</w:t>
            </w:r>
          </w:p>
        </w:tc>
      </w:tr>
      <w:tr w14:paraId="26E9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D2E9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因涉及的贫困村贫困户贫困人口较多，为了防止贫困户返贫，增加下乡次数增多，预算的项目指标不够完善。</w:t>
            </w:r>
          </w:p>
        </w:tc>
      </w:tr>
      <w:tr w14:paraId="25DB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C52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0F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AD3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D28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F83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0DD50CDB">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7469DDA3">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DD935EB">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CEA74C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49E649FE">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74A3CB89">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54EC74F">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374F9524">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593E2736">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40375CE">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0702F5E7">
            <w:pPr>
              <w:rPr>
                <w:rFonts w:hint="eastAsia" w:ascii="宋体" w:hAnsi="宋体" w:eastAsia="宋体" w:cs="宋体"/>
                <w:i w:val="0"/>
                <w:iCs w:val="0"/>
                <w:color w:val="000000"/>
                <w:sz w:val="18"/>
                <w:szCs w:val="18"/>
                <w:u w:val="none"/>
              </w:rPr>
            </w:pPr>
          </w:p>
        </w:tc>
      </w:tr>
      <w:tr w14:paraId="2115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71464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E89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E4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1BFE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51090322T000000348405-组织工作经费</w:t>
            </w:r>
          </w:p>
        </w:tc>
      </w:tr>
      <w:tr w14:paraId="7B61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0BD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F15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094B15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1C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4378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064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EB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A3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5065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9B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12CF">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FE1B">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66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为了用于保障全区党建、干部、人才、老干部等各项工作有序推进开展所产生的差旅费。我部严格对项目经费实行专款专用，按照谁主管、谁负责的原则，明确项目管理和实施的具体责任人。强化资金使用和监督，包括资金使用前预算和计划的审核和监督，经费使用后支出内容的真实性、合理性和合法性的审核和监督，确保资金的使用效率和项目的顺利实施</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353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该项目立项依据充分，设有明确目标，过程规范，立项内容符合国家政策、经济社会发展规划要求、部门年度工作计划，项目预算编制科学合理，全年全面完成组织工作年度目标任务。</w:t>
            </w:r>
          </w:p>
        </w:tc>
      </w:tr>
      <w:tr w14:paraId="27F7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7273">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2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862D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该项目批复数25776.47元，调剂数为38573元，预算数为64349.47元，全年支付支付数为61139.35元，占预算95.01%。该项经费为区委组织部2023年组织工作开展提供了保障支撑，圆满完成了全区组织工作各项任务。</w:t>
            </w:r>
          </w:p>
        </w:tc>
      </w:tr>
      <w:tr w14:paraId="52B6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8A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D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4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C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75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0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0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F5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061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E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2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A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6.43</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FC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2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B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30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59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1F6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3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3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7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C1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E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7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120A">
            <w:pPr>
              <w:rPr>
                <w:rFonts w:hint="eastAsia" w:ascii="黑体" w:hAnsi="黑体" w:eastAsia="黑体" w:cs="黑体"/>
                <w:i/>
                <w:iCs/>
                <w:color w:val="000000"/>
                <w:sz w:val="18"/>
                <w:szCs w:val="18"/>
                <w:u w:val="none"/>
              </w:rPr>
            </w:pPr>
          </w:p>
        </w:tc>
      </w:tr>
      <w:tr w14:paraId="1F82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60F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2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2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C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4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D5EE">
            <w:pPr>
              <w:rPr>
                <w:rFonts w:hint="eastAsia" w:ascii="黑体" w:hAnsi="黑体" w:eastAsia="黑体" w:cs="黑体"/>
                <w:i/>
                <w:iCs/>
                <w:color w:val="000000"/>
                <w:sz w:val="18"/>
                <w:szCs w:val="18"/>
                <w:u w:val="none"/>
              </w:rPr>
            </w:pPr>
          </w:p>
        </w:tc>
      </w:tr>
      <w:tr w14:paraId="6FC7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6C4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7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6.43</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31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3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0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A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CA7A">
            <w:pPr>
              <w:rPr>
                <w:rFonts w:hint="eastAsia" w:ascii="黑体" w:hAnsi="黑体" w:eastAsia="黑体" w:cs="黑体"/>
                <w:i/>
                <w:iCs/>
                <w:color w:val="000000"/>
                <w:sz w:val="18"/>
                <w:szCs w:val="18"/>
                <w:u w:val="none"/>
              </w:rPr>
            </w:pPr>
          </w:p>
        </w:tc>
      </w:tr>
      <w:tr w14:paraId="3B0C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E1A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9035">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10B">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7C631">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9A1">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0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74AD">
            <w:pPr>
              <w:rPr>
                <w:rFonts w:hint="eastAsia" w:ascii="黑体" w:hAnsi="黑体" w:eastAsia="黑体" w:cs="黑体"/>
                <w:i/>
                <w:iCs/>
                <w:color w:val="000000"/>
                <w:sz w:val="18"/>
                <w:szCs w:val="18"/>
                <w:u w:val="none"/>
              </w:rPr>
            </w:pPr>
          </w:p>
        </w:tc>
      </w:tr>
      <w:tr w14:paraId="3C9F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5A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6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5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4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6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4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4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E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C3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763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F7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7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nil"/>
              <w:right w:val="single" w:color="000000" w:sz="4" w:space="0"/>
            </w:tcBorders>
            <w:shd w:val="clear" w:color="auto" w:fill="auto"/>
            <w:vAlign w:val="center"/>
          </w:tcPr>
          <w:p w14:paraId="6BF85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开展党建、干部、人才、老干部等各项工作下乡次数</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6B416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146D7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6C810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081424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42</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5337D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2CE3C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5DECE7FF">
            <w:pPr>
              <w:jc w:val="center"/>
              <w:rPr>
                <w:rFonts w:hint="eastAsia" w:ascii="微软雅黑" w:hAnsi="微软雅黑" w:eastAsia="微软雅黑" w:cs="微软雅黑"/>
                <w:i/>
                <w:iCs/>
                <w:color w:val="000000"/>
                <w:sz w:val="16"/>
                <w:szCs w:val="16"/>
                <w:u w:val="none"/>
              </w:rPr>
            </w:pPr>
          </w:p>
        </w:tc>
      </w:tr>
      <w:tr w14:paraId="66F8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E22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2218">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40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0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开展党建、干部、人才、老干部等各项工作出勤率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8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FEF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D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9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F13">
            <w:pPr>
              <w:jc w:val="center"/>
              <w:rPr>
                <w:rFonts w:hint="eastAsia" w:ascii="微软雅黑" w:hAnsi="微软雅黑" w:eastAsia="微软雅黑" w:cs="微软雅黑"/>
                <w:i/>
                <w:iCs/>
                <w:color w:val="000000"/>
                <w:sz w:val="16"/>
                <w:szCs w:val="16"/>
                <w:u w:val="none"/>
              </w:rPr>
            </w:pPr>
          </w:p>
        </w:tc>
      </w:tr>
      <w:tr w14:paraId="788D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281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FF50">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F35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0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党建、干部、人才、老干部等各项工作完成率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7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8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3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8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657">
            <w:pPr>
              <w:jc w:val="center"/>
              <w:rPr>
                <w:rFonts w:hint="eastAsia" w:ascii="微软雅黑" w:hAnsi="微软雅黑" w:eastAsia="微软雅黑" w:cs="微软雅黑"/>
                <w:i/>
                <w:iCs/>
                <w:color w:val="000000"/>
                <w:sz w:val="16"/>
                <w:szCs w:val="16"/>
                <w:u w:val="none"/>
              </w:rPr>
            </w:pPr>
          </w:p>
        </w:tc>
      </w:tr>
      <w:tr w14:paraId="7734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06C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FD11">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A6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3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党建、干部、人才、老干部等各项工作及时性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9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1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7434">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34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D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E7EE">
            <w:pPr>
              <w:jc w:val="center"/>
              <w:rPr>
                <w:rFonts w:hint="eastAsia" w:ascii="微软雅黑" w:hAnsi="微软雅黑" w:eastAsia="微软雅黑" w:cs="微软雅黑"/>
                <w:i/>
                <w:iCs/>
                <w:color w:val="000000"/>
                <w:sz w:val="16"/>
                <w:szCs w:val="16"/>
                <w:u w:val="none"/>
              </w:rPr>
            </w:pPr>
          </w:p>
        </w:tc>
      </w:tr>
      <w:tr w14:paraId="6D3A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AF0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6BCD">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C9CE">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F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该项目预算时效</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0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6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C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CB8A">
            <w:pPr>
              <w:jc w:val="center"/>
              <w:rPr>
                <w:rFonts w:hint="eastAsia" w:ascii="微软雅黑" w:hAnsi="微软雅黑" w:eastAsia="微软雅黑" w:cs="微软雅黑"/>
                <w:i/>
                <w:iCs/>
                <w:color w:val="000000"/>
                <w:sz w:val="16"/>
                <w:szCs w:val="16"/>
                <w:u w:val="none"/>
              </w:rPr>
            </w:pPr>
          </w:p>
        </w:tc>
      </w:tr>
      <w:tr w14:paraId="3507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BE40">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1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E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党建、干部、人才、老干部等各项工作正常开展率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D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0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C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6D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4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C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671">
            <w:pPr>
              <w:jc w:val="center"/>
              <w:rPr>
                <w:rFonts w:hint="eastAsia" w:ascii="微软雅黑" w:hAnsi="微软雅黑" w:eastAsia="微软雅黑" w:cs="微软雅黑"/>
                <w:i/>
                <w:iCs/>
                <w:color w:val="000000"/>
                <w:sz w:val="16"/>
                <w:szCs w:val="16"/>
                <w:u w:val="none"/>
              </w:rPr>
            </w:pPr>
          </w:p>
        </w:tc>
      </w:tr>
      <w:tr w14:paraId="1E58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A4A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FF204">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9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A6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各项工作机制健全性</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8A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A5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6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D9E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A3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3A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01750">
            <w:pPr>
              <w:jc w:val="center"/>
              <w:rPr>
                <w:rFonts w:hint="eastAsia" w:ascii="微软雅黑" w:hAnsi="微软雅黑" w:eastAsia="微软雅黑" w:cs="微软雅黑"/>
                <w:i/>
                <w:iCs/>
                <w:color w:val="000000"/>
                <w:sz w:val="16"/>
                <w:szCs w:val="16"/>
                <w:u w:val="none"/>
              </w:rPr>
            </w:pPr>
          </w:p>
        </w:tc>
      </w:tr>
      <w:tr w14:paraId="4D8B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5DD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5CF6">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64AF">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5C41">
            <w:pPr>
              <w:jc w:val="center"/>
              <w:rPr>
                <w:rFonts w:hint="eastAsia" w:ascii="宋体" w:hAnsi="宋体" w:eastAsia="宋体" w:cs="宋体"/>
                <w:i w:val="0"/>
                <w:iCs w:val="0"/>
                <w:color w:val="000000"/>
                <w:sz w:val="18"/>
                <w:szCs w:val="18"/>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AE0C">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EB0F">
            <w:pPr>
              <w:jc w:val="center"/>
              <w:rPr>
                <w:rFonts w:hint="eastAsia" w:ascii="宋体" w:hAnsi="宋体" w:eastAsia="宋体" w:cs="宋体"/>
                <w:i w:val="0"/>
                <w:iCs w:val="0"/>
                <w:color w:val="000000"/>
                <w:sz w:val="18"/>
                <w:szCs w:val="18"/>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B4DB">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AFF2">
            <w:pPr>
              <w:jc w:val="center"/>
              <w:rPr>
                <w:rFonts w:hint="eastAsia" w:ascii="微软雅黑" w:hAnsi="微软雅黑" w:eastAsia="微软雅黑" w:cs="微软雅黑"/>
                <w:i/>
                <w:iCs/>
                <w:color w:val="000000"/>
                <w:sz w:val="16"/>
                <w:szCs w:val="16"/>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E4DF">
            <w:pPr>
              <w:jc w:val="center"/>
              <w:rPr>
                <w:rFonts w:hint="eastAsia" w:ascii="宋体" w:hAnsi="宋体" w:eastAsia="宋体" w:cs="宋体"/>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5A58">
            <w:pPr>
              <w:jc w:val="center"/>
              <w:rPr>
                <w:rFonts w:hint="eastAsia" w:ascii="宋体" w:hAnsi="宋体" w:eastAsia="宋体" w:cs="宋体"/>
                <w:i w:val="0"/>
                <w:iCs w:val="0"/>
                <w:color w:val="000000"/>
                <w:sz w:val="18"/>
                <w:szCs w:val="1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4845">
            <w:pPr>
              <w:jc w:val="center"/>
              <w:rPr>
                <w:rFonts w:hint="eastAsia" w:ascii="微软雅黑" w:hAnsi="微软雅黑" w:eastAsia="微软雅黑" w:cs="微软雅黑"/>
                <w:i/>
                <w:iCs/>
                <w:color w:val="000000"/>
                <w:sz w:val="16"/>
                <w:szCs w:val="16"/>
                <w:u w:val="none"/>
              </w:rPr>
            </w:pPr>
          </w:p>
        </w:tc>
      </w:tr>
      <w:tr w14:paraId="5DA4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F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6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基层群众及退休干部满意度</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5198C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8E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A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3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C4D1">
            <w:pPr>
              <w:jc w:val="center"/>
              <w:rPr>
                <w:rFonts w:hint="eastAsia" w:ascii="微软雅黑" w:hAnsi="微软雅黑" w:eastAsia="微软雅黑" w:cs="微软雅黑"/>
                <w:i/>
                <w:iCs/>
                <w:color w:val="000000"/>
                <w:sz w:val="16"/>
                <w:szCs w:val="16"/>
                <w:u w:val="none"/>
              </w:rPr>
            </w:pPr>
          </w:p>
        </w:tc>
      </w:tr>
      <w:tr w14:paraId="0931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0B3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5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B875">
            <w:pPr>
              <w:rPr>
                <w:rFonts w:hint="eastAsia" w:ascii="宋体" w:hAnsi="宋体" w:eastAsia="宋体" w:cs="宋体"/>
                <w:i w:val="0"/>
                <w:iCs w:val="0"/>
                <w:color w:val="000000"/>
                <w:sz w:val="18"/>
                <w:szCs w:val="18"/>
                <w:u w:val="none"/>
              </w:rPr>
            </w:pPr>
          </w:p>
        </w:tc>
      </w:tr>
      <w:tr w14:paraId="0BCC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8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664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该项目立项依据充分，设有明确目标，过程规范，立项内容符合国家政策、经济社会发展规划要求、部门年度工作计划，项目预算编制科学合理，全年全面完成组织工作年度目标任务。</w:t>
            </w:r>
          </w:p>
        </w:tc>
      </w:tr>
      <w:tr w14:paraId="078D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F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6DD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49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1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477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F9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5A9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A00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B73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3925C463">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0074ADC7">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6A450F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139A5C47">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FCBA16F">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78CD521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8DF0DD3">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2C1DF960">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0CB62172">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6523C706">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624E51C7">
            <w:pPr>
              <w:rPr>
                <w:rFonts w:hint="eastAsia" w:ascii="宋体" w:hAnsi="宋体" w:eastAsia="宋体" w:cs="宋体"/>
                <w:i w:val="0"/>
                <w:iCs w:val="0"/>
                <w:color w:val="000000"/>
                <w:sz w:val="18"/>
                <w:szCs w:val="18"/>
                <w:u w:val="none"/>
              </w:rPr>
            </w:pPr>
          </w:p>
        </w:tc>
      </w:tr>
      <w:tr w14:paraId="712C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C75E9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2F3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7E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DCC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51090322T000005718914-下达2021年市级人才发展资金（结转项目））</w:t>
            </w:r>
          </w:p>
        </w:tc>
      </w:tr>
      <w:tr w14:paraId="0A28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0F6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AD7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49A906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FF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50F7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2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2ED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30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792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4F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EB94">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A7BE">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F3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组通[2019]57号、遂船委办函[2020]18号、遂组通[2021]143号文件、通过该项目的实施，针对全区人才工作的短板和薄弱环节，解决一是人才总量偏少；二是人才队伍结构单一；三是围绕中心不紧；四是服务环境不优。健全服务体系，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进、留</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住。</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689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全年进行“船泊菁才”组团招聘线上宣讲及宣传推广活动一次，在成都中医药大学现场举办“船泊菁才”组团招聘活动一次，该活动已全面完成。</w:t>
            </w:r>
          </w:p>
        </w:tc>
      </w:tr>
      <w:tr w14:paraId="1848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5D31">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7BD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11140元，调剂数为121057.8元，到位132197.8元，预算数为132197.8元，全年支付数为127468.8元，占预算96.42%。未支付数4729元，该项经费为区委组织部2023年人才工作开展提供了保障支撑，圆满完成了全区人才招引工作各项任务。</w:t>
            </w:r>
          </w:p>
        </w:tc>
      </w:tr>
      <w:tr w14:paraId="4F60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71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8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6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7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27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E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9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4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9D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2A8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B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D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11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8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4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9F20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DF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EF4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2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14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4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9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402D">
            <w:pPr>
              <w:rPr>
                <w:rFonts w:hint="eastAsia" w:ascii="黑体" w:hAnsi="黑体" w:eastAsia="黑体" w:cs="黑体"/>
                <w:i/>
                <w:iCs/>
                <w:color w:val="000000"/>
                <w:sz w:val="18"/>
                <w:szCs w:val="18"/>
                <w:u w:val="none"/>
              </w:rPr>
            </w:pPr>
          </w:p>
        </w:tc>
      </w:tr>
      <w:tr w14:paraId="1064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6FD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3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8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92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4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1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6BAF">
            <w:pPr>
              <w:rPr>
                <w:rFonts w:hint="eastAsia" w:ascii="黑体" w:hAnsi="黑体" w:eastAsia="黑体" w:cs="黑体"/>
                <w:i/>
                <w:iCs/>
                <w:color w:val="000000"/>
                <w:sz w:val="18"/>
                <w:szCs w:val="18"/>
                <w:u w:val="none"/>
              </w:rPr>
            </w:pPr>
          </w:p>
        </w:tc>
      </w:tr>
      <w:tr w14:paraId="0624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F5C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1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2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E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F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D643">
            <w:pPr>
              <w:rPr>
                <w:rFonts w:hint="eastAsia" w:ascii="黑体" w:hAnsi="黑体" w:eastAsia="黑体" w:cs="黑体"/>
                <w:i/>
                <w:iCs/>
                <w:color w:val="000000"/>
                <w:sz w:val="18"/>
                <w:szCs w:val="18"/>
                <w:u w:val="none"/>
              </w:rPr>
            </w:pPr>
          </w:p>
        </w:tc>
      </w:tr>
      <w:tr w14:paraId="1405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821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7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EA03">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7070">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05E82">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8848">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C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6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0E78">
            <w:pPr>
              <w:rPr>
                <w:rFonts w:hint="eastAsia" w:ascii="黑体" w:hAnsi="黑体" w:eastAsia="黑体" w:cs="黑体"/>
                <w:i/>
                <w:iCs/>
                <w:color w:val="000000"/>
                <w:sz w:val="18"/>
                <w:szCs w:val="18"/>
                <w:u w:val="none"/>
              </w:rPr>
            </w:pPr>
          </w:p>
        </w:tc>
      </w:tr>
      <w:tr w14:paraId="10F3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F0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1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2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E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C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77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90A3">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3B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6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举办人才活动参与人数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7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1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90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E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1CD5">
            <w:pPr>
              <w:jc w:val="center"/>
              <w:rPr>
                <w:rFonts w:hint="eastAsia" w:ascii="微软雅黑" w:hAnsi="微软雅黑" w:eastAsia="微软雅黑" w:cs="微软雅黑"/>
                <w:i/>
                <w:iCs/>
                <w:color w:val="000000"/>
                <w:sz w:val="16"/>
                <w:szCs w:val="16"/>
                <w:u w:val="none"/>
              </w:rPr>
            </w:pPr>
          </w:p>
        </w:tc>
      </w:tr>
      <w:tr w14:paraId="689F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FF3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31F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14D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进行“船泊菁才”组团招聘线上宣讲及宣传推广活动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8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D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C5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0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516">
            <w:pPr>
              <w:jc w:val="center"/>
              <w:rPr>
                <w:rFonts w:hint="eastAsia" w:ascii="微软雅黑" w:hAnsi="微软雅黑" w:eastAsia="微软雅黑" w:cs="微软雅黑"/>
                <w:i/>
                <w:iCs/>
                <w:color w:val="000000"/>
                <w:sz w:val="16"/>
                <w:szCs w:val="16"/>
                <w:u w:val="none"/>
              </w:rPr>
            </w:pPr>
          </w:p>
        </w:tc>
      </w:tr>
      <w:tr w14:paraId="37B6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048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327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B9D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0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举办“船泊菁才”组团招聘活动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1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AB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508C">
            <w:pPr>
              <w:jc w:val="center"/>
              <w:rPr>
                <w:rFonts w:hint="eastAsia" w:ascii="微软雅黑" w:hAnsi="微软雅黑" w:eastAsia="微软雅黑" w:cs="微软雅黑"/>
                <w:i/>
                <w:iCs/>
                <w:color w:val="000000"/>
                <w:sz w:val="16"/>
                <w:szCs w:val="16"/>
                <w:u w:val="none"/>
              </w:rPr>
            </w:pPr>
          </w:p>
        </w:tc>
      </w:tr>
      <w:tr w14:paraId="23A5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056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B7E1">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EE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人才招聘活动合规率、主题契合度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6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3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A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9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7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FD92">
            <w:pPr>
              <w:jc w:val="center"/>
              <w:rPr>
                <w:rFonts w:hint="eastAsia" w:ascii="微软雅黑" w:hAnsi="微软雅黑" w:eastAsia="微软雅黑" w:cs="微软雅黑"/>
                <w:i/>
                <w:iCs/>
                <w:color w:val="000000"/>
                <w:sz w:val="16"/>
                <w:szCs w:val="16"/>
                <w:u w:val="none"/>
              </w:rPr>
            </w:pPr>
          </w:p>
        </w:tc>
      </w:tr>
      <w:tr w14:paraId="6243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BA4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DDF0">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C4D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9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人才招聘活动资金使用合规率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1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5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5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3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E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FC0">
            <w:pPr>
              <w:jc w:val="center"/>
              <w:rPr>
                <w:rFonts w:hint="eastAsia" w:ascii="微软雅黑" w:hAnsi="微软雅黑" w:eastAsia="微软雅黑" w:cs="微软雅黑"/>
                <w:i/>
                <w:iCs/>
                <w:color w:val="000000"/>
                <w:sz w:val="16"/>
                <w:szCs w:val="16"/>
                <w:u w:val="none"/>
              </w:rPr>
            </w:pPr>
          </w:p>
        </w:tc>
      </w:tr>
      <w:tr w14:paraId="51C2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7B0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0E5D">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96F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2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人才氛围营造工作效果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3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C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67EB">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C3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D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88BA">
            <w:pPr>
              <w:jc w:val="center"/>
              <w:rPr>
                <w:rFonts w:hint="eastAsia" w:ascii="微软雅黑" w:hAnsi="微软雅黑" w:eastAsia="微软雅黑" w:cs="微软雅黑"/>
                <w:i/>
                <w:iCs/>
                <w:color w:val="000000"/>
                <w:sz w:val="16"/>
                <w:szCs w:val="16"/>
                <w:u w:val="none"/>
              </w:rPr>
            </w:pPr>
          </w:p>
        </w:tc>
      </w:tr>
      <w:tr w14:paraId="66C5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11C5">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5B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6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增加我区的急需紧缺人才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2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AE19">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55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7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0E5">
            <w:pPr>
              <w:jc w:val="center"/>
              <w:rPr>
                <w:rFonts w:hint="eastAsia" w:ascii="微软雅黑" w:hAnsi="微软雅黑" w:eastAsia="微软雅黑" w:cs="微软雅黑"/>
                <w:i/>
                <w:iCs/>
                <w:color w:val="000000"/>
                <w:sz w:val="16"/>
                <w:szCs w:val="16"/>
                <w:u w:val="none"/>
              </w:rPr>
            </w:pPr>
          </w:p>
        </w:tc>
      </w:tr>
      <w:tr w14:paraId="6CEB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097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72B9">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A1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建立长效的人才招引机制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A44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9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0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A21F">
            <w:pPr>
              <w:jc w:val="center"/>
              <w:rPr>
                <w:rFonts w:hint="eastAsia" w:ascii="微软雅黑" w:hAnsi="微软雅黑" w:eastAsia="微软雅黑" w:cs="微软雅黑"/>
                <w:i/>
                <w:iCs/>
                <w:color w:val="000000"/>
                <w:sz w:val="16"/>
                <w:szCs w:val="16"/>
                <w:u w:val="none"/>
              </w:rPr>
            </w:pPr>
          </w:p>
        </w:tc>
      </w:tr>
      <w:tr w14:paraId="568A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B63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EF9A">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BE4C2">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0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部门协同次数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1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5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15B">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EFD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9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C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1B37">
            <w:pPr>
              <w:jc w:val="center"/>
              <w:rPr>
                <w:rFonts w:hint="eastAsia" w:ascii="微软雅黑" w:hAnsi="微软雅黑" w:eastAsia="微软雅黑" w:cs="微软雅黑"/>
                <w:i/>
                <w:iCs/>
                <w:color w:val="000000"/>
                <w:sz w:val="16"/>
                <w:szCs w:val="16"/>
                <w:u w:val="none"/>
              </w:rPr>
            </w:pPr>
          </w:p>
        </w:tc>
      </w:tr>
      <w:tr w14:paraId="08B8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7E29">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3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招引人才各部门及企业满意度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2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5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F7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6C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9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283">
            <w:pPr>
              <w:jc w:val="center"/>
              <w:rPr>
                <w:rFonts w:hint="eastAsia" w:ascii="微软雅黑" w:hAnsi="微软雅黑" w:eastAsia="微软雅黑" w:cs="微软雅黑"/>
                <w:i/>
                <w:iCs/>
                <w:color w:val="000000"/>
                <w:sz w:val="16"/>
                <w:szCs w:val="16"/>
                <w:u w:val="none"/>
              </w:rPr>
            </w:pPr>
          </w:p>
        </w:tc>
      </w:tr>
      <w:tr w14:paraId="125B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6BD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3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E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F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8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7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1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6F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12.74万元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6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416">
            <w:pPr>
              <w:jc w:val="center"/>
              <w:rPr>
                <w:rFonts w:hint="eastAsia" w:ascii="微软雅黑" w:hAnsi="微软雅黑" w:eastAsia="微软雅黑" w:cs="微软雅黑"/>
                <w:i/>
                <w:iCs/>
                <w:color w:val="000000"/>
                <w:sz w:val="16"/>
                <w:szCs w:val="16"/>
                <w:u w:val="none"/>
              </w:rPr>
            </w:pPr>
          </w:p>
        </w:tc>
      </w:tr>
      <w:tr w14:paraId="0579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04E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B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DC89">
            <w:pPr>
              <w:rPr>
                <w:rFonts w:hint="eastAsia" w:ascii="宋体" w:hAnsi="宋体" w:eastAsia="宋体" w:cs="宋体"/>
                <w:i w:val="0"/>
                <w:iCs w:val="0"/>
                <w:color w:val="000000"/>
                <w:sz w:val="18"/>
                <w:szCs w:val="18"/>
                <w:u w:val="none"/>
              </w:rPr>
            </w:pPr>
          </w:p>
        </w:tc>
      </w:tr>
      <w:tr w14:paraId="3E9F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1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D82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3C3F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2F8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0B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2122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74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8E4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FB1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553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479AFE06">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798D03D5">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20AE21E">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78C3E62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81C0EF8">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64D2D915">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182C2CD">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2D988AF1">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5A5F1289">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735B0AF4">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641548DD">
            <w:pPr>
              <w:rPr>
                <w:rFonts w:hint="eastAsia" w:ascii="宋体" w:hAnsi="宋体" w:eastAsia="宋体" w:cs="宋体"/>
                <w:i w:val="0"/>
                <w:iCs w:val="0"/>
                <w:color w:val="000000"/>
                <w:sz w:val="18"/>
                <w:szCs w:val="18"/>
                <w:u w:val="none"/>
              </w:rPr>
            </w:pPr>
          </w:p>
        </w:tc>
      </w:tr>
      <w:tr w14:paraId="7282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57FF6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27E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CF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EF3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51090322T000006328299-对口帮扶阿坝州理县帮扶资金</w:t>
            </w:r>
          </w:p>
        </w:tc>
      </w:tr>
      <w:tr w14:paraId="32C4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158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822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14F3AB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17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5942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11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70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4B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A819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B6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643A">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C5B7">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CBC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为认真落实中央第六次西藏工作座谈会、东西部扶贫协作座谈会精神和省委十一届三次全会作出的深入推进省内对口帮扶藏区彝区对口帮扶工作要求，根据省委办公厅、省政府办公厅印发的《四川省省内对口帮扶藏区彝区贫困县工作方案》（川委厅【2016】67号）明确帮扶地应按上一年地方一般公共财政预算收入的0.3%，以现金方式投入受扶地；更好地助推我市对口援助县—阿坝藏族羌族自治州理县经济社会发展。</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FA0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理县文体中心提升改造项目（第二期）；2、理县应急指挥平台中心建设项目；3、理县中学校园建设项目；4、理县人民医院营养膳食中心改造建设项目；5、党的二十大精神专题培训暨治蜀兴川政工干部队伍提升班；6、2023年度就业培训项目，目前预算资金已全部拨付完毕所有项目均已完工。</w:t>
            </w:r>
          </w:p>
        </w:tc>
      </w:tr>
      <w:tr w14:paraId="1C04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AF2B">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9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601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文体中心提升改造项目（第二期）800万，对理县“五馆一中心”建设整体推进，重点推进理县文化中心级博物馆建设；2、理县应急指挥平台中心建设项目80万，主要用于应急调度指挥平台及全县安装地震预警终端等；3、理县中学校园建设项目57万，主要用于学校广播系统建设、校园文化建设、教学质量提升奖励；4、理县人民医院营养膳食中心改造建设项目25万，主要用于改造食堂800平方米，更新食堂用具等；5、党的二十大精神专题培训暨治蜀兴川政工干部队伍提升班28万，主要用于组织理县干部人才100人，分两期赴遂宁市委党校学习每期6天；6、2023年度就业培训项目10万，用于两地联合开展职业技能培训，促进理县就业创业。</w:t>
            </w:r>
          </w:p>
        </w:tc>
      </w:tr>
      <w:tr w14:paraId="102D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A6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7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0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A6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0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7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E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65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056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CA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1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1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3C04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80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68F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2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B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6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5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C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5BC3">
            <w:pPr>
              <w:rPr>
                <w:rFonts w:hint="eastAsia" w:ascii="黑体" w:hAnsi="黑体" w:eastAsia="黑体" w:cs="黑体"/>
                <w:i/>
                <w:iCs/>
                <w:color w:val="000000"/>
                <w:sz w:val="18"/>
                <w:szCs w:val="18"/>
                <w:u w:val="none"/>
              </w:rPr>
            </w:pPr>
          </w:p>
        </w:tc>
      </w:tr>
      <w:tr w14:paraId="0CA2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BF0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C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B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64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946B">
            <w:pPr>
              <w:rPr>
                <w:rFonts w:hint="eastAsia" w:ascii="黑体" w:hAnsi="黑体" w:eastAsia="黑体" w:cs="黑体"/>
                <w:i/>
                <w:iCs/>
                <w:color w:val="000000"/>
                <w:sz w:val="18"/>
                <w:szCs w:val="18"/>
                <w:u w:val="none"/>
              </w:rPr>
            </w:pPr>
          </w:p>
        </w:tc>
      </w:tr>
      <w:tr w14:paraId="6327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C86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1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0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B7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3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C247">
            <w:pPr>
              <w:rPr>
                <w:rFonts w:hint="eastAsia" w:ascii="黑体" w:hAnsi="黑体" w:eastAsia="黑体" w:cs="黑体"/>
                <w:i/>
                <w:iCs/>
                <w:color w:val="000000"/>
                <w:sz w:val="18"/>
                <w:szCs w:val="18"/>
                <w:u w:val="none"/>
              </w:rPr>
            </w:pPr>
          </w:p>
        </w:tc>
      </w:tr>
      <w:tr w14:paraId="3EB5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136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F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1DC">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C2A">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915D0">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46B">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7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E64A">
            <w:pPr>
              <w:rPr>
                <w:rFonts w:hint="eastAsia" w:ascii="黑体" w:hAnsi="黑体" w:eastAsia="黑体" w:cs="黑体"/>
                <w:i/>
                <w:iCs/>
                <w:color w:val="000000"/>
                <w:sz w:val="18"/>
                <w:szCs w:val="18"/>
                <w:u w:val="none"/>
              </w:rPr>
            </w:pPr>
          </w:p>
        </w:tc>
      </w:tr>
      <w:tr w14:paraId="7562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D7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7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6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6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0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0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7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D4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FD0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F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70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开展对口帮扶活动一次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C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D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8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8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1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813">
            <w:pPr>
              <w:jc w:val="center"/>
              <w:rPr>
                <w:rFonts w:hint="eastAsia" w:ascii="微软雅黑" w:hAnsi="微软雅黑" w:eastAsia="微软雅黑" w:cs="微软雅黑"/>
                <w:i/>
                <w:iCs/>
                <w:color w:val="000000"/>
                <w:sz w:val="16"/>
                <w:szCs w:val="16"/>
                <w:u w:val="none"/>
              </w:rPr>
            </w:pPr>
          </w:p>
        </w:tc>
      </w:tr>
      <w:tr w14:paraId="66BE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C45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77D6">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22B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重点实施项目个数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B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A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B8A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8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40CA">
            <w:pPr>
              <w:jc w:val="center"/>
              <w:rPr>
                <w:rFonts w:hint="eastAsia" w:ascii="微软雅黑" w:hAnsi="微软雅黑" w:eastAsia="微软雅黑" w:cs="微软雅黑"/>
                <w:i/>
                <w:iCs/>
                <w:color w:val="000000"/>
                <w:sz w:val="16"/>
                <w:szCs w:val="16"/>
                <w:u w:val="none"/>
              </w:rPr>
            </w:pPr>
          </w:p>
        </w:tc>
      </w:tr>
      <w:tr w14:paraId="5E0A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FDA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A9B9">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86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8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所有工程项目验收率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6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A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0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5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5E5">
            <w:pPr>
              <w:jc w:val="center"/>
              <w:rPr>
                <w:rFonts w:hint="eastAsia" w:ascii="微软雅黑" w:hAnsi="微软雅黑" w:eastAsia="微软雅黑" w:cs="微软雅黑"/>
                <w:i/>
                <w:iCs/>
                <w:color w:val="000000"/>
                <w:sz w:val="16"/>
                <w:szCs w:val="16"/>
                <w:u w:val="none"/>
              </w:rPr>
            </w:pPr>
          </w:p>
        </w:tc>
      </w:tr>
      <w:tr w14:paraId="7DE9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A59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BA8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866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2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工程项目完成率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3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1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2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92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F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C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58B8">
            <w:pPr>
              <w:jc w:val="center"/>
              <w:rPr>
                <w:rFonts w:hint="eastAsia" w:ascii="微软雅黑" w:hAnsi="微软雅黑" w:eastAsia="微软雅黑" w:cs="微软雅黑"/>
                <w:i/>
                <w:iCs/>
                <w:color w:val="000000"/>
                <w:sz w:val="16"/>
                <w:szCs w:val="16"/>
                <w:u w:val="none"/>
              </w:rPr>
            </w:pPr>
          </w:p>
        </w:tc>
      </w:tr>
      <w:tr w14:paraId="3F66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334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FC3B">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E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nil"/>
              <w:right w:val="single" w:color="000000" w:sz="4" w:space="0"/>
            </w:tcBorders>
            <w:shd w:val="clear" w:color="auto" w:fill="auto"/>
            <w:vAlign w:val="center"/>
          </w:tcPr>
          <w:p w14:paraId="1C02E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该对口项目完成时限</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65941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77B1F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23C5F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41803B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4E8E2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72BFB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449959F7">
            <w:pPr>
              <w:jc w:val="center"/>
              <w:rPr>
                <w:rFonts w:hint="eastAsia" w:ascii="微软雅黑" w:hAnsi="微软雅黑" w:eastAsia="微软雅黑" w:cs="微软雅黑"/>
                <w:i/>
                <w:iCs/>
                <w:color w:val="000000"/>
                <w:sz w:val="16"/>
                <w:szCs w:val="16"/>
                <w:u w:val="none"/>
              </w:rPr>
            </w:pPr>
          </w:p>
        </w:tc>
      </w:tr>
      <w:tr w14:paraId="26A3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D1FF">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6E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E1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通过帮扶助推理县脱贫及乡村振兴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A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3625">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3C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D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4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36E">
            <w:pPr>
              <w:jc w:val="center"/>
              <w:rPr>
                <w:rFonts w:hint="eastAsia" w:ascii="微软雅黑" w:hAnsi="微软雅黑" w:eastAsia="微软雅黑" w:cs="微软雅黑"/>
                <w:i/>
                <w:iCs/>
                <w:color w:val="000000"/>
                <w:sz w:val="16"/>
                <w:szCs w:val="16"/>
                <w:u w:val="none"/>
              </w:rPr>
            </w:pPr>
          </w:p>
        </w:tc>
      </w:tr>
      <w:tr w14:paraId="61B0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833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AD3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009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理县贫困人口确保不返贫</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4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D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1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B8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E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109">
            <w:pPr>
              <w:jc w:val="center"/>
              <w:rPr>
                <w:rFonts w:hint="eastAsia" w:ascii="微软雅黑" w:hAnsi="微软雅黑" w:eastAsia="微软雅黑" w:cs="微软雅黑"/>
                <w:i/>
                <w:iCs/>
                <w:color w:val="000000"/>
                <w:sz w:val="16"/>
                <w:szCs w:val="16"/>
                <w:u w:val="none"/>
              </w:rPr>
            </w:pPr>
          </w:p>
        </w:tc>
      </w:tr>
      <w:tr w14:paraId="06F7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AEF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1C8">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B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ED57">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4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7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9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EDB">
            <w:pPr>
              <w:jc w:val="center"/>
              <w:rPr>
                <w:rFonts w:hint="eastAsia" w:ascii="微软雅黑" w:hAnsi="微软雅黑" w:eastAsia="微软雅黑" w:cs="微软雅黑"/>
                <w:i/>
                <w:iCs/>
                <w:color w:val="000000"/>
                <w:sz w:val="16"/>
                <w:szCs w:val="16"/>
                <w:u w:val="none"/>
              </w:rPr>
            </w:pPr>
          </w:p>
        </w:tc>
      </w:tr>
      <w:tr w14:paraId="157A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5FB5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9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受扶对象满意度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0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B3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9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0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5B8">
            <w:pPr>
              <w:jc w:val="center"/>
              <w:rPr>
                <w:rFonts w:hint="eastAsia" w:ascii="微软雅黑" w:hAnsi="微软雅黑" w:eastAsia="微软雅黑" w:cs="微软雅黑"/>
                <w:i/>
                <w:iCs/>
                <w:color w:val="000000"/>
                <w:sz w:val="16"/>
                <w:szCs w:val="16"/>
                <w:u w:val="none"/>
              </w:rPr>
            </w:pPr>
          </w:p>
        </w:tc>
      </w:tr>
      <w:tr w14:paraId="572F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F35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4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6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F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3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36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8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A574">
            <w:pPr>
              <w:jc w:val="center"/>
              <w:rPr>
                <w:rFonts w:hint="eastAsia" w:ascii="微软雅黑" w:hAnsi="微软雅黑" w:eastAsia="微软雅黑" w:cs="微软雅黑"/>
                <w:i/>
                <w:iCs/>
                <w:color w:val="000000"/>
                <w:sz w:val="16"/>
                <w:szCs w:val="16"/>
                <w:u w:val="none"/>
              </w:rPr>
            </w:pPr>
          </w:p>
        </w:tc>
      </w:tr>
      <w:tr w14:paraId="6877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15B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E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D0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9F8">
            <w:pPr>
              <w:rPr>
                <w:rFonts w:hint="eastAsia" w:ascii="宋体" w:hAnsi="宋体" w:eastAsia="宋体" w:cs="宋体"/>
                <w:i w:val="0"/>
                <w:iCs w:val="0"/>
                <w:color w:val="000000"/>
                <w:sz w:val="18"/>
                <w:szCs w:val="18"/>
                <w:u w:val="none"/>
              </w:rPr>
            </w:pPr>
          </w:p>
        </w:tc>
      </w:tr>
      <w:tr w14:paraId="505E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64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FB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243AF7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60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2878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D38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8B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74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A7D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A9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E1C6">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4BA6">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98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实施，通过该项目的实施，针对全区人才工作的短板和薄弱环节，解决一是人才总量偏少；二是人才队伍结构单一；三是围绕中心不紧；四是服务环境不优。健全服务体系，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进、留</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住。通过举办船山区“船泊菁才”组团招聘活动，发挥各类人才最大效益，帮助协助解决发展难题，对船山区重点产业、专业、开展有针对性的招聘活动，为我区引进更多急需紧缺专业人才。</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CFE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全年进行“船泊菁才”组团招聘线上宣讲及宣传推广活动一次，在成都中医药大学现场举办“船泊菁才”组团招聘活动一次，</w:t>
            </w:r>
          </w:p>
        </w:tc>
      </w:tr>
      <w:tr w14:paraId="0AB7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B171">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9D5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11140元，调剂数为121057.8元，到位132197.8元，预算数为132197.8元，全年支付数为127468.8元，占预算96.42%。未支付数4729元，该项经费为区委组织部2023年人才工作开展提供了保障支撑，圆满完成了全区人才招引工作各项任务。</w:t>
            </w:r>
          </w:p>
        </w:tc>
      </w:tr>
      <w:tr w14:paraId="4DBA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D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3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8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05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5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0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5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A9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338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E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4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F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74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7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D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6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83C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FF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656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8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B1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F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7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3A65">
            <w:pPr>
              <w:rPr>
                <w:rFonts w:hint="eastAsia" w:ascii="黑体" w:hAnsi="黑体" w:eastAsia="黑体" w:cs="黑体"/>
                <w:i/>
                <w:iCs/>
                <w:color w:val="000000"/>
                <w:sz w:val="18"/>
                <w:szCs w:val="18"/>
                <w:u w:val="none"/>
              </w:rPr>
            </w:pPr>
          </w:p>
        </w:tc>
      </w:tr>
      <w:tr w14:paraId="52CB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B4D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2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6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9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A5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2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6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3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5B79">
            <w:pPr>
              <w:rPr>
                <w:rFonts w:hint="eastAsia" w:ascii="黑体" w:hAnsi="黑体" w:eastAsia="黑体" w:cs="黑体"/>
                <w:i/>
                <w:iCs/>
                <w:color w:val="000000"/>
                <w:sz w:val="18"/>
                <w:szCs w:val="18"/>
                <w:u w:val="none"/>
              </w:rPr>
            </w:pPr>
          </w:p>
        </w:tc>
      </w:tr>
      <w:tr w14:paraId="6EBE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692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1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0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B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32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A30C">
            <w:pPr>
              <w:rPr>
                <w:rFonts w:hint="eastAsia" w:ascii="黑体" w:hAnsi="黑体" w:eastAsia="黑体" w:cs="黑体"/>
                <w:i/>
                <w:iCs/>
                <w:color w:val="000000"/>
                <w:sz w:val="18"/>
                <w:szCs w:val="18"/>
                <w:u w:val="none"/>
              </w:rPr>
            </w:pPr>
          </w:p>
        </w:tc>
      </w:tr>
      <w:tr w14:paraId="74C4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FC7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6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CE7">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DE25">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FEF7E">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74A">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4E68">
            <w:pPr>
              <w:rPr>
                <w:rFonts w:hint="eastAsia" w:ascii="黑体" w:hAnsi="黑体" w:eastAsia="黑体" w:cs="黑体"/>
                <w:i/>
                <w:iCs/>
                <w:color w:val="000000"/>
                <w:sz w:val="18"/>
                <w:szCs w:val="18"/>
                <w:u w:val="none"/>
              </w:rPr>
            </w:pPr>
          </w:p>
        </w:tc>
      </w:tr>
      <w:tr w14:paraId="5FEB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89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B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5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A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F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1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7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3C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B291">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E0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F4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F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举办人才活动参与人数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3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0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74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3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4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629">
            <w:pPr>
              <w:jc w:val="center"/>
              <w:rPr>
                <w:rFonts w:hint="eastAsia" w:ascii="微软雅黑" w:hAnsi="微软雅黑" w:eastAsia="微软雅黑" w:cs="微软雅黑"/>
                <w:i/>
                <w:iCs/>
                <w:color w:val="000000"/>
                <w:sz w:val="16"/>
                <w:szCs w:val="16"/>
                <w:u w:val="none"/>
              </w:rPr>
            </w:pPr>
          </w:p>
        </w:tc>
      </w:tr>
      <w:tr w14:paraId="100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3F4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491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2072">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2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进行“船泊菁才”组团招聘线上宣讲及宣传推广活动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E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0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3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2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A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6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8309">
            <w:pPr>
              <w:jc w:val="center"/>
              <w:rPr>
                <w:rFonts w:hint="eastAsia" w:ascii="微软雅黑" w:hAnsi="微软雅黑" w:eastAsia="微软雅黑" w:cs="微软雅黑"/>
                <w:i/>
                <w:iCs/>
                <w:color w:val="000000"/>
                <w:sz w:val="16"/>
                <w:szCs w:val="16"/>
                <w:u w:val="none"/>
              </w:rPr>
            </w:pPr>
          </w:p>
        </w:tc>
      </w:tr>
      <w:tr w14:paraId="6DC1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15C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3C80">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8D6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举办“船泊菁才”组团招聘活动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E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E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8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D2FE">
            <w:pPr>
              <w:jc w:val="center"/>
              <w:rPr>
                <w:rFonts w:hint="eastAsia" w:ascii="微软雅黑" w:hAnsi="微软雅黑" w:eastAsia="微软雅黑" w:cs="微软雅黑"/>
                <w:i/>
                <w:iCs/>
                <w:color w:val="000000"/>
                <w:sz w:val="16"/>
                <w:szCs w:val="16"/>
                <w:u w:val="none"/>
              </w:rPr>
            </w:pPr>
          </w:p>
        </w:tc>
      </w:tr>
      <w:tr w14:paraId="32F4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52F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48A0">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32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人才招聘活动合规率、主题契合度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5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9F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F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0DA">
            <w:pPr>
              <w:jc w:val="center"/>
              <w:rPr>
                <w:rFonts w:hint="eastAsia" w:ascii="微软雅黑" w:hAnsi="微软雅黑" w:eastAsia="微软雅黑" w:cs="微软雅黑"/>
                <w:i/>
                <w:iCs/>
                <w:color w:val="000000"/>
                <w:sz w:val="16"/>
                <w:szCs w:val="16"/>
                <w:u w:val="none"/>
              </w:rPr>
            </w:pPr>
          </w:p>
        </w:tc>
      </w:tr>
      <w:tr w14:paraId="42FE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DEA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E59C">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DA2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B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人才招聘活动资金使用合规率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E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F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E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9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A7D">
            <w:pPr>
              <w:jc w:val="center"/>
              <w:rPr>
                <w:rFonts w:hint="eastAsia" w:ascii="微软雅黑" w:hAnsi="微软雅黑" w:eastAsia="微软雅黑" w:cs="微软雅黑"/>
                <w:i/>
                <w:iCs/>
                <w:color w:val="000000"/>
                <w:sz w:val="16"/>
                <w:szCs w:val="16"/>
                <w:u w:val="none"/>
              </w:rPr>
            </w:pPr>
          </w:p>
        </w:tc>
      </w:tr>
      <w:tr w14:paraId="6D53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031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CC0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371E">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A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人才氛围营造工作效果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6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F17A">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21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4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CD5B">
            <w:pPr>
              <w:jc w:val="center"/>
              <w:rPr>
                <w:rFonts w:hint="eastAsia" w:ascii="微软雅黑" w:hAnsi="微软雅黑" w:eastAsia="微软雅黑" w:cs="微软雅黑"/>
                <w:i/>
                <w:iCs/>
                <w:color w:val="000000"/>
                <w:sz w:val="16"/>
                <w:szCs w:val="16"/>
                <w:u w:val="none"/>
              </w:rPr>
            </w:pPr>
          </w:p>
        </w:tc>
      </w:tr>
      <w:tr w14:paraId="1148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077A">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BC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2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增加我区的急需紧缺人才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C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9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E11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F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7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C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9110">
            <w:pPr>
              <w:jc w:val="center"/>
              <w:rPr>
                <w:rFonts w:hint="eastAsia" w:ascii="微软雅黑" w:hAnsi="微软雅黑" w:eastAsia="微软雅黑" w:cs="微软雅黑"/>
                <w:i/>
                <w:iCs/>
                <w:color w:val="000000"/>
                <w:sz w:val="16"/>
                <w:szCs w:val="16"/>
                <w:u w:val="none"/>
              </w:rPr>
            </w:pPr>
          </w:p>
        </w:tc>
      </w:tr>
      <w:tr w14:paraId="6E3B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F20F">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09C7">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F4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6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建立长效的人才招引机制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2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A2F8">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FF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BDE">
            <w:pPr>
              <w:jc w:val="center"/>
              <w:rPr>
                <w:rFonts w:hint="eastAsia" w:ascii="微软雅黑" w:hAnsi="微软雅黑" w:eastAsia="微软雅黑" w:cs="微软雅黑"/>
                <w:i/>
                <w:iCs/>
                <w:color w:val="000000"/>
                <w:sz w:val="16"/>
                <w:szCs w:val="16"/>
                <w:u w:val="none"/>
              </w:rPr>
            </w:pPr>
          </w:p>
        </w:tc>
      </w:tr>
      <w:tr w14:paraId="4FB9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FEB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97DE">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C57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部门协同次数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4F26">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69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2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36BC">
            <w:pPr>
              <w:jc w:val="center"/>
              <w:rPr>
                <w:rFonts w:hint="eastAsia" w:ascii="微软雅黑" w:hAnsi="微软雅黑" w:eastAsia="微软雅黑" w:cs="微软雅黑"/>
                <w:i/>
                <w:iCs/>
                <w:color w:val="000000"/>
                <w:sz w:val="16"/>
                <w:szCs w:val="16"/>
                <w:u w:val="none"/>
              </w:rPr>
            </w:pPr>
          </w:p>
        </w:tc>
      </w:tr>
      <w:tr w14:paraId="40AE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C07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3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B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招引人才各部门及企业满意度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D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AB6">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F9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E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8BB">
            <w:pPr>
              <w:jc w:val="center"/>
              <w:rPr>
                <w:rFonts w:hint="eastAsia" w:ascii="微软雅黑" w:hAnsi="微软雅黑" w:eastAsia="微软雅黑" w:cs="微软雅黑"/>
                <w:i/>
                <w:iCs/>
                <w:color w:val="000000"/>
                <w:sz w:val="16"/>
                <w:szCs w:val="16"/>
                <w:u w:val="none"/>
              </w:rPr>
            </w:pPr>
          </w:p>
        </w:tc>
      </w:tr>
      <w:tr w14:paraId="4BEF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2456">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9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2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5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81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7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4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F257">
            <w:pPr>
              <w:jc w:val="center"/>
              <w:rPr>
                <w:rFonts w:hint="eastAsia" w:ascii="微软雅黑" w:hAnsi="微软雅黑" w:eastAsia="微软雅黑" w:cs="微软雅黑"/>
                <w:i/>
                <w:iCs/>
                <w:color w:val="000000"/>
                <w:sz w:val="16"/>
                <w:szCs w:val="16"/>
                <w:u w:val="none"/>
              </w:rPr>
            </w:pPr>
          </w:p>
        </w:tc>
      </w:tr>
      <w:tr w14:paraId="16E4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BD2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7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9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3DF">
            <w:pPr>
              <w:rPr>
                <w:rFonts w:hint="eastAsia" w:ascii="宋体" w:hAnsi="宋体" w:eastAsia="宋体" w:cs="宋体"/>
                <w:i w:val="0"/>
                <w:iCs w:val="0"/>
                <w:color w:val="000000"/>
                <w:sz w:val="18"/>
                <w:szCs w:val="18"/>
                <w:u w:val="none"/>
              </w:rPr>
            </w:pPr>
          </w:p>
        </w:tc>
      </w:tr>
      <w:tr w14:paraId="6B5E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50CA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119F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F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71AE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8D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F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3EC5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DF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A15F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0E1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3F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6E2DB5F5">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12906B05">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6F79BF62">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5455E2DE">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41D7D74">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5D66FC10">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251A7F4">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7B20F748">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08EE7ECA">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37D6A994">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09A19806">
            <w:pPr>
              <w:rPr>
                <w:rFonts w:hint="eastAsia" w:ascii="宋体" w:hAnsi="宋体" w:eastAsia="宋体" w:cs="宋体"/>
                <w:i w:val="0"/>
                <w:iCs w:val="0"/>
                <w:color w:val="000000"/>
                <w:sz w:val="18"/>
                <w:szCs w:val="18"/>
                <w:u w:val="none"/>
              </w:rPr>
            </w:pPr>
          </w:p>
        </w:tc>
      </w:tr>
      <w:tr w14:paraId="42A1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308A9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849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1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A0FA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51090322T000006982852-选调生到村任职工作补助资金（预）</w:t>
            </w:r>
          </w:p>
        </w:tc>
      </w:tr>
      <w:tr w14:paraId="44F3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D1E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F96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68536E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35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4B07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E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D8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0B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A8F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58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7EAF">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AB0C">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A33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选调品学兼优的大学毕业生到基层工作，符合领导人才的客观规律，是培养选拔优秀年轻干部、加强领导班子及其后备干部队伍建设的一项基础性工作、是从源头抓起，培养造就大批适应改革开放和现代化建设需要的领导人才的一项措施。</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30D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该项目预算为54.63万元，全年支付费用合计为56.98万元。该项经费为区委组织部2023年选调生到村任职工作开展提供了保障支撑，圆满完成了全区选调生到村任职工作各项任务。</w:t>
            </w:r>
          </w:p>
        </w:tc>
      </w:tr>
      <w:tr w14:paraId="5B17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116F">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9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2B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该项目预算为54.63万元，全年支付费用合计为56.98</w:t>
            </w:r>
            <w:r>
              <w:rPr>
                <w:rFonts w:hint="eastAsia" w:ascii="宋体" w:hAnsi="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元。该项经费为区委组织部2023年选调生到村任职工作开展提供了保障支撑，圆满完成了全区选调生到村任职工作各项任务。</w:t>
            </w:r>
          </w:p>
        </w:tc>
      </w:tr>
      <w:tr w14:paraId="4B76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8A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C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F0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2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7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98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C13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54.63</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118.43</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45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4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CC2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4D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AF3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7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2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54.63</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3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118.43</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62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2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2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5C21">
            <w:pPr>
              <w:rPr>
                <w:rFonts w:hint="eastAsia" w:ascii="黑体" w:hAnsi="黑体" w:eastAsia="黑体" w:cs="黑体"/>
                <w:i/>
                <w:iCs/>
                <w:color w:val="000000"/>
                <w:sz w:val="18"/>
                <w:szCs w:val="18"/>
                <w:u w:val="none"/>
              </w:rPr>
            </w:pPr>
          </w:p>
        </w:tc>
      </w:tr>
      <w:tr w14:paraId="1B5C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A98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E2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8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7786">
            <w:pPr>
              <w:rPr>
                <w:rFonts w:hint="eastAsia" w:ascii="黑体" w:hAnsi="黑体" w:eastAsia="黑体" w:cs="黑体"/>
                <w:i/>
                <w:iCs/>
                <w:color w:val="000000"/>
                <w:sz w:val="18"/>
                <w:szCs w:val="18"/>
                <w:u w:val="none"/>
              </w:rPr>
            </w:pPr>
          </w:p>
        </w:tc>
      </w:tr>
      <w:tr w14:paraId="0D34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418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5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D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65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9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C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6560">
            <w:pPr>
              <w:rPr>
                <w:rFonts w:hint="eastAsia" w:ascii="黑体" w:hAnsi="黑体" w:eastAsia="黑体" w:cs="黑体"/>
                <w:i/>
                <w:iCs/>
                <w:color w:val="000000"/>
                <w:sz w:val="18"/>
                <w:szCs w:val="18"/>
                <w:u w:val="none"/>
              </w:rPr>
            </w:pPr>
          </w:p>
        </w:tc>
      </w:tr>
      <w:tr w14:paraId="4FD0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D19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03B">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811">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71D30">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68B6">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7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B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3F77C">
            <w:pPr>
              <w:rPr>
                <w:rFonts w:hint="eastAsia" w:ascii="黑体" w:hAnsi="黑体" w:eastAsia="黑体" w:cs="黑体"/>
                <w:i/>
                <w:iCs/>
                <w:color w:val="000000"/>
                <w:sz w:val="18"/>
                <w:szCs w:val="18"/>
                <w:u w:val="none"/>
              </w:rPr>
            </w:pPr>
          </w:p>
        </w:tc>
      </w:tr>
      <w:tr w14:paraId="40D9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A8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2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E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2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D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A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D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DD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E5EA">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43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7E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到村选调生开展工作人数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6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E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7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64AB">
            <w:pPr>
              <w:jc w:val="center"/>
              <w:rPr>
                <w:rFonts w:hint="eastAsia" w:ascii="微软雅黑" w:hAnsi="微软雅黑" w:eastAsia="微软雅黑" w:cs="微软雅黑"/>
                <w:i/>
                <w:iCs/>
                <w:color w:val="000000"/>
                <w:sz w:val="16"/>
                <w:szCs w:val="16"/>
                <w:u w:val="none"/>
              </w:rPr>
            </w:pPr>
          </w:p>
        </w:tc>
      </w:tr>
      <w:tr w14:paraId="1E95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0BE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59E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C45E">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组织开展选调生开展调研次数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C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0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A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15C">
            <w:pPr>
              <w:jc w:val="center"/>
              <w:rPr>
                <w:rFonts w:hint="eastAsia" w:ascii="微软雅黑" w:hAnsi="微软雅黑" w:eastAsia="微软雅黑" w:cs="微软雅黑"/>
                <w:i/>
                <w:iCs/>
                <w:color w:val="000000"/>
                <w:sz w:val="16"/>
                <w:szCs w:val="16"/>
                <w:u w:val="none"/>
              </w:rPr>
            </w:pPr>
          </w:p>
        </w:tc>
      </w:tr>
      <w:tr w14:paraId="45DC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B52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B3BA">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F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C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选调生到村任职工作到位率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2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E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7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1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F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65AA">
            <w:pPr>
              <w:jc w:val="center"/>
              <w:rPr>
                <w:rFonts w:hint="eastAsia" w:ascii="微软雅黑" w:hAnsi="微软雅黑" w:eastAsia="微软雅黑" w:cs="微软雅黑"/>
                <w:i/>
                <w:iCs/>
                <w:color w:val="000000"/>
                <w:sz w:val="16"/>
                <w:szCs w:val="16"/>
                <w:u w:val="none"/>
              </w:rPr>
            </w:pPr>
          </w:p>
        </w:tc>
      </w:tr>
      <w:tr w14:paraId="1FAD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737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36E6">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4A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该项目完成时效</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E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D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C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9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85C">
            <w:pPr>
              <w:jc w:val="center"/>
              <w:rPr>
                <w:rFonts w:hint="eastAsia" w:ascii="微软雅黑" w:hAnsi="微软雅黑" w:eastAsia="微软雅黑" w:cs="微软雅黑"/>
                <w:i/>
                <w:iCs/>
                <w:color w:val="000000"/>
                <w:sz w:val="16"/>
                <w:szCs w:val="16"/>
                <w:u w:val="none"/>
              </w:rPr>
            </w:pPr>
          </w:p>
        </w:tc>
      </w:tr>
      <w:tr w14:paraId="4787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49B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8B56">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E0D48">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9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选调生工作经费发放及时率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E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3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66A9">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B4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4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10C7">
            <w:pPr>
              <w:jc w:val="center"/>
              <w:rPr>
                <w:rFonts w:hint="eastAsia" w:ascii="微软雅黑" w:hAnsi="微软雅黑" w:eastAsia="微软雅黑" w:cs="微软雅黑"/>
                <w:i/>
                <w:iCs/>
                <w:color w:val="000000"/>
                <w:sz w:val="16"/>
                <w:szCs w:val="16"/>
                <w:u w:val="none"/>
              </w:rPr>
            </w:pPr>
          </w:p>
        </w:tc>
      </w:tr>
      <w:tr w14:paraId="7039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9919">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83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选调生到村履职率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B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0660">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75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D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107">
            <w:pPr>
              <w:jc w:val="center"/>
              <w:rPr>
                <w:rFonts w:hint="eastAsia" w:ascii="微软雅黑" w:hAnsi="微软雅黑" w:eastAsia="微软雅黑" w:cs="微软雅黑"/>
                <w:i/>
                <w:iCs/>
                <w:color w:val="000000"/>
                <w:sz w:val="16"/>
                <w:szCs w:val="16"/>
                <w:u w:val="none"/>
              </w:rPr>
            </w:pPr>
          </w:p>
        </w:tc>
      </w:tr>
      <w:tr w14:paraId="6161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136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E6F3">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B5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7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3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40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6E705">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87B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79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08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C9505">
            <w:pPr>
              <w:jc w:val="center"/>
              <w:rPr>
                <w:rFonts w:hint="eastAsia" w:ascii="微软雅黑" w:hAnsi="微软雅黑" w:eastAsia="微软雅黑" w:cs="微软雅黑"/>
                <w:i/>
                <w:iCs/>
                <w:color w:val="000000"/>
                <w:sz w:val="16"/>
                <w:szCs w:val="16"/>
                <w:u w:val="none"/>
              </w:rPr>
            </w:pPr>
          </w:p>
        </w:tc>
      </w:tr>
      <w:tr w14:paraId="2C38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787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E62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0F279">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BA7D">
            <w:pPr>
              <w:jc w:val="center"/>
              <w:rPr>
                <w:rFonts w:hint="eastAsia" w:ascii="宋体" w:hAnsi="宋体" w:eastAsia="宋体" w:cs="宋体"/>
                <w:i w:val="0"/>
                <w:iCs w:val="0"/>
                <w:color w:val="000000"/>
                <w:sz w:val="18"/>
                <w:szCs w:val="18"/>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DB5C">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9C269">
            <w:pPr>
              <w:jc w:val="center"/>
              <w:rPr>
                <w:rFonts w:hint="eastAsia" w:ascii="宋体" w:hAnsi="宋体" w:eastAsia="宋体" w:cs="宋体"/>
                <w:i w:val="0"/>
                <w:iCs w:val="0"/>
                <w:color w:val="000000"/>
                <w:sz w:val="18"/>
                <w:szCs w:val="18"/>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6A22">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8EEE">
            <w:pPr>
              <w:jc w:val="center"/>
              <w:rPr>
                <w:rFonts w:hint="eastAsia" w:ascii="微软雅黑" w:hAnsi="微软雅黑" w:eastAsia="微软雅黑" w:cs="微软雅黑"/>
                <w:i/>
                <w:iCs/>
                <w:color w:val="000000"/>
                <w:sz w:val="16"/>
                <w:szCs w:val="16"/>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42C2">
            <w:pPr>
              <w:jc w:val="center"/>
              <w:rPr>
                <w:rFonts w:hint="eastAsia" w:ascii="宋体" w:hAnsi="宋体" w:eastAsia="宋体" w:cs="宋体"/>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5A69">
            <w:pPr>
              <w:jc w:val="center"/>
              <w:rPr>
                <w:rFonts w:hint="eastAsia" w:ascii="宋体" w:hAnsi="宋体" w:eastAsia="宋体" w:cs="宋体"/>
                <w:i w:val="0"/>
                <w:iCs w:val="0"/>
                <w:color w:val="000000"/>
                <w:sz w:val="18"/>
                <w:szCs w:val="1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27BEC">
            <w:pPr>
              <w:jc w:val="center"/>
              <w:rPr>
                <w:rFonts w:hint="eastAsia" w:ascii="微软雅黑" w:hAnsi="微软雅黑" w:eastAsia="微软雅黑" w:cs="微软雅黑"/>
                <w:i/>
                <w:iCs/>
                <w:color w:val="000000"/>
                <w:sz w:val="16"/>
                <w:szCs w:val="16"/>
                <w:u w:val="none"/>
              </w:rPr>
            </w:pPr>
          </w:p>
        </w:tc>
      </w:tr>
      <w:tr w14:paraId="3092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409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2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C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基层</w:t>
            </w:r>
            <w:r>
              <w:rPr>
                <w:rFonts w:ascii="宋体" w:hAnsi="宋体" w:eastAsia="宋体" w:cs="宋体"/>
                <w:i w:val="0"/>
                <w:iCs w:val="0"/>
                <w:color w:val="000000"/>
                <w:kern w:val="0"/>
                <w:sz w:val="18"/>
                <w:szCs w:val="18"/>
                <w:u w:val="none"/>
                <w:lang w:val="en-US" w:eastAsia="zh-CN" w:bidi="ar"/>
              </w:rPr>
              <w:t>群众满意度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4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6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5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C2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2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C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EFE5">
            <w:pPr>
              <w:jc w:val="center"/>
              <w:rPr>
                <w:rFonts w:hint="eastAsia" w:ascii="微软雅黑" w:hAnsi="微软雅黑" w:eastAsia="微软雅黑" w:cs="微软雅黑"/>
                <w:i/>
                <w:iCs/>
                <w:color w:val="000000"/>
                <w:sz w:val="16"/>
                <w:szCs w:val="16"/>
                <w:u w:val="none"/>
              </w:rPr>
            </w:pPr>
          </w:p>
        </w:tc>
      </w:tr>
      <w:tr w14:paraId="406F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F67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1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8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9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9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5C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56.98万元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B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4F86">
            <w:pPr>
              <w:jc w:val="center"/>
              <w:rPr>
                <w:rFonts w:hint="eastAsia" w:ascii="微软雅黑" w:hAnsi="微软雅黑" w:eastAsia="微软雅黑" w:cs="微软雅黑"/>
                <w:i/>
                <w:iCs/>
                <w:color w:val="000000"/>
                <w:sz w:val="16"/>
                <w:szCs w:val="16"/>
                <w:u w:val="none"/>
              </w:rPr>
            </w:pPr>
          </w:p>
        </w:tc>
      </w:tr>
      <w:tr w14:paraId="6991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A9E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2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B2E3">
            <w:pPr>
              <w:rPr>
                <w:rFonts w:hint="eastAsia" w:ascii="宋体" w:hAnsi="宋体" w:eastAsia="宋体" w:cs="宋体"/>
                <w:i w:val="0"/>
                <w:iCs w:val="0"/>
                <w:color w:val="000000"/>
                <w:sz w:val="18"/>
                <w:szCs w:val="18"/>
                <w:u w:val="none"/>
              </w:rPr>
            </w:pPr>
          </w:p>
        </w:tc>
      </w:tr>
      <w:tr w14:paraId="3AD2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80C2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该项目起到了一是宣传落实政策；二是促进经济发展；三是联系服务群众；四是推广科技文化；五是参与村务管理；六是加强了基层组织建设。</w:t>
            </w:r>
          </w:p>
        </w:tc>
      </w:tr>
      <w:tr w14:paraId="79B0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2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08AC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98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E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44E5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94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2D9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253F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B8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0A8DF46B">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4F73272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507ABF6C">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0A86B5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9AFE902">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B4DA435">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0F98C06">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6AA57328">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551EB01E">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0629D522">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A0488E1">
            <w:pPr>
              <w:rPr>
                <w:rFonts w:hint="eastAsia" w:ascii="宋体" w:hAnsi="宋体" w:eastAsia="宋体" w:cs="宋体"/>
                <w:i w:val="0"/>
                <w:iCs w:val="0"/>
                <w:color w:val="000000"/>
                <w:sz w:val="18"/>
                <w:szCs w:val="18"/>
                <w:u w:val="none"/>
              </w:rPr>
            </w:pPr>
          </w:p>
        </w:tc>
      </w:tr>
      <w:tr w14:paraId="255E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08128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D8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A3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906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51090323T000008233467-老干部慰问经费</w:t>
            </w:r>
          </w:p>
        </w:tc>
      </w:tr>
      <w:tr w14:paraId="5759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1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20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35B0D5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34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354C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57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69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B5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BF11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9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703C">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3DCC">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8A6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通过该项目的实施，对全区区管特困老干部、遗孀进行帮扶，不定时慰问生病住院老干部；在春节、重阳节对局管退休干部进行慰问。"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1.对特困老干部、离休干部遗孀进行帮扶需100000元。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2.慰问平时生病住院老干部，标准是县级600元，科级400元，预计需30000元。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3.县级老干部大病重病困难帮扶100000元。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4.春节按县级老干部800元/人、科级老干部500元/人标准普遍慰问；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5.重阳节对局管退休干部220人，按500元/人标准普遍慰问。"</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80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重要纪念日、重大庆典和老年节、元旦、春节期间集中走访慰问，在离退休干部生病住院、家庭出现重大变故时及时关心看望。全年开展对县级重病老干部医疗补助一次100000元，在春节对退休老干部及遗孀慰问一次126900元，全年看望生病住院及病逝慰问老干部 68人次慰问费23700元。</w:t>
            </w:r>
          </w:p>
        </w:tc>
      </w:tr>
      <w:tr w14:paraId="0A38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DED9">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517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重要纪念日、重大庆典和老年节、元旦、春节期间集中走访慰问，在离退休干部生病住院、家庭出现重大变故时及时关心看望。该项目批复数为460000元，到位460000元，调剂数为-209400元，预算数250600元，全年支付数为250600元，占预算100%。该项经费为区委组织部老干局2023年特困老干部、遗孀帮扶及慰问工作开展提供了保障支撑，圆满完成了全区老干部慰问工作各项任务。</w:t>
            </w:r>
          </w:p>
        </w:tc>
      </w:tr>
      <w:tr w14:paraId="1DF1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1F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3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1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7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83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A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A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1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B6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EF0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6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B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2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E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9F1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B5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553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2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5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9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CD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C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9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E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CFA5B">
            <w:pPr>
              <w:rPr>
                <w:rFonts w:hint="eastAsia" w:ascii="黑体" w:hAnsi="黑体" w:eastAsia="黑体" w:cs="黑体"/>
                <w:i/>
                <w:iCs/>
                <w:color w:val="000000"/>
                <w:sz w:val="18"/>
                <w:szCs w:val="18"/>
                <w:u w:val="none"/>
              </w:rPr>
            </w:pPr>
          </w:p>
        </w:tc>
      </w:tr>
      <w:tr w14:paraId="1510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A3F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E1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B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B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3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FFA2">
            <w:pPr>
              <w:rPr>
                <w:rFonts w:hint="eastAsia" w:ascii="黑体" w:hAnsi="黑体" w:eastAsia="黑体" w:cs="黑体"/>
                <w:i/>
                <w:iCs/>
                <w:color w:val="000000"/>
                <w:sz w:val="18"/>
                <w:szCs w:val="18"/>
                <w:u w:val="none"/>
              </w:rPr>
            </w:pPr>
          </w:p>
        </w:tc>
      </w:tr>
      <w:tr w14:paraId="2695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A6D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5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5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11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B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8054">
            <w:pPr>
              <w:rPr>
                <w:rFonts w:hint="eastAsia" w:ascii="黑体" w:hAnsi="黑体" w:eastAsia="黑体" w:cs="黑体"/>
                <w:i/>
                <w:iCs/>
                <w:color w:val="000000"/>
                <w:sz w:val="18"/>
                <w:szCs w:val="18"/>
                <w:u w:val="none"/>
              </w:rPr>
            </w:pPr>
          </w:p>
        </w:tc>
      </w:tr>
      <w:tr w14:paraId="270C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CBA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D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A8B3">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B40E">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D19B0">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6D0">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7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2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3D30">
            <w:pPr>
              <w:rPr>
                <w:rFonts w:hint="eastAsia" w:ascii="黑体" w:hAnsi="黑体" w:eastAsia="黑体" w:cs="黑体"/>
                <w:i/>
                <w:iCs/>
                <w:color w:val="000000"/>
                <w:sz w:val="18"/>
                <w:szCs w:val="18"/>
                <w:u w:val="none"/>
              </w:rPr>
            </w:pPr>
          </w:p>
        </w:tc>
      </w:tr>
      <w:tr w14:paraId="41B8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DE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5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8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4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0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D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8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99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AE4E">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6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CB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D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在重阳节、春节开展慰问一次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7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E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6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D316">
            <w:pPr>
              <w:jc w:val="center"/>
              <w:rPr>
                <w:rFonts w:hint="eastAsia" w:ascii="微软雅黑" w:hAnsi="微软雅黑" w:eastAsia="微软雅黑" w:cs="微软雅黑"/>
                <w:i/>
                <w:iCs/>
                <w:color w:val="000000"/>
                <w:sz w:val="16"/>
                <w:szCs w:val="16"/>
                <w:u w:val="none"/>
              </w:rPr>
            </w:pPr>
          </w:p>
        </w:tc>
      </w:tr>
      <w:tr w14:paraId="06B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BF7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B356">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72B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对特困老干部、离休老干部遗孀开展慰问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A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3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6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3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0606">
            <w:pPr>
              <w:jc w:val="center"/>
              <w:rPr>
                <w:rFonts w:hint="eastAsia" w:ascii="微软雅黑" w:hAnsi="微软雅黑" w:eastAsia="微软雅黑" w:cs="微软雅黑"/>
                <w:i/>
                <w:iCs/>
                <w:color w:val="000000"/>
                <w:sz w:val="16"/>
                <w:szCs w:val="16"/>
                <w:u w:val="none"/>
              </w:rPr>
            </w:pPr>
          </w:p>
        </w:tc>
      </w:tr>
      <w:tr w14:paraId="763A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E86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A2D2">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A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慰问老干部覆盖率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3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F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2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67D">
            <w:pPr>
              <w:jc w:val="center"/>
              <w:rPr>
                <w:rFonts w:hint="eastAsia" w:ascii="微软雅黑" w:hAnsi="微软雅黑" w:eastAsia="微软雅黑" w:cs="微软雅黑"/>
                <w:i/>
                <w:iCs/>
                <w:color w:val="000000"/>
                <w:sz w:val="16"/>
                <w:szCs w:val="16"/>
                <w:u w:val="none"/>
              </w:rPr>
            </w:pPr>
          </w:p>
        </w:tc>
      </w:tr>
      <w:tr w14:paraId="211A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113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6854">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5F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5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慰问老干部完成及时率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E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B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C80">
            <w:pPr>
              <w:jc w:val="center"/>
              <w:rPr>
                <w:rFonts w:hint="eastAsia" w:ascii="微软雅黑" w:hAnsi="微软雅黑" w:eastAsia="微软雅黑" w:cs="微软雅黑"/>
                <w:i/>
                <w:iCs/>
                <w:color w:val="000000"/>
                <w:sz w:val="16"/>
                <w:szCs w:val="16"/>
                <w:u w:val="none"/>
              </w:rPr>
            </w:pPr>
          </w:p>
        </w:tc>
      </w:tr>
      <w:tr w14:paraId="3CEE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E99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87F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1352">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慰问老干部完成及时性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4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C65">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1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3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D24">
            <w:pPr>
              <w:jc w:val="center"/>
              <w:rPr>
                <w:rFonts w:hint="eastAsia" w:ascii="微软雅黑" w:hAnsi="微软雅黑" w:eastAsia="微软雅黑" w:cs="微软雅黑"/>
                <w:i/>
                <w:iCs/>
                <w:color w:val="000000"/>
                <w:sz w:val="16"/>
                <w:szCs w:val="16"/>
                <w:u w:val="none"/>
              </w:rPr>
            </w:pPr>
          </w:p>
        </w:tc>
      </w:tr>
      <w:tr w14:paraId="313B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57F9">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DA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5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加强老干部对社会发展</w:t>
            </w:r>
            <w:r>
              <w:rPr>
                <w:rFonts w:hint="eastAsia" w:ascii="宋体" w:hAnsi="宋体" w:cs="宋体"/>
                <w:i w:val="0"/>
                <w:iCs w:val="0"/>
                <w:color w:val="000000"/>
                <w:kern w:val="0"/>
                <w:sz w:val="18"/>
                <w:szCs w:val="18"/>
                <w:u w:val="none"/>
                <w:lang w:val="en-US" w:eastAsia="zh-CN" w:bidi="ar"/>
              </w:rPr>
              <w:t>建</w:t>
            </w:r>
            <w:r>
              <w:rPr>
                <w:rFonts w:ascii="宋体" w:hAnsi="宋体" w:eastAsia="宋体" w:cs="宋体"/>
                <w:i w:val="0"/>
                <w:iCs w:val="0"/>
                <w:color w:val="000000"/>
                <w:kern w:val="0"/>
                <w:sz w:val="18"/>
                <w:szCs w:val="18"/>
                <w:u w:val="none"/>
                <w:lang w:val="en-US" w:eastAsia="zh-CN" w:bidi="ar"/>
              </w:rPr>
              <w:t>言献策</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D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A375">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59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A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CA6">
            <w:pPr>
              <w:jc w:val="center"/>
              <w:rPr>
                <w:rFonts w:hint="eastAsia" w:ascii="微软雅黑" w:hAnsi="微软雅黑" w:eastAsia="微软雅黑" w:cs="微软雅黑"/>
                <w:i/>
                <w:iCs/>
                <w:color w:val="000000"/>
                <w:sz w:val="16"/>
                <w:szCs w:val="16"/>
                <w:u w:val="none"/>
              </w:rPr>
            </w:pPr>
          </w:p>
        </w:tc>
      </w:tr>
      <w:tr w14:paraId="093C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57C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C34D">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81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4F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E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C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1B3">
            <w:pPr>
              <w:jc w:val="center"/>
              <w:rPr>
                <w:rFonts w:hint="eastAsia" w:ascii="微软雅黑" w:hAnsi="微软雅黑" w:eastAsia="微软雅黑" w:cs="微软雅黑"/>
                <w:i/>
                <w:iCs/>
                <w:color w:val="000000"/>
                <w:sz w:val="16"/>
                <w:szCs w:val="16"/>
                <w:u w:val="none"/>
              </w:rPr>
            </w:pPr>
          </w:p>
        </w:tc>
      </w:tr>
      <w:tr w14:paraId="43C4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038F">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455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A34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5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加强老干部的长效管理机制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6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748E">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53F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B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AC2A">
            <w:pPr>
              <w:jc w:val="center"/>
              <w:rPr>
                <w:rFonts w:hint="eastAsia" w:ascii="微软雅黑" w:hAnsi="微软雅黑" w:eastAsia="微软雅黑" w:cs="微软雅黑"/>
                <w:i/>
                <w:iCs/>
                <w:color w:val="000000"/>
                <w:sz w:val="16"/>
                <w:szCs w:val="16"/>
                <w:u w:val="none"/>
              </w:rPr>
            </w:pPr>
          </w:p>
        </w:tc>
      </w:tr>
      <w:tr w14:paraId="511D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ADB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2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9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0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被慰问老干部满意度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3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F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97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6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8319">
            <w:pPr>
              <w:jc w:val="center"/>
              <w:rPr>
                <w:rFonts w:hint="eastAsia" w:ascii="微软雅黑" w:hAnsi="微软雅黑" w:eastAsia="微软雅黑" w:cs="微软雅黑"/>
                <w:i/>
                <w:iCs/>
                <w:color w:val="000000"/>
                <w:sz w:val="16"/>
                <w:szCs w:val="16"/>
                <w:u w:val="none"/>
              </w:rPr>
            </w:pPr>
          </w:p>
        </w:tc>
      </w:tr>
      <w:tr w14:paraId="6554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7AC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06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23.7万元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C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A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7588">
            <w:pPr>
              <w:jc w:val="center"/>
              <w:rPr>
                <w:rFonts w:hint="eastAsia" w:ascii="微软雅黑" w:hAnsi="微软雅黑" w:eastAsia="微软雅黑" w:cs="微软雅黑"/>
                <w:i/>
                <w:iCs/>
                <w:color w:val="000000"/>
                <w:sz w:val="16"/>
                <w:szCs w:val="16"/>
                <w:u w:val="none"/>
              </w:rPr>
            </w:pPr>
          </w:p>
        </w:tc>
      </w:tr>
      <w:tr w14:paraId="0916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9A6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3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31D">
            <w:pPr>
              <w:rPr>
                <w:rFonts w:hint="eastAsia" w:ascii="宋体" w:hAnsi="宋体" w:eastAsia="宋体" w:cs="宋体"/>
                <w:i w:val="0"/>
                <w:iCs w:val="0"/>
                <w:color w:val="000000"/>
                <w:sz w:val="18"/>
                <w:szCs w:val="18"/>
                <w:u w:val="none"/>
              </w:rPr>
            </w:pPr>
          </w:p>
        </w:tc>
      </w:tr>
      <w:tr w14:paraId="6F3F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70F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覆盖全区局管老干部，依法保障离退休干部各项权益，满腔热忱为他们排忧解难，让广大离退休干部安心舒心暖心；更加注重加强对离退休干部工作的领导，尽可能解决特困老干部等帮扶人群实际生活困难。</w:t>
            </w:r>
          </w:p>
        </w:tc>
      </w:tr>
      <w:tr w14:paraId="1DE2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7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A46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10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B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C858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15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85F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E36F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56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53F220EC">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60ED6DC9">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0C26FA3F">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B144DA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6D4E72A">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070291E">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D74C28D">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6C031F25">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4AFFC33">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456E7F56">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45288D1">
            <w:pPr>
              <w:rPr>
                <w:rFonts w:hint="eastAsia" w:ascii="宋体" w:hAnsi="宋体" w:eastAsia="宋体" w:cs="宋体"/>
                <w:i w:val="0"/>
                <w:iCs w:val="0"/>
                <w:color w:val="000000"/>
                <w:sz w:val="18"/>
                <w:szCs w:val="18"/>
                <w:u w:val="none"/>
              </w:rPr>
            </w:pPr>
          </w:p>
        </w:tc>
      </w:tr>
      <w:tr w14:paraId="23D8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B22BA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EB1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60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77C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51090323T000008233485-老干部体检及活动经费</w:t>
            </w:r>
          </w:p>
        </w:tc>
      </w:tr>
      <w:tr w14:paraId="12B5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B63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737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25D648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1B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102B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69F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6A6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62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471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38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01AE">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361A">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85F14">
            <w:pPr>
              <w:keepNext w:val="0"/>
              <w:keepLines w:val="0"/>
              <w:widowControl/>
              <w:suppressLineNumbers w:val="0"/>
              <w:spacing w:after="180" w:afterAutospacing="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一是加强老干部支部建设、让老干部老有所学，政治思想不放松；二是落实老干部保障机制，让老干部老有所依，管理服务的调常保持；三是打造老干部活动平台、让老干部老有所乐、开展活动有规律；四是发挥老干部的优势特长，让老有所为，贡献余热的曲时弹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"1.组织局管210余名老干部每年开展健康体检,男性1000元/人，女性1200元/人，共计252000元；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2.全区11个活动小组日常春游、秋游、小组活动经费：11组*12月*1000元/月=132000元；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3.老干部活动中心水费、电费、茶叶费：12月*4000元/月=48000元、日常设施维护维修费6000元。"</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4DE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是为了进一步发挥老干部工作制度优势，在服务大局中提升站位、在求真务实中提质增效、在开拓进取中激发活力；通过举办全区老干部春节团拜会、重阳座谈会、老干部事迹宣讲会、离退休干部党支部书记培训会、深入开展“我为脱贫攻坚出份力”活动，组织老干部到贫困村开展送知识下乡、送春联下乡、送文艺演出下乡活动、“全面融入成渝地区双城经济圈建设、推动遂宁高质量发展”大讨论等一系列活动，该项目已全面完成。</w:t>
            </w:r>
          </w:p>
        </w:tc>
      </w:tr>
      <w:tr w14:paraId="7118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6965">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6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CBD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438000元，到位438000元，调剂数为-8210元，预算数为429790元，全年支付数为207692.3元，占预算48.32%，未支付数222097.7元。该项经费为区委组织部2023年鼓励老干部和支持老同志积极参与社会治理、基层治理、协助党组织做好群众工作，维护和谐稳定大局活动工作开展提供了保障支撑，圆满完成了全区老干部工作各项任务。</w:t>
            </w:r>
          </w:p>
        </w:tc>
      </w:tr>
      <w:tr w14:paraId="39A3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FA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A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E2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4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F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78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976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3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A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42.98</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5F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9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7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8010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21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4B1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42.98</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2F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5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E230">
            <w:pPr>
              <w:rPr>
                <w:rFonts w:hint="eastAsia" w:ascii="黑体" w:hAnsi="黑体" w:eastAsia="黑体" w:cs="黑体"/>
                <w:i/>
                <w:iCs/>
                <w:color w:val="000000"/>
                <w:sz w:val="18"/>
                <w:szCs w:val="18"/>
                <w:u w:val="none"/>
              </w:rPr>
            </w:pPr>
          </w:p>
        </w:tc>
      </w:tr>
      <w:tr w14:paraId="17E5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E06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C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4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F0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B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C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6D8F">
            <w:pPr>
              <w:rPr>
                <w:rFonts w:hint="eastAsia" w:ascii="黑体" w:hAnsi="黑体" w:eastAsia="黑体" w:cs="黑体"/>
                <w:i/>
                <w:iCs/>
                <w:color w:val="000000"/>
                <w:sz w:val="18"/>
                <w:szCs w:val="18"/>
                <w:u w:val="none"/>
              </w:rPr>
            </w:pPr>
          </w:p>
        </w:tc>
      </w:tr>
      <w:tr w14:paraId="4078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DFF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7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F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BE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A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C865">
            <w:pPr>
              <w:rPr>
                <w:rFonts w:hint="eastAsia" w:ascii="黑体" w:hAnsi="黑体" w:eastAsia="黑体" w:cs="黑体"/>
                <w:i/>
                <w:iCs/>
                <w:color w:val="000000"/>
                <w:sz w:val="18"/>
                <w:szCs w:val="18"/>
                <w:u w:val="none"/>
              </w:rPr>
            </w:pPr>
          </w:p>
        </w:tc>
      </w:tr>
      <w:tr w14:paraId="2FA4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97EB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3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948B">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8DBB">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E1649">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521">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4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DC2B">
            <w:pPr>
              <w:rPr>
                <w:rFonts w:hint="eastAsia" w:ascii="黑体" w:hAnsi="黑体" w:eastAsia="黑体" w:cs="黑体"/>
                <w:i/>
                <w:iCs/>
                <w:color w:val="000000"/>
                <w:sz w:val="18"/>
                <w:szCs w:val="18"/>
                <w:u w:val="none"/>
              </w:rPr>
            </w:pPr>
          </w:p>
        </w:tc>
      </w:tr>
      <w:tr w14:paraId="09AA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3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8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E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C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8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D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2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F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3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24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535A">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BC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29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4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参加老干部活动人数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5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B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217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6D5">
            <w:pPr>
              <w:jc w:val="center"/>
              <w:rPr>
                <w:rFonts w:hint="eastAsia" w:ascii="微软雅黑" w:hAnsi="微软雅黑" w:eastAsia="微软雅黑" w:cs="微软雅黑"/>
                <w:i/>
                <w:iCs/>
                <w:color w:val="000000"/>
                <w:sz w:val="16"/>
                <w:szCs w:val="16"/>
                <w:u w:val="none"/>
              </w:rPr>
            </w:pPr>
          </w:p>
        </w:tc>
      </w:tr>
      <w:tr w14:paraId="5D2C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343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E5E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C0B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7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开展老干部专项活动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6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DB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B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5E81">
            <w:pPr>
              <w:jc w:val="center"/>
              <w:rPr>
                <w:rFonts w:hint="eastAsia" w:ascii="微软雅黑" w:hAnsi="微软雅黑" w:eastAsia="微软雅黑" w:cs="微软雅黑"/>
                <w:i/>
                <w:iCs/>
                <w:color w:val="000000"/>
                <w:sz w:val="16"/>
                <w:szCs w:val="16"/>
                <w:u w:val="none"/>
              </w:rPr>
            </w:pPr>
          </w:p>
        </w:tc>
      </w:tr>
      <w:tr w14:paraId="132D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C31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31CB">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C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6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开展老干部活动落实率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0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9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7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F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4B9B">
            <w:pPr>
              <w:jc w:val="center"/>
              <w:rPr>
                <w:rFonts w:hint="eastAsia" w:ascii="微软雅黑" w:hAnsi="微软雅黑" w:eastAsia="微软雅黑" w:cs="微软雅黑"/>
                <w:i/>
                <w:iCs/>
                <w:color w:val="000000"/>
                <w:sz w:val="16"/>
                <w:szCs w:val="16"/>
                <w:u w:val="none"/>
              </w:rPr>
            </w:pPr>
          </w:p>
        </w:tc>
      </w:tr>
      <w:tr w14:paraId="6A6D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44D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6B18">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31B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6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老干部开展各项活动达标率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F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A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9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A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8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24DE">
            <w:pPr>
              <w:jc w:val="center"/>
              <w:rPr>
                <w:rFonts w:hint="eastAsia" w:ascii="微软雅黑" w:hAnsi="微软雅黑" w:eastAsia="微软雅黑" w:cs="微软雅黑"/>
                <w:i/>
                <w:iCs/>
                <w:color w:val="000000"/>
                <w:sz w:val="16"/>
                <w:szCs w:val="16"/>
                <w:u w:val="none"/>
              </w:rPr>
            </w:pPr>
          </w:p>
        </w:tc>
      </w:tr>
      <w:tr w14:paraId="3862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31A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BD57">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F5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老干部活动完成时效</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C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E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0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F3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6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6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DA76">
            <w:pPr>
              <w:jc w:val="center"/>
              <w:rPr>
                <w:rFonts w:hint="eastAsia" w:ascii="微软雅黑" w:hAnsi="微软雅黑" w:eastAsia="微软雅黑" w:cs="微软雅黑"/>
                <w:i/>
                <w:iCs/>
                <w:color w:val="000000"/>
                <w:sz w:val="16"/>
                <w:szCs w:val="16"/>
                <w:u w:val="none"/>
              </w:rPr>
            </w:pPr>
          </w:p>
        </w:tc>
      </w:tr>
      <w:tr w14:paraId="49BD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F52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1F04">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BCF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老干部活动开展各项活动完成率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6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7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9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BB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4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C46">
            <w:pPr>
              <w:jc w:val="center"/>
              <w:rPr>
                <w:rFonts w:hint="eastAsia" w:ascii="微软雅黑" w:hAnsi="微软雅黑" w:eastAsia="微软雅黑" w:cs="微软雅黑"/>
                <w:i/>
                <w:iCs/>
                <w:color w:val="000000"/>
                <w:sz w:val="16"/>
                <w:szCs w:val="16"/>
                <w:u w:val="none"/>
              </w:rPr>
            </w:pPr>
          </w:p>
        </w:tc>
      </w:tr>
      <w:tr w14:paraId="1DE2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9A2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0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5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3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老干部相关工作保障率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185">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87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B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3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8EA">
            <w:pPr>
              <w:jc w:val="center"/>
              <w:rPr>
                <w:rFonts w:hint="eastAsia" w:ascii="微软雅黑" w:hAnsi="微软雅黑" w:eastAsia="微软雅黑" w:cs="微软雅黑"/>
                <w:i/>
                <w:iCs/>
                <w:color w:val="000000"/>
                <w:sz w:val="16"/>
                <w:szCs w:val="16"/>
                <w:u w:val="none"/>
              </w:rPr>
            </w:pPr>
          </w:p>
        </w:tc>
      </w:tr>
      <w:tr w14:paraId="2415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569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FFC2">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8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AC4">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B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0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C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490">
            <w:pPr>
              <w:jc w:val="center"/>
              <w:rPr>
                <w:rFonts w:hint="eastAsia" w:ascii="微软雅黑" w:hAnsi="微软雅黑" w:eastAsia="微软雅黑" w:cs="微软雅黑"/>
                <w:i/>
                <w:iCs/>
                <w:color w:val="000000"/>
                <w:sz w:val="16"/>
                <w:szCs w:val="16"/>
                <w:u w:val="none"/>
              </w:rPr>
            </w:pPr>
          </w:p>
        </w:tc>
      </w:tr>
      <w:tr w14:paraId="0D73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621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全区局管退休老干部满意度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3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B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F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7E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6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1A1">
            <w:pPr>
              <w:jc w:val="center"/>
              <w:rPr>
                <w:rFonts w:hint="eastAsia" w:ascii="微软雅黑" w:hAnsi="微软雅黑" w:eastAsia="微软雅黑" w:cs="微软雅黑"/>
                <w:i/>
                <w:iCs/>
                <w:color w:val="000000"/>
                <w:sz w:val="16"/>
                <w:szCs w:val="16"/>
                <w:u w:val="none"/>
              </w:rPr>
            </w:pPr>
          </w:p>
        </w:tc>
      </w:tr>
      <w:tr w14:paraId="7D94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CF4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E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A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92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20.76万元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1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0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4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因年底财政收回资金</w:t>
            </w:r>
          </w:p>
        </w:tc>
      </w:tr>
      <w:tr w14:paraId="767C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9A7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D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430E">
            <w:pPr>
              <w:rPr>
                <w:rFonts w:hint="eastAsia" w:ascii="宋体" w:hAnsi="宋体" w:eastAsia="宋体" w:cs="宋体"/>
                <w:i w:val="0"/>
                <w:iCs w:val="0"/>
                <w:color w:val="000000"/>
                <w:sz w:val="18"/>
                <w:szCs w:val="18"/>
                <w:u w:val="none"/>
              </w:rPr>
            </w:pPr>
          </w:p>
        </w:tc>
      </w:tr>
      <w:tr w14:paraId="12AC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1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3DA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让全区局管退休老干部，聚焦市区中心工作，组织开展“话传统、谈复兴、聚力量”专题调研，广泛开展“我为建设成渝中部现代化建设示范市出份力”“我看锂电产业新成就”“我看船山新变化”等活动，组织老干部重点围绕改革创新、产业发展、乡村振兴、环境保护、安全生产等方面展其所长、献智出力。积极搭建参与服务城乡基层治理有效平台，持续推进“老党员工作室”建设工作，组织开展老干部文艺汇报演出、书画摄影作品展、送春联到基层、送书画进社区（校园）等活动，组织引导老同志积极参与城乡融合发展、社区文明创建、乡村移风易俗、家风家德传承等志愿服务活动，示范带动群众共建美好家园、共创美好生活；该项目改善了老干部晚年生活，让服务对象满意率达到98%。</w:t>
            </w:r>
          </w:p>
        </w:tc>
      </w:tr>
      <w:tr w14:paraId="3CBC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9B19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7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6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091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5A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A66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0C8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DC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3140BB78">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6EFB6EB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1D916DB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317666D1">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AE1DE55">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50C27C79">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23DD672">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786A823C">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434CB70">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6D1DD3DB">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459E38A6">
            <w:pPr>
              <w:rPr>
                <w:rFonts w:hint="eastAsia" w:ascii="宋体" w:hAnsi="宋体" w:eastAsia="宋体" w:cs="宋体"/>
                <w:i w:val="0"/>
                <w:iCs w:val="0"/>
                <w:color w:val="000000"/>
                <w:sz w:val="18"/>
                <w:szCs w:val="18"/>
                <w:u w:val="none"/>
              </w:rPr>
            </w:pPr>
          </w:p>
        </w:tc>
      </w:tr>
      <w:tr w14:paraId="0F3A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52CBB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B45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5B6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B91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51090323T000008233512-干部人事工作经费</w:t>
            </w:r>
          </w:p>
        </w:tc>
      </w:tr>
      <w:tr w14:paraId="0B06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239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CA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044C98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2B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20EB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D28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6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C9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BA13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67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58E3">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AA1F">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DC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对全区公务员、参公人员人事档案整理高清扫描；全区公务员招录、考调相关经费。选调生宣讲会相关经费。通过该项目的实施，确保干部人事档案规范的转递和合理利用、确保人事档案的真实</w:t>
            </w:r>
            <w:r>
              <w:rPr>
                <w:rFonts w:hint="eastAsia" w:ascii="宋体" w:hAnsi="宋体" w:cs="宋体"/>
                <w:i w:val="0"/>
                <w:iCs w:val="0"/>
                <w:color w:val="000000"/>
                <w:kern w:val="0"/>
                <w:sz w:val="18"/>
                <w:szCs w:val="18"/>
                <w:u w:val="none"/>
                <w:lang w:val="en-US" w:eastAsia="zh-CN" w:bidi="ar"/>
              </w:rPr>
              <w:t>性</w:t>
            </w:r>
            <w:r>
              <w:rPr>
                <w:rFonts w:ascii="宋体" w:hAnsi="宋体" w:eastAsia="宋体" w:cs="宋体"/>
                <w:i w:val="0"/>
                <w:iCs w:val="0"/>
                <w:color w:val="000000"/>
                <w:kern w:val="0"/>
                <w:sz w:val="18"/>
                <w:szCs w:val="18"/>
                <w:u w:val="none"/>
                <w:lang w:val="en-US" w:eastAsia="zh-CN" w:bidi="ar"/>
              </w:rPr>
              <w:t>和完备性，能较好的为领导提供信息和决策依据，严格程序、注重细节，确保人事考试的周密组织、贴近考生、强化服务、提升人事考试的服务质量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"1.新招录、调动到我区公务员档案扫描费：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100卷*200元/卷=20000元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2.档案新增材料扫描费：1600卷*15页*5页/元=105000元；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3.设备维护（修）、印刷费等工作经费10000元。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4.慰问全区因病住院领导干部费用15000元。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5.公务员招录每年2次笔试、面试考务费2*600*50人=60000元；封闭考官住宿费、场地费、印刷费、技术服务费等共计60000元。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6.承办全市选调生宣介会，所需场地费、资料印刷费、差旅费、住宿费等60000元。"</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C1E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全年完成急需紧缺选调生招录及人事考试考调三次；档案材料扫描达标率和人事考试考调到位率100%，在时效性、档案保存率及人事考试及考调管理机制健全性上都完成得较好，支出成本在本年度预算成本控制内，服务对象满意度达到98%以上，该项经费为区委组织部2023年档案专项工作开展提供了保障支撑，圆满完成了全区档案工作各项任务。</w:t>
            </w:r>
          </w:p>
        </w:tc>
      </w:tr>
      <w:tr w14:paraId="68E4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9569B">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3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2B74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330000元，到位330000元，调剂数为-221603.92元，预算数为108396.08元，全年支付数为108396.08元，占预算100%。该项经费为区委组织部2023年档案专项工作开展提供了保障支撑，圆满完成了全区档案工作各项任务。</w:t>
            </w:r>
          </w:p>
        </w:tc>
      </w:tr>
      <w:tr w14:paraId="746E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28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E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59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7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B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3F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F3A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B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E7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4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FBA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C4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BFF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3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A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A7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74B8">
            <w:pPr>
              <w:rPr>
                <w:rFonts w:hint="eastAsia" w:ascii="黑体" w:hAnsi="黑体" w:eastAsia="黑体" w:cs="黑体"/>
                <w:i/>
                <w:iCs/>
                <w:color w:val="000000"/>
                <w:sz w:val="18"/>
                <w:szCs w:val="18"/>
                <w:u w:val="none"/>
              </w:rPr>
            </w:pPr>
          </w:p>
        </w:tc>
      </w:tr>
      <w:tr w14:paraId="58D7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B3C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6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1B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0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C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8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9439">
            <w:pPr>
              <w:rPr>
                <w:rFonts w:hint="eastAsia" w:ascii="黑体" w:hAnsi="黑体" w:eastAsia="黑体" w:cs="黑体"/>
                <w:i/>
                <w:iCs/>
                <w:color w:val="000000"/>
                <w:sz w:val="18"/>
                <w:szCs w:val="18"/>
                <w:u w:val="none"/>
              </w:rPr>
            </w:pPr>
          </w:p>
        </w:tc>
      </w:tr>
      <w:tr w14:paraId="1B64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D3A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1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F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B3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E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8E29">
            <w:pPr>
              <w:rPr>
                <w:rFonts w:hint="eastAsia" w:ascii="黑体" w:hAnsi="黑体" w:eastAsia="黑体" w:cs="黑体"/>
                <w:i/>
                <w:iCs/>
                <w:color w:val="000000"/>
                <w:sz w:val="18"/>
                <w:szCs w:val="18"/>
                <w:u w:val="none"/>
              </w:rPr>
            </w:pPr>
          </w:p>
        </w:tc>
      </w:tr>
      <w:tr w14:paraId="4F5F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BD50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C29C">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38C6">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DD17E">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278">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7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3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A6C0">
            <w:pPr>
              <w:rPr>
                <w:rFonts w:hint="eastAsia" w:ascii="黑体" w:hAnsi="黑体" w:eastAsia="黑体" w:cs="黑体"/>
                <w:i/>
                <w:iCs/>
                <w:color w:val="000000"/>
                <w:sz w:val="18"/>
                <w:szCs w:val="18"/>
                <w:u w:val="none"/>
              </w:rPr>
            </w:pPr>
          </w:p>
        </w:tc>
      </w:tr>
      <w:tr w14:paraId="5755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10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B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A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D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6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2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40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423A">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E0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D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B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开展人事考试及考调次数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8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6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8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9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7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36DC">
            <w:pPr>
              <w:jc w:val="center"/>
              <w:rPr>
                <w:rFonts w:hint="eastAsia" w:ascii="微软雅黑" w:hAnsi="微软雅黑" w:eastAsia="微软雅黑" w:cs="微软雅黑"/>
                <w:i/>
                <w:iCs/>
                <w:color w:val="000000"/>
                <w:sz w:val="16"/>
                <w:szCs w:val="16"/>
                <w:u w:val="none"/>
              </w:rPr>
            </w:pPr>
          </w:p>
        </w:tc>
      </w:tr>
      <w:tr w14:paraId="76FC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379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6ED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CB2B8">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4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档案新增材料扫描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7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8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8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F6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5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5B40">
            <w:pPr>
              <w:jc w:val="center"/>
              <w:rPr>
                <w:rFonts w:hint="eastAsia" w:ascii="微软雅黑" w:hAnsi="微软雅黑" w:eastAsia="微软雅黑" w:cs="微软雅黑"/>
                <w:i/>
                <w:iCs/>
                <w:color w:val="000000"/>
                <w:sz w:val="16"/>
                <w:szCs w:val="16"/>
                <w:u w:val="none"/>
              </w:rPr>
            </w:pPr>
          </w:p>
        </w:tc>
      </w:tr>
      <w:tr w14:paraId="6CE9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E49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1283">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2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人事考试及考调到位率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B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3E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0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5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49C">
            <w:pPr>
              <w:jc w:val="center"/>
              <w:rPr>
                <w:rFonts w:hint="eastAsia" w:ascii="微软雅黑" w:hAnsi="微软雅黑" w:eastAsia="微软雅黑" w:cs="微软雅黑"/>
                <w:i/>
                <w:iCs/>
                <w:color w:val="000000"/>
                <w:sz w:val="16"/>
                <w:szCs w:val="16"/>
                <w:u w:val="none"/>
              </w:rPr>
            </w:pPr>
          </w:p>
        </w:tc>
      </w:tr>
      <w:tr w14:paraId="2E3D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17B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4C5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353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扫描档案卷宗达标率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0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7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E5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3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4A1B">
            <w:pPr>
              <w:jc w:val="center"/>
              <w:rPr>
                <w:rFonts w:hint="eastAsia" w:ascii="微软雅黑" w:hAnsi="微软雅黑" w:eastAsia="微软雅黑" w:cs="微软雅黑"/>
                <w:i/>
                <w:iCs/>
                <w:color w:val="000000"/>
                <w:sz w:val="16"/>
                <w:szCs w:val="16"/>
                <w:u w:val="none"/>
              </w:rPr>
            </w:pPr>
          </w:p>
        </w:tc>
      </w:tr>
      <w:tr w14:paraId="51AB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C48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19DE">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80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扫描档案卷宗及时率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D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1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1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C0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6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C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270">
            <w:pPr>
              <w:jc w:val="center"/>
              <w:rPr>
                <w:rFonts w:hint="eastAsia" w:ascii="微软雅黑" w:hAnsi="微软雅黑" w:eastAsia="微软雅黑" w:cs="微软雅黑"/>
                <w:i/>
                <w:iCs/>
                <w:color w:val="000000"/>
                <w:sz w:val="16"/>
                <w:szCs w:val="16"/>
                <w:u w:val="none"/>
              </w:rPr>
            </w:pPr>
          </w:p>
        </w:tc>
      </w:tr>
      <w:tr w14:paraId="2FBA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F8E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FB5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64C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3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人事考调项目完成时限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2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F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CA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0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E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108">
            <w:pPr>
              <w:jc w:val="center"/>
              <w:rPr>
                <w:rFonts w:hint="eastAsia" w:ascii="微软雅黑" w:hAnsi="微软雅黑" w:eastAsia="微软雅黑" w:cs="微软雅黑"/>
                <w:i/>
                <w:iCs/>
                <w:color w:val="000000"/>
                <w:sz w:val="16"/>
                <w:szCs w:val="16"/>
                <w:u w:val="none"/>
              </w:rPr>
            </w:pPr>
          </w:p>
        </w:tc>
      </w:tr>
      <w:tr w14:paraId="3CD3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3902">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9A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3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档案保存率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5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C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6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8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A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F8E5">
            <w:pPr>
              <w:jc w:val="center"/>
              <w:rPr>
                <w:rFonts w:hint="eastAsia" w:ascii="微软雅黑" w:hAnsi="微软雅黑" w:eastAsia="微软雅黑" w:cs="微软雅黑"/>
                <w:i/>
                <w:iCs/>
                <w:color w:val="000000"/>
                <w:sz w:val="16"/>
                <w:szCs w:val="16"/>
                <w:u w:val="none"/>
              </w:rPr>
            </w:pPr>
          </w:p>
        </w:tc>
      </w:tr>
      <w:tr w14:paraId="5BDA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339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999E">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8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8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人事考试及考调管理机制健全性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06E">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D1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C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4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7A96">
            <w:pPr>
              <w:jc w:val="center"/>
              <w:rPr>
                <w:rFonts w:hint="eastAsia" w:ascii="微软雅黑" w:hAnsi="微软雅黑" w:eastAsia="微软雅黑" w:cs="微软雅黑"/>
                <w:i/>
                <w:iCs/>
                <w:color w:val="000000"/>
                <w:sz w:val="16"/>
                <w:szCs w:val="16"/>
                <w:u w:val="none"/>
              </w:rPr>
            </w:pPr>
          </w:p>
        </w:tc>
      </w:tr>
      <w:tr w14:paraId="2DC1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228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0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673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5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996D">
            <w:pPr>
              <w:jc w:val="center"/>
              <w:rPr>
                <w:rFonts w:hint="eastAsia" w:ascii="微软雅黑" w:hAnsi="微软雅黑" w:eastAsia="微软雅黑" w:cs="微软雅黑"/>
                <w:i/>
                <w:iCs/>
                <w:color w:val="000000"/>
                <w:sz w:val="16"/>
                <w:szCs w:val="16"/>
                <w:u w:val="none"/>
              </w:rPr>
            </w:pPr>
          </w:p>
        </w:tc>
      </w:tr>
      <w:tr w14:paraId="44D9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453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A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3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D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干部人事经费控制数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2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3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B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10.84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B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B7BC">
            <w:pPr>
              <w:jc w:val="center"/>
              <w:rPr>
                <w:rFonts w:hint="eastAsia" w:ascii="微软雅黑" w:hAnsi="微软雅黑" w:eastAsia="微软雅黑" w:cs="微软雅黑"/>
                <w:i/>
                <w:iCs/>
                <w:color w:val="000000"/>
                <w:sz w:val="16"/>
                <w:szCs w:val="16"/>
                <w:u w:val="none"/>
              </w:rPr>
            </w:pPr>
          </w:p>
        </w:tc>
      </w:tr>
      <w:tr w14:paraId="6C52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61D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B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1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因年底财政收回资金</w:t>
            </w:r>
          </w:p>
        </w:tc>
      </w:tr>
      <w:tr w14:paraId="0CB8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1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77D5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的开展对全区选调生的推介招聘、人事的考调、个人档案的审核、收集、扫描完善全区公务员档案；项目参与人员、服务对象满意率100%。该项经费为区委组织部2023年档案专项工作开展提供了保障支撑，圆满完成了全区档案工作各项任务。</w:t>
            </w:r>
          </w:p>
        </w:tc>
      </w:tr>
      <w:tr w14:paraId="3416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B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A0FE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B4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A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1685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44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812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DF4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DD1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3ED73E3E">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443FF4C9">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755ABC20">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41092E0E">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60E2735">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EF5AE17">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BA740F5">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1EC5D680">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18C7E31A">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78869C92">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38CB4F48">
            <w:pPr>
              <w:rPr>
                <w:rFonts w:hint="eastAsia" w:ascii="宋体" w:hAnsi="宋体" w:eastAsia="宋体" w:cs="宋体"/>
                <w:i w:val="0"/>
                <w:iCs w:val="0"/>
                <w:color w:val="000000"/>
                <w:sz w:val="18"/>
                <w:szCs w:val="18"/>
                <w:u w:val="none"/>
              </w:rPr>
            </w:pPr>
          </w:p>
        </w:tc>
      </w:tr>
      <w:tr w14:paraId="2264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94CB2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5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A7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332C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51090323T000008233539-援藏援彝干部工作经费</w:t>
            </w:r>
          </w:p>
        </w:tc>
      </w:tr>
      <w:tr w14:paraId="5502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85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14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41AF03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FE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699F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D9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DD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57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1F8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2E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B577">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38DF">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23E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应于2023年实施，该项目资金150万元用于14名援藏干部和驻村工作队队员的生活补助、艰苦边远地区津贴、慰问、绩效奖励等服务保障经费，以及遂理一家亲活动经费等；该项目的实施，强化对援藏援彝干部的激励关怀、做好各项保障、把党的民族政策送进藏区老百姓心里，通过帮扶助推理县脱贫攻坚工作向乡村振兴工作转变，促进</w:t>
            </w:r>
            <w:r>
              <w:rPr>
                <w:rFonts w:hint="eastAsia" w:ascii="宋体" w:hAnsi="宋体" w:cs="宋体"/>
                <w:i w:val="0"/>
                <w:iCs w:val="0"/>
                <w:color w:val="000000"/>
                <w:kern w:val="0"/>
                <w:sz w:val="18"/>
                <w:szCs w:val="18"/>
                <w:u w:val="none"/>
                <w:lang w:val="en-US" w:eastAsia="zh-CN" w:bidi="ar"/>
              </w:rPr>
              <w:t>民</w:t>
            </w:r>
            <w:r>
              <w:rPr>
                <w:rFonts w:ascii="宋体" w:hAnsi="宋体" w:eastAsia="宋体" w:cs="宋体"/>
                <w:i w:val="0"/>
                <w:iCs w:val="0"/>
                <w:color w:val="000000"/>
                <w:kern w:val="0"/>
                <w:sz w:val="18"/>
                <w:szCs w:val="18"/>
                <w:u w:val="none"/>
                <w:lang w:val="en-US" w:eastAsia="zh-CN" w:bidi="ar"/>
              </w:rPr>
              <w:t>族团结进一步提高为藏区服务的能力。</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F1F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是为认真落实中央第六次西藏工作座谈会、东西部扶贫协作座谈会精神和省委十一届三次全会作出的深入推进省内对口帮扶藏区彝区对口帮扶工作要求，更好地助推我市对口援助县—阿坝藏族羌族自治州理县经济社会发展。</w:t>
            </w:r>
          </w:p>
        </w:tc>
      </w:tr>
      <w:tr w14:paraId="2829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0DB5">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D9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BB1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1500000元，调剂数为-945255.9元，预算数为545744.1元，全年支付数为545744.1元，占预算100%。该项经费为援藏援彝工作队按照《四川省持续深化省内对口帮扶工作方案》要求，采取全域结对、精准对接的工作理念，落实“六项重点工作”，搭建平台，当好使者，加强对口交流互动，深化遂理合作交流机制，促进两地深度交流融合。通过两年交流，助推“一廊两区三地四片五县”建设。</w:t>
            </w:r>
          </w:p>
        </w:tc>
      </w:tr>
      <w:tr w14:paraId="359E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E5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5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C5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0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0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CF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E2A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1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54.57</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F4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54.57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9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0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C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C52C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9B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1D6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9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F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54.57</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AC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54.57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2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4C72">
            <w:pPr>
              <w:rPr>
                <w:rFonts w:hint="eastAsia" w:ascii="黑体" w:hAnsi="黑体" w:eastAsia="黑体" w:cs="黑体"/>
                <w:i/>
                <w:iCs/>
                <w:color w:val="000000"/>
                <w:sz w:val="18"/>
                <w:szCs w:val="18"/>
                <w:u w:val="none"/>
              </w:rPr>
            </w:pPr>
          </w:p>
        </w:tc>
      </w:tr>
      <w:tr w14:paraId="122B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859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F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11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E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F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563C">
            <w:pPr>
              <w:rPr>
                <w:rFonts w:hint="eastAsia" w:ascii="黑体" w:hAnsi="黑体" w:eastAsia="黑体" w:cs="黑体"/>
                <w:i/>
                <w:iCs/>
                <w:color w:val="000000"/>
                <w:sz w:val="18"/>
                <w:szCs w:val="18"/>
                <w:u w:val="none"/>
              </w:rPr>
            </w:pPr>
          </w:p>
        </w:tc>
      </w:tr>
      <w:tr w14:paraId="4648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B5C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D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B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51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A20E4">
            <w:pPr>
              <w:rPr>
                <w:rFonts w:hint="eastAsia" w:ascii="黑体" w:hAnsi="黑体" w:eastAsia="黑体" w:cs="黑体"/>
                <w:i/>
                <w:iCs/>
                <w:color w:val="000000"/>
                <w:sz w:val="18"/>
                <w:szCs w:val="18"/>
                <w:u w:val="none"/>
              </w:rPr>
            </w:pPr>
          </w:p>
        </w:tc>
      </w:tr>
      <w:tr w14:paraId="6A0F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475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8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39D1">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179">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BB806">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798F">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1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F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D316">
            <w:pPr>
              <w:rPr>
                <w:rFonts w:hint="eastAsia" w:ascii="黑体" w:hAnsi="黑体" w:eastAsia="黑体" w:cs="黑体"/>
                <w:i/>
                <w:iCs/>
                <w:color w:val="000000"/>
                <w:sz w:val="18"/>
                <w:szCs w:val="18"/>
                <w:u w:val="none"/>
              </w:rPr>
            </w:pPr>
          </w:p>
        </w:tc>
      </w:tr>
      <w:tr w14:paraId="6F3F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A1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3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B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9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A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7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5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C9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F223">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DE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FB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开展遂理一家亲活动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1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3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EB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669F">
            <w:pPr>
              <w:jc w:val="center"/>
              <w:rPr>
                <w:rFonts w:hint="eastAsia" w:ascii="微软雅黑" w:hAnsi="微软雅黑" w:eastAsia="微软雅黑" w:cs="微软雅黑"/>
                <w:i/>
                <w:iCs/>
                <w:color w:val="000000"/>
                <w:sz w:val="16"/>
                <w:szCs w:val="16"/>
                <w:u w:val="none"/>
              </w:rPr>
            </w:pPr>
          </w:p>
        </w:tc>
      </w:tr>
      <w:tr w14:paraId="1B1F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19F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457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2FF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赴理县开展对接帮扶次数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A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0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78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DE6A">
            <w:pPr>
              <w:jc w:val="center"/>
              <w:rPr>
                <w:rFonts w:hint="eastAsia" w:ascii="微软雅黑" w:hAnsi="微软雅黑" w:eastAsia="微软雅黑" w:cs="微软雅黑"/>
                <w:i/>
                <w:iCs/>
                <w:color w:val="000000"/>
                <w:sz w:val="16"/>
                <w:szCs w:val="16"/>
                <w:u w:val="none"/>
              </w:rPr>
            </w:pPr>
          </w:p>
        </w:tc>
      </w:tr>
      <w:tr w14:paraId="4447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04A5">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8076">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E38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0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按规定发放相关待遇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7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7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5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D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6613">
            <w:pPr>
              <w:jc w:val="center"/>
              <w:rPr>
                <w:rFonts w:hint="eastAsia" w:ascii="微软雅黑" w:hAnsi="微软雅黑" w:eastAsia="微软雅黑" w:cs="微软雅黑"/>
                <w:i/>
                <w:iCs/>
                <w:color w:val="000000"/>
                <w:sz w:val="16"/>
                <w:szCs w:val="16"/>
                <w:u w:val="none"/>
              </w:rPr>
            </w:pPr>
          </w:p>
        </w:tc>
      </w:tr>
      <w:tr w14:paraId="7F81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19C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5A6C">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C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待遇保障发放准确率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0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2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2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0C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7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087B">
            <w:pPr>
              <w:jc w:val="center"/>
              <w:rPr>
                <w:rFonts w:hint="eastAsia" w:ascii="微软雅黑" w:hAnsi="微软雅黑" w:eastAsia="微软雅黑" w:cs="微软雅黑"/>
                <w:i/>
                <w:iCs/>
                <w:color w:val="000000"/>
                <w:sz w:val="16"/>
                <w:szCs w:val="16"/>
                <w:u w:val="none"/>
              </w:rPr>
            </w:pPr>
          </w:p>
        </w:tc>
      </w:tr>
      <w:tr w14:paraId="0A9F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CAF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9369">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87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待遇保障发放完成率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F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3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E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15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7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F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BF78">
            <w:pPr>
              <w:jc w:val="center"/>
              <w:rPr>
                <w:rFonts w:hint="eastAsia" w:ascii="微软雅黑" w:hAnsi="微软雅黑" w:eastAsia="微软雅黑" w:cs="微软雅黑"/>
                <w:i/>
                <w:iCs/>
                <w:color w:val="000000"/>
                <w:sz w:val="16"/>
                <w:szCs w:val="16"/>
                <w:u w:val="none"/>
              </w:rPr>
            </w:pPr>
          </w:p>
        </w:tc>
      </w:tr>
      <w:tr w14:paraId="22AD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084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A65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8A8F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8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待遇保障发放及时率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4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9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77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D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7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9961">
            <w:pPr>
              <w:jc w:val="center"/>
              <w:rPr>
                <w:rFonts w:hint="eastAsia" w:ascii="微软雅黑" w:hAnsi="微软雅黑" w:eastAsia="微软雅黑" w:cs="微软雅黑"/>
                <w:i/>
                <w:iCs/>
                <w:color w:val="000000"/>
                <w:sz w:val="16"/>
                <w:szCs w:val="16"/>
                <w:u w:val="none"/>
              </w:rPr>
            </w:pPr>
          </w:p>
        </w:tc>
      </w:tr>
      <w:tr w14:paraId="1A31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3CBA">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2E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2A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B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通过帮扶助推理县脱贫及乡村振兴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29C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7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3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0E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0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1454">
            <w:pPr>
              <w:jc w:val="center"/>
              <w:rPr>
                <w:rFonts w:hint="eastAsia" w:ascii="微软雅黑" w:hAnsi="微软雅黑" w:eastAsia="微软雅黑" w:cs="微软雅黑"/>
                <w:i/>
                <w:iCs/>
                <w:color w:val="000000"/>
                <w:sz w:val="16"/>
                <w:szCs w:val="16"/>
                <w:u w:val="none"/>
              </w:rPr>
            </w:pPr>
          </w:p>
        </w:tc>
      </w:tr>
      <w:tr w14:paraId="4FD1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557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DCC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8E4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理县贫困人口确保不返贫</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9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8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B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2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1DC">
            <w:pPr>
              <w:jc w:val="center"/>
              <w:rPr>
                <w:rFonts w:hint="eastAsia" w:ascii="微软雅黑" w:hAnsi="微软雅黑" w:eastAsia="微软雅黑" w:cs="微软雅黑"/>
                <w:i/>
                <w:iCs/>
                <w:color w:val="000000"/>
                <w:sz w:val="16"/>
                <w:szCs w:val="16"/>
                <w:u w:val="none"/>
              </w:rPr>
            </w:pPr>
          </w:p>
        </w:tc>
      </w:tr>
      <w:tr w14:paraId="34AF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462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5606">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1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5C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0AA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9C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0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1014">
            <w:pPr>
              <w:jc w:val="center"/>
              <w:rPr>
                <w:rFonts w:hint="eastAsia" w:ascii="微软雅黑" w:hAnsi="微软雅黑" w:eastAsia="微软雅黑" w:cs="微软雅黑"/>
                <w:i/>
                <w:iCs/>
                <w:color w:val="000000"/>
                <w:sz w:val="16"/>
                <w:szCs w:val="16"/>
                <w:u w:val="none"/>
              </w:rPr>
            </w:pPr>
          </w:p>
        </w:tc>
      </w:tr>
      <w:tr w14:paraId="15CE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2B38">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4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7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8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受扶对象满意度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F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6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7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D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9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C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91D">
            <w:pPr>
              <w:jc w:val="center"/>
              <w:rPr>
                <w:rFonts w:hint="eastAsia" w:ascii="微软雅黑" w:hAnsi="微软雅黑" w:eastAsia="微软雅黑" w:cs="微软雅黑"/>
                <w:i/>
                <w:iCs/>
                <w:color w:val="000000"/>
                <w:sz w:val="16"/>
                <w:szCs w:val="16"/>
                <w:u w:val="none"/>
              </w:rPr>
            </w:pPr>
          </w:p>
        </w:tc>
      </w:tr>
      <w:tr w14:paraId="77A9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FD8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4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6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7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7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54.57万元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C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FB38">
            <w:pPr>
              <w:jc w:val="center"/>
              <w:rPr>
                <w:rFonts w:hint="eastAsia" w:ascii="微软雅黑" w:hAnsi="微软雅黑" w:eastAsia="微软雅黑" w:cs="微软雅黑"/>
                <w:i/>
                <w:iCs/>
                <w:color w:val="000000"/>
                <w:sz w:val="16"/>
                <w:szCs w:val="16"/>
                <w:u w:val="none"/>
              </w:rPr>
            </w:pPr>
          </w:p>
        </w:tc>
      </w:tr>
      <w:tr w14:paraId="34E8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F1F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F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C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19D9">
            <w:pPr>
              <w:rPr>
                <w:rFonts w:hint="eastAsia" w:ascii="宋体" w:hAnsi="宋体" w:eastAsia="宋体" w:cs="宋体"/>
                <w:i w:val="0"/>
                <w:iCs w:val="0"/>
                <w:color w:val="000000"/>
                <w:sz w:val="18"/>
                <w:szCs w:val="18"/>
                <w:u w:val="none"/>
              </w:rPr>
            </w:pPr>
          </w:p>
        </w:tc>
      </w:tr>
      <w:tr w14:paraId="7A1A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5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8F0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该项目健全多层次、全方位、宽领域帮扶机制，助推形成党政牵头、社会协同、广泛参与的全域帮扶格局，推动巩固拓展脱贫攻坚成果与全面推进乡村振兴有效衔接。</w:t>
            </w:r>
          </w:p>
        </w:tc>
      </w:tr>
      <w:tr w14:paraId="787C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0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124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97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46B3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21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995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189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AA1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30813B1E">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61DECF4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57A5DEC">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E90E02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EDAEE4E">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4616773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F9A0E64">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0138E619">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4DACEDA6">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122E7D5">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519307A7">
            <w:pPr>
              <w:rPr>
                <w:rFonts w:hint="eastAsia" w:ascii="宋体" w:hAnsi="宋体" w:eastAsia="宋体" w:cs="宋体"/>
                <w:i w:val="0"/>
                <w:iCs w:val="0"/>
                <w:color w:val="000000"/>
                <w:sz w:val="18"/>
                <w:szCs w:val="18"/>
                <w:u w:val="none"/>
              </w:rPr>
            </w:pPr>
          </w:p>
        </w:tc>
      </w:tr>
      <w:tr w14:paraId="0230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DCEBC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F95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8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DB6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51090323T000008233705-党员教育工作经费</w:t>
            </w:r>
          </w:p>
        </w:tc>
      </w:tr>
      <w:tr w14:paraId="719B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81D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E4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3B517C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95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404B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7A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E52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7E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C0A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3A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FC097">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665A">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3D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应于2023年实施，将项目资金用于组织基层党组织书记每年至少参加1次区级以上集中轮训、集中培训时间不少于56学时。党员每年参加集中培训和集体学习时间一般不少于32学时；提供学习资料及会议所需的办公用品等；通过该项目的实施，进一</w:t>
            </w:r>
            <w:r>
              <w:rPr>
                <w:rFonts w:hint="eastAsia" w:ascii="宋体" w:hAnsi="宋体" w:cs="宋体"/>
                <w:i w:val="0"/>
                <w:iCs w:val="0"/>
                <w:color w:val="000000"/>
                <w:kern w:val="0"/>
                <w:sz w:val="18"/>
                <w:szCs w:val="18"/>
                <w:u w:val="none"/>
                <w:lang w:val="en-US" w:eastAsia="zh-CN" w:bidi="ar"/>
              </w:rPr>
              <w:t>步</w:t>
            </w:r>
            <w:r>
              <w:rPr>
                <w:rFonts w:ascii="宋体" w:hAnsi="宋体" w:eastAsia="宋体" w:cs="宋体"/>
                <w:i w:val="0"/>
                <w:iCs w:val="0"/>
                <w:color w:val="000000"/>
                <w:kern w:val="0"/>
                <w:sz w:val="18"/>
                <w:szCs w:val="18"/>
                <w:u w:val="none"/>
                <w:lang w:val="en-US" w:eastAsia="zh-CN" w:bidi="ar"/>
              </w:rPr>
              <w:t>提高干部素质，提高发展经济的能力，提高服务群众的意识，对于维护农村社会和谐稳定，推动农村经济发展，全面详实反</w:t>
            </w:r>
            <w:r>
              <w:rPr>
                <w:rFonts w:hint="eastAsia" w:ascii="宋体" w:hAnsi="宋体" w:cs="宋体"/>
                <w:i w:val="0"/>
                <w:iCs w:val="0"/>
                <w:color w:val="000000"/>
                <w:kern w:val="0"/>
                <w:sz w:val="18"/>
                <w:szCs w:val="18"/>
                <w:u w:val="none"/>
                <w:lang w:val="en-US" w:eastAsia="zh-CN" w:bidi="ar"/>
              </w:rPr>
              <w:t>映</w:t>
            </w:r>
            <w:r>
              <w:rPr>
                <w:rFonts w:ascii="宋体" w:hAnsi="宋体" w:eastAsia="宋体" w:cs="宋体"/>
                <w:i w:val="0"/>
                <w:iCs w:val="0"/>
                <w:color w:val="000000"/>
                <w:kern w:val="0"/>
                <w:sz w:val="18"/>
                <w:szCs w:val="18"/>
                <w:u w:val="none"/>
                <w:lang w:val="en-US" w:eastAsia="zh-CN" w:bidi="ar"/>
              </w:rPr>
              <w:t>区委、区委各部门、各级党委（党组）、各乡镇党委在促进经济建设、政治建设、文化建设、社会建设和党的建设方面做出的成绩，</w:t>
            </w:r>
            <w:r>
              <w:rPr>
                <w:rFonts w:hint="eastAsia" w:ascii="宋体" w:hAnsi="宋体" w:cs="宋体"/>
                <w:i w:val="0"/>
                <w:iCs w:val="0"/>
                <w:color w:val="000000"/>
                <w:kern w:val="0"/>
                <w:sz w:val="18"/>
                <w:szCs w:val="18"/>
                <w:u w:val="none"/>
                <w:lang w:val="en-US" w:eastAsia="zh-CN" w:bidi="ar"/>
              </w:rPr>
              <w:t>对</w:t>
            </w:r>
            <w:r>
              <w:rPr>
                <w:rFonts w:ascii="宋体" w:hAnsi="宋体" w:eastAsia="宋体" w:cs="宋体"/>
                <w:i w:val="0"/>
                <w:iCs w:val="0"/>
                <w:color w:val="000000"/>
                <w:kern w:val="0"/>
                <w:sz w:val="18"/>
                <w:szCs w:val="18"/>
                <w:u w:val="none"/>
                <w:lang w:val="en-US" w:eastAsia="zh-CN" w:bidi="ar"/>
              </w:rPr>
              <w:t>总结执政经验、认识执政规律、全面建成小康社会具有重大而</w:t>
            </w:r>
            <w:r>
              <w:rPr>
                <w:rFonts w:hint="eastAsia" w:ascii="宋体" w:hAnsi="宋体" w:cs="宋体"/>
                <w:i w:val="0"/>
                <w:iCs w:val="0"/>
                <w:color w:val="000000"/>
                <w:kern w:val="0"/>
                <w:sz w:val="18"/>
                <w:szCs w:val="18"/>
                <w:u w:val="none"/>
                <w:lang w:val="en-US" w:eastAsia="zh-CN" w:bidi="ar"/>
              </w:rPr>
              <w:t>深远</w:t>
            </w:r>
            <w:r>
              <w:rPr>
                <w:rFonts w:ascii="宋体" w:hAnsi="宋体" w:eastAsia="宋体" w:cs="宋体"/>
                <w:i w:val="0"/>
                <w:iCs w:val="0"/>
                <w:color w:val="000000"/>
                <w:kern w:val="0"/>
                <w:sz w:val="18"/>
                <w:szCs w:val="18"/>
                <w:u w:val="none"/>
                <w:lang w:val="en-US" w:eastAsia="zh-CN" w:bidi="ar"/>
              </w:rPr>
              <w:t>的意义。</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F64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"1.摄制一批优秀党员教育视频课件，制作展播一批优秀党课，利用微信公众号等“两微一端”新媒体组织党员在线教育；</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2.对全区城市党组织书记、优秀党员、党务工作者等进行教育及培训。</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3.编纂《中国共产党遂宁市船山区委执政实录》经费。</w:t>
            </w:r>
          </w:p>
        </w:tc>
      </w:tr>
      <w:tr w14:paraId="447F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8A8C">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C31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"1.摄制一批优秀党员教育视频课件，制作展播一批优秀党课，利用微信公众号等“两微一端”新媒体组织党员在线教育；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2.对全区城市党组织书记、优秀党员、党</w:t>
            </w:r>
            <w:r>
              <w:rPr>
                <w:rFonts w:hint="eastAsia" w:ascii="宋体" w:hAnsi="宋体" w:cs="宋体"/>
                <w:i w:val="0"/>
                <w:iCs w:val="0"/>
                <w:color w:val="000000"/>
                <w:kern w:val="0"/>
                <w:sz w:val="18"/>
                <w:szCs w:val="18"/>
                <w:u w:val="none"/>
                <w:lang w:val="en-US" w:eastAsia="zh-CN" w:bidi="ar"/>
              </w:rPr>
              <w:t>务</w:t>
            </w:r>
            <w:r>
              <w:rPr>
                <w:rFonts w:ascii="宋体" w:hAnsi="宋体" w:eastAsia="宋体" w:cs="宋体"/>
                <w:i w:val="0"/>
                <w:iCs w:val="0"/>
                <w:color w:val="000000"/>
                <w:kern w:val="0"/>
                <w:sz w:val="18"/>
                <w:szCs w:val="18"/>
                <w:u w:val="none"/>
                <w:lang w:val="en-US" w:eastAsia="zh-CN" w:bidi="ar"/>
              </w:rPr>
              <w:t>工作者等进行教育及培训。</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3.编纂《中国共产党遂宁市船山区委执政实录》经费。该项目预算72.44万元，支付数2.09万元。</w:t>
            </w:r>
          </w:p>
        </w:tc>
      </w:tr>
      <w:tr w14:paraId="172D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98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B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F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2F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7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9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36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2A4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4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72.44</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13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C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5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C879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C0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3288">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72.44</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0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F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6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6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7D6A3">
            <w:pPr>
              <w:rPr>
                <w:rFonts w:hint="eastAsia" w:ascii="黑体" w:hAnsi="黑体" w:eastAsia="黑体" w:cs="黑体"/>
                <w:i/>
                <w:iCs/>
                <w:color w:val="000000"/>
                <w:sz w:val="18"/>
                <w:szCs w:val="18"/>
                <w:u w:val="none"/>
              </w:rPr>
            </w:pPr>
          </w:p>
        </w:tc>
      </w:tr>
      <w:tr w14:paraId="7654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97B9">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0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1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CA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1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2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E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E00E">
            <w:pPr>
              <w:rPr>
                <w:rFonts w:hint="eastAsia" w:ascii="黑体" w:hAnsi="黑体" w:eastAsia="黑体" w:cs="黑体"/>
                <w:i/>
                <w:iCs/>
                <w:color w:val="000000"/>
                <w:sz w:val="18"/>
                <w:szCs w:val="18"/>
                <w:u w:val="none"/>
              </w:rPr>
            </w:pPr>
          </w:p>
        </w:tc>
      </w:tr>
      <w:tr w14:paraId="2BB2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8D4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C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A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8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272A">
            <w:pPr>
              <w:rPr>
                <w:rFonts w:hint="eastAsia" w:ascii="黑体" w:hAnsi="黑体" w:eastAsia="黑体" w:cs="黑体"/>
                <w:i/>
                <w:iCs/>
                <w:color w:val="000000"/>
                <w:sz w:val="18"/>
                <w:szCs w:val="18"/>
                <w:u w:val="none"/>
              </w:rPr>
            </w:pPr>
          </w:p>
        </w:tc>
      </w:tr>
      <w:tr w14:paraId="3CEC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F33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4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FBD0">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F631">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495CA">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14A">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648F">
            <w:pPr>
              <w:rPr>
                <w:rFonts w:hint="eastAsia" w:ascii="黑体" w:hAnsi="黑体" w:eastAsia="黑体" w:cs="黑体"/>
                <w:i/>
                <w:iCs/>
                <w:color w:val="000000"/>
                <w:sz w:val="18"/>
                <w:szCs w:val="18"/>
                <w:u w:val="none"/>
              </w:rPr>
            </w:pPr>
          </w:p>
        </w:tc>
      </w:tr>
      <w:tr w14:paraId="1BED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98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B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6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2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B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4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8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1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2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64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096D">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A4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25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摄制优秀党员教育视频课件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F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F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07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3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9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B34E">
            <w:pPr>
              <w:jc w:val="center"/>
              <w:rPr>
                <w:rFonts w:hint="eastAsia" w:ascii="微软雅黑" w:hAnsi="微软雅黑" w:eastAsia="微软雅黑" w:cs="微软雅黑"/>
                <w:i/>
                <w:iCs/>
                <w:color w:val="000000"/>
                <w:sz w:val="16"/>
                <w:szCs w:val="16"/>
                <w:u w:val="none"/>
              </w:rPr>
            </w:pPr>
          </w:p>
        </w:tc>
      </w:tr>
      <w:tr w14:paraId="31A7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B0A5">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821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1D7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开展党员相关教育培训次数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A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0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FF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8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F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D5FF">
            <w:pPr>
              <w:jc w:val="center"/>
              <w:rPr>
                <w:rFonts w:hint="eastAsia" w:ascii="微软雅黑" w:hAnsi="微软雅黑" w:eastAsia="微软雅黑" w:cs="微软雅黑"/>
                <w:i/>
                <w:iCs/>
                <w:color w:val="000000"/>
                <w:sz w:val="16"/>
                <w:szCs w:val="16"/>
                <w:u w:val="none"/>
              </w:rPr>
            </w:pPr>
          </w:p>
        </w:tc>
      </w:tr>
      <w:tr w14:paraId="5394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B62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31C6">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C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F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开展党员在线人数教育达标率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0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71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D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EBCE">
            <w:pPr>
              <w:jc w:val="center"/>
              <w:rPr>
                <w:rFonts w:hint="eastAsia" w:ascii="微软雅黑" w:hAnsi="微软雅黑" w:eastAsia="微软雅黑" w:cs="微软雅黑"/>
                <w:i/>
                <w:iCs/>
                <w:color w:val="000000"/>
                <w:sz w:val="16"/>
                <w:szCs w:val="16"/>
                <w:u w:val="none"/>
              </w:rPr>
            </w:pPr>
          </w:p>
        </w:tc>
      </w:tr>
      <w:tr w14:paraId="4E48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2D4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6AA4">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D4E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党员教育培训主题内容契合度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55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B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12E">
            <w:pPr>
              <w:jc w:val="center"/>
              <w:rPr>
                <w:rFonts w:hint="eastAsia" w:ascii="微软雅黑" w:hAnsi="微软雅黑" w:eastAsia="微软雅黑" w:cs="微软雅黑"/>
                <w:i/>
                <w:iCs/>
                <w:color w:val="000000"/>
                <w:sz w:val="16"/>
                <w:szCs w:val="16"/>
                <w:u w:val="none"/>
              </w:rPr>
            </w:pPr>
          </w:p>
        </w:tc>
      </w:tr>
      <w:tr w14:paraId="75BD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97A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8DAC">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4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该项目完成时效性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0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0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2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A4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9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1C56">
            <w:pPr>
              <w:jc w:val="center"/>
              <w:rPr>
                <w:rFonts w:hint="eastAsia" w:ascii="微软雅黑" w:hAnsi="微软雅黑" w:eastAsia="微软雅黑" w:cs="微软雅黑"/>
                <w:i/>
                <w:iCs/>
                <w:color w:val="000000"/>
                <w:sz w:val="16"/>
                <w:szCs w:val="16"/>
                <w:u w:val="none"/>
              </w:rPr>
            </w:pPr>
          </w:p>
        </w:tc>
      </w:tr>
      <w:tr w14:paraId="7B60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860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1D54">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7275">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5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党员教育培训完成及时性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0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F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D7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DEC0">
            <w:pPr>
              <w:jc w:val="center"/>
              <w:rPr>
                <w:rFonts w:hint="eastAsia" w:ascii="微软雅黑" w:hAnsi="微软雅黑" w:eastAsia="微软雅黑" w:cs="微软雅黑"/>
                <w:i/>
                <w:iCs/>
                <w:color w:val="000000"/>
                <w:sz w:val="16"/>
                <w:szCs w:val="16"/>
                <w:u w:val="none"/>
              </w:rPr>
            </w:pPr>
          </w:p>
        </w:tc>
      </w:tr>
      <w:tr w14:paraId="0395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4305">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AF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3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加强党员组织思想道德建设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2E2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3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AAE">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47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7E3">
            <w:pPr>
              <w:jc w:val="center"/>
              <w:rPr>
                <w:rFonts w:hint="eastAsia" w:ascii="微软雅黑" w:hAnsi="微软雅黑" w:eastAsia="微软雅黑" w:cs="微软雅黑"/>
                <w:i/>
                <w:iCs/>
                <w:color w:val="000000"/>
                <w:sz w:val="16"/>
                <w:szCs w:val="16"/>
                <w:u w:val="none"/>
              </w:rPr>
            </w:pPr>
          </w:p>
        </w:tc>
      </w:tr>
      <w:tr w14:paraId="2F68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8D9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8936">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F15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F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D386">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24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A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6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F045">
            <w:pPr>
              <w:jc w:val="center"/>
              <w:rPr>
                <w:rFonts w:hint="eastAsia" w:ascii="微软雅黑" w:hAnsi="微软雅黑" w:eastAsia="微软雅黑" w:cs="微软雅黑"/>
                <w:i/>
                <w:iCs/>
                <w:color w:val="000000"/>
                <w:sz w:val="16"/>
                <w:szCs w:val="16"/>
                <w:u w:val="none"/>
              </w:rPr>
            </w:pPr>
          </w:p>
        </w:tc>
      </w:tr>
      <w:tr w14:paraId="00FF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CCB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F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6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受教育党员满意度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6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7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F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DFDB">
            <w:pPr>
              <w:jc w:val="center"/>
              <w:rPr>
                <w:rFonts w:hint="eastAsia" w:ascii="微软雅黑" w:hAnsi="微软雅黑" w:eastAsia="微软雅黑" w:cs="微软雅黑"/>
                <w:i/>
                <w:iCs/>
                <w:color w:val="000000"/>
                <w:sz w:val="16"/>
                <w:szCs w:val="16"/>
                <w:u w:val="none"/>
              </w:rPr>
            </w:pPr>
          </w:p>
        </w:tc>
      </w:tr>
      <w:tr w14:paraId="718A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63D6">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7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1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C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9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7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F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60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2.09万元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0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F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因年底财政收回资金</w:t>
            </w:r>
          </w:p>
        </w:tc>
      </w:tr>
      <w:tr w14:paraId="113C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ECA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1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B3BA">
            <w:pPr>
              <w:rPr>
                <w:rFonts w:hint="eastAsia" w:ascii="宋体" w:hAnsi="宋体" w:eastAsia="宋体" w:cs="宋体"/>
                <w:i w:val="0"/>
                <w:iCs w:val="0"/>
                <w:color w:val="000000"/>
                <w:sz w:val="18"/>
                <w:szCs w:val="18"/>
                <w:u w:val="none"/>
              </w:rPr>
            </w:pPr>
          </w:p>
        </w:tc>
      </w:tr>
      <w:tr w14:paraId="32E4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00D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19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000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FE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F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2310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3A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852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BD7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C44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4DDC2FE3">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4E65CF5D">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672252B6">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20FC13EE">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0397F63">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E70D158">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512DE53">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01C13819">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4C8D498">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11A6402E">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4962E69">
            <w:pPr>
              <w:rPr>
                <w:rFonts w:hint="eastAsia" w:ascii="宋体" w:hAnsi="宋体" w:eastAsia="宋体" w:cs="宋体"/>
                <w:i w:val="0"/>
                <w:iCs w:val="0"/>
                <w:color w:val="000000"/>
                <w:sz w:val="18"/>
                <w:szCs w:val="18"/>
                <w:u w:val="none"/>
              </w:rPr>
            </w:pPr>
          </w:p>
        </w:tc>
      </w:tr>
      <w:tr w14:paraId="4067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F1743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80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BD9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420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51090323T000008233844-大组工网、干部数字化管理、平时考核系统、网宣与舆情监测运维经费</w:t>
            </w:r>
          </w:p>
        </w:tc>
      </w:tr>
      <w:tr w14:paraId="1012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771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088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42F190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7A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629C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73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D02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C6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07C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F2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BD89">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252E">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B6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应于2023年实施，通过该项目的实施，保证密级文件的传输、确保涉密视频会议正常召开，为公务员奖惩、培训、辞退、调整职务、级别、工资、分配目标绩效等提供客观依据，真正发挥平时考核在公务员管理中的基础性作用，圆满完成全区大组工网、干部数字化管理、平时考核系统工资各项任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1.全区干部数字化管理平台运维经费10000元/年；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2.全区机关事业单位平时考核系统运维经费30000元；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3.大组工网涉密项目，市级统一谈判后确定运维为40000元；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4.涉组涉干舆情监测软件，市级统一谈判后确定租赁费20000元/年；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5.按照市上要求，全区每年完成网评文章600篇，每篇按照市级稿酬100元/篇匹配我区稿酬，共60000元；正能量作品每月一部12部*1000元/部=12000元。"</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22F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为区委组织部2022年各部门工作开展提供了保障支撑，保证密级文件的传输、确保涉密视频会议正常召开，为公务员奖惩、培训、辞退、调整职务、级别、工资、分配目标绩效等提供客观依据，真正发挥平时考核在公务员管理中的基础性作用，圆满完成了全区大组工网、干部数字化管理平台、平时考核系统工作各项任务。</w:t>
            </w:r>
          </w:p>
        </w:tc>
      </w:tr>
      <w:tr w14:paraId="181A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7F6D">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7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01D6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批复数为172000元，到位172000元，预算数为40100元，全年支付数为40100元。该项经费为区委组织部2022年各部门工作开展提供了保障支撑，保证密级文件的传输、确保涉密视频会议正常召开，为公务员奖惩、培训、辞退、调整职务、级别、工资、分配目标绩效等提供客观依据，真正发挥平时考核在公务员管理中的基础性作用，圆满完成了全区大组工网、干部数字化管理平台、平时考核系统工作各项任务。</w:t>
            </w:r>
          </w:p>
        </w:tc>
      </w:tr>
      <w:tr w14:paraId="3127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34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F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3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AA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6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13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021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2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2D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A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6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6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E3E3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42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1A4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3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62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0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C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6BD9">
            <w:pPr>
              <w:rPr>
                <w:rFonts w:hint="eastAsia" w:ascii="黑体" w:hAnsi="黑体" w:eastAsia="黑体" w:cs="黑体"/>
                <w:i/>
                <w:iCs/>
                <w:color w:val="000000"/>
                <w:sz w:val="18"/>
                <w:szCs w:val="18"/>
                <w:u w:val="none"/>
              </w:rPr>
            </w:pPr>
          </w:p>
        </w:tc>
      </w:tr>
      <w:tr w14:paraId="7937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D01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8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0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A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4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A501">
            <w:pPr>
              <w:rPr>
                <w:rFonts w:hint="eastAsia" w:ascii="黑体" w:hAnsi="黑体" w:eastAsia="黑体" w:cs="黑体"/>
                <w:i/>
                <w:iCs/>
                <w:color w:val="000000"/>
                <w:sz w:val="18"/>
                <w:szCs w:val="18"/>
                <w:u w:val="none"/>
              </w:rPr>
            </w:pPr>
          </w:p>
        </w:tc>
      </w:tr>
      <w:tr w14:paraId="6894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ECF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E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01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4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9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7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5976">
            <w:pPr>
              <w:rPr>
                <w:rFonts w:hint="eastAsia" w:ascii="黑体" w:hAnsi="黑体" w:eastAsia="黑体" w:cs="黑体"/>
                <w:i/>
                <w:iCs/>
                <w:color w:val="000000"/>
                <w:sz w:val="18"/>
                <w:szCs w:val="18"/>
                <w:u w:val="none"/>
              </w:rPr>
            </w:pPr>
          </w:p>
        </w:tc>
      </w:tr>
      <w:tr w14:paraId="713C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1B7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08D1">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8DC">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40BE1">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9E6">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A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1CFC">
            <w:pPr>
              <w:rPr>
                <w:rFonts w:hint="eastAsia" w:ascii="黑体" w:hAnsi="黑体" w:eastAsia="黑体" w:cs="黑体"/>
                <w:i/>
                <w:iCs/>
                <w:color w:val="000000"/>
                <w:sz w:val="18"/>
                <w:szCs w:val="18"/>
                <w:u w:val="none"/>
              </w:rPr>
            </w:pPr>
          </w:p>
        </w:tc>
      </w:tr>
      <w:tr w14:paraId="1245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6C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6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7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5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7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1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02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DFA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D0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16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E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干部数字化管理、平时考核系统考核人数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3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2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F8C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7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39C2">
            <w:pPr>
              <w:jc w:val="center"/>
              <w:rPr>
                <w:rFonts w:hint="eastAsia" w:ascii="微软雅黑" w:hAnsi="微软雅黑" w:eastAsia="微软雅黑" w:cs="微软雅黑"/>
                <w:i/>
                <w:iCs/>
                <w:color w:val="000000"/>
                <w:sz w:val="16"/>
                <w:szCs w:val="16"/>
                <w:u w:val="none"/>
              </w:rPr>
            </w:pPr>
          </w:p>
        </w:tc>
      </w:tr>
      <w:tr w14:paraId="1BEE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603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097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006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网络投稿被采用篇数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2C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6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EFD">
            <w:pPr>
              <w:jc w:val="center"/>
              <w:rPr>
                <w:rFonts w:hint="eastAsia" w:ascii="微软雅黑" w:hAnsi="微软雅黑" w:eastAsia="微软雅黑" w:cs="微软雅黑"/>
                <w:i/>
                <w:iCs/>
                <w:color w:val="000000"/>
                <w:sz w:val="16"/>
                <w:szCs w:val="16"/>
                <w:u w:val="none"/>
              </w:rPr>
            </w:pPr>
          </w:p>
        </w:tc>
      </w:tr>
      <w:tr w14:paraId="51C9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4AE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6F94">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B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D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干部数字化管理、平时考核系统人数覆盖率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7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8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9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A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4110">
            <w:pPr>
              <w:jc w:val="center"/>
              <w:rPr>
                <w:rFonts w:hint="eastAsia" w:ascii="微软雅黑" w:hAnsi="微软雅黑" w:eastAsia="微软雅黑" w:cs="微软雅黑"/>
                <w:i/>
                <w:iCs/>
                <w:color w:val="000000"/>
                <w:sz w:val="16"/>
                <w:szCs w:val="16"/>
                <w:u w:val="none"/>
              </w:rPr>
            </w:pPr>
          </w:p>
        </w:tc>
      </w:tr>
      <w:tr w14:paraId="2B19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BCA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4B19">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7E7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C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确保会议机密性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C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9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E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C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A45B">
            <w:pPr>
              <w:jc w:val="center"/>
              <w:rPr>
                <w:rFonts w:hint="eastAsia" w:ascii="微软雅黑" w:hAnsi="微软雅黑" w:eastAsia="微软雅黑" w:cs="微软雅黑"/>
                <w:i/>
                <w:iCs/>
                <w:color w:val="000000"/>
                <w:sz w:val="16"/>
                <w:szCs w:val="16"/>
                <w:u w:val="none"/>
              </w:rPr>
            </w:pPr>
          </w:p>
        </w:tc>
      </w:tr>
      <w:tr w14:paraId="2B83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C1C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4DE7">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0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4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干部数字化管理、平时考核系统人数及时率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B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5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21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D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B695">
            <w:pPr>
              <w:jc w:val="center"/>
              <w:rPr>
                <w:rFonts w:hint="eastAsia" w:ascii="微软雅黑" w:hAnsi="微软雅黑" w:eastAsia="微软雅黑" w:cs="微软雅黑"/>
                <w:i/>
                <w:iCs/>
                <w:color w:val="000000"/>
                <w:sz w:val="16"/>
                <w:szCs w:val="16"/>
                <w:u w:val="none"/>
              </w:rPr>
            </w:pPr>
          </w:p>
        </w:tc>
      </w:tr>
      <w:tr w14:paraId="7084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E7A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D9D1">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0448">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网络投稿文章征订期限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1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4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BB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C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4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755">
            <w:pPr>
              <w:jc w:val="center"/>
              <w:rPr>
                <w:rFonts w:hint="eastAsia" w:ascii="微软雅黑" w:hAnsi="微软雅黑" w:eastAsia="微软雅黑" w:cs="微软雅黑"/>
                <w:i/>
                <w:iCs/>
                <w:color w:val="000000"/>
                <w:sz w:val="16"/>
                <w:szCs w:val="16"/>
                <w:u w:val="none"/>
              </w:rPr>
            </w:pPr>
          </w:p>
        </w:tc>
      </w:tr>
      <w:tr w14:paraId="33AD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1C97">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13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2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面向全区所有干部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F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2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6E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A73">
            <w:pPr>
              <w:jc w:val="center"/>
              <w:rPr>
                <w:rFonts w:hint="eastAsia" w:ascii="微软雅黑" w:hAnsi="微软雅黑" w:eastAsia="微软雅黑" w:cs="微软雅黑"/>
                <w:i/>
                <w:iCs/>
                <w:color w:val="000000"/>
                <w:sz w:val="16"/>
                <w:szCs w:val="16"/>
                <w:u w:val="none"/>
              </w:rPr>
            </w:pPr>
          </w:p>
        </w:tc>
      </w:tr>
      <w:tr w14:paraId="1F50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138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B192">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1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D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A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56C0">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A7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0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7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53E">
            <w:pPr>
              <w:jc w:val="center"/>
              <w:rPr>
                <w:rFonts w:hint="eastAsia" w:ascii="微软雅黑" w:hAnsi="微软雅黑" w:eastAsia="微软雅黑" w:cs="微软雅黑"/>
                <w:i/>
                <w:iCs/>
                <w:color w:val="000000"/>
                <w:sz w:val="16"/>
                <w:szCs w:val="16"/>
                <w:u w:val="none"/>
              </w:rPr>
            </w:pPr>
          </w:p>
        </w:tc>
      </w:tr>
      <w:tr w14:paraId="0F4F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ED9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4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受考核对象满意度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1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6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7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4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2CE">
            <w:pPr>
              <w:jc w:val="center"/>
              <w:rPr>
                <w:rFonts w:hint="eastAsia" w:ascii="微软雅黑" w:hAnsi="微软雅黑" w:eastAsia="微软雅黑" w:cs="微软雅黑"/>
                <w:i/>
                <w:iCs/>
                <w:color w:val="000000"/>
                <w:sz w:val="16"/>
                <w:szCs w:val="16"/>
                <w:u w:val="none"/>
              </w:rPr>
            </w:pPr>
          </w:p>
        </w:tc>
      </w:tr>
      <w:tr w14:paraId="624B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0F8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B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F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C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AA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4.01万元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2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7D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因财政年底收回资金</w:t>
            </w:r>
          </w:p>
        </w:tc>
      </w:tr>
      <w:tr w14:paraId="32F0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37D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448">
            <w:pPr>
              <w:rPr>
                <w:rFonts w:hint="eastAsia" w:ascii="宋体" w:hAnsi="宋体" w:eastAsia="宋体" w:cs="宋体"/>
                <w:i w:val="0"/>
                <w:iCs w:val="0"/>
                <w:color w:val="000000"/>
                <w:sz w:val="18"/>
                <w:szCs w:val="18"/>
                <w:u w:val="none"/>
              </w:rPr>
            </w:pPr>
          </w:p>
        </w:tc>
      </w:tr>
      <w:tr w14:paraId="4C38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8DF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以提供更加准确、便捷、优质的电子化查阅服务，无纸化干部任免系统为方向，通过建立干部数字化管理平台，实现干部信息的便捷查阅、精准筛选，班子结构的准确研判，常委会、部务会干部人事议题无纸化；平时考核系统可以作为确定公务员年度考核等次的重要依据、可以作为职务调整、轮岗交流的重要参考、可以作为教育培训、评先评优、奖励惩戒的重要条件、可以作为单位内部年终目标绩效奖二次分配的重要指标。</w:t>
            </w:r>
          </w:p>
        </w:tc>
      </w:tr>
      <w:tr w14:paraId="221C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F3A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78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69C4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41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847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2B21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C21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2766E157">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0CACDE3A">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946058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3A9A09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8586608">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6598C150">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4996AFF">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2B3726C3">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33CCDF58">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443178CC">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554AE7E0">
            <w:pPr>
              <w:rPr>
                <w:rFonts w:hint="eastAsia" w:ascii="宋体" w:hAnsi="宋体" w:eastAsia="宋体" w:cs="宋体"/>
                <w:i w:val="0"/>
                <w:iCs w:val="0"/>
                <w:color w:val="000000"/>
                <w:sz w:val="18"/>
                <w:szCs w:val="18"/>
                <w:u w:val="none"/>
              </w:rPr>
            </w:pPr>
          </w:p>
        </w:tc>
      </w:tr>
      <w:tr w14:paraId="36A0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E3338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450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3A6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E106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51090323T000008234055-基层党建工作经费</w:t>
            </w:r>
          </w:p>
        </w:tc>
      </w:tr>
      <w:tr w14:paraId="72A4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57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80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6D433B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80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231E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B3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3B0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7D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29D4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B2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A9D9">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98EC">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59061">
            <w:pPr>
              <w:keepNext w:val="0"/>
              <w:keepLines w:val="0"/>
              <w:widowControl/>
              <w:suppressLineNumbers w:val="0"/>
              <w:spacing w:after="180" w:afterAutospacing="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区委党建领导小组日常工作，用于开展区直机关单位党组织标准化建设工作，保障各级党组织党员示范活动、城乡党建结对共建、社区“双报到”结对共建、党内关爱等活动需要。补助非公有制经济组织党组织和社会组织党组织活动开展，商圈党建阵地日常运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1.现有非公有制经济组织党委1个*10000元/年=10000元；党总支3个*5000元/年=15000元；党支部27个*3000/年=81000元；社会组织党支部20个*3000元/年=60000元，行业党委6个*3000元/年=18000元，共计184000元；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2.用于开展党建领导小组日常工作，日常督查、乡镇（街道）党（工）委书记季度拉练、年度党组织书记党建述职考核印刷费11944元；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3.商圈党委阵地电话费4056元。"</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7BB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该项目是为了全面深入贯彻落实《中共中央关于加强党的政治建设的意见》，严明党的政治纪律和政治规矩，进一步教育引导区直机关党员干部树牢“四个意识”、坚定“四个自信”、做到</w:t>
            </w:r>
            <w:bookmarkStart w:id="166" w:name="_GoBack"/>
            <w:bookmarkEnd w:id="166"/>
            <w:r>
              <w:rPr>
                <w:rFonts w:hint="eastAsia" w:ascii="黑体" w:hAnsi="黑体" w:eastAsia="黑体" w:cs="黑体"/>
                <w:i w:val="0"/>
                <w:iCs w:val="0"/>
                <w:color w:val="000000"/>
                <w:kern w:val="0"/>
                <w:sz w:val="18"/>
                <w:szCs w:val="18"/>
                <w:u w:val="none"/>
                <w:lang w:val="en-US" w:eastAsia="zh-CN" w:bidi="ar"/>
              </w:rPr>
              <w:t>“两个维护”；带头贯彻落实中央、省委和市委各项决策部署；夯实基层基础，推动机关基层党组织全面进步、全面过硬。</w:t>
            </w:r>
          </w:p>
        </w:tc>
      </w:tr>
      <w:tr w14:paraId="0B18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3A45">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F4B5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该项目经费预算为20万元，全年支付各项工作费用合计为3.72万元。该项经费为区委组织部2023年各部门工作开展提供了保障支撑，圆满完成了全区基层党建工作各项任务。</w:t>
            </w:r>
          </w:p>
        </w:tc>
      </w:tr>
      <w:tr w14:paraId="737A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1C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B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D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EE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9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8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1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D2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C75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0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6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20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E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E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953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AD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4ED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8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16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F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0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108A">
            <w:pPr>
              <w:rPr>
                <w:rFonts w:hint="eastAsia" w:ascii="黑体" w:hAnsi="黑体" w:eastAsia="黑体" w:cs="黑体"/>
                <w:i/>
                <w:iCs/>
                <w:color w:val="000000"/>
                <w:sz w:val="18"/>
                <w:szCs w:val="18"/>
                <w:u w:val="none"/>
              </w:rPr>
            </w:pPr>
          </w:p>
        </w:tc>
      </w:tr>
      <w:tr w14:paraId="5482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CD0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9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7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91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B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D922">
            <w:pPr>
              <w:rPr>
                <w:rFonts w:hint="eastAsia" w:ascii="黑体" w:hAnsi="黑体" w:eastAsia="黑体" w:cs="黑体"/>
                <w:i/>
                <w:iCs/>
                <w:color w:val="000000"/>
                <w:sz w:val="18"/>
                <w:szCs w:val="18"/>
                <w:u w:val="none"/>
              </w:rPr>
            </w:pPr>
          </w:p>
        </w:tc>
      </w:tr>
      <w:tr w14:paraId="3CDA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377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D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61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3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E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8259">
            <w:pPr>
              <w:rPr>
                <w:rFonts w:hint="eastAsia" w:ascii="黑体" w:hAnsi="黑体" w:eastAsia="黑体" w:cs="黑体"/>
                <w:i/>
                <w:iCs/>
                <w:color w:val="000000"/>
                <w:sz w:val="18"/>
                <w:szCs w:val="18"/>
                <w:u w:val="none"/>
              </w:rPr>
            </w:pPr>
          </w:p>
        </w:tc>
      </w:tr>
      <w:tr w14:paraId="580B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DA3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DE2A">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10E">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48911">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1E5">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9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86F4">
            <w:pPr>
              <w:rPr>
                <w:rFonts w:hint="eastAsia" w:ascii="黑体" w:hAnsi="黑体" w:eastAsia="黑体" w:cs="黑体"/>
                <w:i/>
                <w:iCs/>
                <w:color w:val="000000"/>
                <w:sz w:val="18"/>
                <w:szCs w:val="18"/>
                <w:u w:val="none"/>
              </w:rPr>
            </w:pPr>
          </w:p>
        </w:tc>
      </w:tr>
      <w:tr w14:paraId="79DB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6A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F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E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F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C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A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7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C6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E0F3">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D7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33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基层党建开展示范活动次数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8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6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78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8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B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A517">
            <w:pPr>
              <w:jc w:val="center"/>
              <w:rPr>
                <w:rFonts w:hint="eastAsia" w:ascii="微软雅黑" w:hAnsi="微软雅黑" w:eastAsia="微软雅黑" w:cs="微软雅黑"/>
                <w:i/>
                <w:iCs/>
                <w:color w:val="000000"/>
                <w:sz w:val="16"/>
                <w:szCs w:val="16"/>
                <w:u w:val="none"/>
              </w:rPr>
            </w:pPr>
          </w:p>
        </w:tc>
      </w:tr>
      <w:tr w14:paraId="1B91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161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DC8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7F5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党组织活动党员参与率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6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F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F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7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3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733C">
            <w:pPr>
              <w:jc w:val="center"/>
              <w:rPr>
                <w:rFonts w:hint="eastAsia" w:ascii="微软雅黑" w:hAnsi="微软雅黑" w:eastAsia="微软雅黑" w:cs="微软雅黑"/>
                <w:i/>
                <w:iCs/>
                <w:color w:val="000000"/>
                <w:sz w:val="16"/>
                <w:szCs w:val="16"/>
                <w:u w:val="none"/>
              </w:rPr>
            </w:pPr>
          </w:p>
        </w:tc>
      </w:tr>
      <w:tr w14:paraId="3BA0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ED4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538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520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3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参与党组织活动人数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9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F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F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D33">
            <w:pPr>
              <w:jc w:val="center"/>
              <w:rPr>
                <w:rFonts w:hint="eastAsia" w:ascii="微软雅黑" w:hAnsi="微软雅黑" w:eastAsia="微软雅黑" w:cs="微软雅黑"/>
                <w:i/>
                <w:iCs/>
                <w:color w:val="000000"/>
                <w:sz w:val="16"/>
                <w:szCs w:val="16"/>
                <w:u w:val="none"/>
              </w:rPr>
            </w:pPr>
          </w:p>
        </w:tc>
      </w:tr>
      <w:tr w14:paraId="468C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F75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B426">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DC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开展基层党建活动主题内容契合度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3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1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5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1F8B">
            <w:pPr>
              <w:jc w:val="center"/>
              <w:rPr>
                <w:rFonts w:hint="eastAsia" w:ascii="微软雅黑" w:hAnsi="微软雅黑" w:eastAsia="微软雅黑" w:cs="微软雅黑"/>
                <w:i/>
                <w:iCs/>
                <w:color w:val="000000"/>
                <w:sz w:val="16"/>
                <w:szCs w:val="16"/>
                <w:u w:val="none"/>
              </w:rPr>
            </w:pPr>
          </w:p>
        </w:tc>
      </w:tr>
      <w:tr w14:paraId="0B0D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8CD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6DE9">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7941">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F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开展基层党建活动达标率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9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B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C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01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E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557C">
            <w:pPr>
              <w:jc w:val="center"/>
              <w:rPr>
                <w:rFonts w:hint="eastAsia" w:ascii="微软雅黑" w:hAnsi="微软雅黑" w:eastAsia="微软雅黑" w:cs="微软雅黑"/>
                <w:i/>
                <w:iCs/>
                <w:color w:val="000000"/>
                <w:sz w:val="16"/>
                <w:szCs w:val="16"/>
                <w:u w:val="none"/>
              </w:rPr>
            </w:pPr>
          </w:p>
        </w:tc>
      </w:tr>
      <w:tr w14:paraId="5AC1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FE95">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33BE">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D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开展基层党建活动时限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3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8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D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E284">
            <w:pPr>
              <w:jc w:val="center"/>
              <w:rPr>
                <w:rFonts w:hint="eastAsia" w:ascii="微软雅黑" w:hAnsi="微软雅黑" w:eastAsia="微软雅黑" w:cs="微软雅黑"/>
                <w:i/>
                <w:iCs/>
                <w:color w:val="000000"/>
                <w:sz w:val="16"/>
                <w:szCs w:val="16"/>
                <w:u w:val="none"/>
              </w:rPr>
            </w:pPr>
          </w:p>
        </w:tc>
      </w:tr>
      <w:tr w14:paraId="157A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F75B">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8E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2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7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提高职工工作效率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E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4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7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D6A2">
            <w:pPr>
              <w:jc w:val="center"/>
              <w:rPr>
                <w:rFonts w:hint="eastAsia" w:ascii="微软雅黑" w:hAnsi="微软雅黑" w:eastAsia="微软雅黑" w:cs="微软雅黑"/>
                <w:i/>
                <w:iCs/>
                <w:color w:val="000000"/>
                <w:sz w:val="16"/>
                <w:szCs w:val="16"/>
                <w:u w:val="none"/>
              </w:rPr>
            </w:pPr>
          </w:p>
        </w:tc>
      </w:tr>
      <w:tr w14:paraId="14DD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8FF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C074">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E4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9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党组织建设对激励职工的长效机制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0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5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25A7">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3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F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A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8C8B">
            <w:pPr>
              <w:jc w:val="center"/>
              <w:rPr>
                <w:rFonts w:hint="eastAsia" w:ascii="微软雅黑" w:hAnsi="微软雅黑" w:eastAsia="微软雅黑" w:cs="微软雅黑"/>
                <w:i/>
                <w:iCs/>
                <w:color w:val="000000"/>
                <w:sz w:val="16"/>
                <w:szCs w:val="16"/>
                <w:u w:val="none"/>
              </w:rPr>
            </w:pPr>
          </w:p>
        </w:tc>
      </w:tr>
      <w:tr w14:paraId="3E0C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441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8FB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F23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F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部门协同次数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D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1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4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73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3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9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5AD">
            <w:pPr>
              <w:jc w:val="center"/>
              <w:rPr>
                <w:rFonts w:hint="eastAsia" w:ascii="微软雅黑" w:hAnsi="微软雅黑" w:eastAsia="微软雅黑" w:cs="微软雅黑"/>
                <w:i/>
                <w:iCs/>
                <w:color w:val="000000"/>
                <w:sz w:val="16"/>
                <w:szCs w:val="16"/>
                <w:u w:val="none"/>
              </w:rPr>
            </w:pPr>
          </w:p>
        </w:tc>
      </w:tr>
      <w:tr w14:paraId="263F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C8C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1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2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参与党员满意度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7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D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4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F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B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839">
            <w:pPr>
              <w:jc w:val="center"/>
              <w:rPr>
                <w:rFonts w:hint="eastAsia" w:ascii="微软雅黑" w:hAnsi="微软雅黑" w:eastAsia="微软雅黑" w:cs="微软雅黑"/>
                <w:i/>
                <w:iCs/>
                <w:color w:val="000000"/>
                <w:sz w:val="16"/>
                <w:szCs w:val="16"/>
                <w:u w:val="none"/>
              </w:rPr>
            </w:pPr>
          </w:p>
        </w:tc>
      </w:tr>
      <w:tr w14:paraId="2F2E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96B6">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1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0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2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4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A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因财政年底收回资金</w:t>
            </w:r>
          </w:p>
        </w:tc>
      </w:tr>
      <w:tr w14:paraId="1151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4F0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C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6E77">
            <w:pPr>
              <w:jc w:val="center"/>
              <w:rPr>
                <w:rFonts w:hint="eastAsia" w:ascii="微软雅黑" w:hAnsi="微软雅黑" w:eastAsia="微软雅黑" w:cs="微软雅黑"/>
                <w:i/>
                <w:iCs/>
                <w:color w:val="000000"/>
                <w:sz w:val="16"/>
                <w:szCs w:val="16"/>
                <w:u w:val="none"/>
              </w:rPr>
            </w:pPr>
          </w:p>
        </w:tc>
      </w:tr>
      <w:tr w14:paraId="4E47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9C83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积极引导机关党员干部立足本职岗位，积极作为，勇于担当，雷厉风行抓落实、动真碰硬抓落实、锲而不舍抓落实、精准发力抓落实，在全力完成各项工作任务中“只争朝夕、不负韶华”，全面融入成渝地区双城经济圈建设及推进遂潼一体化发展。</w:t>
            </w:r>
          </w:p>
        </w:tc>
      </w:tr>
      <w:tr w14:paraId="6194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1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E0B0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1B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520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64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AB8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27AD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1F6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1A784A60">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1F96253E">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78E4319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C9645AD">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EFAB96F">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223A72A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0706F9E">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5A5BBDF2">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586CB48F">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5DCFDA1D">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289500DF">
            <w:pPr>
              <w:rPr>
                <w:rFonts w:hint="eastAsia" w:ascii="宋体" w:hAnsi="宋体" w:eastAsia="宋体" w:cs="宋体"/>
                <w:i w:val="0"/>
                <w:iCs w:val="0"/>
                <w:color w:val="000000"/>
                <w:sz w:val="18"/>
                <w:szCs w:val="18"/>
                <w:u w:val="none"/>
              </w:rPr>
            </w:pPr>
          </w:p>
        </w:tc>
      </w:tr>
      <w:tr w14:paraId="6750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C2564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EBF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E7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383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51090323T000008850313-2023年党员干部关爱资金</w:t>
            </w:r>
          </w:p>
        </w:tc>
      </w:tr>
      <w:tr w14:paraId="27B4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C6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1A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2CC212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D9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719B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82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6C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F5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009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14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E210">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1039">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E1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应于2023年内开展，项目资金471626.76元用于帮扶生活困难党员和基层干部，关爱为党和人民事业作出牺牲和奉献的优秀党员，体现组织关怀；在该项目实施过程中，我部严格对项目实行专款专用，按照谁主管、谁负责的原则，强化资金使用和监督，包括资金使用前预算和监督，经费使用后支出内容的真实性、合理性和合法性，确保资金使用效率和项目的顺利实施。</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343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我部严格对项目经费实行专款专用，按照谁主管、谁负责的原则，明确项目管理和实施的具体责任人。强化资金使用和监督，包括资金使用前预算和计划的审核和监督，经费使用后支出内容的真实性、合理性和合法性的审核和监督，确保资金的使用效率和项目的顺利实施，使该项目的满意率达到100%；</w:t>
            </w:r>
          </w:p>
        </w:tc>
      </w:tr>
      <w:tr w14:paraId="4F77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CE32">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3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2CBE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该项目是为了建立健全党员、干部激励关怀帮扶机制、增强党员的荣誉感、归属感、使命感</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党组织的创造力、凝聚力、战斗力。船山区党员干部关爱资金主要是为帮扶困难党员和基层干部，关爱为党和人民事业作出牺牲和奉献的优秀党员，体现组织关怀而设立的互助性、公益性基金。</w:t>
            </w:r>
          </w:p>
        </w:tc>
      </w:tr>
      <w:tr w14:paraId="5C6E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31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5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B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7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95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8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9C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347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47.16</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E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FE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9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A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0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BFE8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DA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8DF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A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6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1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0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02A0">
            <w:pPr>
              <w:rPr>
                <w:rFonts w:hint="eastAsia" w:ascii="黑体" w:hAnsi="黑体" w:eastAsia="黑体" w:cs="黑体"/>
                <w:i/>
                <w:iCs/>
                <w:color w:val="000000"/>
                <w:sz w:val="18"/>
                <w:szCs w:val="18"/>
                <w:u w:val="none"/>
              </w:rPr>
            </w:pPr>
          </w:p>
        </w:tc>
      </w:tr>
      <w:tr w14:paraId="3F4F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CD1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F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7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20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5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5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1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ED36">
            <w:pPr>
              <w:rPr>
                <w:rFonts w:hint="eastAsia" w:ascii="黑体" w:hAnsi="黑体" w:eastAsia="黑体" w:cs="黑体"/>
                <w:i/>
                <w:iCs/>
                <w:color w:val="000000"/>
                <w:sz w:val="18"/>
                <w:szCs w:val="18"/>
                <w:u w:val="none"/>
              </w:rPr>
            </w:pPr>
          </w:p>
        </w:tc>
      </w:tr>
      <w:tr w14:paraId="27D4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9216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D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47.16</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C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1E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F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5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E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8711">
            <w:pPr>
              <w:rPr>
                <w:rFonts w:hint="eastAsia" w:ascii="黑体" w:hAnsi="黑体" w:eastAsia="黑体" w:cs="黑体"/>
                <w:i/>
                <w:iCs/>
                <w:color w:val="000000"/>
                <w:sz w:val="18"/>
                <w:szCs w:val="18"/>
                <w:u w:val="none"/>
              </w:rPr>
            </w:pPr>
          </w:p>
        </w:tc>
      </w:tr>
      <w:tr w14:paraId="6FA5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189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F8E">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F3D">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888BB">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9BA">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B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F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F984">
            <w:pPr>
              <w:rPr>
                <w:rFonts w:hint="eastAsia" w:ascii="黑体" w:hAnsi="黑体" w:eastAsia="黑体" w:cs="黑体"/>
                <w:i/>
                <w:iCs/>
                <w:color w:val="000000"/>
                <w:sz w:val="18"/>
                <w:szCs w:val="18"/>
                <w:u w:val="none"/>
              </w:rPr>
            </w:pPr>
          </w:p>
        </w:tc>
      </w:tr>
      <w:tr w14:paraId="72D7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F1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F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5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B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6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5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1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E7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6A3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00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A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帮扶生活困难党员和基层干部次数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8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23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B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D56">
            <w:pPr>
              <w:jc w:val="center"/>
              <w:rPr>
                <w:rFonts w:hint="eastAsia" w:ascii="微软雅黑" w:hAnsi="微软雅黑" w:eastAsia="微软雅黑" w:cs="微软雅黑"/>
                <w:i/>
                <w:iCs/>
                <w:color w:val="000000"/>
                <w:sz w:val="16"/>
                <w:szCs w:val="16"/>
                <w:u w:val="none"/>
              </w:rPr>
            </w:pPr>
          </w:p>
        </w:tc>
      </w:tr>
      <w:tr w14:paraId="2542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41F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31490">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48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E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认定帮扶生活困难党员和基层干部对象差错率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2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2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A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2A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F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541">
            <w:pPr>
              <w:jc w:val="center"/>
              <w:rPr>
                <w:rFonts w:hint="eastAsia" w:ascii="微软雅黑" w:hAnsi="微软雅黑" w:eastAsia="微软雅黑" w:cs="微软雅黑"/>
                <w:i/>
                <w:iCs/>
                <w:color w:val="000000"/>
                <w:sz w:val="16"/>
                <w:szCs w:val="16"/>
                <w:u w:val="none"/>
              </w:rPr>
            </w:pPr>
          </w:p>
        </w:tc>
      </w:tr>
      <w:tr w14:paraId="1B1C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3D5E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0A8E">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842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9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帮扶兑现准确率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D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A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1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6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D00B">
            <w:pPr>
              <w:jc w:val="center"/>
              <w:rPr>
                <w:rFonts w:hint="eastAsia" w:ascii="微软雅黑" w:hAnsi="微软雅黑" w:eastAsia="微软雅黑" w:cs="微软雅黑"/>
                <w:i/>
                <w:iCs/>
                <w:color w:val="000000"/>
                <w:sz w:val="16"/>
                <w:szCs w:val="16"/>
                <w:u w:val="none"/>
              </w:rPr>
            </w:pPr>
          </w:p>
        </w:tc>
      </w:tr>
      <w:tr w14:paraId="2339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194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710A">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AC6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帮扶标准合规率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8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98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2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9B8">
            <w:pPr>
              <w:jc w:val="center"/>
              <w:rPr>
                <w:rFonts w:hint="eastAsia" w:ascii="微软雅黑" w:hAnsi="微软雅黑" w:eastAsia="微软雅黑" w:cs="微软雅黑"/>
                <w:i/>
                <w:iCs/>
                <w:color w:val="000000"/>
                <w:sz w:val="16"/>
                <w:szCs w:val="16"/>
                <w:u w:val="none"/>
              </w:rPr>
            </w:pPr>
          </w:p>
        </w:tc>
      </w:tr>
      <w:tr w14:paraId="1EE8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67D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4802">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A0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7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C4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D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4B88">
            <w:pPr>
              <w:jc w:val="center"/>
              <w:rPr>
                <w:rFonts w:hint="eastAsia" w:ascii="微软雅黑" w:hAnsi="微软雅黑" w:eastAsia="微软雅黑" w:cs="微软雅黑"/>
                <w:i/>
                <w:iCs/>
                <w:color w:val="000000"/>
                <w:sz w:val="16"/>
                <w:szCs w:val="16"/>
                <w:u w:val="none"/>
              </w:rPr>
            </w:pPr>
          </w:p>
        </w:tc>
      </w:tr>
      <w:tr w14:paraId="40F9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2DB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CECC">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CBC1">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F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帮扶补贴慰问金发放及时率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4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37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8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44C8">
            <w:pPr>
              <w:jc w:val="center"/>
              <w:rPr>
                <w:rFonts w:hint="eastAsia" w:ascii="微软雅黑" w:hAnsi="微软雅黑" w:eastAsia="微软雅黑" w:cs="微软雅黑"/>
                <w:i/>
                <w:iCs/>
                <w:color w:val="000000"/>
                <w:sz w:val="16"/>
                <w:szCs w:val="16"/>
                <w:u w:val="none"/>
              </w:rPr>
            </w:pPr>
          </w:p>
        </w:tc>
      </w:tr>
      <w:tr w14:paraId="4AB2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E47F">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E8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改善生活困难党员和基层干部生活条件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90F">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00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差</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2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3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B663">
            <w:pPr>
              <w:jc w:val="center"/>
              <w:rPr>
                <w:rFonts w:hint="eastAsia" w:ascii="微软雅黑" w:hAnsi="微软雅黑" w:eastAsia="微软雅黑" w:cs="微软雅黑"/>
                <w:i/>
                <w:iCs/>
                <w:color w:val="000000"/>
                <w:sz w:val="16"/>
                <w:szCs w:val="16"/>
                <w:u w:val="none"/>
              </w:rPr>
            </w:pPr>
          </w:p>
        </w:tc>
      </w:tr>
      <w:tr w14:paraId="3587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299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385CB">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4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8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建立长期帮扶机制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E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F206">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11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9E3">
            <w:pPr>
              <w:jc w:val="center"/>
              <w:rPr>
                <w:rFonts w:hint="eastAsia" w:ascii="微软雅黑" w:hAnsi="微软雅黑" w:eastAsia="微软雅黑" w:cs="微软雅黑"/>
                <w:i/>
                <w:iCs/>
                <w:color w:val="000000"/>
                <w:sz w:val="16"/>
                <w:szCs w:val="16"/>
                <w:u w:val="none"/>
              </w:rPr>
            </w:pPr>
          </w:p>
        </w:tc>
      </w:tr>
      <w:tr w14:paraId="12EE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4B7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D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5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受帮扶生活困难党员和基层干部满意度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3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D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E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D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EBCB">
            <w:pPr>
              <w:jc w:val="center"/>
              <w:rPr>
                <w:rFonts w:hint="eastAsia" w:ascii="微软雅黑" w:hAnsi="微软雅黑" w:eastAsia="微软雅黑" w:cs="微软雅黑"/>
                <w:i/>
                <w:iCs/>
                <w:color w:val="000000"/>
                <w:sz w:val="16"/>
                <w:szCs w:val="16"/>
                <w:u w:val="none"/>
              </w:rPr>
            </w:pPr>
          </w:p>
        </w:tc>
      </w:tr>
      <w:tr w14:paraId="574F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A69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E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D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471626.76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1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0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7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因财政年底收回资金</w:t>
            </w:r>
          </w:p>
        </w:tc>
      </w:tr>
      <w:tr w14:paraId="09F7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9BE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841A">
            <w:pPr>
              <w:rPr>
                <w:rFonts w:hint="eastAsia" w:ascii="宋体" w:hAnsi="宋体" w:eastAsia="宋体" w:cs="宋体"/>
                <w:i w:val="0"/>
                <w:iCs w:val="0"/>
                <w:color w:val="000000"/>
                <w:sz w:val="18"/>
                <w:szCs w:val="18"/>
                <w:u w:val="none"/>
              </w:rPr>
            </w:pPr>
          </w:p>
        </w:tc>
      </w:tr>
      <w:tr w14:paraId="24F2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E1AB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06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9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E0C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20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F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715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C4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3EA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BF85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C5B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20698667">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1EA2DF1E">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0CB31086">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7CF6A89E">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6D74823">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1C7478F7">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2E1669D">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206D3B8A">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0CCDF581">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66A909CA">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F2BDC18">
            <w:pPr>
              <w:rPr>
                <w:rFonts w:hint="eastAsia" w:ascii="宋体" w:hAnsi="宋体" w:eastAsia="宋体" w:cs="宋体"/>
                <w:i w:val="0"/>
                <w:iCs w:val="0"/>
                <w:color w:val="000000"/>
                <w:sz w:val="18"/>
                <w:szCs w:val="18"/>
                <w:u w:val="none"/>
              </w:rPr>
            </w:pPr>
          </w:p>
        </w:tc>
      </w:tr>
      <w:tr w14:paraId="5719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7EE1E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355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1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EB1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51090323T000009429133-党员教育培训经费（农村部分）</w:t>
            </w:r>
          </w:p>
        </w:tc>
      </w:tr>
      <w:tr w14:paraId="7A38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21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24F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5CBFFA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CB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294B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5A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A77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F6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A32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82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212E">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1AD9">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8E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实施，将项目资金20万元，用于组织所有村（社区）干部参加一次乡村振兴全覆盖培训，村（社区）书记81人（培训时间不少于5天）、其他人员449人（培训时间不少于3天），通过该项目的实施，进一步提高干部素质，提高发展经济的能力，提高服务群众的意识，对全区村（社区）干部要认清乡村振兴与脱贫攻坚转换斜接的新形势，认清乡村振兴与后半篇文章协同推进的新形势，坚持围绕田园、家园、乐园“三园一体”推进乡村振兴，夯实高质量发展基石，高标准思考乡村治理方式，提高乡村善治水平，形成共建共治共享的新时代乡村治理新格局，推动农村经济发展。</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D85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是为了健全基层培训机构，落实相关责任，成立基层党员培训和党建平台建设工作领导小组，领导小组对拟实施的项目征求意见、拟定、审议、决议等环节进行全面监督和督查，并明确专人负责对全区党建教育运行项目实施程序、完善资料等进行跟踪和指导。</w:t>
            </w:r>
          </w:p>
        </w:tc>
      </w:tr>
      <w:tr w14:paraId="52AE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F406">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6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B9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该项目预算为20万元，全年支付各项费用合计为20万元。该项经费为区委组织部2023年党员教育培训工作开展提供了保障支撑，圆满完成了全区党员教育培训工作各项任务。</w:t>
            </w:r>
          </w:p>
        </w:tc>
      </w:tr>
      <w:tr w14:paraId="3570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C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F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B1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D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D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0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43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DDB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4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36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6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C09D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48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39D6">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E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9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F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8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F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B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F99E">
            <w:pPr>
              <w:rPr>
                <w:rFonts w:hint="eastAsia" w:ascii="黑体" w:hAnsi="黑体" w:eastAsia="黑体" w:cs="黑体"/>
                <w:i/>
                <w:iCs/>
                <w:color w:val="000000"/>
                <w:sz w:val="18"/>
                <w:szCs w:val="18"/>
                <w:u w:val="none"/>
              </w:rPr>
            </w:pPr>
          </w:p>
        </w:tc>
      </w:tr>
      <w:tr w14:paraId="3BE4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428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4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9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96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9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C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8F1A">
            <w:pPr>
              <w:rPr>
                <w:rFonts w:hint="eastAsia" w:ascii="黑体" w:hAnsi="黑体" w:eastAsia="黑体" w:cs="黑体"/>
                <w:i/>
                <w:iCs/>
                <w:color w:val="000000"/>
                <w:sz w:val="18"/>
                <w:szCs w:val="18"/>
                <w:u w:val="none"/>
              </w:rPr>
            </w:pPr>
          </w:p>
        </w:tc>
      </w:tr>
      <w:tr w14:paraId="6FDD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BB95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4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B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F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FD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2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F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2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6532">
            <w:pPr>
              <w:rPr>
                <w:rFonts w:hint="eastAsia" w:ascii="黑体" w:hAnsi="黑体" w:eastAsia="黑体" w:cs="黑体"/>
                <w:i/>
                <w:iCs/>
                <w:color w:val="000000"/>
                <w:sz w:val="18"/>
                <w:szCs w:val="18"/>
                <w:u w:val="none"/>
              </w:rPr>
            </w:pPr>
          </w:p>
        </w:tc>
      </w:tr>
      <w:tr w14:paraId="22F8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304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6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ECC">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E2AA">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203AB">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1025">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D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A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29CE0">
            <w:pPr>
              <w:rPr>
                <w:rFonts w:hint="eastAsia" w:ascii="黑体" w:hAnsi="黑体" w:eastAsia="黑体" w:cs="黑体"/>
                <w:i/>
                <w:iCs/>
                <w:color w:val="000000"/>
                <w:sz w:val="18"/>
                <w:szCs w:val="18"/>
                <w:u w:val="none"/>
              </w:rPr>
            </w:pPr>
          </w:p>
        </w:tc>
      </w:tr>
      <w:tr w14:paraId="36B5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5F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F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6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6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8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0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D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93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EF5E">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0D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A9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2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开展相关培训会议次数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8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E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6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5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9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4B43">
            <w:pPr>
              <w:jc w:val="center"/>
              <w:rPr>
                <w:rFonts w:hint="eastAsia" w:ascii="微软雅黑" w:hAnsi="微软雅黑" w:eastAsia="微软雅黑" w:cs="微软雅黑"/>
                <w:i/>
                <w:iCs/>
                <w:color w:val="000000"/>
                <w:sz w:val="16"/>
                <w:szCs w:val="16"/>
                <w:u w:val="none"/>
              </w:rPr>
            </w:pPr>
          </w:p>
        </w:tc>
      </w:tr>
      <w:tr w14:paraId="553C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4EC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3ABC">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29F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D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培训会议参与人次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4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9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2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2F0">
            <w:pPr>
              <w:jc w:val="center"/>
              <w:rPr>
                <w:rFonts w:hint="eastAsia" w:ascii="微软雅黑" w:hAnsi="微软雅黑" w:eastAsia="微软雅黑" w:cs="微软雅黑"/>
                <w:i/>
                <w:iCs/>
                <w:color w:val="000000"/>
                <w:sz w:val="16"/>
                <w:szCs w:val="16"/>
                <w:u w:val="none"/>
              </w:rPr>
            </w:pPr>
          </w:p>
        </w:tc>
      </w:tr>
      <w:tr w14:paraId="443C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067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0A1F">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49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0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培训人员人数达标率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A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B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1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30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A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B9F">
            <w:pPr>
              <w:jc w:val="center"/>
              <w:rPr>
                <w:rFonts w:hint="eastAsia" w:ascii="微软雅黑" w:hAnsi="微软雅黑" w:eastAsia="微软雅黑" w:cs="微软雅黑"/>
                <w:i/>
                <w:iCs/>
                <w:color w:val="000000"/>
                <w:sz w:val="16"/>
                <w:szCs w:val="16"/>
                <w:u w:val="none"/>
              </w:rPr>
            </w:pPr>
          </w:p>
        </w:tc>
      </w:tr>
      <w:tr w14:paraId="7E21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5A4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EC9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F14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培训会议人员出勤率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3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8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8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7FA8">
            <w:pPr>
              <w:jc w:val="center"/>
              <w:rPr>
                <w:rFonts w:hint="eastAsia" w:ascii="微软雅黑" w:hAnsi="微软雅黑" w:eastAsia="微软雅黑" w:cs="微软雅黑"/>
                <w:i/>
                <w:iCs/>
                <w:color w:val="000000"/>
                <w:sz w:val="16"/>
                <w:szCs w:val="16"/>
                <w:u w:val="none"/>
              </w:rPr>
            </w:pPr>
          </w:p>
        </w:tc>
      </w:tr>
      <w:tr w14:paraId="3675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BB8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460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051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培训会议内容合规率、主题内容契合度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0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15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E11">
            <w:pPr>
              <w:jc w:val="center"/>
              <w:rPr>
                <w:rFonts w:hint="eastAsia" w:ascii="微软雅黑" w:hAnsi="微软雅黑" w:eastAsia="微软雅黑" w:cs="微软雅黑"/>
                <w:i/>
                <w:iCs/>
                <w:color w:val="000000"/>
                <w:sz w:val="16"/>
                <w:szCs w:val="16"/>
                <w:u w:val="none"/>
              </w:rPr>
            </w:pPr>
          </w:p>
        </w:tc>
      </w:tr>
      <w:tr w14:paraId="210A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34C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E3CF">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2A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6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D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6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7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7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DC3">
            <w:pPr>
              <w:jc w:val="center"/>
              <w:rPr>
                <w:rFonts w:hint="eastAsia" w:ascii="微软雅黑" w:hAnsi="微软雅黑" w:eastAsia="微软雅黑" w:cs="微软雅黑"/>
                <w:i/>
                <w:iCs/>
                <w:color w:val="000000"/>
                <w:sz w:val="16"/>
                <w:szCs w:val="16"/>
                <w:u w:val="none"/>
              </w:rPr>
            </w:pPr>
          </w:p>
        </w:tc>
      </w:tr>
      <w:tr w14:paraId="4919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AB8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DBDA">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FE1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F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1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6DCA">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C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9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6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8A5C">
            <w:pPr>
              <w:jc w:val="center"/>
              <w:rPr>
                <w:rFonts w:hint="eastAsia" w:ascii="微软雅黑" w:hAnsi="微软雅黑" w:eastAsia="微软雅黑" w:cs="微软雅黑"/>
                <w:i/>
                <w:iCs/>
                <w:color w:val="000000"/>
                <w:sz w:val="16"/>
                <w:szCs w:val="16"/>
                <w:u w:val="none"/>
              </w:rPr>
            </w:pPr>
          </w:p>
        </w:tc>
      </w:tr>
      <w:tr w14:paraId="426A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F32E">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B6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57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8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人员培训会议参与率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C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A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A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6C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E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F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3001">
            <w:pPr>
              <w:jc w:val="center"/>
              <w:rPr>
                <w:rFonts w:hint="eastAsia" w:ascii="微软雅黑" w:hAnsi="微软雅黑" w:eastAsia="微软雅黑" w:cs="微软雅黑"/>
                <w:i/>
                <w:iCs/>
                <w:color w:val="000000"/>
                <w:sz w:val="16"/>
                <w:szCs w:val="16"/>
                <w:u w:val="none"/>
              </w:rPr>
            </w:pPr>
          </w:p>
        </w:tc>
      </w:tr>
      <w:tr w14:paraId="3DBF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ADB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B14D">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117E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3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加强基层组织建设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6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2AE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62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A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2A1">
            <w:pPr>
              <w:jc w:val="center"/>
              <w:rPr>
                <w:rFonts w:hint="eastAsia" w:ascii="微软雅黑" w:hAnsi="微软雅黑" w:eastAsia="微软雅黑" w:cs="微软雅黑"/>
                <w:i/>
                <w:iCs/>
                <w:color w:val="000000"/>
                <w:sz w:val="16"/>
                <w:szCs w:val="16"/>
                <w:u w:val="none"/>
              </w:rPr>
            </w:pPr>
          </w:p>
        </w:tc>
      </w:tr>
      <w:tr w14:paraId="115D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D8F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DF06">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A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长效管理机制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8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D040">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74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324">
            <w:pPr>
              <w:jc w:val="center"/>
              <w:rPr>
                <w:rFonts w:hint="eastAsia" w:ascii="微软雅黑" w:hAnsi="微软雅黑" w:eastAsia="微软雅黑" w:cs="微软雅黑"/>
                <w:i/>
                <w:iCs/>
                <w:color w:val="000000"/>
                <w:sz w:val="16"/>
                <w:szCs w:val="16"/>
                <w:u w:val="none"/>
              </w:rPr>
            </w:pPr>
          </w:p>
        </w:tc>
      </w:tr>
      <w:tr w14:paraId="45FD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8086">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8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A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9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受训人员满意度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D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0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B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4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0257">
            <w:pPr>
              <w:jc w:val="center"/>
              <w:rPr>
                <w:rFonts w:hint="eastAsia" w:ascii="微软雅黑" w:hAnsi="微软雅黑" w:eastAsia="微软雅黑" w:cs="微软雅黑"/>
                <w:i/>
                <w:iCs/>
                <w:color w:val="000000"/>
                <w:sz w:val="16"/>
                <w:szCs w:val="16"/>
                <w:u w:val="none"/>
              </w:rPr>
            </w:pPr>
          </w:p>
        </w:tc>
      </w:tr>
      <w:tr w14:paraId="59E8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CF5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4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9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7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14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7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ADAC">
            <w:pPr>
              <w:jc w:val="center"/>
              <w:rPr>
                <w:rFonts w:hint="eastAsia" w:ascii="微软雅黑" w:hAnsi="微软雅黑" w:eastAsia="微软雅黑" w:cs="微软雅黑"/>
                <w:i/>
                <w:iCs/>
                <w:color w:val="000000"/>
                <w:sz w:val="16"/>
                <w:szCs w:val="16"/>
                <w:u w:val="none"/>
              </w:rPr>
            </w:pPr>
          </w:p>
        </w:tc>
      </w:tr>
      <w:tr w14:paraId="1391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BDC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1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24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A78">
            <w:pPr>
              <w:rPr>
                <w:rFonts w:hint="eastAsia" w:ascii="宋体" w:hAnsi="宋体" w:eastAsia="宋体" w:cs="宋体"/>
                <w:i w:val="0"/>
                <w:iCs w:val="0"/>
                <w:color w:val="000000"/>
                <w:sz w:val="18"/>
                <w:szCs w:val="18"/>
                <w:u w:val="none"/>
              </w:rPr>
            </w:pPr>
          </w:p>
        </w:tc>
      </w:tr>
      <w:tr w14:paraId="5FDD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E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BC0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开展村（社区）党员教育培训合格率100%，基层村（社区）开展党员活动培训参与率100%，项目参与人员满意率96%，受益党员群众满意率98%。</w:t>
            </w:r>
          </w:p>
        </w:tc>
      </w:tr>
      <w:tr w14:paraId="659E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7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163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E7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F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DAC1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F6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A08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AE5A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B39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2AFA8944">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237858B7">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0F6A253">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3C0EB2D7">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7DBF6B3">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1576F49A">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31EADC3">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4BBF1E1C">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08B16C41">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148AE412">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28BF1B8">
            <w:pPr>
              <w:rPr>
                <w:rFonts w:hint="eastAsia" w:ascii="宋体" w:hAnsi="宋体" w:eastAsia="宋体" w:cs="宋体"/>
                <w:i w:val="0"/>
                <w:iCs w:val="0"/>
                <w:color w:val="000000"/>
                <w:sz w:val="18"/>
                <w:szCs w:val="18"/>
                <w:u w:val="none"/>
              </w:rPr>
            </w:pPr>
          </w:p>
        </w:tc>
      </w:tr>
      <w:tr w14:paraId="6CD0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A2A5F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242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9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7DA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51090323T000009561544-2023年干部教育培训经费</w:t>
            </w:r>
          </w:p>
        </w:tc>
      </w:tr>
      <w:tr w14:paraId="3CD3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7F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75B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6AA377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55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7B21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62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A4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F1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F8F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C3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A50C">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B6DE">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63D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实施，通过该项目的实施，一是培养新时期干部以理论基础、世界眼光、战略思维、党性锻炼、业务能力为一体的格局得到进一步完善；广大干部马克思主义水平和政治理论素养不断提高，“四个意识”不断增强，“四个自信”进一步坚定，“四个服从”成为普遍自觉，思想行动高度统一。二是党性教育更加扎实，广大干部理想信念、党性观念、宗旨意识进一步强化，思想觉悟、政德修养、品行作风进一步提高，信仰之基、从政之基、廉政之基进一步牢固。三是专业化能力培训更加精准，广大干部适应新时代、实现新目标，落实新部署的能力明显增强，干一行、爱一行、精一行的专业精神进一步提升。四是知识培训更加有效，广大干部履职的基本知识体系不断健全、知识结构不断完善、综合素养不断提高，复合型领导干部的培养取得新进展。五是干部教育培训体系更加深化，干部素质培养的系统性、持续性、针对性、有效性不断增强，具有先进培训理念、科学内容体系、健全组织架构、高效运行机制的</w:t>
            </w:r>
            <w:r>
              <w:rPr>
                <w:rFonts w:hint="eastAsia" w:ascii="宋体" w:hAnsi="宋体" w:cs="宋体"/>
                <w:i w:val="0"/>
                <w:iCs w:val="0"/>
                <w:color w:val="000000"/>
                <w:kern w:val="0"/>
                <w:sz w:val="18"/>
                <w:szCs w:val="18"/>
                <w:u w:val="none"/>
                <w:lang w:val="en-US" w:eastAsia="zh-CN" w:bidi="ar"/>
              </w:rPr>
              <w:t>习近平</w:t>
            </w:r>
            <w:r>
              <w:rPr>
                <w:rFonts w:ascii="宋体" w:hAnsi="宋体" w:eastAsia="宋体" w:cs="宋体"/>
                <w:i w:val="0"/>
                <w:iCs w:val="0"/>
                <w:color w:val="000000"/>
                <w:kern w:val="0"/>
                <w:sz w:val="18"/>
                <w:szCs w:val="18"/>
                <w:u w:val="none"/>
                <w:lang w:val="en-US" w:eastAsia="zh-CN" w:bidi="ar"/>
              </w:rPr>
              <w:t>新时代中国特色社会主义</w:t>
            </w:r>
            <w:r>
              <w:rPr>
                <w:rFonts w:hint="eastAsia" w:ascii="宋体" w:hAnsi="宋体" w:cs="宋体"/>
                <w:i w:val="0"/>
                <w:iCs w:val="0"/>
                <w:color w:val="000000"/>
                <w:kern w:val="0"/>
                <w:sz w:val="18"/>
                <w:szCs w:val="18"/>
                <w:u w:val="none"/>
                <w:lang w:val="en-US" w:eastAsia="zh-CN" w:bidi="ar"/>
              </w:rPr>
              <w:t>思想</w:t>
            </w:r>
            <w:r>
              <w:rPr>
                <w:rFonts w:ascii="宋体" w:hAnsi="宋体" w:eastAsia="宋体" w:cs="宋体"/>
                <w:i w:val="0"/>
                <w:iCs w:val="0"/>
                <w:color w:val="000000"/>
                <w:kern w:val="0"/>
                <w:sz w:val="18"/>
                <w:szCs w:val="18"/>
                <w:u w:val="none"/>
                <w:lang w:val="en-US" w:eastAsia="zh-CN" w:bidi="ar"/>
              </w:rPr>
              <w:t>干部教育培训体系不断完善。</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ABE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该项目已对照年度目标全面完成2023年干部教育培训</w:t>
            </w:r>
          </w:p>
        </w:tc>
      </w:tr>
      <w:tr w14:paraId="3609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7F509">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3A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920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该项目已对照年度目标全面完成2023年干部教育培训</w:t>
            </w:r>
          </w:p>
        </w:tc>
      </w:tr>
      <w:tr w14:paraId="6E7A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8E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C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7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E2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E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6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0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E6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F34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0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5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119.15</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5F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A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E5D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97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FD4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F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119.15</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6D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9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B86E">
            <w:pPr>
              <w:rPr>
                <w:rFonts w:hint="eastAsia" w:ascii="黑体" w:hAnsi="黑体" w:eastAsia="黑体" w:cs="黑体"/>
                <w:i/>
                <w:iCs/>
                <w:color w:val="000000"/>
                <w:sz w:val="18"/>
                <w:szCs w:val="18"/>
                <w:u w:val="none"/>
              </w:rPr>
            </w:pPr>
          </w:p>
        </w:tc>
      </w:tr>
      <w:tr w14:paraId="7966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E1A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8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A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83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2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7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4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69E0">
            <w:pPr>
              <w:rPr>
                <w:rFonts w:hint="eastAsia" w:ascii="黑体" w:hAnsi="黑体" w:eastAsia="黑体" w:cs="黑体"/>
                <w:i/>
                <w:iCs/>
                <w:color w:val="000000"/>
                <w:sz w:val="18"/>
                <w:szCs w:val="18"/>
                <w:u w:val="none"/>
              </w:rPr>
            </w:pPr>
          </w:p>
        </w:tc>
      </w:tr>
      <w:tr w14:paraId="18FA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7F8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8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6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ED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2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0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F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3A65">
            <w:pPr>
              <w:rPr>
                <w:rFonts w:hint="eastAsia" w:ascii="黑体" w:hAnsi="黑体" w:eastAsia="黑体" w:cs="黑体"/>
                <w:i/>
                <w:iCs/>
                <w:color w:val="000000"/>
                <w:sz w:val="18"/>
                <w:szCs w:val="18"/>
                <w:u w:val="none"/>
              </w:rPr>
            </w:pPr>
          </w:p>
        </w:tc>
      </w:tr>
      <w:tr w14:paraId="450B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832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0AD7">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9A3">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4396B">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A5A5">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0FE0">
            <w:pPr>
              <w:rPr>
                <w:rFonts w:hint="eastAsia" w:ascii="黑体" w:hAnsi="黑体" w:eastAsia="黑体" w:cs="黑体"/>
                <w:i/>
                <w:iCs/>
                <w:color w:val="000000"/>
                <w:sz w:val="18"/>
                <w:szCs w:val="18"/>
                <w:u w:val="none"/>
              </w:rPr>
            </w:pPr>
          </w:p>
        </w:tc>
      </w:tr>
      <w:tr w14:paraId="6258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69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2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8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7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0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A4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037C">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5C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8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E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参加各种培训班参与人次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6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9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38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B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515">
            <w:pPr>
              <w:jc w:val="center"/>
              <w:rPr>
                <w:rFonts w:hint="eastAsia" w:ascii="微软雅黑" w:hAnsi="微软雅黑" w:eastAsia="微软雅黑" w:cs="微软雅黑"/>
                <w:i/>
                <w:iCs/>
                <w:color w:val="000000"/>
                <w:sz w:val="16"/>
                <w:szCs w:val="16"/>
                <w:u w:val="none"/>
              </w:rPr>
            </w:pPr>
          </w:p>
        </w:tc>
      </w:tr>
      <w:tr w14:paraId="7A08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1F0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9991">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A27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8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开展各种培训班次数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1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4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7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0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FDEF">
            <w:pPr>
              <w:jc w:val="center"/>
              <w:rPr>
                <w:rFonts w:hint="eastAsia" w:ascii="微软雅黑" w:hAnsi="微软雅黑" w:eastAsia="微软雅黑" w:cs="微软雅黑"/>
                <w:i/>
                <w:iCs/>
                <w:color w:val="000000"/>
                <w:sz w:val="16"/>
                <w:szCs w:val="16"/>
                <w:u w:val="none"/>
              </w:rPr>
            </w:pPr>
          </w:p>
        </w:tc>
      </w:tr>
      <w:tr w14:paraId="51A6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8C6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E85B">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56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4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参加培训人数出勤率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C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F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7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A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5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4B54">
            <w:pPr>
              <w:jc w:val="center"/>
              <w:rPr>
                <w:rFonts w:hint="eastAsia" w:ascii="微软雅黑" w:hAnsi="微软雅黑" w:eastAsia="微软雅黑" w:cs="微软雅黑"/>
                <w:i/>
                <w:iCs/>
                <w:color w:val="000000"/>
                <w:sz w:val="16"/>
                <w:szCs w:val="16"/>
                <w:u w:val="none"/>
              </w:rPr>
            </w:pPr>
          </w:p>
        </w:tc>
      </w:tr>
      <w:tr w14:paraId="3ECC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55BE">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705C">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13B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A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培训内容合规率、主题内容契合度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C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2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7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8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C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D7F5">
            <w:pPr>
              <w:jc w:val="center"/>
              <w:rPr>
                <w:rFonts w:hint="eastAsia" w:ascii="微软雅黑" w:hAnsi="微软雅黑" w:eastAsia="微软雅黑" w:cs="微软雅黑"/>
                <w:i/>
                <w:iCs/>
                <w:color w:val="000000"/>
                <w:sz w:val="16"/>
                <w:szCs w:val="16"/>
                <w:u w:val="none"/>
              </w:rPr>
            </w:pPr>
          </w:p>
        </w:tc>
      </w:tr>
      <w:tr w14:paraId="3864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B8D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6F41">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9C3E">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培训人员人数达标率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2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0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6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1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CE2">
            <w:pPr>
              <w:jc w:val="center"/>
              <w:rPr>
                <w:rFonts w:hint="eastAsia" w:ascii="微软雅黑" w:hAnsi="微软雅黑" w:eastAsia="微软雅黑" w:cs="微软雅黑"/>
                <w:i/>
                <w:iCs/>
                <w:color w:val="000000"/>
                <w:sz w:val="16"/>
                <w:szCs w:val="16"/>
                <w:u w:val="none"/>
              </w:rPr>
            </w:pPr>
          </w:p>
        </w:tc>
      </w:tr>
      <w:tr w14:paraId="5C55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A56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E2CE">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E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7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培训班完成各种培训及时性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A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6F3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F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2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1935">
            <w:pPr>
              <w:jc w:val="center"/>
              <w:rPr>
                <w:rFonts w:hint="eastAsia" w:ascii="微软雅黑" w:hAnsi="微软雅黑" w:eastAsia="微软雅黑" w:cs="微软雅黑"/>
                <w:i/>
                <w:iCs/>
                <w:color w:val="000000"/>
                <w:sz w:val="16"/>
                <w:szCs w:val="16"/>
                <w:u w:val="none"/>
              </w:rPr>
            </w:pPr>
          </w:p>
        </w:tc>
      </w:tr>
      <w:tr w14:paraId="0868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0E49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909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BBF1">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B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E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27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B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3F6">
            <w:pPr>
              <w:jc w:val="center"/>
              <w:rPr>
                <w:rFonts w:hint="eastAsia" w:ascii="微软雅黑" w:hAnsi="微软雅黑" w:eastAsia="微软雅黑" w:cs="微软雅黑"/>
                <w:i/>
                <w:iCs/>
                <w:color w:val="000000"/>
                <w:sz w:val="16"/>
                <w:szCs w:val="16"/>
                <w:u w:val="none"/>
              </w:rPr>
            </w:pPr>
          </w:p>
        </w:tc>
      </w:tr>
      <w:tr w14:paraId="764F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05FD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E7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F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加强基层组织建设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F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575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CE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6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DA7">
            <w:pPr>
              <w:jc w:val="center"/>
              <w:rPr>
                <w:rFonts w:hint="eastAsia" w:ascii="微软雅黑" w:hAnsi="微软雅黑" w:eastAsia="微软雅黑" w:cs="微软雅黑"/>
                <w:i/>
                <w:iCs/>
                <w:color w:val="000000"/>
                <w:sz w:val="16"/>
                <w:szCs w:val="16"/>
                <w:u w:val="none"/>
              </w:rPr>
            </w:pPr>
          </w:p>
        </w:tc>
      </w:tr>
      <w:tr w14:paraId="3B55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10F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4DC8">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8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5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建立长效的管理机制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1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6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F97B">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5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B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B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5363">
            <w:pPr>
              <w:jc w:val="center"/>
              <w:rPr>
                <w:rFonts w:hint="eastAsia" w:ascii="微软雅黑" w:hAnsi="微软雅黑" w:eastAsia="微软雅黑" w:cs="微软雅黑"/>
                <w:i/>
                <w:iCs/>
                <w:color w:val="000000"/>
                <w:sz w:val="16"/>
                <w:szCs w:val="16"/>
                <w:u w:val="none"/>
              </w:rPr>
            </w:pPr>
          </w:p>
        </w:tc>
      </w:tr>
      <w:tr w14:paraId="0F01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A66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6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9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参加培训人员满意度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A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8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52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B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D674">
            <w:pPr>
              <w:jc w:val="center"/>
              <w:rPr>
                <w:rFonts w:hint="eastAsia" w:ascii="微软雅黑" w:hAnsi="微软雅黑" w:eastAsia="微软雅黑" w:cs="微软雅黑"/>
                <w:i/>
                <w:iCs/>
                <w:color w:val="000000"/>
                <w:sz w:val="16"/>
                <w:szCs w:val="16"/>
                <w:u w:val="none"/>
              </w:rPr>
            </w:pPr>
          </w:p>
        </w:tc>
      </w:tr>
      <w:tr w14:paraId="6915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FEA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A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8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3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3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119.15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7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119.15万元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1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B56">
            <w:pPr>
              <w:jc w:val="center"/>
              <w:rPr>
                <w:rFonts w:hint="eastAsia" w:ascii="微软雅黑" w:hAnsi="微软雅黑" w:eastAsia="微软雅黑" w:cs="微软雅黑"/>
                <w:i/>
                <w:iCs/>
                <w:color w:val="000000"/>
                <w:sz w:val="16"/>
                <w:szCs w:val="16"/>
                <w:u w:val="none"/>
              </w:rPr>
            </w:pPr>
          </w:p>
        </w:tc>
      </w:tr>
      <w:tr w14:paraId="5627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5EE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8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6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A322">
            <w:pPr>
              <w:jc w:val="center"/>
              <w:rPr>
                <w:rFonts w:hint="eastAsia" w:ascii="宋体" w:hAnsi="宋体" w:eastAsia="宋体" w:cs="宋体"/>
                <w:i w:val="0"/>
                <w:iCs w:val="0"/>
                <w:color w:val="000000"/>
                <w:sz w:val="18"/>
                <w:szCs w:val="18"/>
                <w:u w:val="none"/>
              </w:rPr>
            </w:pPr>
          </w:p>
        </w:tc>
      </w:tr>
      <w:tr w14:paraId="2BEC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0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EDC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29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F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5E23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842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4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03AD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93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074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BF3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EC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0CAEE084">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3D05E4B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A301C49">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1D8C65C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A431258">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7F97C9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1272E99">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3415842C">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1723743F">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E991CE4">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0ED30F83">
            <w:pPr>
              <w:rPr>
                <w:rFonts w:hint="eastAsia" w:ascii="宋体" w:hAnsi="宋体" w:eastAsia="宋体" w:cs="宋体"/>
                <w:i w:val="0"/>
                <w:iCs w:val="0"/>
                <w:color w:val="000000"/>
                <w:sz w:val="18"/>
                <w:szCs w:val="18"/>
                <w:u w:val="none"/>
              </w:rPr>
            </w:pPr>
          </w:p>
        </w:tc>
      </w:tr>
      <w:tr w14:paraId="06AB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6D73C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FC9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58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56B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51090323T000009758607-2023年县级领导干部和科级主要负责同志读书班培训费</w:t>
            </w:r>
          </w:p>
        </w:tc>
      </w:tr>
      <w:tr w14:paraId="4F4B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6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E9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14EA46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90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5771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8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DF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71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27E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33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5007">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9EE5">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4A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实施，通过该项目的实施，一是培养新时期干部以理论基础、世界眼光、战略思维、党性锻炼、业务能力为一体的格局得到进一步完善；广大干部马克思主义水平和政治理论素养不断提高，“四个意识”不断增强，“四个自信”进一步坚定，“四个服从”成为普遍自觉，思想行动高度统一。二是党性教育更加扎实，广大干部理想信念、党性观念、宗旨意识进一步强化，思想觉悟、政德修养、品行作风进一步提高，信仰之基、从政之基、廉政之基进一步牢固。三是专业化能力培训更加精准，广大干部适应新时代、实现新目标，落实新部署的能力明显增强，干一行、爱一行、精一行的专业精神进一步提升。四是知识培训更加有效，广大干部履职的基本知识体系不断健全、知识结构不断完善、综合素养不断提高，复合型领导干部的培养取得新进展。五是干部教育培训体系更加深化，干部素质培养的系统性、持续性、针对性、有效性不断增强，具有先进培训理念、科学内容体系、健全组织架构、高效运行机制的</w:t>
            </w:r>
            <w:r>
              <w:rPr>
                <w:rFonts w:hint="eastAsia" w:ascii="宋体" w:hAnsi="宋体" w:cs="宋体"/>
                <w:i w:val="0"/>
                <w:iCs w:val="0"/>
                <w:color w:val="000000"/>
                <w:kern w:val="0"/>
                <w:sz w:val="18"/>
                <w:szCs w:val="18"/>
                <w:u w:val="none"/>
                <w:lang w:val="en-US" w:eastAsia="zh-CN" w:bidi="ar"/>
              </w:rPr>
              <w:t>习近平</w:t>
            </w:r>
            <w:r>
              <w:rPr>
                <w:rFonts w:ascii="宋体" w:hAnsi="宋体" w:eastAsia="宋体" w:cs="宋体"/>
                <w:i w:val="0"/>
                <w:iCs w:val="0"/>
                <w:color w:val="000000"/>
                <w:kern w:val="0"/>
                <w:sz w:val="18"/>
                <w:szCs w:val="18"/>
                <w:u w:val="none"/>
                <w:lang w:val="en-US" w:eastAsia="zh-CN" w:bidi="ar"/>
              </w:rPr>
              <w:t>新时代中国特色社会主义</w:t>
            </w:r>
            <w:r>
              <w:rPr>
                <w:rFonts w:hint="eastAsia" w:ascii="宋体" w:hAnsi="宋体" w:cs="宋体"/>
                <w:i w:val="0"/>
                <w:iCs w:val="0"/>
                <w:color w:val="000000"/>
                <w:kern w:val="0"/>
                <w:sz w:val="18"/>
                <w:szCs w:val="18"/>
                <w:u w:val="none"/>
                <w:lang w:val="en-US" w:eastAsia="zh-CN" w:bidi="ar"/>
              </w:rPr>
              <w:t>思想</w:t>
            </w:r>
            <w:r>
              <w:rPr>
                <w:rFonts w:ascii="宋体" w:hAnsi="宋体" w:eastAsia="宋体" w:cs="宋体"/>
                <w:i w:val="0"/>
                <w:iCs w:val="0"/>
                <w:color w:val="000000"/>
                <w:kern w:val="0"/>
                <w:sz w:val="18"/>
                <w:szCs w:val="18"/>
                <w:u w:val="none"/>
                <w:lang w:val="en-US" w:eastAsia="zh-CN" w:bidi="ar"/>
              </w:rPr>
              <w:t>干部教育培训体系不断完善。</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C4F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对照年度目标，该项目已全面完成2023年县级领导干部和科级主要负责同志培训班培训工作</w:t>
            </w:r>
          </w:p>
        </w:tc>
      </w:tr>
      <w:tr w14:paraId="07A1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7369">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D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1BCD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对照年度目标，该项目已全面完成2023年县级领导干部和科级主要负责同志培训班培训工作</w:t>
            </w:r>
          </w:p>
        </w:tc>
      </w:tr>
      <w:tr w14:paraId="4487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3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1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D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F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0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B5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552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C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1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0E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6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D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1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657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1C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3EC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F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10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E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0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CBDF">
            <w:pPr>
              <w:rPr>
                <w:rFonts w:hint="eastAsia" w:ascii="黑体" w:hAnsi="黑体" w:eastAsia="黑体" w:cs="黑体"/>
                <w:i/>
                <w:iCs/>
                <w:color w:val="000000"/>
                <w:sz w:val="18"/>
                <w:szCs w:val="18"/>
                <w:u w:val="none"/>
              </w:rPr>
            </w:pPr>
          </w:p>
        </w:tc>
      </w:tr>
      <w:tr w14:paraId="7A39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AC3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4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9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0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95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C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B654">
            <w:pPr>
              <w:rPr>
                <w:rFonts w:hint="eastAsia" w:ascii="黑体" w:hAnsi="黑体" w:eastAsia="黑体" w:cs="黑体"/>
                <w:i/>
                <w:iCs/>
                <w:color w:val="000000"/>
                <w:sz w:val="18"/>
                <w:szCs w:val="18"/>
                <w:u w:val="none"/>
              </w:rPr>
            </w:pPr>
          </w:p>
        </w:tc>
      </w:tr>
      <w:tr w14:paraId="259A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4D89">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1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7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5A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6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1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626E">
            <w:pPr>
              <w:rPr>
                <w:rFonts w:hint="eastAsia" w:ascii="黑体" w:hAnsi="黑体" w:eastAsia="黑体" w:cs="黑体"/>
                <w:i/>
                <w:iCs/>
                <w:color w:val="000000"/>
                <w:sz w:val="18"/>
                <w:szCs w:val="18"/>
                <w:u w:val="none"/>
              </w:rPr>
            </w:pPr>
          </w:p>
        </w:tc>
      </w:tr>
      <w:tr w14:paraId="4F81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6A74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EBA6">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A31">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9BF89">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07AD">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D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78E4">
            <w:pPr>
              <w:rPr>
                <w:rFonts w:hint="eastAsia" w:ascii="黑体" w:hAnsi="黑体" w:eastAsia="黑体" w:cs="黑体"/>
                <w:i/>
                <w:iCs/>
                <w:color w:val="000000"/>
                <w:sz w:val="18"/>
                <w:szCs w:val="18"/>
                <w:u w:val="none"/>
              </w:rPr>
            </w:pPr>
          </w:p>
        </w:tc>
      </w:tr>
      <w:tr w14:paraId="4F46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65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1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8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9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1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1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8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D6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5814">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4E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4D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C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参加读书班培训人数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6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7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C0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2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1D9">
            <w:pPr>
              <w:jc w:val="center"/>
              <w:rPr>
                <w:rFonts w:hint="eastAsia" w:ascii="微软雅黑" w:hAnsi="微软雅黑" w:eastAsia="微软雅黑" w:cs="微软雅黑"/>
                <w:i/>
                <w:iCs/>
                <w:color w:val="000000"/>
                <w:sz w:val="16"/>
                <w:szCs w:val="16"/>
                <w:u w:val="none"/>
              </w:rPr>
            </w:pPr>
          </w:p>
        </w:tc>
      </w:tr>
      <w:tr w14:paraId="3E8B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A2C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019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295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B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开展读书班培训次数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F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9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C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27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3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E88">
            <w:pPr>
              <w:jc w:val="center"/>
              <w:rPr>
                <w:rFonts w:hint="eastAsia" w:ascii="微软雅黑" w:hAnsi="微软雅黑" w:eastAsia="微软雅黑" w:cs="微软雅黑"/>
                <w:i/>
                <w:iCs/>
                <w:color w:val="000000"/>
                <w:sz w:val="16"/>
                <w:szCs w:val="16"/>
                <w:u w:val="none"/>
              </w:rPr>
            </w:pPr>
          </w:p>
        </w:tc>
      </w:tr>
      <w:tr w14:paraId="1CAF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5CB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20DB">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C6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培训人员人数达标率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B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9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9B1">
            <w:pPr>
              <w:jc w:val="center"/>
              <w:rPr>
                <w:rFonts w:hint="eastAsia" w:ascii="微软雅黑" w:hAnsi="微软雅黑" w:eastAsia="微软雅黑" w:cs="微软雅黑"/>
                <w:i/>
                <w:iCs/>
                <w:color w:val="000000"/>
                <w:sz w:val="16"/>
                <w:szCs w:val="16"/>
                <w:u w:val="none"/>
              </w:rPr>
            </w:pPr>
          </w:p>
        </w:tc>
      </w:tr>
      <w:tr w14:paraId="5EB5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622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BB01">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4D7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培训内容合规率、主题内容契合度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8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0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4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5C2D">
            <w:pPr>
              <w:jc w:val="center"/>
              <w:rPr>
                <w:rFonts w:hint="eastAsia" w:ascii="微软雅黑" w:hAnsi="微软雅黑" w:eastAsia="微软雅黑" w:cs="微软雅黑"/>
                <w:i/>
                <w:iCs/>
                <w:color w:val="000000"/>
                <w:sz w:val="16"/>
                <w:szCs w:val="16"/>
                <w:u w:val="none"/>
              </w:rPr>
            </w:pPr>
          </w:p>
        </w:tc>
      </w:tr>
      <w:tr w14:paraId="1EBB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C52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F6C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4F2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B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参加培训人数出勤率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D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E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43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34C2">
            <w:pPr>
              <w:jc w:val="center"/>
              <w:rPr>
                <w:rFonts w:hint="eastAsia" w:ascii="微软雅黑" w:hAnsi="微软雅黑" w:eastAsia="微软雅黑" w:cs="微软雅黑"/>
                <w:i/>
                <w:iCs/>
                <w:color w:val="000000"/>
                <w:sz w:val="16"/>
                <w:szCs w:val="16"/>
                <w:u w:val="none"/>
              </w:rPr>
            </w:pPr>
          </w:p>
        </w:tc>
      </w:tr>
      <w:tr w14:paraId="3756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541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5B8F">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19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5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C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B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5E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5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21B">
            <w:pPr>
              <w:jc w:val="center"/>
              <w:rPr>
                <w:rFonts w:hint="eastAsia" w:ascii="微软雅黑" w:hAnsi="微软雅黑" w:eastAsia="微软雅黑" w:cs="微软雅黑"/>
                <w:i/>
                <w:iCs/>
                <w:color w:val="000000"/>
                <w:sz w:val="16"/>
                <w:szCs w:val="16"/>
                <w:u w:val="none"/>
              </w:rPr>
            </w:pPr>
          </w:p>
        </w:tc>
      </w:tr>
      <w:tr w14:paraId="645C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69E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A2C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452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6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培训班完成各种培训及时性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8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3597">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1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2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2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ED8C">
            <w:pPr>
              <w:jc w:val="center"/>
              <w:rPr>
                <w:rFonts w:hint="eastAsia" w:ascii="微软雅黑" w:hAnsi="微软雅黑" w:eastAsia="微软雅黑" w:cs="微软雅黑"/>
                <w:i/>
                <w:iCs/>
                <w:color w:val="000000"/>
                <w:sz w:val="16"/>
                <w:szCs w:val="16"/>
                <w:u w:val="none"/>
              </w:rPr>
            </w:pPr>
          </w:p>
        </w:tc>
      </w:tr>
      <w:tr w14:paraId="6D36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5DAB">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61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6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加强基层组织建设</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2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1A0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54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4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2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4237">
            <w:pPr>
              <w:jc w:val="center"/>
              <w:rPr>
                <w:rFonts w:hint="eastAsia" w:ascii="微软雅黑" w:hAnsi="微软雅黑" w:eastAsia="微软雅黑" w:cs="微软雅黑"/>
                <w:i/>
                <w:iCs/>
                <w:color w:val="000000"/>
                <w:sz w:val="16"/>
                <w:szCs w:val="16"/>
                <w:u w:val="none"/>
              </w:rPr>
            </w:pPr>
          </w:p>
        </w:tc>
      </w:tr>
      <w:tr w14:paraId="3B56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326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F9D2">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2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建立长效的管理培训机制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2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408">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9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9CE5">
            <w:pPr>
              <w:jc w:val="center"/>
              <w:rPr>
                <w:rFonts w:hint="eastAsia" w:ascii="微软雅黑" w:hAnsi="微软雅黑" w:eastAsia="微软雅黑" w:cs="微软雅黑"/>
                <w:i/>
                <w:iCs/>
                <w:color w:val="000000"/>
                <w:sz w:val="16"/>
                <w:szCs w:val="16"/>
                <w:u w:val="none"/>
              </w:rPr>
            </w:pPr>
          </w:p>
        </w:tc>
      </w:tr>
      <w:tr w14:paraId="59FC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D2A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6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2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9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参加培训人员满意度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C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0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E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08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0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11A0">
            <w:pPr>
              <w:jc w:val="center"/>
              <w:rPr>
                <w:rFonts w:hint="eastAsia" w:ascii="微软雅黑" w:hAnsi="微软雅黑" w:eastAsia="微软雅黑" w:cs="微软雅黑"/>
                <w:i/>
                <w:iCs/>
                <w:color w:val="000000"/>
                <w:sz w:val="16"/>
                <w:szCs w:val="16"/>
                <w:u w:val="none"/>
              </w:rPr>
            </w:pPr>
          </w:p>
        </w:tc>
      </w:tr>
      <w:tr w14:paraId="6F07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AD1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3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B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F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5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9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43A">
            <w:pPr>
              <w:jc w:val="center"/>
              <w:rPr>
                <w:rFonts w:hint="eastAsia" w:ascii="微软雅黑" w:hAnsi="微软雅黑" w:eastAsia="微软雅黑" w:cs="微软雅黑"/>
                <w:i/>
                <w:iCs/>
                <w:color w:val="000000"/>
                <w:sz w:val="16"/>
                <w:szCs w:val="16"/>
                <w:u w:val="none"/>
              </w:rPr>
            </w:pPr>
          </w:p>
        </w:tc>
      </w:tr>
      <w:tr w14:paraId="41D2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DAD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6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1F38">
            <w:pPr>
              <w:rPr>
                <w:rFonts w:hint="eastAsia" w:ascii="宋体" w:hAnsi="宋体" w:eastAsia="宋体" w:cs="宋体"/>
                <w:i w:val="0"/>
                <w:iCs w:val="0"/>
                <w:color w:val="000000"/>
                <w:sz w:val="18"/>
                <w:szCs w:val="18"/>
                <w:u w:val="none"/>
              </w:rPr>
            </w:pPr>
          </w:p>
        </w:tc>
      </w:tr>
      <w:tr w14:paraId="0F80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1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73D2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65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6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4549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B5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828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55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332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C568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C5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7F50347F">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454046A3">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6A35B7A0">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7FEEA196">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A2976CA">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522CC2A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347E8A7">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01831409">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5F53770">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4F1E7C88">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50A171A6">
            <w:pPr>
              <w:rPr>
                <w:rFonts w:hint="eastAsia" w:ascii="宋体" w:hAnsi="宋体" w:eastAsia="宋体" w:cs="宋体"/>
                <w:i w:val="0"/>
                <w:iCs w:val="0"/>
                <w:color w:val="000000"/>
                <w:sz w:val="18"/>
                <w:szCs w:val="18"/>
                <w:u w:val="none"/>
              </w:rPr>
            </w:pPr>
          </w:p>
        </w:tc>
      </w:tr>
      <w:tr w14:paraId="26D1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B638A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87C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4F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45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51090324T000009950160-2023年“船泊菁才”组团招聘经费</w:t>
            </w:r>
          </w:p>
        </w:tc>
      </w:tr>
      <w:tr w14:paraId="5CC2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DC3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D68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3519CA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6D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2F0E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0A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2F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22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79AA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2F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DAF4">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9C5B">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62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实施，通过该项目的实施，针对全区人才工作的短板和薄弱环节，解决一是人才总量偏少；二是人才队伍结构单一；三是围绕中心不紧；四是服务环境不优。健全服务体系，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进、留</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住。通过举办船山区“船泊菁才”组团招聘活动，发挥各类人才最大效益，帮助协助解决发展难题，对船山区重点产业、专业、开展有针对性的招聘活动，为我区引进更多急需紧缺专业人才。</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207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全年进行“船泊菁才”组团招聘线上宣讲及宣传推广活动一次，在成都中医药大学现场举办“船泊菁才”组团招聘活动一次，该活动已全面完成。</w:t>
            </w:r>
          </w:p>
        </w:tc>
      </w:tr>
      <w:tr w14:paraId="674B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FFAD">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1A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B70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55E3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F5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5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6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9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3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A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D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09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5E0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5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8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7A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E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2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23CC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52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118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6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D6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9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4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234A">
            <w:pPr>
              <w:rPr>
                <w:rFonts w:hint="eastAsia" w:ascii="黑体" w:hAnsi="黑体" w:eastAsia="黑体" w:cs="黑体"/>
                <w:i/>
                <w:iCs/>
                <w:color w:val="000000"/>
                <w:sz w:val="18"/>
                <w:szCs w:val="18"/>
                <w:u w:val="none"/>
              </w:rPr>
            </w:pPr>
          </w:p>
        </w:tc>
      </w:tr>
      <w:tr w14:paraId="04E5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986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4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8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F8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5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D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F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4282">
            <w:pPr>
              <w:rPr>
                <w:rFonts w:hint="eastAsia" w:ascii="黑体" w:hAnsi="黑体" w:eastAsia="黑体" w:cs="黑体"/>
                <w:i/>
                <w:iCs/>
                <w:color w:val="000000"/>
                <w:sz w:val="18"/>
                <w:szCs w:val="18"/>
                <w:u w:val="none"/>
              </w:rPr>
            </w:pPr>
          </w:p>
        </w:tc>
      </w:tr>
      <w:tr w14:paraId="76D7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A5A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ED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7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6966">
            <w:pPr>
              <w:rPr>
                <w:rFonts w:hint="eastAsia" w:ascii="黑体" w:hAnsi="黑体" w:eastAsia="黑体" w:cs="黑体"/>
                <w:i/>
                <w:iCs/>
                <w:color w:val="000000"/>
                <w:sz w:val="18"/>
                <w:szCs w:val="18"/>
                <w:u w:val="none"/>
              </w:rPr>
            </w:pPr>
          </w:p>
        </w:tc>
      </w:tr>
      <w:tr w14:paraId="1142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26DB">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6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B76">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E9F3">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9C6DE">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DDC6">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5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C730">
            <w:pPr>
              <w:rPr>
                <w:rFonts w:hint="eastAsia" w:ascii="黑体" w:hAnsi="黑体" w:eastAsia="黑体" w:cs="黑体"/>
                <w:i/>
                <w:iCs/>
                <w:color w:val="000000"/>
                <w:sz w:val="18"/>
                <w:szCs w:val="18"/>
                <w:u w:val="none"/>
              </w:rPr>
            </w:pPr>
          </w:p>
        </w:tc>
      </w:tr>
      <w:tr w14:paraId="5036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9E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E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2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A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D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8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C5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DDA0">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D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FA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9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进行“船泊菁才”组团招聘线上宣讲及宣传推广活动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5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A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1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A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9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D88F">
            <w:pPr>
              <w:jc w:val="center"/>
              <w:rPr>
                <w:rFonts w:hint="eastAsia" w:ascii="微软雅黑" w:hAnsi="微软雅黑" w:eastAsia="微软雅黑" w:cs="微软雅黑"/>
                <w:i/>
                <w:iCs/>
                <w:color w:val="000000"/>
                <w:sz w:val="16"/>
                <w:szCs w:val="16"/>
                <w:u w:val="none"/>
              </w:rPr>
            </w:pPr>
          </w:p>
        </w:tc>
      </w:tr>
      <w:tr w14:paraId="7DA4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7A0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D50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439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举办“船泊菁才”组团招聘活动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7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4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9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A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2A5D">
            <w:pPr>
              <w:jc w:val="center"/>
              <w:rPr>
                <w:rFonts w:hint="eastAsia" w:ascii="微软雅黑" w:hAnsi="微软雅黑" w:eastAsia="微软雅黑" w:cs="微软雅黑"/>
                <w:i/>
                <w:iCs/>
                <w:color w:val="000000"/>
                <w:sz w:val="16"/>
                <w:szCs w:val="16"/>
                <w:u w:val="none"/>
              </w:rPr>
            </w:pPr>
          </w:p>
        </w:tc>
      </w:tr>
      <w:tr w14:paraId="1F36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FD4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B6D9">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2B0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F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举办人才活动参与人数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B7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4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050">
            <w:pPr>
              <w:jc w:val="center"/>
              <w:rPr>
                <w:rFonts w:hint="eastAsia" w:ascii="微软雅黑" w:hAnsi="微软雅黑" w:eastAsia="微软雅黑" w:cs="微软雅黑"/>
                <w:i/>
                <w:iCs/>
                <w:color w:val="000000"/>
                <w:sz w:val="16"/>
                <w:szCs w:val="16"/>
                <w:u w:val="none"/>
              </w:rPr>
            </w:pPr>
          </w:p>
        </w:tc>
      </w:tr>
      <w:tr w14:paraId="1FB8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D9B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22A0">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D1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人才氛围营造工作效果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CD9">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08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7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BF97">
            <w:pPr>
              <w:jc w:val="center"/>
              <w:rPr>
                <w:rFonts w:hint="eastAsia" w:ascii="微软雅黑" w:hAnsi="微软雅黑" w:eastAsia="微软雅黑" w:cs="微软雅黑"/>
                <w:i/>
                <w:iCs/>
                <w:color w:val="000000"/>
                <w:sz w:val="16"/>
                <w:szCs w:val="16"/>
                <w:u w:val="none"/>
              </w:rPr>
            </w:pPr>
          </w:p>
        </w:tc>
      </w:tr>
      <w:tr w14:paraId="0478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8F2D">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F10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972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8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人才招聘活动合规率、主题契合度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3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9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A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6D36">
            <w:pPr>
              <w:jc w:val="center"/>
              <w:rPr>
                <w:rFonts w:hint="eastAsia" w:ascii="微软雅黑" w:hAnsi="微软雅黑" w:eastAsia="微软雅黑" w:cs="微软雅黑"/>
                <w:i/>
                <w:iCs/>
                <w:color w:val="000000"/>
                <w:sz w:val="16"/>
                <w:szCs w:val="16"/>
                <w:u w:val="none"/>
              </w:rPr>
            </w:pPr>
          </w:p>
        </w:tc>
      </w:tr>
      <w:tr w14:paraId="017E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AE0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D88B">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27F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F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人才招聘活动资金使用合规率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D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C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1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2204">
            <w:pPr>
              <w:jc w:val="center"/>
              <w:rPr>
                <w:rFonts w:hint="eastAsia" w:ascii="微软雅黑" w:hAnsi="微软雅黑" w:eastAsia="微软雅黑" w:cs="微软雅黑"/>
                <w:i/>
                <w:iCs/>
                <w:color w:val="000000"/>
                <w:sz w:val="16"/>
                <w:szCs w:val="16"/>
                <w:u w:val="none"/>
              </w:rPr>
            </w:pPr>
          </w:p>
        </w:tc>
      </w:tr>
      <w:tr w14:paraId="338A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4012">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12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增加我区的急需紧缺人才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2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D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D9F">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8F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A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BD95">
            <w:pPr>
              <w:jc w:val="center"/>
              <w:rPr>
                <w:rFonts w:hint="eastAsia" w:ascii="微软雅黑" w:hAnsi="微软雅黑" w:eastAsia="微软雅黑" w:cs="微软雅黑"/>
                <w:i/>
                <w:iCs/>
                <w:color w:val="000000"/>
                <w:sz w:val="16"/>
                <w:szCs w:val="16"/>
                <w:u w:val="none"/>
              </w:rPr>
            </w:pPr>
          </w:p>
        </w:tc>
      </w:tr>
      <w:tr w14:paraId="0CBD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C631">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48AC">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0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E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建立长效的人才招引机制</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9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4158">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C9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2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E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EB73">
            <w:pPr>
              <w:jc w:val="center"/>
              <w:rPr>
                <w:rFonts w:hint="eastAsia" w:ascii="微软雅黑" w:hAnsi="微软雅黑" w:eastAsia="微软雅黑" w:cs="微软雅黑"/>
                <w:i/>
                <w:iCs/>
                <w:color w:val="000000"/>
                <w:sz w:val="16"/>
                <w:szCs w:val="16"/>
                <w:u w:val="none"/>
              </w:rPr>
            </w:pPr>
          </w:p>
        </w:tc>
      </w:tr>
      <w:tr w14:paraId="5CD0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12E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6CDA">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B56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0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部门协同次数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0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4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A19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3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5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F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BBB">
            <w:pPr>
              <w:jc w:val="center"/>
              <w:rPr>
                <w:rFonts w:hint="eastAsia" w:ascii="微软雅黑" w:hAnsi="微软雅黑" w:eastAsia="微软雅黑" w:cs="微软雅黑"/>
                <w:i/>
                <w:iCs/>
                <w:color w:val="000000"/>
                <w:sz w:val="16"/>
                <w:szCs w:val="16"/>
                <w:u w:val="none"/>
              </w:rPr>
            </w:pPr>
          </w:p>
        </w:tc>
      </w:tr>
      <w:tr w14:paraId="0BB2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414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招引人才各部门及企业满意度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A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C701">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5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4784">
            <w:pPr>
              <w:jc w:val="center"/>
              <w:rPr>
                <w:rFonts w:hint="eastAsia" w:ascii="微软雅黑" w:hAnsi="微软雅黑" w:eastAsia="微软雅黑" w:cs="微软雅黑"/>
                <w:i/>
                <w:iCs/>
                <w:color w:val="000000"/>
                <w:sz w:val="16"/>
                <w:szCs w:val="16"/>
                <w:u w:val="none"/>
              </w:rPr>
            </w:pPr>
          </w:p>
        </w:tc>
      </w:tr>
      <w:tr w14:paraId="2665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DEA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57BD">
            <w:pPr>
              <w:rPr>
                <w:rFonts w:hint="eastAsia" w:ascii="宋体" w:hAnsi="宋体" w:eastAsia="宋体" w:cs="宋体"/>
                <w:i w:val="0"/>
                <w:iCs w:val="0"/>
                <w:color w:val="000000"/>
                <w:sz w:val="18"/>
                <w:szCs w:val="18"/>
                <w:u w:val="none"/>
              </w:rPr>
            </w:pPr>
          </w:p>
        </w:tc>
      </w:tr>
      <w:tr w14:paraId="0EF3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2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2EA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564D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F708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93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358B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78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C70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D9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1B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1AAC52F6">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0E77ED7B">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03E33278">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4B5EF0D1">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12125C3">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45A7AA8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8C474A5">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0ED831A7">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37BF8A4">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54560437">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04C4BFD7">
            <w:pPr>
              <w:rPr>
                <w:rFonts w:hint="eastAsia" w:ascii="宋体" w:hAnsi="宋体" w:eastAsia="宋体" w:cs="宋体"/>
                <w:i w:val="0"/>
                <w:iCs w:val="0"/>
                <w:color w:val="000000"/>
                <w:sz w:val="18"/>
                <w:szCs w:val="18"/>
                <w:u w:val="none"/>
              </w:rPr>
            </w:pPr>
          </w:p>
        </w:tc>
      </w:tr>
      <w:tr w14:paraId="5F8F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9B2FB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3D5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83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E1D8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51090324T000010378919-学习贯彻习近平新时代中国特色社会主义思想主题教育经费</w:t>
            </w:r>
          </w:p>
        </w:tc>
      </w:tr>
      <w:tr w14:paraId="2229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94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95B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3C0D31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B7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280C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0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4C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C4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68BB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2A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65D9">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9DFE">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71B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通过该项目的实施，开展这次主题教育，根本任务是坚持学思用贯通、知信行统一，把</w:t>
            </w:r>
            <w:r>
              <w:rPr>
                <w:rFonts w:hint="eastAsia" w:ascii="宋体" w:hAnsi="宋体" w:cs="宋体"/>
                <w:i w:val="0"/>
                <w:iCs w:val="0"/>
                <w:color w:val="000000"/>
                <w:kern w:val="0"/>
                <w:sz w:val="18"/>
                <w:szCs w:val="18"/>
                <w:u w:val="none"/>
                <w:lang w:val="en-US" w:eastAsia="zh-CN" w:bidi="ar"/>
              </w:rPr>
              <w:t>习近平</w:t>
            </w:r>
            <w:r>
              <w:rPr>
                <w:rFonts w:ascii="宋体" w:hAnsi="宋体" w:eastAsia="宋体" w:cs="宋体"/>
                <w:i w:val="0"/>
                <w:iCs w:val="0"/>
                <w:color w:val="000000"/>
                <w:kern w:val="0"/>
                <w:sz w:val="18"/>
                <w:szCs w:val="18"/>
                <w:u w:val="none"/>
                <w:lang w:val="en-US" w:eastAsia="zh-CN" w:bidi="ar"/>
              </w:rPr>
              <w:t>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一是凝心铸魂筑牢根本、二是锤炼品格强化忠诚、三是实干担当促进发展、四是践行宗旨为民造福、五是廉洁奉公树立新风。</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507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学习贯彻习近平新时代中国特色社会主义思想主题教育产生的各种费用，一是凝心铸魂筑牢根本、二是锤炼品格强化忠诚、三是实干担当促进发展、四是践行宗旨为民造福、五是廉洁奉公树立新风。</w:t>
            </w:r>
          </w:p>
        </w:tc>
      </w:tr>
      <w:tr w14:paraId="0418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1197">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66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5D0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学习贯彻习近平新时代中国特色社会主义思想主题教育产生的各种费用</w:t>
            </w:r>
          </w:p>
        </w:tc>
      </w:tr>
      <w:tr w14:paraId="4AA2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6F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0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4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E7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C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F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B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6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71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CE2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B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A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3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8F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3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F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8CE8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4D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039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B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86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4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D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5990">
            <w:pPr>
              <w:rPr>
                <w:rFonts w:hint="eastAsia" w:ascii="黑体" w:hAnsi="黑体" w:eastAsia="黑体" w:cs="黑体"/>
                <w:i/>
                <w:iCs/>
                <w:color w:val="000000"/>
                <w:sz w:val="18"/>
                <w:szCs w:val="18"/>
                <w:u w:val="none"/>
              </w:rPr>
            </w:pPr>
          </w:p>
        </w:tc>
      </w:tr>
      <w:tr w14:paraId="368A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79D9">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0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A5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9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5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4B73">
            <w:pPr>
              <w:rPr>
                <w:rFonts w:hint="eastAsia" w:ascii="黑体" w:hAnsi="黑体" w:eastAsia="黑体" w:cs="黑体"/>
                <w:i/>
                <w:iCs/>
                <w:color w:val="000000"/>
                <w:sz w:val="18"/>
                <w:szCs w:val="18"/>
                <w:u w:val="none"/>
              </w:rPr>
            </w:pPr>
          </w:p>
        </w:tc>
      </w:tr>
      <w:tr w14:paraId="6B8E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4E8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6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8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36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D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9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84B9">
            <w:pPr>
              <w:rPr>
                <w:rFonts w:hint="eastAsia" w:ascii="黑体" w:hAnsi="黑体" w:eastAsia="黑体" w:cs="黑体"/>
                <w:i/>
                <w:iCs/>
                <w:color w:val="000000"/>
                <w:sz w:val="18"/>
                <w:szCs w:val="18"/>
                <w:u w:val="none"/>
              </w:rPr>
            </w:pPr>
          </w:p>
        </w:tc>
      </w:tr>
      <w:tr w14:paraId="6418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B7D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A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E73A">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1FA">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8B415">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DC4">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7887">
            <w:pPr>
              <w:rPr>
                <w:rFonts w:hint="eastAsia" w:ascii="黑体" w:hAnsi="黑体" w:eastAsia="黑体" w:cs="黑体"/>
                <w:i/>
                <w:iCs/>
                <w:color w:val="000000"/>
                <w:sz w:val="18"/>
                <w:szCs w:val="18"/>
                <w:u w:val="none"/>
              </w:rPr>
            </w:pPr>
          </w:p>
        </w:tc>
      </w:tr>
      <w:tr w14:paraId="5073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DB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5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F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8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F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E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5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0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FB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0007">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C3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BB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0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开展主题教育会议次数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5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75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9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9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A4A1">
            <w:pPr>
              <w:jc w:val="center"/>
              <w:rPr>
                <w:rFonts w:hint="eastAsia" w:ascii="微软雅黑" w:hAnsi="微软雅黑" w:eastAsia="微软雅黑" w:cs="微软雅黑"/>
                <w:i/>
                <w:iCs/>
                <w:color w:val="000000"/>
                <w:sz w:val="16"/>
                <w:szCs w:val="16"/>
                <w:u w:val="none"/>
              </w:rPr>
            </w:pPr>
          </w:p>
        </w:tc>
      </w:tr>
      <w:tr w14:paraId="0F88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6B5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8C5E">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49C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5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开展主题教育培训学习班</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6C5AC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08F02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6450F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631CEE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2BA27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68A25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7083A578">
            <w:pPr>
              <w:jc w:val="center"/>
              <w:rPr>
                <w:rFonts w:hint="eastAsia" w:ascii="微软雅黑" w:hAnsi="微软雅黑" w:eastAsia="微软雅黑" w:cs="微软雅黑"/>
                <w:i/>
                <w:iCs/>
                <w:color w:val="000000"/>
                <w:sz w:val="16"/>
                <w:szCs w:val="16"/>
                <w:u w:val="none"/>
              </w:rPr>
            </w:pPr>
          </w:p>
        </w:tc>
      </w:tr>
      <w:tr w14:paraId="70DA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265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EFEF">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A9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D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开展主题教育内容契合度</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39A0B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41888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145EA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012827D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115B0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369D4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71B651B0">
            <w:pPr>
              <w:jc w:val="center"/>
              <w:rPr>
                <w:rFonts w:hint="eastAsia" w:ascii="微软雅黑" w:hAnsi="微软雅黑" w:eastAsia="微软雅黑" w:cs="微软雅黑"/>
                <w:i/>
                <w:iCs/>
                <w:color w:val="000000"/>
                <w:sz w:val="16"/>
                <w:szCs w:val="16"/>
                <w:u w:val="none"/>
              </w:rPr>
            </w:pPr>
          </w:p>
        </w:tc>
      </w:tr>
      <w:tr w14:paraId="7D50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D35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D05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F4FE">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开展主题教育达标率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EB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8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9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CF7">
            <w:pPr>
              <w:jc w:val="center"/>
              <w:rPr>
                <w:rFonts w:hint="eastAsia" w:ascii="微软雅黑" w:hAnsi="微软雅黑" w:eastAsia="微软雅黑" w:cs="微软雅黑"/>
                <w:i/>
                <w:iCs/>
                <w:color w:val="000000"/>
                <w:sz w:val="16"/>
                <w:szCs w:val="16"/>
                <w:u w:val="none"/>
              </w:rPr>
            </w:pPr>
          </w:p>
        </w:tc>
      </w:tr>
      <w:tr w14:paraId="31C0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4E7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6E7E">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7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7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D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1A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F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2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B81">
            <w:pPr>
              <w:jc w:val="center"/>
              <w:rPr>
                <w:rFonts w:hint="eastAsia" w:ascii="微软雅黑" w:hAnsi="微软雅黑" w:eastAsia="微软雅黑" w:cs="微软雅黑"/>
                <w:i/>
                <w:iCs/>
                <w:color w:val="000000"/>
                <w:sz w:val="16"/>
                <w:szCs w:val="16"/>
                <w:u w:val="none"/>
              </w:rPr>
            </w:pPr>
          </w:p>
        </w:tc>
      </w:tr>
      <w:tr w14:paraId="7C95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4998">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3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9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提升党员干部素质及办事效率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2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3F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0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F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FE6F">
            <w:pPr>
              <w:jc w:val="center"/>
              <w:rPr>
                <w:rFonts w:hint="eastAsia" w:ascii="微软雅黑" w:hAnsi="微软雅黑" w:eastAsia="微软雅黑" w:cs="微软雅黑"/>
                <w:i/>
                <w:iCs/>
                <w:color w:val="000000"/>
                <w:sz w:val="16"/>
                <w:szCs w:val="16"/>
                <w:u w:val="none"/>
              </w:rPr>
            </w:pPr>
          </w:p>
        </w:tc>
      </w:tr>
      <w:tr w14:paraId="68DB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724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F932">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8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nil"/>
              <w:right w:val="single" w:color="000000" w:sz="4" w:space="0"/>
            </w:tcBorders>
            <w:shd w:val="clear" w:color="auto" w:fill="auto"/>
            <w:vAlign w:val="center"/>
          </w:tcPr>
          <w:p w14:paraId="3D8E1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643C8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2CAA6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4046C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01D08C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52ABC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49FE3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3E7D5698">
            <w:pPr>
              <w:jc w:val="center"/>
              <w:rPr>
                <w:rFonts w:hint="eastAsia" w:ascii="微软雅黑" w:hAnsi="微软雅黑" w:eastAsia="微软雅黑" w:cs="微软雅黑"/>
                <w:i/>
                <w:iCs/>
                <w:color w:val="000000"/>
                <w:sz w:val="16"/>
                <w:szCs w:val="16"/>
                <w:u w:val="none"/>
              </w:rPr>
            </w:pPr>
          </w:p>
        </w:tc>
      </w:tr>
      <w:tr w14:paraId="3BCA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77C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A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4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服务广大人民群众满意度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7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6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EF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7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5BCD">
            <w:pPr>
              <w:jc w:val="center"/>
              <w:rPr>
                <w:rFonts w:hint="eastAsia" w:ascii="微软雅黑" w:hAnsi="微软雅黑" w:eastAsia="微软雅黑" w:cs="微软雅黑"/>
                <w:i/>
                <w:iCs/>
                <w:color w:val="000000"/>
                <w:sz w:val="16"/>
                <w:szCs w:val="16"/>
                <w:u w:val="none"/>
              </w:rPr>
            </w:pPr>
          </w:p>
        </w:tc>
      </w:tr>
      <w:tr w14:paraId="4855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331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8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7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2C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0.02万元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8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F1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因该项主题教育开展的较晚，开始时间为2023年9月截止到2024年2月所产生的费用需要结转到明年支付，因此造成支付进度及支付率过低。</w:t>
            </w:r>
          </w:p>
        </w:tc>
      </w:tr>
      <w:tr w14:paraId="1515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0C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B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39D">
            <w:pPr>
              <w:rPr>
                <w:rFonts w:hint="eastAsia" w:ascii="宋体" w:hAnsi="宋体" w:eastAsia="宋体" w:cs="宋体"/>
                <w:i w:val="0"/>
                <w:iCs w:val="0"/>
                <w:color w:val="000000"/>
                <w:sz w:val="18"/>
                <w:szCs w:val="18"/>
                <w:u w:val="none"/>
              </w:rPr>
            </w:pPr>
          </w:p>
        </w:tc>
      </w:tr>
      <w:tr w14:paraId="7D58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499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01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6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51B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因该项主题教育开展的较晚，开始时间为2023年9月截止到2024年2月所产生的费用需要结转到明年支付，因此造成支付进度及支付率过低。</w:t>
            </w:r>
          </w:p>
        </w:tc>
      </w:tr>
      <w:tr w14:paraId="3011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934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74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A3C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707B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024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289E257E">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305454A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92B92D6">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25DE2F5A">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64D5570">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2B0855E2">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41608D85">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68DD1CE4">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4C685FF">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77A6F776">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2D31EC2F">
            <w:pPr>
              <w:rPr>
                <w:rFonts w:hint="eastAsia" w:ascii="宋体" w:hAnsi="宋体" w:eastAsia="宋体" w:cs="宋体"/>
                <w:i w:val="0"/>
                <w:iCs w:val="0"/>
                <w:color w:val="000000"/>
                <w:sz w:val="18"/>
                <w:szCs w:val="18"/>
                <w:u w:val="none"/>
              </w:rPr>
            </w:pPr>
          </w:p>
        </w:tc>
      </w:tr>
      <w:tr w14:paraId="3760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937CF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5FF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B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6F8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51090324T000010468699-解决大学生实习实训活动补贴经费</w:t>
            </w:r>
          </w:p>
        </w:tc>
      </w:tr>
      <w:tr w14:paraId="00BE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0A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6F2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441C0A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8C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7F2D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4F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5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C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6EB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31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823D">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9892">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F3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通过该项目的实施，围绕市校合作</w:t>
            </w:r>
            <w:r>
              <w:rPr>
                <w:rFonts w:hint="eastAsia" w:ascii="宋体" w:hAnsi="宋体" w:cs="宋体"/>
                <w:i w:val="0"/>
                <w:iCs w:val="0"/>
                <w:color w:val="000000"/>
                <w:kern w:val="0"/>
                <w:sz w:val="18"/>
                <w:szCs w:val="18"/>
                <w:u w:val="none"/>
                <w:lang w:val="en-US" w:eastAsia="zh-CN" w:bidi="ar"/>
              </w:rPr>
              <w:t>总</w:t>
            </w:r>
            <w:r>
              <w:rPr>
                <w:rFonts w:ascii="宋体" w:hAnsi="宋体" w:eastAsia="宋体" w:cs="宋体"/>
                <w:i w:val="0"/>
                <w:iCs w:val="0"/>
                <w:color w:val="000000"/>
                <w:kern w:val="0"/>
                <w:sz w:val="18"/>
                <w:szCs w:val="18"/>
                <w:u w:val="none"/>
                <w:lang w:val="en-US" w:eastAsia="zh-CN" w:bidi="ar"/>
              </w:rPr>
              <w:t>体部署，按照“统筹市县、对接院校、分批实施、绩效奖励”原则，以“引得进、留得住、用得好”为目标以各类平台建设为载体，进一步健全完善工作体制机制，吸引更多大学生来我区实习实训，为建设“5+2+1”现代产业体系，推进船山加快建设成渝发展主轴绿色经济强区提供有力的人才和智力支撑。</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306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按照遂组通【2019】57号文件，大学生实习实训时间为1至3个月，分别按专科、本科、硕士、博士，给予每月500元、1000元、1200元、1500元给予生活交通补贴、住宿费等一系列费用，全年该项目已全面完成。</w:t>
            </w:r>
          </w:p>
        </w:tc>
      </w:tr>
      <w:tr w14:paraId="01E4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79324">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F6F7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按照遂组通【2019】57号文件，大学生实习实训时间为1至3个月，分别按专科、本科、硕士、博士，给予每月500元、1000元、1200元、1500元给予生活交通补贴、住宿费等一系列费用，全年该项目已全面完成。</w:t>
            </w:r>
          </w:p>
        </w:tc>
      </w:tr>
      <w:tr w14:paraId="6A8F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02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1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9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8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A9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9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8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0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16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E638">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D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1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68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3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1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D17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EE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A459">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A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07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8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435B">
            <w:pPr>
              <w:rPr>
                <w:rFonts w:hint="eastAsia" w:ascii="黑体" w:hAnsi="黑体" w:eastAsia="黑体" w:cs="黑体"/>
                <w:i/>
                <w:iCs/>
                <w:color w:val="000000"/>
                <w:sz w:val="18"/>
                <w:szCs w:val="18"/>
                <w:u w:val="none"/>
              </w:rPr>
            </w:pPr>
          </w:p>
        </w:tc>
      </w:tr>
      <w:tr w14:paraId="32F4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E5A4">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9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5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D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08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7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A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A2DA">
            <w:pPr>
              <w:rPr>
                <w:rFonts w:hint="eastAsia" w:ascii="黑体" w:hAnsi="黑体" w:eastAsia="黑体" w:cs="黑体"/>
                <w:i/>
                <w:iCs/>
                <w:color w:val="000000"/>
                <w:sz w:val="18"/>
                <w:szCs w:val="18"/>
                <w:u w:val="none"/>
              </w:rPr>
            </w:pPr>
          </w:p>
        </w:tc>
      </w:tr>
      <w:tr w14:paraId="1DA7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7C98">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B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28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9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1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3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944E">
            <w:pPr>
              <w:rPr>
                <w:rFonts w:hint="eastAsia" w:ascii="黑体" w:hAnsi="黑体" w:eastAsia="黑体" w:cs="黑体"/>
                <w:i/>
                <w:iCs/>
                <w:color w:val="000000"/>
                <w:sz w:val="18"/>
                <w:szCs w:val="18"/>
                <w:u w:val="none"/>
              </w:rPr>
            </w:pPr>
          </w:p>
        </w:tc>
      </w:tr>
      <w:tr w14:paraId="38AB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092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4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3848">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D3D">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6DBAE">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CDD">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5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F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2F4A">
            <w:pPr>
              <w:rPr>
                <w:rFonts w:hint="eastAsia" w:ascii="黑体" w:hAnsi="黑体" w:eastAsia="黑体" w:cs="黑体"/>
                <w:i/>
                <w:iCs/>
                <w:color w:val="000000"/>
                <w:sz w:val="18"/>
                <w:szCs w:val="18"/>
                <w:u w:val="none"/>
              </w:rPr>
            </w:pPr>
          </w:p>
        </w:tc>
      </w:tr>
      <w:tr w14:paraId="212F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1A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6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A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9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1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E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6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8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7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B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8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8A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20BD">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0B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54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发放大学生实习实训补贴次数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C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D6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3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0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C219">
            <w:pPr>
              <w:jc w:val="center"/>
              <w:rPr>
                <w:rFonts w:hint="eastAsia" w:ascii="微软雅黑" w:hAnsi="微软雅黑" w:eastAsia="微软雅黑" w:cs="微软雅黑"/>
                <w:i/>
                <w:iCs/>
                <w:color w:val="000000"/>
                <w:sz w:val="16"/>
                <w:szCs w:val="16"/>
                <w:u w:val="none"/>
              </w:rPr>
            </w:pPr>
          </w:p>
        </w:tc>
      </w:tr>
      <w:tr w14:paraId="287D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EAC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240F">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317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nil"/>
              <w:right w:val="single" w:color="000000" w:sz="4" w:space="0"/>
            </w:tcBorders>
            <w:shd w:val="clear" w:color="auto" w:fill="auto"/>
            <w:vAlign w:val="center"/>
          </w:tcPr>
          <w:p w14:paraId="77087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发放大学生实习实训补贴人数</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2AD3A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00C39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4BADD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2E2694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10B68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61082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0BE8ED07">
            <w:pPr>
              <w:jc w:val="center"/>
              <w:rPr>
                <w:rFonts w:hint="eastAsia" w:ascii="微软雅黑" w:hAnsi="微软雅黑" w:eastAsia="微软雅黑" w:cs="微软雅黑"/>
                <w:i/>
                <w:iCs/>
                <w:color w:val="000000"/>
                <w:sz w:val="16"/>
                <w:szCs w:val="16"/>
                <w:u w:val="none"/>
              </w:rPr>
            </w:pPr>
          </w:p>
        </w:tc>
      </w:tr>
      <w:tr w14:paraId="5D60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7A6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3C18">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1F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nil"/>
              <w:right w:val="single" w:color="000000" w:sz="4" w:space="0"/>
            </w:tcBorders>
            <w:shd w:val="clear" w:color="auto" w:fill="auto"/>
            <w:vAlign w:val="center"/>
          </w:tcPr>
          <w:p w14:paraId="69C54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大学生实习实训补贴发放及时率</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04BAC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1AE0E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4C76A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424BD5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3C308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6152E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667319A5">
            <w:pPr>
              <w:jc w:val="center"/>
              <w:rPr>
                <w:rFonts w:hint="eastAsia" w:ascii="微软雅黑" w:hAnsi="微软雅黑" w:eastAsia="微软雅黑" w:cs="微软雅黑"/>
                <w:i/>
                <w:iCs/>
                <w:color w:val="000000"/>
                <w:sz w:val="16"/>
                <w:szCs w:val="16"/>
                <w:u w:val="none"/>
              </w:rPr>
            </w:pPr>
          </w:p>
        </w:tc>
      </w:tr>
      <w:tr w14:paraId="056C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A12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4818">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180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D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大学生实习实训补贴发放达标率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4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2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5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2D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FBF2">
            <w:pPr>
              <w:jc w:val="center"/>
              <w:rPr>
                <w:rFonts w:hint="eastAsia" w:ascii="微软雅黑" w:hAnsi="微软雅黑" w:eastAsia="微软雅黑" w:cs="微软雅黑"/>
                <w:i/>
                <w:iCs/>
                <w:color w:val="000000"/>
                <w:sz w:val="16"/>
                <w:szCs w:val="16"/>
                <w:u w:val="none"/>
              </w:rPr>
            </w:pPr>
          </w:p>
        </w:tc>
      </w:tr>
      <w:tr w14:paraId="2450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3B5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358A">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F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4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8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C7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2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1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A13">
            <w:pPr>
              <w:jc w:val="center"/>
              <w:rPr>
                <w:rFonts w:hint="eastAsia" w:ascii="微软雅黑" w:hAnsi="微软雅黑" w:eastAsia="微软雅黑" w:cs="微软雅黑"/>
                <w:i/>
                <w:iCs/>
                <w:color w:val="000000"/>
                <w:sz w:val="16"/>
                <w:szCs w:val="16"/>
                <w:u w:val="none"/>
              </w:rPr>
            </w:pPr>
          </w:p>
        </w:tc>
      </w:tr>
      <w:tr w14:paraId="0405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DD3A">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A9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F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部门协调次数开展效果</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5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37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9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0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F5F">
            <w:pPr>
              <w:jc w:val="center"/>
              <w:rPr>
                <w:rFonts w:hint="eastAsia" w:ascii="微软雅黑" w:hAnsi="微软雅黑" w:eastAsia="微软雅黑" w:cs="微软雅黑"/>
                <w:i/>
                <w:iCs/>
                <w:color w:val="000000"/>
                <w:sz w:val="16"/>
                <w:szCs w:val="16"/>
                <w:u w:val="none"/>
              </w:rPr>
            </w:pPr>
          </w:p>
        </w:tc>
      </w:tr>
      <w:tr w14:paraId="6731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E88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45E8">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0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nil"/>
              <w:right w:val="single" w:color="000000" w:sz="4" w:space="0"/>
            </w:tcBorders>
            <w:shd w:val="clear" w:color="auto" w:fill="auto"/>
            <w:vAlign w:val="center"/>
          </w:tcPr>
          <w:p w14:paraId="56E43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部门长效管理机制</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32B1C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nil"/>
              <w:right w:val="single" w:color="000000" w:sz="4" w:space="0"/>
            </w:tcBorders>
            <w:shd w:val="clear" w:color="auto" w:fill="auto"/>
            <w:vAlign w:val="center"/>
          </w:tcPr>
          <w:p w14:paraId="7239F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nil"/>
              <w:right w:val="single" w:color="000000" w:sz="4" w:space="0"/>
            </w:tcBorders>
            <w:shd w:val="clear" w:color="auto" w:fill="auto"/>
            <w:vAlign w:val="center"/>
          </w:tcPr>
          <w:p w14:paraId="5FEA9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6B584F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1360A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nil"/>
              <w:right w:val="single" w:color="000000" w:sz="4" w:space="0"/>
            </w:tcBorders>
            <w:shd w:val="clear" w:color="auto" w:fill="auto"/>
            <w:vAlign w:val="center"/>
          </w:tcPr>
          <w:p w14:paraId="6B851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nil"/>
              <w:right w:val="single" w:color="000000" w:sz="4" w:space="0"/>
            </w:tcBorders>
            <w:shd w:val="clear" w:color="auto" w:fill="auto"/>
            <w:vAlign w:val="center"/>
          </w:tcPr>
          <w:p w14:paraId="5CE45EE3">
            <w:pPr>
              <w:jc w:val="center"/>
              <w:rPr>
                <w:rFonts w:hint="eastAsia" w:ascii="微软雅黑" w:hAnsi="微软雅黑" w:eastAsia="微软雅黑" w:cs="微软雅黑"/>
                <w:i/>
                <w:iCs/>
                <w:color w:val="000000"/>
                <w:sz w:val="16"/>
                <w:szCs w:val="16"/>
                <w:u w:val="none"/>
              </w:rPr>
            </w:pPr>
          </w:p>
        </w:tc>
      </w:tr>
      <w:tr w14:paraId="7485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EAD8">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E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大学生实习实训满意度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B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2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62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B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B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DA2">
            <w:pPr>
              <w:jc w:val="center"/>
              <w:rPr>
                <w:rFonts w:hint="eastAsia" w:ascii="微软雅黑" w:hAnsi="微软雅黑" w:eastAsia="微软雅黑" w:cs="微软雅黑"/>
                <w:i/>
                <w:iCs/>
                <w:color w:val="000000"/>
                <w:sz w:val="16"/>
                <w:szCs w:val="16"/>
                <w:u w:val="none"/>
              </w:rPr>
            </w:pPr>
          </w:p>
        </w:tc>
      </w:tr>
      <w:tr w14:paraId="674C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F5E2">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6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B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8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9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7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F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0.66万元</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4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76A9">
            <w:pPr>
              <w:jc w:val="center"/>
              <w:rPr>
                <w:rFonts w:hint="eastAsia" w:ascii="微软雅黑" w:hAnsi="微软雅黑" w:eastAsia="微软雅黑" w:cs="微软雅黑"/>
                <w:i/>
                <w:iCs/>
                <w:color w:val="000000"/>
                <w:sz w:val="16"/>
                <w:szCs w:val="16"/>
                <w:u w:val="none"/>
              </w:rPr>
            </w:pPr>
          </w:p>
        </w:tc>
      </w:tr>
      <w:tr w14:paraId="67C0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E8C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3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B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77C4">
            <w:pPr>
              <w:rPr>
                <w:rFonts w:hint="eastAsia" w:ascii="宋体" w:hAnsi="宋体" w:eastAsia="宋体" w:cs="宋体"/>
                <w:i w:val="0"/>
                <w:iCs w:val="0"/>
                <w:color w:val="000000"/>
                <w:sz w:val="18"/>
                <w:szCs w:val="18"/>
                <w:u w:val="none"/>
              </w:rPr>
            </w:pPr>
          </w:p>
        </w:tc>
      </w:tr>
      <w:tr w14:paraId="1C8A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D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8AAF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D2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0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334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99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C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0A3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98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306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164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46C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nil"/>
              <w:left w:val="nil"/>
              <w:bottom w:val="nil"/>
              <w:right w:val="nil"/>
            </w:tcBorders>
            <w:shd w:val="clear" w:color="auto" w:fill="auto"/>
            <w:vAlign w:val="center"/>
          </w:tcPr>
          <w:p w14:paraId="5074747C">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37E3FBE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5B009570">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52846CA1">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0A55C44">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69BD2D5">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1EE074B">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26F875CE">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100716BD">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7430629D">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2E6222AF">
            <w:pPr>
              <w:rPr>
                <w:rFonts w:hint="eastAsia" w:ascii="宋体" w:hAnsi="宋体" w:eastAsia="宋体" w:cs="宋体"/>
                <w:i w:val="0"/>
                <w:iCs w:val="0"/>
                <w:color w:val="000000"/>
                <w:sz w:val="18"/>
                <w:szCs w:val="18"/>
                <w:u w:val="none"/>
              </w:rPr>
            </w:pPr>
          </w:p>
        </w:tc>
      </w:tr>
      <w:tr w14:paraId="7B4E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D7204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95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5B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ABF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51090324T000010502986-人才生活补贴和购房补贴资金</w:t>
            </w:r>
          </w:p>
        </w:tc>
      </w:tr>
      <w:tr w14:paraId="2B11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E7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BE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中国共产党四川省遂宁市船山区委组织部部门</w:t>
            </w:r>
          </w:p>
        </w:tc>
        <w:tc>
          <w:tcPr>
            <w:tcW w:w="986" w:type="dxa"/>
            <w:tcBorders>
              <w:top w:val="nil"/>
              <w:left w:val="nil"/>
              <w:bottom w:val="nil"/>
              <w:right w:val="nil"/>
            </w:tcBorders>
            <w:shd w:val="clear" w:color="auto" w:fill="auto"/>
            <w:vAlign w:val="center"/>
          </w:tcPr>
          <w:p w14:paraId="528BBB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D8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中国共产党四川省遂宁市船山区委组织部</w:t>
            </w:r>
          </w:p>
        </w:tc>
      </w:tr>
      <w:tr w14:paraId="7576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EBF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8F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2F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AB5C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BA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E043">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0DC5">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3D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针对全区人才工作的短板和薄弱环节，解决一是人才总量偏少；二是人才队伍结构单一；三是围绕中心不紧；四是服务环境不优。健全服务体系，对全区33名优秀人才均安排县级领导联系，帮助解决问题、开展走访慰问，切实落实创业贷款、生活补贴、租房补贴、子女入学等福利，解决人才生活急难问题。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进、留</w:t>
            </w:r>
            <w:r>
              <w:rPr>
                <w:rFonts w:hint="eastAsia" w:ascii="宋体" w:hAnsi="宋体" w:cs="宋体"/>
                <w:i w:val="0"/>
                <w:iCs w:val="0"/>
                <w:color w:val="000000"/>
                <w:kern w:val="0"/>
                <w:sz w:val="18"/>
                <w:szCs w:val="18"/>
                <w:u w:val="none"/>
                <w:lang w:val="en-US" w:eastAsia="zh-CN" w:bidi="ar"/>
              </w:rPr>
              <w:t>得</w:t>
            </w:r>
            <w:r>
              <w:rPr>
                <w:rFonts w:ascii="宋体" w:hAnsi="宋体" w:eastAsia="宋体" w:cs="宋体"/>
                <w:i w:val="0"/>
                <w:iCs w:val="0"/>
                <w:color w:val="000000"/>
                <w:kern w:val="0"/>
                <w:sz w:val="18"/>
                <w:szCs w:val="18"/>
                <w:u w:val="none"/>
                <w:lang w:val="en-US" w:eastAsia="zh-CN" w:bidi="ar"/>
              </w:rPr>
              <w:t>住。</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4FF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该项目已全面完成年度目标任务</w:t>
            </w:r>
          </w:p>
        </w:tc>
      </w:tr>
      <w:tr w14:paraId="1CF9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F88E">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0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6836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按照政策对全区引进的人才给予生活补贴和购房补贴，该项目已全面完成，发放人才生活补贴和购房补贴55.42万元。</w:t>
            </w:r>
          </w:p>
        </w:tc>
      </w:tr>
      <w:tr w14:paraId="4ED8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7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1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D7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D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F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04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CADC">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4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B7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D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6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789D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92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962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F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8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D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75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C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014D">
            <w:pPr>
              <w:rPr>
                <w:rFonts w:hint="eastAsia" w:ascii="黑体" w:hAnsi="黑体" w:eastAsia="黑体" w:cs="黑体"/>
                <w:i/>
                <w:iCs/>
                <w:color w:val="000000"/>
                <w:sz w:val="18"/>
                <w:szCs w:val="18"/>
                <w:u w:val="none"/>
              </w:rPr>
            </w:pPr>
          </w:p>
        </w:tc>
      </w:tr>
      <w:tr w14:paraId="2CA5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5AE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0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7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A8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3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7F91">
            <w:pPr>
              <w:rPr>
                <w:rFonts w:hint="eastAsia" w:ascii="黑体" w:hAnsi="黑体" w:eastAsia="黑体" w:cs="黑体"/>
                <w:i/>
                <w:iCs/>
                <w:color w:val="000000"/>
                <w:sz w:val="18"/>
                <w:szCs w:val="18"/>
                <w:u w:val="none"/>
              </w:rPr>
            </w:pPr>
          </w:p>
        </w:tc>
      </w:tr>
      <w:tr w14:paraId="323E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5DA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1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91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A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89E3">
            <w:pPr>
              <w:rPr>
                <w:rFonts w:hint="eastAsia" w:ascii="黑体" w:hAnsi="黑体" w:eastAsia="黑体" w:cs="黑体"/>
                <w:i/>
                <w:iCs/>
                <w:color w:val="000000"/>
                <w:sz w:val="18"/>
                <w:szCs w:val="18"/>
                <w:u w:val="none"/>
              </w:rPr>
            </w:pPr>
          </w:p>
        </w:tc>
      </w:tr>
      <w:tr w14:paraId="1388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638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5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35D">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EE3A">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585FA">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87C2">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C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525E">
            <w:pPr>
              <w:rPr>
                <w:rFonts w:hint="eastAsia" w:ascii="黑体" w:hAnsi="黑体" w:eastAsia="黑体" w:cs="黑体"/>
                <w:i/>
                <w:iCs/>
                <w:color w:val="000000"/>
                <w:sz w:val="18"/>
                <w:szCs w:val="18"/>
                <w:u w:val="none"/>
              </w:rPr>
            </w:pPr>
          </w:p>
        </w:tc>
      </w:tr>
      <w:tr w14:paraId="2EC0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01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1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B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2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F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4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C2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3D22">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5C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87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6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发放人才生活及购房补贴次数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C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0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E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5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A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B18">
            <w:pPr>
              <w:jc w:val="center"/>
              <w:rPr>
                <w:rFonts w:hint="eastAsia" w:ascii="微软雅黑" w:hAnsi="微软雅黑" w:eastAsia="微软雅黑" w:cs="微软雅黑"/>
                <w:i/>
                <w:iCs/>
                <w:color w:val="000000"/>
                <w:sz w:val="16"/>
                <w:szCs w:val="16"/>
                <w:u w:val="none"/>
              </w:rPr>
            </w:pPr>
          </w:p>
        </w:tc>
      </w:tr>
      <w:tr w14:paraId="27DF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6752">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F93C">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F65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3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发放人才生活及购房补贴次数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E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0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F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0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9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7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FF9">
            <w:pPr>
              <w:jc w:val="center"/>
              <w:rPr>
                <w:rFonts w:hint="eastAsia" w:ascii="微软雅黑" w:hAnsi="微软雅黑" w:eastAsia="微软雅黑" w:cs="微软雅黑"/>
                <w:i/>
                <w:iCs/>
                <w:color w:val="000000"/>
                <w:sz w:val="16"/>
                <w:szCs w:val="16"/>
                <w:u w:val="none"/>
              </w:rPr>
            </w:pPr>
          </w:p>
        </w:tc>
      </w:tr>
      <w:tr w14:paraId="7148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1CE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A280">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BF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A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发放人才生活及购房补贴合规率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A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8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0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FE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F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E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7494">
            <w:pPr>
              <w:jc w:val="center"/>
              <w:rPr>
                <w:rFonts w:hint="eastAsia" w:ascii="微软雅黑" w:hAnsi="微软雅黑" w:eastAsia="微软雅黑" w:cs="微软雅黑"/>
                <w:i/>
                <w:iCs/>
                <w:color w:val="000000"/>
                <w:sz w:val="16"/>
                <w:szCs w:val="16"/>
                <w:u w:val="none"/>
              </w:rPr>
            </w:pPr>
          </w:p>
        </w:tc>
      </w:tr>
      <w:tr w14:paraId="7645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AF3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02BA">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8C7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F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发放人才生活及购房补贴准确率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C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5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D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269D">
            <w:pPr>
              <w:jc w:val="center"/>
              <w:rPr>
                <w:rFonts w:hint="eastAsia" w:ascii="微软雅黑" w:hAnsi="微软雅黑" w:eastAsia="微软雅黑" w:cs="微软雅黑"/>
                <w:i/>
                <w:iCs/>
                <w:color w:val="000000"/>
                <w:sz w:val="16"/>
                <w:szCs w:val="16"/>
                <w:u w:val="none"/>
              </w:rPr>
            </w:pPr>
          </w:p>
        </w:tc>
      </w:tr>
      <w:tr w14:paraId="789E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0F2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91C8">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1B1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人才招聘活动资金使用合规率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5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1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B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A8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920">
            <w:pPr>
              <w:jc w:val="center"/>
              <w:rPr>
                <w:rFonts w:hint="eastAsia" w:ascii="微软雅黑" w:hAnsi="微软雅黑" w:eastAsia="微软雅黑" w:cs="微软雅黑"/>
                <w:i/>
                <w:iCs/>
                <w:color w:val="000000"/>
                <w:sz w:val="16"/>
                <w:szCs w:val="16"/>
                <w:u w:val="none"/>
              </w:rPr>
            </w:pPr>
          </w:p>
        </w:tc>
      </w:tr>
      <w:tr w14:paraId="6B69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DF6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FA4F">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8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E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1B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B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1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E49">
            <w:pPr>
              <w:jc w:val="center"/>
              <w:rPr>
                <w:rFonts w:hint="eastAsia" w:ascii="微软雅黑" w:hAnsi="微软雅黑" w:eastAsia="微软雅黑" w:cs="微软雅黑"/>
                <w:i/>
                <w:iCs/>
                <w:color w:val="000000"/>
                <w:sz w:val="16"/>
                <w:szCs w:val="16"/>
                <w:u w:val="none"/>
              </w:rPr>
            </w:pPr>
          </w:p>
        </w:tc>
      </w:tr>
      <w:tr w14:paraId="7446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1FBD">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0B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发放人才生活及购房补贴参与度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8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9FA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B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1CDD">
            <w:pPr>
              <w:jc w:val="center"/>
              <w:rPr>
                <w:rFonts w:hint="eastAsia" w:ascii="微软雅黑" w:hAnsi="微软雅黑" w:eastAsia="微软雅黑" w:cs="微软雅黑"/>
                <w:i/>
                <w:iCs/>
                <w:color w:val="000000"/>
                <w:sz w:val="16"/>
                <w:szCs w:val="16"/>
                <w:u w:val="none"/>
              </w:rPr>
            </w:pPr>
          </w:p>
        </w:tc>
      </w:tr>
      <w:tr w14:paraId="593B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B006">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6F26">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86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47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对人才的长效管理机制</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9B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3E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EF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4D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09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42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BA28B">
            <w:pPr>
              <w:jc w:val="center"/>
              <w:rPr>
                <w:rFonts w:hint="eastAsia" w:ascii="微软雅黑" w:hAnsi="微软雅黑" w:eastAsia="微软雅黑" w:cs="微软雅黑"/>
                <w:i/>
                <w:iCs/>
                <w:color w:val="000000"/>
                <w:sz w:val="16"/>
                <w:szCs w:val="16"/>
                <w:u w:val="none"/>
              </w:rPr>
            </w:pPr>
          </w:p>
        </w:tc>
      </w:tr>
      <w:tr w14:paraId="0F95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157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854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FBBA">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2E59">
            <w:pPr>
              <w:jc w:val="center"/>
              <w:rPr>
                <w:rFonts w:hint="eastAsia" w:ascii="宋体" w:hAnsi="宋体" w:eastAsia="宋体" w:cs="宋体"/>
                <w:i w:val="0"/>
                <w:iCs w:val="0"/>
                <w:color w:val="000000"/>
                <w:sz w:val="18"/>
                <w:szCs w:val="18"/>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A0718">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7A2D">
            <w:pPr>
              <w:jc w:val="center"/>
              <w:rPr>
                <w:rFonts w:hint="eastAsia" w:ascii="宋体" w:hAnsi="宋体" w:eastAsia="宋体" w:cs="宋体"/>
                <w:i w:val="0"/>
                <w:iCs w:val="0"/>
                <w:color w:val="000000"/>
                <w:sz w:val="18"/>
                <w:szCs w:val="18"/>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F5ED">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A7F9">
            <w:pPr>
              <w:jc w:val="center"/>
              <w:rPr>
                <w:rFonts w:hint="eastAsia" w:ascii="微软雅黑" w:hAnsi="微软雅黑" w:eastAsia="微软雅黑" w:cs="微软雅黑"/>
                <w:i/>
                <w:iCs/>
                <w:color w:val="000000"/>
                <w:sz w:val="16"/>
                <w:szCs w:val="16"/>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877E">
            <w:pPr>
              <w:jc w:val="center"/>
              <w:rPr>
                <w:rFonts w:hint="eastAsia" w:ascii="宋体" w:hAnsi="宋体" w:eastAsia="宋体" w:cs="宋体"/>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4597">
            <w:pPr>
              <w:jc w:val="center"/>
              <w:rPr>
                <w:rFonts w:hint="eastAsia" w:ascii="宋体" w:hAnsi="宋体" w:eastAsia="宋体" w:cs="宋体"/>
                <w:i w:val="0"/>
                <w:iCs w:val="0"/>
                <w:color w:val="000000"/>
                <w:sz w:val="18"/>
                <w:szCs w:val="1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A43A">
            <w:pPr>
              <w:jc w:val="center"/>
              <w:rPr>
                <w:rFonts w:hint="eastAsia" w:ascii="微软雅黑" w:hAnsi="微软雅黑" w:eastAsia="微软雅黑" w:cs="微软雅黑"/>
                <w:i/>
                <w:iCs/>
                <w:color w:val="000000"/>
                <w:sz w:val="16"/>
                <w:szCs w:val="16"/>
                <w:u w:val="none"/>
              </w:rPr>
            </w:pPr>
          </w:p>
        </w:tc>
      </w:tr>
      <w:tr w14:paraId="242D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1903">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3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D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招引人才各部门及企业满意度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4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2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E1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B274">
            <w:pPr>
              <w:jc w:val="center"/>
              <w:rPr>
                <w:rFonts w:hint="eastAsia" w:ascii="微软雅黑" w:hAnsi="微软雅黑" w:eastAsia="微软雅黑" w:cs="微软雅黑"/>
                <w:i/>
                <w:iCs/>
                <w:color w:val="000000"/>
                <w:sz w:val="16"/>
                <w:szCs w:val="16"/>
                <w:u w:val="none"/>
              </w:rPr>
            </w:pPr>
          </w:p>
        </w:tc>
      </w:tr>
      <w:tr w14:paraId="541F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9B9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E91B">
            <w:pPr>
              <w:rPr>
                <w:rFonts w:hint="eastAsia" w:ascii="宋体" w:hAnsi="宋体" w:eastAsia="宋体" w:cs="宋体"/>
                <w:i w:val="0"/>
                <w:iCs w:val="0"/>
                <w:color w:val="000000"/>
                <w:sz w:val="18"/>
                <w:szCs w:val="18"/>
                <w:u w:val="none"/>
              </w:rPr>
            </w:pPr>
          </w:p>
        </w:tc>
      </w:tr>
      <w:tr w14:paraId="6754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2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F8F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59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96C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64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1425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1E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12F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076D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4F5D375">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32C0E7CC">
      <w:pPr>
        <w:pStyle w:val="2"/>
        <w:rPr>
          <w:rFonts w:hint="eastAsia" w:hAnsi="宋体" w:cs="宋体"/>
          <w:color w:val="FF0000"/>
          <w:kern w:val="0"/>
          <w:sz w:val="32"/>
          <w:szCs w:val="32"/>
          <w:highlight w:val="none"/>
          <w:shd w:val="clear" w:color="auto" w:fill="FFFFFF"/>
          <w:lang w:val="zh-CN"/>
        </w:rPr>
      </w:pPr>
    </w:p>
    <w:p w14:paraId="41BA9BC5">
      <w:pPr>
        <w:pStyle w:val="2"/>
        <w:rPr>
          <w:rFonts w:hint="eastAsia" w:ascii="黑体" w:hAnsi="黑体" w:eastAsia="黑体" w:cs="黑体"/>
          <w:color w:val="auto"/>
          <w:kern w:val="0"/>
          <w:sz w:val="32"/>
          <w:szCs w:val="32"/>
          <w:highlight w:val="none"/>
          <w:shd w:val="clear" w:color="auto" w:fill="FFFFFF"/>
          <w:lang w:val="zh-CN"/>
        </w:rPr>
        <w:sectPr>
          <w:footerReference r:id="rId7" w:type="default"/>
          <w:pgSz w:w="16838" w:h="11906" w:orient="landscape"/>
          <w:pgMar w:top="1803" w:right="1440" w:bottom="1803" w:left="1440" w:header="851" w:footer="992" w:gutter="0"/>
          <w:pgNumType w:fmt="decimal"/>
          <w:cols w:space="0" w:num="1"/>
          <w:rtlGutter w:val="0"/>
          <w:docGrid w:type="lines" w:linePitch="319" w:charSpace="0"/>
        </w:sectPr>
      </w:pPr>
    </w:p>
    <w:p w14:paraId="7525E965">
      <w:pPr>
        <w:pStyle w:val="2"/>
        <w:outlineLvl w:val="1"/>
        <w:rPr>
          <w:rFonts w:hint="eastAsia" w:ascii="黑体" w:hAnsi="黑体" w:eastAsia="黑体" w:cs="黑体"/>
          <w:color w:val="auto"/>
          <w:sz w:val="32"/>
          <w:szCs w:val="32"/>
          <w:highlight w:val="none"/>
          <w:lang w:val="en-US" w:eastAsia="zh-CN"/>
        </w:rPr>
      </w:pPr>
      <w:bookmarkStart w:id="104" w:name="_Toc20429"/>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104"/>
    </w:p>
    <w:p w14:paraId="7003D1A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部门预算项目支出绩效自评报告</w:t>
      </w:r>
    </w:p>
    <w:p w14:paraId="61C8339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val="en-US" w:eastAsia="zh-CN"/>
        </w:rPr>
        <w:t>关工委工作经费</w:t>
      </w:r>
      <w:r>
        <w:rPr>
          <w:rFonts w:hint="default" w:ascii="Times New Roman" w:hAnsi="Times New Roman" w:eastAsia="方正小标宋简体" w:cs="Times New Roman"/>
          <w:sz w:val="44"/>
          <w:szCs w:val="44"/>
        </w:rPr>
        <w:t>项目）</w:t>
      </w:r>
    </w:p>
    <w:p w14:paraId="7917141A">
      <w:pPr>
        <w:keepNext w:val="0"/>
        <w:keepLines w:val="0"/>
        <w:pageBreakBefore w:val="0"/>
        <w:widowControl w:val="0"/>
        <w:tabs>
          <w:tab w:val="left" w:pos="3885"/>
        </w:tabs>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黑体" w:cs="Times New Roman"/>
          <w:sz w:val="32"/>
          <w:szCs w:val="32"/>
        </w:rPr>
      </w:pPr>
      <w:bookmarkStart w:id="105" w:name="_Toc12613"/>
      <w:r>
        <w:rPr>
          <w:rFonts w:hint="eastAsia" w:eastAsia="黑体" w:cs="Times New Roman"/>
          <w:sz w:val="32"/>
          <w:szCs w:val="32"/>
          <w:lang w:val="en-US" w:eastAsia="zh-CN"/>
        </w:rPr>
        <w:t>一、</w:t>
      </w:r>
      <w:r>
        <w:rPr>
          <w:rFonts w:hint="default" w:ascii="Times New Roman" w:hAnsi="Times New Roman" w:eastAsia="黑体" w:cs="Times New Roman"/>
          <w:sz w:val="32"/>
          <w:szCs w:val="32"/>
        </w:rPr>
        <w:t>基本情况</w:t>
      </w:r>
      <w:bookmarkEnd w:id="105"/>
    </w:p>
    <w:p w14:paraId="0E003160">
      <w:pPr>
        <w:keepNext w:val="0"/>
        <w:keepLines w:val="0"/>
        <w:pageBreakBefore w:val="0"/>
        <w:widowControl w:val="0"/>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w:t>
      </w:r>
    </w:p>
    <w:p w14:paraId="557AD28B">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仿宋_GB2312"/>
          <w:sz w:val="32"/>
          <w:szCs w:val="32"/>
          <w:shd w:val="clear" w:color="auto" w:fill="FFFFFF"/>
          <w:lang w:val="en-US" w:eastAsia="zh-CN"/>
        </w:rPr>
      </w:pPr>
      <w:r>
        <w:rPr>
          <w:rFonts w:hint="eastAsia" w:ascii="仿宋" w:hAnsi="仿宋" w:eastAsia="仿宋" w:cs="仿宋"/>
          <w:sz w:val="32"/>
          <w:szCs w:val="32"/>
          <w:lang w:eastAsia="zh-CN"/>
        </w:rPr>
        <w:t>该项目是为了</w:t>
      </w:r>
      <w:r>
        <w:rPr>
          <w:rFonts w:hint="eastAsia" w:ascii="仿宋" w:hAnsi="仿宋" w:eastAsia="仿宋" w:cs="仿宋"/>
          <w:sz w:val="32"/>
          <w:szCs w:val="32"/>
          <w:lang w:val="en-US" w:eastAsia="zh-CN"/>
        </w:rPr>
        <w:t>根据遂宁市人民政府办公室</w:t>
      </w:r>
      <w:r>
        <w:rPr>
          <w:rFonts w:hint="eastAsia" w:ascii="仿宋" w:hAnsi="仿宋" w:eastAsia="仿宋" w:cs="仿宋"/>
          <w:sz w:val="32"/>
          <w:szCs w:val="32"/>
          <w:shd w:val="clear" w:color="auto" w:fill="FFFFFF"/>
          <w:lang w:val="en-US" w:eastAsia="zh-CN"/>
        </w:rPr>
        <w:t>《关于贯彻&lt;四川省关心下一代工作委员会工作规则&gt;的实施意见》部署要求，努力建成德高有威望、领域有专长、工作有热情、年龄有梯次的关工委领导班子和以“五老”志愿者为代表的骨干队伍，逐步实现基层关工委组织网格化、工作规范化、活动经常化，该项目主要用于关工委日常工作，开展扶弱助困活动及未成年人各种主题活动，对青少年给予扶持、对贫困留守儿童给予慰问通过各种渠道对青少年进行教育、帮助、树立良好生产、生活环境为构建和谐社会稳定奠定良好基础。</w:t>
      </w:r>
    </w:p>
    <w:p w14:paraId="1AE5252E">
      <w:pPr>
        <w:keepNext w:val="0"/>
        <w:keepLines w:val="0"/>
        <w:pageBreakBefore w:val="0"/>
        <w:widowControl w:val="0"/>
        <w:numPr>
          <w:ilvl w:val="0"/>
          <w:numId w:val="5"/>
        </w:numPr>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项目实施情况。</w:t>
      </w:r>
    </w:p>
    <w:p w14:paraId="3BC53604">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该项目计划用于关工委日常工作，开展扶弱助困活动及未成年人各种主题活动，对青少年给予扶持、对贫困留守儿童给予慰问通过各种渠道对青少年进行教育、帮助、树立良好生产、生活环境为构建和谐社会稳定奠定良好基础。通过该项目的实施，完成了关工委主任扩大会议的召开、外出调研活动的进行、“六一”儿童节对特殊困难儿童的慰问、全区《关爱明天杂志》的征订、关心下一代暖冬行动活动的开展、“五老”工作室的开展与创建等。</w:t>
      </w:r>
    </w:p>
    <w:p w14:paraId="5337CDF3">
      <w:pPr>
        <w:keepNext w:val="0"/>
        <w:keepLines w:val="0"/>
        <w:pageBreakBefore w:val="0"/>
        <w:widowControl w:val="0"/>
        <w:numPr>
          <w:ilvl w:val="0"/>
          <w:numId w:val="5"/>
        </w:numPr>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资金投入使用情况。</w:t>
      </w:r>
    </w:p>
    <w:p w14:paraId="050C33BA">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cs="Times New Roman"/>
          <w:b/>
          <w:bCs/>
          <w:lang w:val="en-US" w:eastAsia="zh-CN"/>
        </w:rPr>
      </w:pPr>
      <w:r>
        <w:rPr>
          <w:rFonts w:hint="eastAsia" w:ascii="仿宋" w:hAnsi="仿宋" w:eastAsia="仿宋" w:cs="仿宋"/>
          <w:sz w:val="32"/>
          <w:szCs w:val="32"/>
          <w:shd w:val="clear" w:color="auto" w:fill="FFFFFF"/>
          <w:lang w:val="en-US" w:eastAsia="zh-CN"/>
        </w:rPr>
        <w:t>该项目预算批复数为300000元，到位300000元，调剂数为-115639.75元，预算数为184360.25元，</w:t>
      </w:r>
      <w:r>
        <w:rPr>
          <w:rFonts w:hint="default" w:ascii="仿宋" w:hAnsi="仿宋" w:eastAsia="仿宋" w:cs="仿宋"/>
          <w:sz w:val="32"/>
          <w:szCs w:val="32"/>
          <w:shd w:val="clear" w:color="auto" w:fill="FFFFFF"/>
          <w:lang w:val="en-US" w:eastAsia="zh-CN"/>
        </w:rPr>
        <w:t>全</w:t>
      </w:r>
      <w:r>
        <w:rPr>
          <w:rFonts w:hint="eastAsia" w:ascii="仿宋" w:hAnsi="仿宋" w:eastAsia="仿宋" w:cs="仿宋"/>
          <w:sz w:val="32"/>
          <w:szCs w:val="32"/>
          <w:shd w:val="clear" w:color="auto" w:fill="FFFFFF"/>
          <w:lang w:val="en-US" w:eastAsia="zh-CN"/>
        </w:rPr>
        <w:t>年</w:t>
      </w:r>
      <w:r>
        <w:rPr>
          <w:rFonts w:hint="default" w:ascii="仿宋" w:hAnsi="仿宋" w:eastAsia="仿宋" w:cs="仿宋"/>
          <w:sz w:val="32"/>
          <w:szCs w:val="32"/>
          <w:shd w:val="clear" w:color="auto" w:fill="FFFFFF"/>
          <w:lang w:val="en-US" w:eastAsia="zh-CN"/>
        </w:rPr>
        <w:t>支付</w:t>
      </w:r>
      <w:r>
        <w:rPr>
          <w:rFonts w:hint="eastAsia" w:ascii="仿宋" w:hAnsi="仿宋" w:eastAsia="仿宋" w:cs="仿宋"/>
          <w:sz w:val="32"/>
          <w:szCs w:val="32"/>
          <w:shd w:val="clear" w:color="auto" w:fill="FFFFFF"/>
          <w:lang w:val="en-US" w:eastAsia="zh-CN"/>
        </w:rPr>
        <w:t>数为184360.25元，占预算数为100%</w:t>
      </w:r>
      <w:r>
        <w:rPr>
          <w:rFonts w:hint="default" w:ascii="仿宋" w:hAnsi="仿宋" w:eastAsia="仿宋" w:cs="仿宋"/>
          <w:sz w:val="32"/>
          <w:szCs w:val="32"/>
          <w:shd w:val="clear" w:color="auto" w:fill="FFFFFF"/>
          <w:lang w:val="en-US" w:eastAsia="zh-CN"/>
        </w:rPr>
        <w:t>。</w:t>
      </w:r>
    </w:p>
    <w:p w14:paraId="43335563">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(四）项目绩效目标。</w:t>
      </w:r>
    </w:p>
    <w:tbl>
      <w:tblPr>
        <w:tblStyle w:val="16"/>
        <w:tblW w:w="86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8"/>
        <w:gridCol w:w="1180"/>
        <w:gridCol w:w="921"/>
        <w:gridCol w:w="1072"/>
        <w:gridCol w:w="683"/>
        <w:gridCol w:w="787"/>
        <w:gridCol w:w="721"/>
        <w:gridCol w:w="474"/>
        <w:gridCol w:w="674"/>
      </w:tblGrid>
      <w:tr w14:paraId="56B7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3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51090322T000000347991-关工委工作经费</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CF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91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1E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关工委举办活动次数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C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9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1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89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670A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FC85">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3C36D">
            <w:pP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1DAB">
            <w:pP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C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订阅《关心下一代》杂志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3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1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E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0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57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4840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1976">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97D8">
            <w:pPr>
              <w:rPr>
                <w:rFonts w:hint="eastAsia" w:ascii="宋体" w:hAnsi="宋体" w:eastAsia="宋体" w:cs="宋体"/>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1A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5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工作补贴发放率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3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8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C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31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40CD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9E80">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3759">
            <w:pP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D130">
            <w:pP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4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0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0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9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5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7B05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AFFA">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3E42">
            <w:pPr>
              <w:rPr>
                <w:rFonts w:hint="eastAsia" w:ascii="宋体" w:hAnsi="宋体" w:eastAsia="宋体" w:cs="宋体"/>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CA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E1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按期开展活动完成率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3C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7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231A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78C8">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158E2">
            <w:pP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1852">
            <w:pP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44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资金使用期限</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A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D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6C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1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0DEF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D088">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48D8">
            <w:pP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BD9B">
            <w:pP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6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按期开展活动及时率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6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A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5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6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304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D9B6">
            <w:pPr>
              <w:rPr>
                <w:rFonts w:hint="eastAsia" w:ascii="宋体" w:hAnsi="宋体" w:eastAsia="宋体" w:cs="宋体"/>
                <w:i w:val="0"/>
                <w:iCs w:val="0"/>
                <w:color w:val="000000"/>
                <w:sz w:val="18"/>
                <w:szCs w:val="18"/>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5A0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2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6C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更好发挥五老优势、加强新时代关心下一代工作中的内涵和实践</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3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3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3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6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45B3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8285">
            <w:pPr>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D7C0">
            <w:pP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5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8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877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4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2BD5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16AF">
            <w:pPr>
              <w:rPr>
                <w:rFonts w:hint="eastAsia" w:ascii="宋体" w:hAnsi="宋体" w:eastAsia="宋体" w:cs="宋体"/>
                <w:i w:val="0"/>
                <w:iCs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FA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6F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受助儿童满意度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5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F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9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E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262B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7ED3">
            <w:pPr>
              <w:rPr>
                <w:rFonts w:hint="eastAsia" w:ascii="宋体" w:hAnsi="宋体" w:eastAsia="宋体" w:cs="宋体"/>
                <w:i w:val="0"/>
                <w:iCs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B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0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该项目预算成本控制数成本</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A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7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0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B5CC">
            <w:pPr>
              <w:rPr>
                <w:rFonts w:hint="eastAsia" w:ascii="宋体" w:hAnsi="宋体" w:eastAsia="宋体" w:cs="宋体"/>
                <w:i w:val="0"/>
                <w:iCs w:val="0"/>
                <w:color w:val="000000"/>
                <w:sz w:val="18"/>
                <w:szCs w:val="18"/>
                <w:u w:val="none"/>
              </w:rPr>
            </w:pPr>
          </w:p>
        </w:tc>
      </w:tr>
    </w:tbl>
    <w:p w14:paraId="285B3E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1"/>
        <w:rPr>
          <w:rFonts w:hint="default" w:ascii="Times New Roman" w:hAnsi="Times New Roman" w:cs="Times New Roman"/>
          <w:sz w:val="32"/>
          <w:szCs w:val="32"/>
        </w:rPr>
      </w:pPr>
      <w:bookmarkStart w:id="106" w:name="_Toc4006"/>
      <w:r>
        <w:rPr>
          <w:rFonts w:hint="default" w:ascii="Times New Roman" w:hAnsi="Times New Roman" w:eastAsia="黑体" w:cs="Times New Roman"/>
          <w:sz w:val="32"/>
          <w:szCs w:val="32"/>
        </w:rPr>
        <w:t>二、评价工作开展情况</w:t>
      </w:r>
      <w:bookmarkEnd w:id="106"/>
    </w:p>
    <w:p w14:paraId="195C4D10">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default" w:ascii="仿宋" w:hAnsi="仿宋" w:eastAsia="仿宋" w:cs="仿宋"/>
          <w:sz w:val="32"/>
          <w:szCs w:val="32"/>
          <w:shd w:val="clear" w:color="auto" w:fill="FFFFFF"/>
          <w:lang w:val="en-US" w:eastAsia="zh-CN"/>
        </w:rPr>
        <w:t>1.建立了自评工作组，以分管领导为组长，办公室负责人为副组长，办公室和财务等有关人员组成自评工作小组。</w:t>
      </w:r>
    </w:p>
    <w:p w14:paraId="3A564FD0">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default" w:ascii="仿宋" w:hAnsi="仿宋" w:eastAsia="仿宋" w:cs="仿宋"/>
          <w:sz w:val="32"/>
          <w:szCs w:val="32"/>
          <w:shd w:val="clear" w:color="auto" w:fill="FFFFFF"/>
          <w:lang w:val="en-US" w:eastAsia="zh-CN"/>
        </w:rPr>
        <w:t>2.组织开展项目自评工作</w:t>
      </w:r>
      <w:r>
        <w:rPr>
          <w:rFonts w:hint="eastAsia" w:ascii="仿宋" w:hAnsi="仿宋" w:eastAsia="仿宋" w:cs="仿宋"/>
          <w:sz w:val="32"/>
          <w:szCs w:val="32"/>
          <w:shd w:val="clear" w:color="auto" w:fill="FFFFFF"/>
          <w:lang w:val="en-US" w:eastAsia="zh-CN"/>
        </w:rPr>
        <w:t>得分为96分</w:t>
      </w:r>
      <w:r>
        <w:rPr>
          <w:rFonts w:hint="default" w:ascii="仿宋" w:hAnsi="仿宋" w:eastAsia="仿宋" w:cs="仿宋"/>
          <w:sz w:val="32"/>
          <w:szCs w:val="32"/>
          <w:shd w:val="clear" w:color="auto" w:fill="FFFFFF"/>
          <w:lang w:val="en-US" w:eastAsia="zh-CN"/>
        </w:rPr>
        <w:t>。一是深入调查，收集资料。根据自评评价的工作计划及安排制订详细的调查提纲，并开展实际调查工作，收集评估所需的各种资料和数据。二是分析研究。采用定量和定性分析方法，针对问题进行深入的分析研究。三是编制评估报告。将分析研究的结果进行汇总、整理，编制出项目后评估报告。</w:t>
      </w:r>
    </w:p>
    <w:p w14:paraId="0E2C79A8">
      <w:pPr>
        <w:pStyle w:val="2"/>
        <w:ind w:left="0" w:leftChars="0" w:firstLine="640" w:firstLineChars="200"/>
        <w:rPr>
          <w:rFonts w:hint="default" w:eastAsia="黑体"/>
          <w:sz w:val="32"/>
          <w:szCs w:val="32"/>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eastAsia="黑体"/>
          <w:sz w:val="32"/>
          <w:szCs w:val="32"/>
          <w:lang w:val="en-US" w:eastAsia="zh-CN"/>
        </w:rPr>
        <w:t>三、综合评价结论（附评分表）</w:t>
      </w:r>
    </w:p>
    <w:tbl>
      <w:tblPr>
        <w:tblStyle w:val="16"/>
        <w:tblpPr w:leftFromText="180" w:rightFromText="180" w:vertAnchor="text" w:horzAnchor="page" w:tblpX="1708" w:tblpY="262"/>
        <w:tblOverlap w:val="never"/>
        <w:tblW w:w="8914" w:type="dxa"/>
        <w:tblInd w:w="0" w:type="dxa"/>
        <w:tblLayout w:type="fixed"/>
        <w:tblCellMar>
          <w:top w:w="0" w:type="dxa"/>
          <w:left w:w="0" w:type="dxa"/>
          <w:bottom w:w="0" w:type="dxa"/>
          <w:right w:w="0" w:type="dxa"/>
        </w:tblCellMar>
      </w:tblPr>
      <w:tblGrid>
        <w:gridCol w:w="1140"/>
        <w:gridCol w:w="926"/>
        <w:gridCol w:w="1009"/>
        <w:gridCol w:w="1658"/>
        <w:gridCol w:w="688"/>
        <w:gridCol w:w="1172"/>
        <w:gridCol w:w="1275"/>
        <w:gridCol w:w="1046"/>
      </w:tblGrid>
      <w:tr w14:paraId="743B37B0">
        <w:tblPrEx>
          <w:tblCellMar>
            <w:top w:w="0" w:type="dxa"/>
            <w:left w:w="0" w:type="dxa"/>
            <w:bottom w:w="0" w:type="dxa"/>
            <w:right w:w="0" w:type="dxa"/>
          </w:tblCellMar>
        </w:tblPrEx>
        <w:trPr>
          <w:trHeight w:val="432" w:hRule="atLeast"/>
        </w:trPr>
        <w:tc>
          <w:tcPr>
            <w:tcW w:w="47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057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分层分类指标</w:t>
            </w: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CDEF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分值</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0E97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目标值</w:t>
            </w:r>
          </w:p>
        </w:tc>
        <w:tc>
          <w:tcPr>
            <w:tcW w:w="12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68B0C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default" w:ascii="Times New Roman" w:hAnsi="Times New Roman" w:eastAsia="黑体" w:cs="Times New Roman"/>
                <w:b w:val="0"/>
                <w:bCs/>
                <w:i w:val="0"/>
                <w:color w:val="auto"/>
                <w:kern w:val="0"/>
                <w:sz w:val="21"/>
                <w:szCs w:val="21"/>
                <w:highlight w:val="none"/>
                <w:u w:val="none"/>
                <w:lang w:val="en-US" w:eastAsia="zh-CN" w:bidi="ar"/>
              </w:rPr>
              <w:t>完成值</w:t>
            </w:r>
          </w:p>
        </w:tc>
        <w:tc>
          <w:tcPr>
            <w:tcW w:w="10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0D1F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自评得分</w:t>
            </w:r>
          </w:p>
        </w:tc>
      </w:tr>
      <w:tr w14:paraId="1E11B79E">
        <w:tblPrEx>
          <w:tblCellMar>
            <w:top w:w="0" w:type="dxa"/>
            <w:left w:w="0" w:type="dxa"/>
            <w:bottom w:w="0" w:type="dxa"/>
            <w:right w:w="0" w:type="dxa"/>
          </w:tblCellMar>
        </w:tblPrEx>
        <w:trPr>
          <w:trHeight w:val="432" w:hRule="atLeast"/>
        </w:trPr>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5378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eastAsia" w:ascii="Times New Roman" w:hAnsi="Times New Roman" w:eastAsia="黑体" w:cs="Times New Roman"/>
                <w:b w:val="0"/>
                <w:bCs/>
                <w:i w:val="0"/>
                <w:color w:val="auto"/>
                <w:kern w:val="0"/>
                <w:sz w:val="18"/>
                <w:szCs w:val="18"/>
                <w:highlight w:val="none"/>
                <w:u w:val="none"/>
                <w:lang w:val="en-US" w:eastAsia="zh-CN" w:bidi="ar"/>
              </w:rPr>
              <w:t>分层</w:t>
            </w:r>
            <w:r>
              <w:rPr>
                <w:rFonts w:hint="default" w:ascii="Times New Roman" w:hAnsi="Times New Roman" w:eastAsia="黑体" w:cs="Times New Roman"/>
                <w:b w:val="0"/>
                <w:bCs/>
                <w:i w:val="0"/>
                <w:color w:val="auto"/>
                <w:kern w:val="0"/>
                <w:sz w:val="18"/>
                <w:szCs w:val="18"/>
                <w:highlight w:val="none"/>
                <w:u w:val="none"/>
                <w:lang w:val="en-US" w:eastAsia="zh-CN" w:bidi="ar"/>
              </w:rPr>
              <w:t>指标</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F514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default" w:ascii="Times New Roman" w:hAnsi="Times New Roman" w:eastAsia="黑体" w:cs="Times New Roman"/>
                <w:b w:val="0"/>
                <w:bCs/>
                <w:i w:val="0"/>
                <w:color w:val="auto"/>
                <w:kern w:val="0"/>
                <w:sz w:val="18"/>
                <w:szCs w:val="18"/>
                <w:highlight w:val="none"/>
                <w:u w:val="none"/>
                <w:lang w:val="en-US" w:eastAsia="zh-CN" w:bidi="ar"/>
              </w:rPr>
              <w:t>适用范围</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E976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eastAsia" w:ascii="Times New Roman" w:hAnsi="Times New Roman" w:eastAsia="黑体" w:cs="Times New Roman"/>
                <w:b w:val="0"/>
                <w:bCs/>
                <w:i w:val="0"/>
                <w:color w:val="auto"/>
                <w:kern w:val="0"/>
                <w:sz w:val="18"/>
                <w:szCs w:val="18"/>
                <w:highlight w:val="none"/>
                <w:u w:val="none"/>
                <w:lang w:val="en-US" w:eastAsia="zh-CN" w:bidi="ar"/>
              </w:rPr>
              <w:t>一</w:t>
            </w:r>
            <w:r>
              <w:rPr>
                <w:rFonts w:hint="default" w:ascii="Times New Roman" w:hAnsi="Times New Roman" w:eastAsia="黑体" w:cs="Times New Roman"/>
                <w:b w:val="0"/>
                <w:bCs/>
                <w:i w:val="0"/>
                <w:color w:val="auto"/>
                <w:kern w:val="0"/>
                <w:sz w:val="18"/>
                <w:szCs w:val="18"/>
                <w:highlight w:val="none"/>
                <w:u w:val="none"/>
                <w:lang w:val="en-US" w:eastAsia="zh-CN" w:bidi="ar"/>
              </w:rPr>
              <w:t>级指标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027B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eastAsia" w:ascii="Times New Roman" w:hAnsi="Times New Roman" w:eastAsia="黑体" w:cs="Times New Roman"/>
                <w:b w:val="0"/>
                <w:bCs/>
                <w:i w:val="0"/>
                <w:color w:val="auto"/>
                <w:kern w:val="0"/>
                <w:sz w:val="18"/>
                <w:szCs w:val="18"/>
                <w:highlight w:val="none"/>
                <w:u w:val="none"/>
                <w:lang w:val="en-US" w:eastAsia="zh-CN" w:bidi="ar"/>
              </w:rPr>
              <w:t>二</w:t>
            </w:r>
            <w:r>
              <w:rPr>
                <w:rFonts w:hint="default" w:ascii="Times New Roman" w:hAnsi="Times New Roman" w:eastAsia="黑体" w:cs="Times New Roman"/>
                <w:b w:val="0"/>
                <w:bCs/>
                <w:i w:val="0"/>
                <w:color w:val="auto"/>
                <w:kern w:val="0"/>
                <w:sz w:val="18"/>
                <w:szCs w:val="18"/>
                <w:highlight w:val="none"/>
                <w:u w:val="none"/>
                <w:lang w:val="en-US" w:eastAsia="zh-CN" w:bidi="ar"/>
              </w:rPr>
              <w:t>级指标</w:t>
            </w: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03F17">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F4E4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275" w:type="dxa"/>
            <w:vMerge w:val="continue"/>
            <w:tcBorders>
              <w:left w:val="single" w:color="000000" w:sz="4" w:space="0"/>
              <w:right w:val="single" w:color="000000" w:sz="4" w:space="0"/>
            </w:tcBorders>
            <w:noWrap w:val="0"/>
            <w:tcMar>
              <w:top w:w="15" w:type="dxa"/>
              <w:left w:w="15" w:type="dxa"/>
              <w:right w:w="15" w:type="dxa"/>
            </w:tcMar>
            <w:vAlign w:val="center"/>
          </w:tcPr>
          <w:p w14:paraId="4ED0CAC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BC240">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r>
      <w:tr w14:paraId="05068214">
        <w:tblPrEx>
          <w:tblCellMar>
            <w:top w:w="0" w:type="dxa"/>
            <w:left w:w="0" w:type="dxa"/>
            <w:bottom w:w="0" w:type="dxa"/>
            <w:right w:w="0" w:type="dxa"/>
          </w:tblCellMar>
        </w:tblPrEx>
        <w:trPr>
          <w:trHeight w:val="325" w:hRule="atLeast"/>
        </w:trPr>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67B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通用指标（20分）不能修改</w:t>
            </w:r>
          </w:p>
        </w:tc>
        <w:tc>
          <w:tcPr>
            <w:tcW w:w="9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CE73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所有项目</w:t>
            </w: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920B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项目决策</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6FBE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程序严密</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CC5B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E7EA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严密</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604A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严密</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CFB6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r>
      <w:tr w14:paraId="7197D07A">
        <w:tblPrEx>
          <w:tblCellMar>
            <w:top w:w="0" w:type="dxa"/>
            <w:left w:w="0" w:type="dxa"/>
            <w:bottom w:w="0" w:type="dxa"/>
            <w:right w:w="0" w:type="dxa"/>
          </w:tblCellMar>
        </w:tblPrEx>
        <w:trPr>
          <w:trHeight w:val="426"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51D3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6379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B17D5">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6F73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规划合理</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6525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4C43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合理</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FD11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合理</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6246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r>
      <w:tr w14:paraId="4979E272">
        <w:tblPrEx>
          <w:tblCellMar>
            <w:top w:w="0" w:type="dxa"/>
            <w:left w:w="0" w:type="dxa"/>
            <w:bottom w:w="0" w:type="dxa"/>
            <w:right w:w="0" w:type="dxa"/>
          </w:tblCellMar>
        </w:tblPrEx>
        <w:trPr>
          <w:trHeight w:val="395"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46F3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122C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D8C75">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EB75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结果符合</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E41F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B98C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符合</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F391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符合</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782B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r>
      <w:tr w14:paraId="6DDEC480">
        <w:tblPrEx>
          <w:tblCellMar>
            <w:top w:w="0" w:type="dxa"/>
            <w:left w:w="0" w:type="dxa"/>
            <w:bottom w:w="0" w:type="dxa"/>
            <w:right w:w="0" w:type="dxa"/>
          </w:tblCellMar>
        </w:tblPrEx>
        <w:trPr>
          <w:trHeight w:val="352"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2055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9574A">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BBB0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项目实施</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0229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执行有效</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D70BC">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7B0A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有效</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0611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有效</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8C40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r>
      <w:tr w14:paraId="23B75399">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CD920">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B396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EB48A">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82DC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使用合规</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F5FC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9FC8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合规</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A592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合规</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D9E9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r>
      <w:tr w14:paraId="5F95089F">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40D1">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EF656">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BC92C">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预算执行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E6C1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预算执行率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3130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cs="Times New Roman"/>
                <w:b w:val="0"/>
                <w:bCs/>
                <w:i w:val="0"/>
                <w:color w:val="auto"/>
                <w:kern w:val="0"/>
                <w:sz w:val="21"/>
                <w:szCs w:val="21"/>
                <w:highlight w:val="none"/>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80CB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85B6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2EAB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3</w:t>
            </w:r>
          </w:p>
        </w:tc>
      </w:tr>
      <w:tr w14:paraId="16E6E47D">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D440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A0370">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936BB">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821E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资金使用率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58A5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C5B4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18BC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EF34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3</w:t>
            </w:r>
          </w:p>
        </w:tc>
      </w:tr>
      <w:tr w14:paraId="18F2349D">
        <w:tblPrEx>
          <w:tblCellMar>
            <w:top w:w="0" w:type="dxa"/>
            <w:left w:w="0" w:type="dxa"/>
            <w:bottom w:w="0" w:type="dxa"/>
            <w:right w:w="0" w:type="dxa"/>
          </w:tblCellMar>
        </w:tblPrEx>
        <w:trPr>
          <w:trHeight w:val="540" w:hRule="atLeast"/>
        </w:trPr>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82B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产出指标（20分）</w:t>
            </w:r>
          </w:p>
        </w:tc>
        <w:tc>
          <w:tcPr>
            <w:tcW w:w="9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4E94C">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所有项目</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0CC9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数量指标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4850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关工委举办活动次数</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F666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B180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rPr>
            </w:pPr>
            <w:r>
              <w:rPr>
                <w:rFonts w:hint="eastAsia" w:ascii="Times New Roman" w:hAnsi="Times New Roman" w:cs="Times New Roman"/>
                <w:b w:val="0"/>
                <w:bCs/>
                <w:i w:val="0"/>
                <w:color w:val="auto"/>
                <w:kern w:val="0"/>
                <w:sz w:val="21"/>
                <w:szCs w:val="21"/>
                <w:highlight w:val="none"/>
                <w:u w:val="none"/>
                <w:lang w:val="en-US" w:eastAsia="zh-CN" w:bidi="ar"/>
              </w:rPr>
              <w:t>6次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DB34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eastAsia" w:ascii="Times New Roman" w:hAnsi="Times New Roman" w:cs="Times New Roman"/>
                <w:b w:val="0"/>
                <w:bCs/>
                <w:i w:val="0"/>
                <w:color w:val="auto"/>
                <w:kern w:val="0"/>
                <w:sz w:val="21"/>
                <w:szCs w:val="21"/>
                <w:highlight w:val="none"/>
                <w:u w:val="none"/>
                <w:lang w:val="en-US" w:eastAsia="zh-CN" w:bidi="ar"/>
              </w:rPr>
              <w:t>5次</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0FBB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eastAsia" w:ascii="Times New Roman" w:hAnsi="Times New Roman" w:cs="Times New Roman"/>
                <w:b w:val="0"/>
                <w:bCs/>
                <w:i w:val="0"/>
                <w:color w:val="auto"/>
                <w:kern w:val="0"/>
                <w:sz w:val="21"/>
                <w:szCs w:val="21"/>
                <w:highlight w:val="none"/>
                <w:u w:val="none"/>
                <w:lang w:val="en-US" w:eastAsia="zh-CN" w:bidi="ar"/>
              </w:rPr>
              <w:t>3</w:t>
            </w:r>
          </w:p>
        </w:tc>
      </w:tr>
      <w:tr w14:paraId="5758277B">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03D7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DC3D1">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70064D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质量指标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7C51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资金使用合规</w:t>
            </w:r>
            <w:r>
              <w:rPr>
                <w:rFonts w:hint="default" w:ascii="Times New Roman" w:hAnsi="Times New Roman" w:cs="Times New Roman"/>
                <w:b w:val="0"/>
                <w:bCs/>
                <w:i w:val="0"/>
                <w:color w:val="auto"/>
                <w:sz w:val="21"/>
                <w:szCs w:val="21"/>
                <w:highlight w:val="none"/>
                <w:u w:val="none"/>
                <w:lang w:val="en-US" w:eastAsia="zh-CN"/>
              </w:rPr>
              <w:t>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A18F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eastAsia" w:ascii="Times New Roman" w:hAnsi="Times New Roman" w:cs="Times New Roman"/>
                <w:b w:val="0"/>
                <w:bCs/>
                <w:i w:val="0"/>
                <w:color w:val="auto"/>
                <w:kern w:val="0"/>
                <w:sz w:val="21"/>
                <w:szCs w:val="21"/>
                <w:highlight w:val="none"/>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005D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293C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AF02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rPr>
            </w:pPr>
            <w:r>
              <w:rPr>
                <w:rFonts w:hint="eastAsia" w:ascii="Times New Roman" w:hAnsi="Times New Roman" w:cs="Times New Roman"/>
                <w:b w:val="0"/>
                <w:bCs/>
                <w:i w:val="0"/>
                <w:color w:val="auto"/>
                <w:kern w:val="0"/>
                <w:sz w:val="21"/>
                <w:szCs w:val="21"/>
                <w:highlight w:val="none"/>
                <w:u w:val="none"/>
                <w:lang w:val="en-US" w:eastAsia="zh-CN" w:bidi="ar"/>
              </w:rPr>
              <w:t>5</w:t>
            </w:r>
          </w:p>
        </w:tc>
      </w:tr>
      <w:tr w14:paraId="56C6CB29">
        <w:tblPrEx>
          <w:tblCellMar>
            <w:top w:w="0" w:type="dxa"/>
            <w:left w:w="0" w:type="dxa"/>
            <w:bottom w:w="0" w:type="dxa"/>
            <w:right w:w="0" w:type="dxa"/>
          </w:tblCellMar>
        </w:tblPrEx>
        <w:trPr>
          <w:trHeight w:val="459"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BBE5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0801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FB3E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成本指标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8C009">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项目总投入</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663F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eastAsia"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33F49">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lang w:val="en-US"/>
              </w:rPr>
            </w:pPr>
            <w:r>
              <w:rPr>
                <w:rFonts w:hint="eastAsia" w:ascii="Times New Roman" w:hAnsi="Times New Roman" w:cs="Times New Roman"/>
                <w:b w:val="0"/>
                <w:bCs/>
                <w:i w:val="0"/>
                <w:color w:val="auto"/>
                <w:kern w:val="0"/>
                <w:sz w:val="21"/>
                <w:szCs w:val="21"/>
                <w:highlight w:val="none"/>
                <w:u w:val="none"/>
                <w:lang w:val="en-US" w:eastAsia="zh-CN" w:bidi="ar"/>
              </w:rPr>
              <w:t>≤30万元</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45523">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r>
              <w:rPr>
                <w:rFonts w:hint="eastAsia" w:ascii="Times New Roman" w:hAnsi="Times New Roman" w:cs="Times New Roman"/>
                <w:b w:val="0"/>
                <w:bCs/>
                <w:i w:val="0"/>
                <w:color w:val="auto"/>
                <w:kern w:val="0"/>
                <w:sz w:val="21"/>
                <w:szCs w:val="21"/>
                <w:highlight w:val="none"/>
                <w:u w:val="none"/>
                <w:lang w:val="en-US" w:eastAsia="zh-CN" w:bidi="ar"/>
              </w:rPr>
              <w:t>≤18.43万元</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6F73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eastAsia"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3</w:t>
            </w:r>
          </w:p>
        </w:tc>
      </w:tr>
      <w:tr w14:paraId="566E2F54">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0F933">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0902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AFAC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时效指标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2C21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完成及时率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4F0F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93F2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E0CC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7E7E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w:t>
            </w:r>
          </w:p>
        </w:tc>
      </w:tr>
      <w:tr w14:paraId="5BA8FFDB">
        <w:tblPrEx>
          <w:tblCellMar>
            <w:top w:w="0" w:type="dxa"/>
            <w:left w:w="0" w:type="dxa"/>
            <w:bottom w:w="0" w:type="dxa"/>
            <w:right w:w="0" w:type="dxa"/>
          </w:tblCellMar>
        </w:tblPrEx>
        <w:trPr>
          <w:trHeight w:val="2025" w:hRule="atLeast"/>
        </w:trPr>
        <w:tc>
          <w:tcPr>
            <w:tcW w:w="114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74C085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效益指标（50分）</w:t>
            </w:r>
          </w:p>
        </w:tc>
        <w:tc>
          <w:tcPr>
            <w:tcW w:w="92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E4AE25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至少填写一栏效益</w:t>
            </w: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FCC713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社会效益</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10FD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ascii="宋体" w:hAnsi="宋体" w:eastAsia="宋体" w:cs="宋体"/>
                <w:i w:val="0"/>
                <w:iCs w:val="0"/>
                <w:color w:val="000000"/>
                <w:kern w:val="0"/>
                <w:sz w:val="18"/>
                <w:szCs w:val="18"/>
                <w:u w:val="none"/>
                <w:lang w:val="en-US" w:eastAsia="zh-CN" w:bidi="ar"/>
              </w:rPr>
              <w:t>更好发挥五老优势、加强新时代关心下一代工作中的内涵和实践</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AA7B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EAD7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7039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8096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50</w:t>
            </w:r>
          </w:p>
        </w:tc>
      </w:tr>
      <w:tr w14:paraId="2A07042A">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62672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F7E1912">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9DD361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经济效益</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B8CA0">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B3625">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F7975">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EA39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2D01">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r>
      <w:tr w14:paraId="1E30C0C9">
        <w:tblPrEx>
          <w:tblCellMar>
            <w:top w:w="0" w:type="dxa"/>
            <w:left w:w="0" w:type="dxa"/>
            <w:bottom w:w="0" w:type="dxa"/>
            <w:right w:w="0" w:type="dxa"/>
          </w:tblCellMar>
        </w:tblPrEx>
        <w:trPr>
          <w:trHeight w:val="540" w:hRule="atLeast"/>
        </w:trPr>
        <w:tc>
          <w:tcPr>
            <w:tcW w:w="11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0705AB2">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5F11F5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0CE93C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生态效益</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27EE6">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1E38B">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62427">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8CBC7">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C76F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r>
      <w:tr w14:paraId="6E2AA802">
        <w:tblPrEx>
          <w:tblCellMar>
            <w:top w:w="0" w:type="dxa"/>
            <w:left w:w="0" w:type="dxa"/>
            <w:bottom w:w="0" w:type="dxa"/>
            <w:right w:w="0" w:type="dxa"/>
          </w:tblCellMar>
        </w:tblPrEx>
        <w:trPr>
          <w:trHeight w:val="694" w:hRule="atLeast"/>
        </w:trPr>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3341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满意度</w:t>
            </w:r>
          </w:p>
          <w:p w14:paraId="2199F97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（10分）</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C4B3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所有项目</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A652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满意度</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0665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ascii="宋体" w:hAnsi="宋体" w:eastAsia="宋体" w:cs="宋体"/>
                <w:i w:val="0"/>
                <w:iCs w:val="0"/>
                <w:color w:val="000000"/>
                <w:kern w:val="0"/>
                <w:sz w:val="18"/>
                <w:szCs w:val="18"/>
                <w:u w:val="none"/>
                <w:lang w:val="en-US" w:eastAsia="zh-CN" w:bidi="ar"/>
              </w:rPr>
              <w:t>受助儿童满意度</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F44D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15DA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大于等于9</w:t>
            </w:r>
            <w:r>
              <w:rPr>
                <w:rFonts w:hint="eastAsia" w:cs="Times New Roman"/>
                <w:b w:val="0"/>
                <w:bCs/>
                <w:i w:val="0"/>
                <w:color w:val="auto"/>
                <w:kern w:val="0"/>
                <w:sz w:val="21"/>
                <w:szCs w:val="21"/>
                <w:highlight w:val="none"/>
                <w:u w:val="none"/>
                <w:lang w:val="en-US" w:eastAsia="zh-CN" w:bidi="ar"/>
              </w:rPr>
              <w:t>5</w:t>
            </w:r>
            <w:r>
              <w:rPr>
                <w:rFonts w:hint="default" w:ascii="Times New Roman" w:hAnsi="Times New Roman" w:eastAsia="仿宋_GB2312" w:cs="Times New Roman"/>
                <w:b w:val="0"/>
                <w:bCs/>
                <w:i w:val="0"/>
                <w:color w:val="auto"/>
                <w:kern w:val="0"/>
                <w:sz w:val="21"/>
                <w:szCs w:val="21"/>
                <w:highlight w:val="none"/>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5BE0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大于等于9</w:t>
            </w:r>
            <w:r>
              <w:rPr>
                <w:rFonts w:hint="eastAsia" w:cs="Times New Roman"/>
                <w:b w:val="0"/>
                <w:bCs/>
                <w:i w:val="0"/>
                <w:color w:val="auto"/>
                <w:kern w:val="0"/>
                <w:sz w:val="21"/>
                <w:szCs w:val="21"/>
                <w:highlight w:val="none"/>
                <w:u w:val="none"/>
                <w:lang w:val="en-US" w:eastAsia="zh-CN" w:bidi="ar"/>
              </w:rPr>
              <w:t>5</w:t>
            </w:r>
            <w:r>
              <w:rPr>
                <w:rFonts w:hint="default" w:ascii="Times New Roman" w:hAnsi="Times New Roman" w:eastAsia="仿宋_GB2312" w:cs="Times New Roman"/>
                <w:b w:val="0"/>
                <w:bCs/>
                <w:i w:val="0"/>
                <w:color w:val="auto"/>
                <w:kern w:val="0"/>
                <w:sz w:val="21"/>
                <w:szCs w:val="21"/>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6777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w:t>
            </w:r>
          </w:p>
        </w:tc>
      </w:tr>
    </w:tbl>
    <w:p w14:paraId="32F4D7B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四、绩效评价分析</w:t>
      </w:r>
    </w:p>
    <w:p w14:paraId="3E79065A">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（一）项目决策情况</w:t>
      </w:r>
    </w:p>
    <w:p w14:paraId="797FDB4A">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default" w:ascii="仿宋" w:hAnsi="仿宋" w:eastAsia="仿宋" w:cs="仿宋"/>
          <w:sz w:val="32"/>
          <w:szCs w:val="32"/>
          <w:shd w:val="clear" w:color="auto" w:fill="FFFFFF"/>
          <w:lang w:val="en-US" w:eastAsia="zh-CN"/>
        </w:rPr>
        <w:t>该项目立项依据充分</w:t>
      </w:r>
      <w:r>
        <w:rPr>
          <w:rFonts w:hint="eastAsia" w:ascii="仿宋" w:hAnsi="仿宋" w:eastAsia="仿宋" w:cs="仿宋"/>
          <w:sz w:val="32"/>
          <w:szCs w:val="32"/>
          <w:shd w:val="clear" w:color="auto" w:fill="FFFFFF"/>
          <w:lang w:val="en-US" w:eastAsia="zh-CN"/>
        </w:rPr>
        <w:t>，设有明确目标，实施</w:t>
      </w:r>
      <w:r>
        <w:rPr>
          <w:rFonts w:hint="default" w:ascii="仿宋" w:hAnsi="仿宋" w:eastAsia="仿宋" w:cs="仿宋"/>
          <w:sz w:val="32"/>
          <w:szCs w:val="32"/>
          <w:shd w:val="clear" w:color="auto" w:fill="FFFFFF"/>
          <w:lang w:val="en-US" w:eastAsia="zh-CN"/>
        </w:rPr>
        <w:t>过程规范</w:t>
      </w:r>
      <w:r>
        <w:rPr>
          <w:rFonts w:hint="eastAsia" w:ascii="仿宋" w:hAnsi="仿宋" w:eastAsia="仿宋" w:cs="仿宋"/>
          <w:sz w:val="32"/>
          <w:szCs w:val="32"/>
          <w:shd w:val="clear" w:color="auto" w:fill="FFFFFF"/>
          <w:lang w:val="en-US" w:eastAsia="zh-CN"/>
        </w:rPr>
        <w:t>，</w:t>
      </w:r>
      <w:r>
        <w:rPr>
          <w:rFonts w:hint="default" w:ascii="仿宋" w:hAnsi="仿宋" w:eastAsia="仿宋" w:cs="仿宋"/>
          <w:sz w:val="32"/>
          <w:szCs w:val="32"/>
          <w:shd w:val="clear" w:color="auto" w:fill="FFFFFF"/>
          <w:lang w:val="en-US" w:eastAsia="zh-CN"/>
        </w:rPr>
        <w:t>立项内容符合国家政策</w:t>
      </w:r>
      <w:r>
        <w:rPr>
          <w:rFonts w:hint="eastAsia" w:ascii="仿宋" w:hAnsi="仿宋" w:eastAsia="仿宋" w:cs="仿宋"/>
          <w:sz w:val="32"/>
          <w:szCs w:val="32"/>
          <w:shd w:val="clear" w:color="auto" w:fill="FFFFFF"/>
          <w:lang w:val="en-US" w:eastAsia="zh-CN"/>
        </w:rPr>
        <w:t>、经济社会</w:t>
      </w:r>
      <w:r>
        <w:rPr>
          <w:rFonts w:hint="default" w:ascii="仿宋" w:hAnsi="仿宋" w:eastAsia="仿宋" w:cs="仿宋"/>
          <w:sz w:val="32"/>
          <w:szCs w:val="32"/>
          <w:shd w:val="clear" w:color="auto" w:fill="FFFFFF"/>
          <w:lang w:val="en-US" w:eastAsia="zh-CN"/>
        </w:rPr>
        <w:t>发展规划要求</w:t>
      </w:r>
      <w:r>
        <w:rPr>
          <w:rFonts w:hint="eastAsia" w:ascii="仿宋" w:hAnsi="仿宋" w:eastAsia="仿宋" w:cs="仿宋"/>
          <w:sz w:val="32"/>
          <w:szCs w:val="32"/>
          <w:shd w:val="clear" w:color="auto" w:fill="FFFFFF"/>
          <w:lang w:val="en-US" w:eastAsia="zh-CN"/>
        </w:rPr>
        <w:t>、部门年度工作计划，</w:t>
      </w:r>
      <w:r>
        <w:rPr>
          <w:rFonts w:hint="default" w:ascii="仿宋" w:hAnsi="仿宋" w:eastAsia="仿宋" w:cs="仿宋"/>
          <w:sz w:val="32"/>
          <w:szCs w:val="32"/>
          <w:shd w:val="clear" w:color="auto" w:fill="FFFFFF"/>
          <w:lang w:val="en-US" w:eastAsia="zh-CN"/>
        </w:rPr>
        <w:t>项目预算编制科学合理</w:t>
      </w:r>
      <w:r>
        <w:rPr>
          <w:rFonts w:hint="eastAsia" w:ascii="仿宋" w:hAnsi="仿宋" w:eastAsia="仿宋" w:cs="仿宋"/>
          <w:sz w:val="32"/>
          <w:szCs w:val="32"/>
          <w:shd w:val="clear" w:color="auto" w:fill="FFFFFF"/>
          <w:lang w:val="en-US" w:eastAsia="zh-CN"/>
        </w:rPr>
        <w:t>，通过该项目的实施，切实加强和完善基层关工委组织建设。</w:t>
      </w:r>
    </w:p>
    <w:p w14:paraId="6E1DCAE4">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（二）项目管理情况</w:t>
      </w:r>
    </w:p>
    <w:p w14:paraId="414A63A8">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default" w:ascii="仿宋" w:hAnsi="仿宋" w:eastAsia="仿宋" w:cs="仿宋"/>
          <w:sz w:val="32"/>
          <w:szCs w:val="32"/>
          <w:shd w:val="clear" w:color="auto" w:fill="FFFFFF"/>
          <w:lang w:val="en-US" w:eastAsia="zh-CN"/>
        </w:rPr>
        <w:t>我部有详细的财务管理内控制度，</w:t>
      </w:r>
      <w:r>
        <w:rPr>
          <w:rFonts w:hint="eastAsia" w:ascii="仿宋" w:hAnsi="仿宋" w:eastAsia="仿宋" w:cs="仿宋"/>
          <w:sz w:val="32"/>
          <w:szCs w:val="32"/>
          <w:shd w:val="clear" w:color="auto" w:fill="FFFFFF"/>
          <w:lang w:val="en-US" w:eastAsia="zh-CN"/>
        </w:rPr>
        <w:t>严格执行项目申报、项目实施及资金使用，严格按照财务制度执行</w:t>
      </w:r>
      <w:r>
        <w:rPr>
          <w:rFonts w:hint="default" w:ascii="仿宋" w:hAnsi="仿宋" w:eastAsia="仿宋" w:cs="仿宋"/>
          <w:sz w:val="32"/>
          <w:szCs w:val="32"/>
          <w:shd w:val="clear" w:color="auto" w:fill="FFFFFF"/>
          <w:lang w:val="en-US" w:eastAsia="zh-CN"/>
        </w:rPr>
        <w:t>做到</w:t>
      </w:r>
      <w:r>
        <w:rPr>
          <w:rFonts w:hint="eastAsia" w:ascii="仿宋" w:hAnsi="仿宋" w:eastAsia="仿宋" w:cs="仿宋"/>
          <w:sz w:val="32"/>
          <w:szCs w:val="32"/>
          <w:shd w:val="clear" w:color="auto" w:fill="FFFFFF"/>
          <w:lang w:val="en-US" w:eastAsia="zh-CN"/>
        </w:rPr>
        <w:t>支出依据合规</w:t>
      </w:r>
      <w:r>
        <w:rPr>
          <w:rFonts w:hint="default"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lang w:val="en-US" w:eastAsia="zh-CN"/>
        </w:rPr>
        <w:t>无虚列项目支出情况，无挤占挪用情况，无超标准超预算情况</w:t>
      </w:r>
      <w:r>
        <w:rPr>
          <w:rFonts w:hint="default" w:ascii="仿宋" w:hAnsi="仿宋" w:eastAsia="仿宋" w:cs="仿宋"/>
          <w:sz w:val="32"/>
          <w:szCs w:val="32"/>
          <w:shd w:val="clear" w:color="auto" w:fill="FFFFFF"/>
          <w:lang w:val="en-US" w:eastAsia="zh-CN"/>
        </w:rPr>
        <w:t>。</w:t>
      </w:r>
    </w:p>
    <w:p w14:paraId="4B9A1CB9">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（三）项目产出情况</w:t>
      </w:r>
    </w:p>
    <w:p w14:paraId="01569D23">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关工委按时按质完成了全年目标任务工作，全年关工委举办“六一”慰问贫困儿童、“金秋助学”、“暖冬行动”等活动次数5次、订阅《关心下一代》杂志300本，慰问金发放全部到位资金使用合规率达到100%，在本年度按期开展完所有活动、开展活动及时率100%，本着倡导厉行节约，科学合理控制开支，达到了资金使用的预定目标。</w:t>
      </w:r>
    </w:p>
    <w:p w14:paraId="6B5BB0F1">
      <w:pPr>
        <w:snapToGrid w:val="0"/>
        <w:spacing w:line="600" w:lineRule="exact"/>
        <w:ind w:firstLine="643" w:firstLineChars="200"/>
        <w:rPr>
          <w:rFonts w:hint="default" w:ascii="Times New Roman" w:hAnsi="Times New Roman" w:eastAsia="楷体_GB2312" w:cs="Times New Roman"/>
          <w:b/>
          <w:szCs w:val="21"/>
        </w:rPr>
      </w:pPr>
      <w:r>
        <w:rPr>
          <w:rFonts w:hint="default" w:ascii="Times New Roman" w:hAnsi="Times New Roman" w:eastAsia="楷体_GB2312" w:cs="Times New Roman"/>
          <w:b/>
          <w:sz w:val="32"/>
          <w:szCs w:val="32"/>
        </w:rPr>
        <w:t>（四）项目效益情况。</w:t>
      </w:r>
    </w:p>
    <w:p w14:paraId="3EE538F5">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该项目的实施取得了很好的社会效益，一是提高认识切实增强基层关工委组织建设的紧迫感和责任感；二是精心组织切实加强和完善基层关工委组织建设和制度建设；三是夯实基础切实加强关工委“五老”队伍建设；组建“五老志愿者工作团队”围绕党史国史宣讲、心理健康咨询、文艺宣传、网吧义务监督、普法教育宣讲、书画辅导、失足少年帮教、留守学生代管、困难学生帮扶等教育工作，着力加强青少年思想道德教育引导和关爱帮扶工作，改善了儿童生活，实现了全区每一名农村留守儿童在课余时间和节假日都能在关爱活动室参与辅导、心理疏导等关爱教育活动，让受助儿童满意度达到90%以上。</w:t>
      </w:r>
    </w:p>
    <w:p w14:paraId="55540AB9">
      <w:pPr>
        <w:snapToGrid w:val="0"/>
        <w:spacing w:line="600" w:lineRule="exact"/>
        <w:ind w:firstLine="640" w:firstLineChars="200"/>
        <w:outlineLvl w:val="1"/>
        <w:rPr>
          <w:rFonts w:hint="default" w:ascii="Times New Roman" w:hAnsi="Times New Roman" w:eastAsia="黑体" w:cs="Times New Roman"/>
          <w:sz w:val="32"/>
          <w:szCs w:val="32"/>
        </w:rPr>
      </w:pPr>
      <w:bookmarkStart w:id="107" w:name="_Toc31894"/>
      <w:r>
        <w:rPr>
          <w:rFonts w:hint="default" w:ascii="Times New Roman" w:hAnsi="Times New Roman" w:eastAsia="黑体" w:cs="Times New Roman"/>
          <w:sz w:val="32"/>
          <w:szCs w:val="32"/>
        </w:rPr>
        <w:t>五、存在主要问题</w:t>
      </w:r>
      <w:bookmarkEnd w:id="107"/>
    </w:p>
    <w:p w14:paraId="1BEDA71A">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全区基层关工委组织建设发展还不够平衡，仍有个别村未建立关工委组织无法正常开展青少年教育关爱活动；“五老”志愿者比例偏少；关工委开展业务培训较少。</w:t>
      </w:r>
    </w:p>
    <w:p w14:paraId="0E3884FF">
      <w:pPr>
        <w:snapToGrid w:val="0"/>
        <w:spacing w:line="600" w:lineRule="exact"/>
        <w:ind w:firstLine="640" w:firstLineChars="200"/>
        <w:outlineLvl w:val="1"/>
        <w:rPr>
          <w:rFonts w:hint="default" w:ascii="Times New Roman" w:hAnsi="Times New Roman" w:eastAsia="黑体" w:cs="Times New Roman"/>
          <w:sz w:val="32"/>
          <w:szCs w:val="32"/>
        </w:rPr>
      </w:pPr>
      <w:bookmarkStart w:id="108" w:name="_Toc11322"/>
      <w:r>
        <w:rPr>
          <w:rFonts w:hint="default" w:ascii="Times New Roman" w:hAnsi="Times New Roman" w:eastAsia="黑体" w:cs="Times New Roman"/>
          <w:sz w:val="32"/>
          <w:szCs w:val="32"/>
        </w:rPr>
        <w:t>六、相关措施建议</w:t>
      </w:r>
      <w:bookmarkEnd w:id="108"/>
    </w:p>
    <w:p w14:paraId="33051FB1">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一是拓宽投入渠道，通过财政投入、社会捐助、部门支持等办法，确保关爱活动有经费保障；二是要继续加强关爱活动阵地建设，借助现有的便民综合服务中心、党员服务中心、综合文化站等场所，实现资源共享；三是要动员更多的“五老”志愿者特别是老教师、老专家担任校外教育辅导员，鼓励支持大学生村官和在职教师参与辅导工作。</w:t>
      </w:r>
    </w:p>
    <w:p w14:paraId="6A1494D5">
      <w:pPr>
        <w:keepNext w:val="0"/>
        <w:keepLines w:val="0"/>
        <w:pageBreakBefore w:val="0"/>
        <w:widowControl w:val="0"/>
        <w:kinsoku w:val="0"/>
        <w:wordWrap/>
        <w:overflowPunct w:val="0"/>
        <w:topLinePunct w:val="0"/>
        <w:autoSpaceDE/>
        <w:autoSpaceDN/>
        <w:bidi w:val="0"/>
        <w:adjustRightInd/>
        <w:snapToGrid/>
        <w:spacing w:before="12"/>
        <w:ind w:firstLine="420" w:firstLineChars="200"/>
        <w:textAlignment w:val="auto"/>
        <w:rPr>
          <w:rFonts w:hint="eastAsia" w:ascii="Times New Roman" w:hAnsi="Times New Roman" w:cs="Times New Roman"/>
          <w:lang w:val="en-US" w:eastAsia="zh-CN"/>
        </w:rPr>
      </w:pPr>
    </w:p>
    <w:p w14:paraId="3818BD88">
      <w:pPr>
        <w:keepNext w:val="0"/>
        <w:keepLines w:val="0"/>
        <w:pageBreakBefore w:val="0"/>
        <w:widowControl w:val="0"/>
        <w:kinsoku w:val="0"/>
        <w:wordWrap/>
        <w:overflowPunct w:val="0"/>
        <w:topLinePunct w:val="0"/>
        <w:autoSpaceDE/>
        <w:autoSpaceDN/>
        <w:bidi w:val="0"/>
        <w:adjustRightInd/>
        <w:snapToGrid/>
        <w:spacing w:before="12"/>
        <w:ind w:firstLine="420" w:firstLineChars="200"/>
        <w:textAlignment w:val="auto"/>
        <w:rPr>
          <w:rFonts w:hint="eastAsia" w:ascii="Times New Roman" w:hAnsi="Times New Roman" w:cs="Times New Roman"/>
          <w:lang w:val="en-US" w:eastAsia="zh-CN"/>
        </w:rPr>
      </w:pPr>
    </w:p>
    <w:p w14:paraId="18AE692E">
      <w:pPr>
        <w:rPr>
          <w:rFonts w:hint="default" w:ascii="Times New Roman" w:hAnsi="Times New Roman" w:eastAsia="黑体" w:cs="Times New Roman"/>
          <w:szCs w:val="21"/>
        </w:rPr>
      </w:pPr>
    </w:p>
    <w:p w14:paraId="40FD1B83">
      <w:pPr>
        <w:numPr>
          <w:ilvl w:val="0"/>
          <w:numId w:val="0"/>
        </w:numPr>
        <w:tabs>
          <w:tab w:val="left" w:pos="29185"/>
        </w:tabs>
        <w:jc w:val="center"/>
        <w:rPr>
          <w:rFonts w:hint="eastAsia" w:eastAsia="方正小标宋简体" w:cs="Times New Roman"/>
          <w:color w:val="000000"/>
          <w:sz w:val="44"/>
          <w:szCs w:val="44"/>
          <w:lang w:eastAsia="zh-CN" w:bidi="ar"/>
        </w:rPr>
        <w:sectPr>
          <w:pgSz w:w="11906" w:h="16838"/>
          <w:pgMar w:top="1440" w:right="1803" w:bottom="1440" w:left="1803" w:header="851" w:footer="992" w:gutter="0"/>
          <w:pgNumType w:fmt="decimal"/>
          <w:cols w:space="0" w:num="1"/>
          <w:rtlGutter w:val="0"/>
          <w:docGrid w:type="lines" w:linePitch="319" w:charSpace="0"/>
        </w:sectPr>
      </w:pPr>
    </w:p>
    <w:p w14:paraId="11097B58">
      <w:pPr>
        <w:numPr>
          <w:ilvl w:val="0"/>
          <w:numId w:val="0"/>
        </w:numPr>
        <w:tabs>
          <w:tab w:val="left" w:pos="29185"/>
        </w:tabs>
        <w:jc w:val="center"/>
        <w:rPr>
          <w:rFonts w:hint="default" w:ascii="Times New Roman" w:hAnsi="Times New Roman" w:eastAsia="方正小标宋简体" w:cs="Times New Roman"/>
          <w:color w:val="000000"/>
          <w:sz w:val="44"/>
          <w:szCs w:val="44"/>
        </w:rPr>
      </w:pPr>
      <w:r>
        <w:rPr>
          <w:rFonts w:hint="eastAsia" w:eastAsia="方正小标宋简体" w:cs="Times New Roman"/>
          <w:color w:val="000000"/>
          <w:sz w:val="44"/>
          <w:szCs w:val="44"/>
          <w:lang w:eastAsia="zh-CN" w:bidi="ar"/>
        </w:rPr>
        <w:t>（</w:t>
      </w:r>
      <w:r>
        <w:rPr>
          <w:rFonts w:hint="eastAsia" w:eastAsia="方正小标宋简体" w:cs="Times New Roman"/>
          <w:color w:val="000000"/>
          <w:sz w:val="44"/>
          <w:szCs w:val="44"/>
          <w:lang w:val="en-US" w:eastAsia="zh-CN" w:bidi="ar"/>
        </w:rPr>
        <w:t>关工委工作经费项目</w:t>
      </w:r>
      <w:r>
        <w:rPr>
          <w:rFonts w:hint="eastAsia" w:eastAsia="方正小标宋简体" w:cs="Times New Roman"/>
          <w:color w:val="000000"/>
          <w:sz w:val="44"/>
          <w:szCs w:val="44"/>
          <w:lang w:eastAsia="zh-CN" w:bidi="ar"/>
        </w:rPr>
        <w:t>）</w:t>
      </w:r>
      <w:r>
        <w:rPr>
          <w:rFonts w:hint="default" w:ascii="Times New Roman" w:hAnsi="Times New Roman" w:eastAsia="方正小标宋简体" w:cs="Times New Roman"/>
          <w:color w:val="000000"/>
          <w:sz w:val="44"/>
          <w:szCs w:val="44"/>
          <w:lang w:bidi="ar"/>
        </w:rPr>
        <w:t>202</w:t>
      </w:r>
      <w:r>
        <w:rPr>
          <w:rFonts w:hint="eastAsia" w:eastAsia="方正小标宋简体" w:cs="Times New Roman"/>
          <w:color w:val="000000"/>
          <w:sz w:val="44"/>
          <w:szCs w:val="44"/>
          <w:lang w:val="en-US" w:eastAsia="zh-CN" w:bidi="ar"/>
        </w:rPr>
        <w:t>4</w:t>
      </w:r>
      <w:r>
        <w:rPr>
          <w:rFonts w:hint="default" w:ascii="Times New Roman" w:hAnsi="Times New Roman" w:eastAsia="方正小标宋简体" w:cs="Times New Roman"/>
          <w:color w:val="000000"/>
          <w:sz w:val="44"/>
          <w:szCs w:val="44"/>
          <w:lang w:bidi="ar"/>
        </w:rPr>
        <w:t>年项目支出绩效评价指标体系</w:t>
      </w:r>
    </w:p>
    <w:tbl>
      <w:tblPr>
        <w:tblStyle w:val="16"/>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7"/>
        <w:gridCol w:w="427"/>
        <w:gridCol w:w="680"/>
        <w:gridCol w:w="480"/>
        <w:gridCol w:w="460"/>
        <w:gridCol w:w="480"/>
        <w:gridCol w:w="1010"/>
        <w:gridCol w:w="846"/>
        <w:gridCol w:w="426"/>
        <w:gridCol w:w="534"/>
        <w:gridCol w:w="534"/>
        <w:gridCol w:w="534"/>
        <w:gridCol w:w="426"/>
        <w:gridCol w:w="1805"/>
        <w:gridCol w:w="427"/>
        <w:gridCol w:w="427"/>
        <w:gridCol w:w="427"/>
        <w:gridCol w:w="427"/>
        <w:gridCol w:w="427"/>
        <w:gridCol w:w="427"/>
        <w:gridCol w:w="1083"/>
        <w:gridCol w:w="640"/>
      </w:tblGrid>
      <w:tr w14:paraId="35E7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173" w:type="dxa"/>
            <w:gridSpan w:val="4"/>
            <w:noWrap w:val="0"/>
            <w:vAlign w:val="center"/>
          </w:tcPr>
          <w:p w14:paraId="64E94B4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80" w:type="dxa"/>
            <w:vMerge w:val="restart"/>
            <w:noWrap w:val="0"/>
            <w:vAlign w:val="center"/>
          </w:tcPr>
          <w:p w14:paraId="286B040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460" w:type="dxa"/>
            <w:vMerge w:val="restart"/>
            <w:noWrap w:val="0"/>
            <w:vAlign w:val="center"/>
          </w:tcPr>
          <w:p w14:paraId="32D60F55">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480" w:type="dxa"/>
            <w:vMerge w:val="restart"/>
            <w:noWrap w:val="0"/>
            <w:vAlign w:val="center"/>
          </w:tcPr>
          <w:p w14:paraId="6A6E2FC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1010" w:type="dxa"/>
            <w:vMerge w:val="restart"/>
            <w:noWrap w:val="0"/>
            <w:vAlign w:val="center"/>
          </w:tcPr>
          <w:p w14:paraId="655CB95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300" w:type="dxa"/>
            <w:gridSpan w:val="6"/>
            <w:noWrap w:val="0"/>
            <w:vAlign w:val="center"/>
          </w:tcPr>
          <w:p w14:paraId="71E7039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79554EF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30D3051C">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5DA2E3B2">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76EB7B1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28750EED">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0837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639" w:type="dxa"/>
            <w:vMerge w:val="restart"/>
            <w:noWrap w:val="0"/>
            <w:vAlign w:val="center"/>
          </w:tcPr>
          <w:p w14:paraId="592E2E35">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27" w:type="dxa"/>
            <w:vMerge w:val="restart"/>
            <w:noWrap w:val="0"/>
            <w:vAlign w:val="center"/>
          </w:tcPr>
          <w:p w14:paraId="399BB48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27" w:type="dxa"/>
            <w:vMerge w:val="restart"/>
            <w:noWrap w:val="0"/>
            <w:vAlign w:val="center"/>
          </w:tcPr>
          <w:p w14:paraId="66A2EE0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680" w:type="dxa"/>
            <w:vMerge w:val="restart"/>
            <w:noWrap w:val="0"/>
            <w:vAlign w:val="center"/>
          </w:tcPr>
          <w:p w14:paraId="101FB4A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80" w:type="dxa"/>
            <w:vMerge w:val="continue"/>
            <w:noWrap w:val="0"/>
            <w:vAlign w:val="center"/>
          </w:tcPr>
          <w:p w14:paraId="4ADDDD95">
            <w:pPr>
              <w:snapToGrid w:val="0"/>
              <w:spacing w:line="240" w:lineRule="atLeast"/>
              <w:jc w:val="center"/>
              <w:rPr>
                <w:rFonts w:hint="default" w:ascii="Times New Roman" w:hAnsi="Times New Roman" w:eastAsia="黑体"/>
                <w:color w:val="000000"/>
                <w:sz w:val="21"/>
                <w:szCs w:val="21"/>
              </w:rPr>
            </w:pPr>
          </w:p>
        </w:tc>
        <w:tc>
          <w:tcPr>
            <w:tcW w:w="460" w:type="dxa"/>
            <w:vMerge w:val="continue"/>
            <w:noWrap w:val="0"/>
            <w:vAlign w:val="center"/>
          </w:tcPr>
          <w:p w14:paraId="4153AA44">
            <w:pPr>
              <w:snapToGrid w:val="0"/>
              <w:spacing w:line="240" w:lineRule="atLeast"/>
              <w:jc w:val="center"/>
              <w:rPr>
                <w:rFonts w:hint="default" w:ascii="Times New Roman" w:hAnsi="Times New Roman" w:eastAsia="黑体"/>
                <w:color w:val="000000"/>
                <w:sz w:val="21"/>
                <w:szCs w:val="21"/>
              </w:rPr>
            </w:pPr>
          </w:p>
        </w:tc>
        <w:tc>
          <w:tcPr>
            <w:tcW w:w="480" w:type="dxa"/>
            <w:vMerge w:val="continue"/>
            <w:noWrap w:val="0"/>
            <w:vAlign w:val="center"/>
          </w:tcPr>
          <w:p w14:paraId="34A6D8B8">
            <w:pPr>
              <w:snapToGrid w:val="0"/>
              <w:spacing w:line="240" w:lineRule="atLeast"/>
              <w:jc w:val="center"/>
              <w:rPr>
                <w:rFonts w:hint="default" w:ascii="Times New Roman" w:hAnsi="Times New Roman" w:eastAsia="黑体"/>
                <w:color w:val="000000"/>
                <w:sz w:val="21"/>
                <w:szCs w:val="21"/>
              </w:rPr>
            </w:pPr>
          </w:p>
        </w:tc>
        <w:tc>
          <w:tcPr>
            <w:tcW w:w="1010" w:type="dxa"/>
            <w:vMerge w:val="continue"/>
            <w:noWrap w:val="0"/>
            <w:vAlign w:val="center"/>
          </w:tcPr>
          <w:p w14:paraId="2A933260">
            <w:pPr>
              <w:snapToGrid w:val="0"/>
              <w:spacing w:line="240" w:lineRule="atLeast"/>
              <w:jc w:val="center"/>
              <w:rPr>
                <w:rFonts w:hint="default" w:ascii="Times New Roman" w:hAnsi="Times New Roman" w:eastAsia="黑体"/>
                <w:color w:val="000000"/>
                <w:sz w:val="21"/>
                <w:szCs w:val="21"/>
              </w:rPr>
            </w:pPr>
          </w:p>
        </w:tc>
        <w:tc>
          <w:tcPr>
            <w:tcW w:w="846" w:type="dxa"/>
            <w:vMerge w:val="restart"/>
            <w:noWrap w:val="0"/>
            <w:vAlign w:val="center"/>
          </w:tcPr>
          <w:p w14:paraId="6AEEC8B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5"/>
            <w:noWrap w:val="0"/>
            <w:vAlign w:val="center"/>
          </w:tcPr>
          <w:p w14:paraId="4A0B4D8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5524AFA5">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28391B66">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3DEC8A2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0F63576A">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70CD1E3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27484DBA">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55DF719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23DD7EB1">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4D68A4CC">
            <w:pPr>
              <w:snapToGrid w:val="0"/>
              <w:spacing w:line="240" w:lineRule="atLeast"/>
              <w:jc w:val="center"/>
              <w:rPr>
                <w:rFonts w:hint="default" w:ascii="Times New Roman" w:hAnsi="Times New Roman"/>
                <w:b/>
                <w:bCs/>
                <w:color w:val="000000"/>
                <w:sz w:val="21"/>
                <w:szCs w:val="21"/>
              </w:rPr>
            </w:pPr>
          </w:p>
        </w:tc>
      </w:tr>
      <w:tr w14:paraId="1AE9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639" w:type="dxa"/>
            <w:vMerge w:val="continue"/>
            <w:noWrap w:val="0"/>
            <w:vAlign w:val="center"/>
          </w:tcPr>
          <w:p w14:paraId="485FFE82">
            <w:pPr>
              <w:snapToGrid w:val="0"/>
              <w:spacing w:line="240" w:lineRule="atLeast"/>
              <w:jc w:val="center"/>
              <w:rPr>
                <w:rFonts w:hint="default" w:ascii="Times New Roman" w:hAnsi="Times New Roman" w:eastAsia="黑体"/>
                <w:color w:val="000000"/>
                <w:sz w:val="21"/>
                <w:szCs w:val="21"/>
              </w:rPr>
            </w:pPr>
          </w:p>
        </w:tc>
        <w:tc>
          <w:tcPr>
            <w:tcW w:w="427" w:type="dxa"/>
            <w:vMerge w:val="continue"/>
            <w:noWrap w:val="0"/>
            <w:vAlign w:val="center"/>
          </w:tcPr>
          <w:p w14:paraId="4951D2FA">
            <w:pPr>
              <w:snapToGrid w:val="0"/>
              <w:spacing w:line="240" w:lineRule="atLeast"/>
              <w:jc w:val="center"/>
              <w:rPr>
                <w:rFonts w:hint="default" w:ascii="Times New Roman" w:hAnsi="Times New Roman" w:eastAsia="黑体"/>
                <w:color w:val="000000"/>
                <w:sz w:val="21"/>
                <w:szCs w:val="21"/>
              </w:rPr>
            </w:pPr>
          </w:p>
        </w:tc>
        <w:tc>
          <w:tcPr>
            <w:tcW w:w="427" w:type="dxa"/>
            <w:vMerge w:val="continue"/>
            <w:noWrap w:val="0"/>
            <w:vAlign w:val="center"/>
          </w:tcPr>
          <w:p w14:paraId="3DDF11DA">
            <w:pPr>
              <w:snapToGrid w:val="0"/>
              <w:spacing w:line="240" w:lineRule="atLeast"/>
              <w:jc w:val="center"/>
              <w:rPr>
                <w:rFonts w:hint="default" w:ascii="Times New Roman" w:hAnsi="Times New Roman" w:eastAsia="黑体"/>
                <w:color w:val="000000"/>
                <w:sz w:val="21"/>
                <w:szCs w:val="21"/>
              </w:rPr>
            </w:pPr>
          </w:p>
        </w:tc>
        <w:tc>
          <w:tcPr>
            <w:tcW w:w="680" w:type="dxa"/>
            <w:vMerge w:val="continue"/>
            <w:noWrap w:val="0"/>
            <w:vAlign w:val="center"/>
          </w:tcPr>
          <w:p w14:paraId="128965FD">
            <w:pPr>
              <w:snapToGrid w:val="0"/>
              <w:spacing w:line="240" w:lineRule="atLeast"/>
              <w:jc w:val="center"/>
              <w:rPr>
                <w:rFonts w:hint="default" w:ascii="Times New Roman" w:hAnsi="Times New Roman" w:eastAsia="黑体"/>
                <w:color w:val="000000"/>
                <w:sz w:val="21"/>
                <w:szCs w:val="21"/>
              </w:rPr>
            </w:pPr>
          </w:p>
        </w:tc>
        <w:tc>
          <w:tcPr>
            <w:tcW w:w="480" w:type="dxa"/>
            <w:vMerge w:val="continue"/>
            <w:noWrap w:val="0"/>
            <w:vAlign w:val="center"/>
          </w:tcPr>
          <w:p w14:paraId="3160DB01">
            <w:pPr>
              <w:snapToGrid w:val="0"/>
              <w:spacing w:line="240" w:lineRule="atLeast"/>
              <w:jc w:val="center"/>
              <w:rPr>
                <w:rFonts w:hint="default" w:ascii="Times New Roman" w:hAnsi="Times New Roman" w:eastAsia="黑体"/>
                <w:color w:val="000000"/>
                <w:sz w:val="21"/>
                <w:szCs w:val="21"/>
              </w:rPr>
            </w:pPr>
          </w:p>
        </w:tc>
        <w:tc>
          <w:tcPr>
            <w:tcW w:w="460" w:type="dxa"/>
            <w:vMerge w:val="continue"/>
            <w:noWrap w:val="0"/>
            <w:vAlign w:val="center"/>
          </w:tcPr>
          <w:p w14:paraId="63FE896F">
            <w:pPr>
              <w:snapToGrid w:val="0"/>
              <w:spacing w:line="240" w:lineRule="atLeast"/>
              <w:jc w:val="center"/>
              <w:rPr>
                <w:rFonts w:hint="default" w:ascii="Times New Roman" w:hAnsi="Times New Roman" w:eastAsia="黑体"/>
                <w:color w:val="000000"/>
                <w:sz w:val="21"/>
                <w:szCs w:val="21"/>
              </w:rPr>
            </w:pPr>
          </w:p>
        </w:tc>
        <w:tc>
          <w:tcPr>
            <w:tcW w:w="480" w:type="dxa"/>
            <w:vMerge w:val="continue"/>
            <w:noWrap w:val="0"/>
            <w:vAlign w:val="center"/>
          </w:tcPr>
          <w:p w14:paraId="51100431">
            <w:pPr>
              <w:snapToGrid w:val="0"/>
              <w:spacing w:line="240" w:lineRule="atLeast"/>
              <w:jc w:val="center"/>
              <w:rPr>
                <w:rFonts w:hint="default" w:ascii="Times New Roman" w:hAnsi="Times New Roman" w:eastAsia="黑体"/>
                <w:color w:val="000000"/>
                <w:sz w:val="21"/>
                <w:szCs w:val="21"/>
              </w:rPr>
            </w:pPr>
          </w:p>
        </w:tc>
        <w:tc>
          <w:tcPr>
            <w:tcW w:w="1010" w:type="dxa"/>
            <w:vMerge w:val="continue"/>
            <w:noWrap w:val="0"/>
            <w:vAlign w:val="center"/>
          </w:tcPr>
          <w:p w14:paraId="48990B00">
            <w:pPr>
              <w:snapToGrid w:val="0"/>
              <w:spacing w:line="240" w:lineRule="atLeast"/>
              <w:jc w:val="center"/>
              <w:rPr>
                <w:rFonts w:hint="default" w:ascii="Times New Roman" w:hAnsi="Times New Roman" w:eastAsia="黑体"/>
                <w:color w:val="000000"/>
                <w:sz w:val="21"/>
                <w:szCs w:val="21"/>
              </w:rPr>
            </w:pPr>
          </w:p>
        </w:tc>
        <w:tc>
          <w:tcPr>
            <w:tcW w:w="846" w:type="dxa"/>
            <w:vMerge w:val="continue"/>
            <w:noWrap w:val="0"/>
            <w:vAlign w:val="center"/>
          </w:tcPr>
          <w:p w14:paraId="449143CA">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3C8A4D1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noWrap w:val="0"/>
            <w:vAlign w:val="center"/>
          </w:tcPr>
          <w:p w14:paraId="494D711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noWrap w:val="0"/>
            <w:vAlign w:val="center"/>
          </w:tcPr>
          <w:p w14:paraId="5A1477D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noWrap w:val="0"/>
            <w:vAlign w:val="center"/>
          </w:tcPr>
          <w:p w14:paraId="106B1395">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2F54A4A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1C39C22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54E4CD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535CEEA">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12BAE3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224927F">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0EB266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9FBC410">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3A05B7D7">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26111E32">
            <w:pPr>
              <w:snapToGrid w:val="0"/>
              <w:spacing w:line="240" w:lineRule="atLeast"/>
              <w:jc w:val="center"/>
              <w:rPr>
                <w:rFonts w:hint="default" w:ascii="Times New Roman" w:hAnsi="Times New Roman"/>
                <w:b/>
                <w:bCs/>
                <w:color w:val="000000"/>
                <w:sz w:val="21"/>
                <w:szCs w:val="21"/>
              </w:rPr>
            </w:pPr>
          </w:p>
        </w:tc>
      </w:tr>
      <w:tr w14:paraId="60A9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639" w:type="dxa"/>
            <w:vMerge w:val="restart"/>
            <w:noWrap w:val="0"/>
            <w:vAlign w:val="center"/>
          </w:tcPr>
          <w:p w14:paraId="0E1CDDDA">
            <w:pPr>
              <w:widowControl/>
              <w:snapToGrid w:val="0"/>
              <w:spacing w:line="240" w:lineRule="atLeast"/>
              <w:jc w:val="center"/>
              <w:textAlignment w:val="center"/>
              <w:rPr>
                <w:rFonts w:hint="default" w:ascii="Times New Roman" w:hAnsi="Times New Roman"/>
                <w:b/>
                <w:bCs/>
                <w:color w:val="000000"/>
                <w:sz w:val="21"/>
                <w:szCs w:val="21"/>
              </w:rPr>
            </w:pPr>
            <w:r>
              <w:rPr>
                <w:rStyle w:val="41"/>
                <w:rFonts w:hint="default" w:ascii="Times New Roman" w:hAnsi="Times New Roman" w:cs="Times New Roman"/>
                <w:sz w:val="21"/>
                <w:szCs w:val="21"/>
                <w:lang w:bidi="ar"/>
              </w:rPr>
              <w:t>通用指标（20分）</w:t>
            </w:r>
            <w:r>
              <w:rPr>
                <w:rStyle w:val="42"/>
                <w:rFonts w:hint="default" w:ascii="Times New Roman" w:hAnsi="Times New Roman" w:cs="Times New Roman"/>
                <w:color w:val="000000"/>
                <w:sz w:val="21"/>
                <w:szCs w:val="21"/>
                <w:lang w:bidi="ar"/>
              </w:rPr>
              <w:t>不能修改</w:t>
            </w:r>
          </w:p>
        </w:tc>
        <w:tc>
          <w:tcPr>
            <w:tcW w:w="427" w:type="dxa"/>
            <w:vMerge w:val="restart"/>
            <w:noWrap w:val="0"/>
            <w:vAlign w:val="center"/>
          </w:tcPr>
          <w:p w14:paraId="1ADB1FF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27" w:type="dxa"/>
            <w:vMerge w:val="restart"/>
            <w:noWrap w:val="0"/>
            <w:vAlign w:val="center"/>
          </w:tcPr>
          <w:p w14:paraId="697E2FCB">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680" w:type="dxa"/>
            <w:noWrap w:val="0"/>
            <w:vAlign w:val="center"/>
          </w:tcPr>
          <w:p w14:paraId="7B59B56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80" w:type="dxa"/>
            <w:noWrap w:val="0"/>
            <w:vAlign w:val="center"/>
          </w:tcPr>
          <w:p w14:paraId="463B70B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460" w:type="dxa"/>
            <w:noWrap w:val="0"/>
            <w:vAlign w:val="center"/>
          </w:tcPr>
          <w:p w14:paraId="2E0A2B1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480" w:type="dxa"/>
            <w:noWrap w:val="0"/>
            <w:vAlign w:val="center"/>
          </w:tcPr>
          <w:p w14:paraId="19FCF256">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252E8A3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846" w:type="dxa"/>
            <w:noWrap w:val="0"/>
            <w:vAlign w:val="center"/>
          </w:tcPr>
          <w:p w14:paraId="524BA52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181AE68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noWrap w:val="0"/>
            <w:vAlign w:val="center"/>
          </w:tcPr>
          <w:p w14:paraId="277B118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noWrap w:val="0"/>
            <w:vAlign w:val="center"/>
          </w:tcPr>
          <w:p w14:paraId="35A0B25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noWrap w:val="0"/>
            <w:vAlign w:val="center"/>
          </w:tcPr>
          <w:p w14:paraId="0997526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7AC1115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7398ADC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373443CB">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ECDA41F">
            <w:pPr>
              <w:snapToGrid w:val="0"/>
              <w:spacing w:line="240" w:lineRule="atLeast"/>
              <w:rPr>
                <w:rFonts w:hint="default" w:ascii="Times New Roman" w:hAnsi="Times New Roman"/>
                <w:color w:val="000000"/>
                <w:sz w:val="21"/>
                <w:szCs w:val="21"/>
              </w:rPr>
            </w:pPr>
          </w:p>
        </w:tc>
        <w:tc>
          <w:tcPr>
            <w:tcW w:w="427" w:type="dxa"/>
            <w:noWrap w:val="0"/>
            <w:vAlign w:val="center"/>
          </w:tcPr>
          <w:p w14:paraId="4D561C0F">
            <w:pPr>
              <w:snapToGrid w:val="0"/>
              <w:spacing w:line="240" w:lineRule="atLeast"/>
              <w:rPr>
                <w:rFonts w:hint="default" w:ascii="Times New Roman" w:hAnsi="Times New Roman"/>
                <w:color w:val="000000"/>
                <w:sz w:val="21"/>
                <w:szCs w:val="21"/>
              </w:rPr>
            </w:pPr>
          </w:p>
        </w:tc>
        <w:tc>
          <w:tcPr>
            <w:tcW w:w="427" w:type="dxa"/>
            <w:noWrap w:val="0"/>
            <w:vAlign w:val="center"/>
          </w:tcPr>
          <w:p w14:paraId="45B63B0F">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7A2531F">
            <w:pPr>
              <w:snapToGrid w:val="0"/>
              <w:spacing w:line="240" w:lineRule="atLeast"/>
              <w:jc w:val="center"/>
              <w:rPr>
                <w:rFonts w:hint="default" w:ascii="Times New Roman" w:hAnsi="Times New Roman"/>
                <w:color w:val="000000"/>
                <w:sz w:val="21"/>
                <w:szCs w:val="21"/>
              </w:rPr>
            </w:pPr>
          </w:p>
        </w:tc>
        <w:tc>
          <w:tcPr>
            <w:tcW w:w="427" w:type="dxa"/>
            <w:noWrap/>
            <w:vAlign w:val="center"/>
          </w:tcPr>
          <w:p w14:paraId="1DA8B874">
            <w:pPr>
              <w:snapToGrid w:val="0"/>
              <w:spacing w:line="240" w:lineRule="atLeast"/>
              <w:rPr>
                <w:rFonts w:hint="default" w:ascii="Times New Roman" w:hAnsi="Times New Roman"/>
                <w:color w:val="000000"/>
                <w:sz w:val="21"/>
                <w:szCs w:val="21"/>
              </w:rPr>
            </w:pPr>
          </w:p>
        </w:tc>
        <w:tc>
          <w:tcPr>
            <w:tcW w:w="1083" w:type="dxa"/>
            <w:noWrap/>
            <w:vAlign w:val="center"/>
          </w:tcPr>
          <w:p w14:paraId="55B1CCA9">
            <w:pPr>
              <w:snapToGrid w:val="0"/>
              <w:spacing w:line="240" w:lineRule="atLeast"/>
              <w:rPr>
                <w:rFonts w:hint="default" w:ascii="Times New Roman" w:hAnsi="Times New Roman"/>
                <w:color w:val="000000"/>
                <w:sz w:val="21"/>
                <w:szCs w:val="21"/>
              </w:rPr>
            </w:pPr>
          </w:p>
        </w:tc>
        <w:tc>
          <w:tcPr>
            <w:tcW w:w="640" w:type="dxa"/>
            <w:noWrap/>
            <w:vAlign w:val="center"/>
          </w:tcPr>
          <w:p w14:paraId="3D781BDA">
            <w:pPr>
              <w:widowControl/>
              <w:tabs>
                <w:tab w:val="center" w:pos="212"/>
                <w:tab w:val="right" w:pos="543"/>
              </w:tabs>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0A52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639" w:type="dxa"/>
            <w:vMerge w:val="continue"/>
            <w:noWrap w:val="0"/>
            <w:vAlign w:val="center"/>
          </w:tcPr>
          <w:p w14:paraId="765335D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F97A669">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2DB6F26">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44F4670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80" w:type="dxa"/>
            <w:noWrap w:val="0"/>
            <w:vAlign w:val="center"/>
          </w:tcPr>
          <w:p w14:paraId="1D75AD8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460" w:type="dxa"/>
            <w:noWrap w:val="0"/>
            <w:vAlign w:val="center"/>
          </w:tcPr>
          <w:p w14:paraId="25398C7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480" w:type="dxa"/>
            <w:noWrap w:val="0"/>
            <w:vAlign w:val="center"/>
          </w:tcPr>
          <w:p w14:paraId="509BE44C">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65A2B65D">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846" w:type="dxa"/>
            <w:noWrap w:val="0"/>
            <w:vAlign w:val="center"/>
          </w:tcPr>
          <w:p w14:paraId="0B61E5D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39D3A6C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noWrap w:val="0"/>
            <w:vAlign w:val="center"/>
          </w:tcPr>
          <w:p w14:paraId="369A5A3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noWrap w:val="0"/>
            <w:vAlign w:val="center"/>
          </w:tcPr>
          <w:p w14:paraId="25021A9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noWrap w:val="0"/>
            <w:vAlign w:val="center"/>
          </w:tcPr>
          <w:p w14:paraId="6F50E00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75664A1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5845D433">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750B9D9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FD8D5FB">
            <w:pPr>
              <w:snapToGrid w:val="0"/>
              <w:spacing w:line="240" w:lineRule="atLeast"/>
              <w:rPr>
                <w:rFonts w:hint="default" w:ascii="Times New Roman" w:hAnsi="Times New Roman"/>
                <w:color w:val="000000"/>
                <w:sz w:val="21"/>
                <w:szCs w:val="21"/>
              </w:rPr>
            </w:pPr>
          </w:p>
        </w:tc>
        <w:tc>
          <w:tcPr>
            <w:tcW w:w="427" w:type="dxa"/>
            <w:noWrap w:val="0"/>
            <w:vAlign w:val="center"/>
          </w:tcPr>
          <w:p w14:paraId="6685C535">
            <w:pPr>
              <w:snapToGrid w:val="0"/>
              <w:spacing w:line="240" w:lineRule="atLeast"/>
              <w:rPr>
                <w:rFonts w:hint="default" w:ascii="Times New Roman" w:hAnsi="Times New Roman"/>
                <w:color w:val="000000"/>
                <w:sz w:val="21"/>
                <w:szCs w:val="21"/>
              </w:rPr>
            </w:pPr>
          </w:p>
        </w:tc>
        <w:tc>
          <w:tcPr>
            <w:tcW w:w="427" w:type="dxa"/>
            <w:noWrap/>
            <w:vAlign w:val="center"/>
          </w:tcPr>
          <w:p w14:paraId="76B0D769">
            <w:pPr>
              <w:snapToGrid w:val="0"/>
              <w:spacing w:line="240" w:lineRule="atLeast"/>
              <w:rPr>
                <w:rFonts w:hint="default" w:ascii="Times New Roman" w:hAnsi="Times New Roman"/>
                <w:color w:val="000000"/>
                <w:sz w:val="21"/>
                <w:szCs w:val="21"/>
              </w:rPr>
            </w:pPr>
          </w:p>
        </w:tc>
        <w:tc>
          <w:tcPr>
            <w:tcW w:w="427" w:type="dxa"/>
            <w:noWrap w:val="0"/>
            <w:vAlign w:val="center"/>
          </w:tcPr>
          <w:p w14:paraId="6605B39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7EE427BF">
            <w:pPr>
              <w:snapToGrid w:val="0"/>
              <w:spacing w:line="240" w:lineRule="atLeast"/>
              <w:rPr>
                <w:rFonts w:hint="default" w:ascii="Times New Roman" w:hAnsi="Times New Roman"/>
                <w:color w:val="000000"/>
                <w:sz w:val="21"/>
                <w:szCs w:val="21"/>
              </w:rPr>
            </w:pPr>
          </w:p>
        </w:tc>
        <w:tc>
          <w:tcPr>
            <w:tcW w:w="1083" w:type="dxa"/>
            <w:noWrap w:val="0"/>
            <w:vAlign w:val="center"/>
          </w:tcPr>
          <w:p w14:paraId="71CD9A40">
            <w:pPr>
              <w:snapToGrid w:val="0"/>
              <w:spacing w:line="240" w:lineRule="atLeast"/>
              <w:rPr>
                <w:rFonts w:hint="default" w:ascii="Times New Roman" w:hAnsi="Times New Roman"/>
                <w:color w:val="000000"/>
                <w:sz w:val="21"/>
                <w:szCs w:val="21"/>
              </w:rPr>
            </w:pPr>
          </w:p>
        </w:tc>
        <w:tc>
          <w:tcPr>
            <w:tcW w:w="640" w:type="dxa"/>
            <w:noWrap/>
            <w:vAlign w:val="center"/>
          </w:tcPr>
          <w:p w14:paraId="61C88606">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w:t>
            </w:r>
          </w:p>
        </w:tc>
      </w:tr>
      <w:tr w14:paraId="5500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639" w:type="dxa"/>
            <w:vMerge w:val="continue"/>
            <w:noWrap w:val="0"/>
            <w:vAlign w:val="center"/>
          </w:tcPr>
          <w:p w14:paraId="0E02BF9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E49733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6F8E489">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06AD134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80" w:type="dxa"/>
            <w:noWrap w:val="0"/>
            <w:vAlign w:val="center"/>
          </w:tcPr>
          <w:p w14:paraId="2D8ED7C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460" w:type="dxa"/>
            <w:noWrap w:val="0"/>
            <w:vAlign w:val="center"/>
          </w:tcPr>
          <w:p w14:paraId="05AA07B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480" w:type="dxa"/>
            <w:noWrap w:val="0"/>
            <w:vAlign w:val="center"/>
          </w:tcPr>
          <w:p w14:paraId="00A8F132">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2F49D79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846" w:type="dxa"/>
            <w:noWrap w:val="0"/>
            <w:vAlign w:val="center"/>
          </w:tcPr>
          <w:p w14:paraId="3AD352B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14:paraId="1D4780D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68213E6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58A7CD7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056CA57">
            <w:pPr>
              <w:snapToGrid w:val="0"/>
              <w:spacing w:line="240" w:lineRule="atLeast"/>
              <w:rPr>
                <w:rFonts w:hint="default" w:ascii="Times New Roman" w:hAnsi="Times New Roman"/>
                <w:color w:val="000000"/>
                <w:sz w:val="21"/>
                <w:szCs w:val="21"/>
              </w:rPr>
            </w:pPr>
          </w:p>
        </w:tc>
        <w:tc>
          <w:tcPr>
            <w:tcW w:w="427" w:type="dxa"/>
            <w:noWrap w:val="0"/>
            <w:vAlign w:val="center"/>
          </w:tcPr>
          <w:p w14:paraId="22A3EF6B">
            <w:pPr>
              <w:snapToGrid w:val="0"/>
              <w:spacing w:line="240" w:lineRule="atLeast"/>
              <w:rPr>
                <w:rFonts w:hint="default" w:ascii="Times New Roman" w:hAnsi="Times New Roman"/>
                <w:color w:val="000000"/>
                <w:sz w:val="21"/>
                <w:szCs w:val="21"/>
              </w:rPr>
            </w:pPr>
          </w:p>
        </w:tc>
        <w:tc>
          <w:tcPr>
            <w:tcW w:w="427" w:type="dxa"/>
            <w:noWrap/>
            <w:vAlign w:val="center"/>
          </w:tcPr>
          <w:p w14:paraId="2677448D">
            <w:pPr>
              <w:snapToGrid w:val="0"/>
              <w:spacing w:line="240" w:lineRule="atLeast"/>
              <w:rPr>
                <w:rFonts w:hint="default" w:ascii="Times New Roman" w:hAnsi="Times New Roman"/>
                <w:color w:val="000000"/>
                <w:sz w:val="21"/>
                <w:szCs w:val="21"/>
              </w:rPr>
            </w:pPr>
          </w:p>
        </w:tc>
        <w:tc>
          <w:tcPr>
            <w:tcW w:w="427" w:type="dxa"/>
            <w:noWrap/>
            <w:vAlign w:val="center"/>
          </w:tcPr>
          <w:p w14:paraId="02D90536">
            <w:pPr>
              <w:snapToGrid w:val="0"/>
              <w:spacing w:line="240" w:lineRule="atLeast"/>
              <w:rPr>
                <w:rFonts w:hint="default" w:ascii="Times New Roman" w:hAnsi="Times New Roman"/>
                <w:color w:val="000000"/>
                <w:sz w:val="21"/>
                <w:szCs w:val="21"/>
              </w:rPr>
            </w:pPr>
          </w:p>
        </w:tc>
        <w:tc>
          <w:tcPr>
            <w:tcW w:w="427" w:type="dxa"/>
            <w:noWrap/>
            <w:vAlign w:val="center"/>
          </w:tcPr>
          <w:p w14:paraId="2A1356BA">
            <w:pPr>
              <w:snapToGrid w:val="0"/>
              <w:spacing w:line="240" w:lineRule="atLeast"/>
              <w:rPr>
                <w:rFonts w:hint="default" w:ascii="Times New Roman" w:hAnsi="Times New Roman"/>
                <w:color w:val="000000"/>
                <w:sz w:val="21"/>
                <w:szCs w:val="21"/>
              </w:rPr>
            </w:pPr>
          </w:p>
        </w:tc>
        <w:tc>
          <w:tcPr>
            <w:tcW w:w="1083" w:type="dxa"/>
            <w:noWrap w:val="0"/>
            <w:vAlign w:val="center"/>
          </w:tcPr>
          <w:p w14:paraId="4885BA31">
            <w:pPr>
              <w:snapToGrid w:val="0"/>
              <w:spacing w:line="240" w:lineRule="atLeast"/>
              <w:rPr>
                <w:rFonts w:hint="default" w:ascii="Times New Roman" w:hAnsi="Times New Roman"/>
                <w:color w:val="000000"/>
                <w:sz w:val="21"/>
                <w:szCs w:val="21"/>
              </w:rPr>
            </w:pPr>
          </w:p>
        </w:tc>
        <w:tc>
          <w:tcPr>
            <w:tcW w:w="640" w:type="dxa"/>
            <w:noWrap/>
            <w:vAlign w:val="center"/>
          </w:tcPr>
          <w:p w14:paraId="78DC3FA5">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w:t>
            </w:r>
          </w:p>
        </w:tc>
      </w:tr>
      <w:tr w14:paraId="5548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639" w:type="dxa"/>
            <w:vMerge w:val="continue"/>
            <w:noWrap w:val="0"/>
            <w:vAlign w:val="center"/>
          </w:tcPr>
          <w:p w14:paraId="3E6A17B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24A1A2C">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40B0959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680" w:type="dxa"/>
            <w:noWrap w:val="0"/>
            <w:vAlign w:val="center"/>
          </w:tcPr>
          <w:p w14:paraId="0B4BE68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80" w:type="dxa"/>
            <w:noWrap w:val="0"/>
            <w:vAlign w:val="center"/>
          </w:tcPr>
          <w:p w14:paraId="00F2BA6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460" w:type="dxa"/>
            <w:noWrap w:val="0"/>
            <w:vAlign w:val="center"/>
          </w:tcPr>
          <w:p w14:paraId="4D46D4F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480" w:type="dxa"/>
            <w:noWrap w:val="0"/>
            <w:vAlign w:val="center"/>
          </w:tcPr>
          <w:p w14:paraId="79C4161B">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164DC7B0">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846" w:type="dxa"/>
            <w:noWrap w:val="0"/>
            <w:vAlign w:val="center"/>
          </w:tcPr>
          <w:p w14:paraId="22CC542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14:paraId="12A5513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433CAF8D">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0DE29C5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40A57EB">
            <w:pPr>
              <w:snapToGrid w:val="0"/>
              <w:spacing w:line="240" w:lineRule="atLeast"/>
              <w:rPr>
                <w:rFonts w:hint="default" w:ascii="Times New Roman" w:hAnsi="Times New Roman"/>
                <w:color w:val="000000"/>
                <w:sz w:val="21"/>
                <w:szCs w:val="21"/>
              </w:rPr>
            </w:pPr>
          </w:p>
        </w:tc>
        <w:tc>
          <w:tcPr>
            <w:tcW w:w="427" w:type="dxa"/>
            <w:noWrap w:val="0"/>
            <w:vAlign w:val="center"/>
          </w:tcPr>
          <w:p w14:paraId="64021D51">
            <w:pPr>
              <w:snapToGrid w:val="0"/>
              <w:spacing w:line="240" w:lineRule="atLeast"/>
              <w:rPr>
                <w:rFonts w:hint="default" w:ascii="Times New Roman" w:hAnsi="Times New Roman"/>
                <w:color w:val="000000"/>
                <w:sz w:val="21"/>
                <w:szCs w:val="21"/>
              </w:rPr>
            </w:pPr>
          </w:p>
        </w:tc>
        <w:tc>
          <w:tcPr>
            <w:tcW w:w="427" w:type="dxa"/>
            <w:noWrap/>
            <w:vAlign w:val="center"/>
          </w:tcPr>
          <w:p w14:paraId="3DCDD24C">
            <w:pPr>
              <w:snapToGrid w:val="0"/>
              <w:spacing w:line="240" w:lineRule="atLeast"/>
              <w:rPr>
                <w:rFonts w:hint="default" w:ascii="Times New Roman" w:hAnsi="Times New Roman"/>
                <w:color w:val="000000"/>
                <w:sz w:val="21"/>
                <w:szCs w:val="21"/>
              </w:rPr>
            </w:pPr>
          </w:p>
        </w:tc>
        <w:tc>
          <w:tcPr>
            <w:tcW w:w="427" w:type="dxa"/>
            <w:noWrap/>
            <w:vAlign w:val="center"/>
          </w:tcPr>
          <w:p w14:paraId="0534881C">
            <w:pPr>
              <w:snapToGrid w:val="0"/>
              <w:spacing w:line="240" w:lineRule="atLeast"/>
              <w:rPr>
                <w:rFonts w:hint="default" w:ascii="Times New Roman" w:hAnsi="Times New Roman"/>
                <w:color w:val="000000"/>
                <w:sz w:val="21"/>
                <w:szCs w:val="21"/>
              </w:rPr>
            </w:pPr>
          </w:p>
        </w:tc>
        <w:tc>
          <w:tcPr>
            <w:tcW w:w="427" w:type="dxa"/>
            <w:noWrap/>
            <w:vAlign w:val="center"/>
          </w:tcPr>
          <w:p w14:paraId="087F1E50">
            <w:pPr>
              <w:snapToGrid w:val="0"/>
              <w:spacing w:line="240" w:lineRule="atLeast"/>
              <w:rPr>
                <w:rFonts w:hint="default" w:ascii="Times New Roman" w:hAnsi="Times New Roman"/>
                <w:color w:val="000000"/>
                <w:sz w:val="21"/>
                <w:szCs w:val="21"/>
              </w:rPr>
            </w:pPr>
          </w:p>
        </w:tc>
        <w:tc>
          <w:tcPr>
            <w:tcW w:w="1083" w:type="dxa"/>
            <w:noWrap/>
            <w:vAlign w:val="center"/>
          </w:tcPr>
          <w:p w14:paraId="15BED977">
            <w:pPr>
              <w:snapToGrid w:val="0"/>
              <w:spacing w:line="240" w:lineRule="atLeast"/>
              <w:rPr>
                <w:rFonts w:hint="default" w:ascii="Times New Roman" w:hAnsi="Times New Roman"/>
                <w:color w:val="000000"/>
                <w:sz w:val="21"/>
                <w:szCs w:val="21"/>
              </w:rPr>
            </w:pPr>
          </w:p>
        </w:tc>
        <w:tc>
          <w:tcPr>
            <w:tcW w:w="640" w:type="dxa"/>
            <w:noWrap/>
            <w:vAlign w:val="center"/>
          </w:tcPr>
          <w:p w14:paraId="3EE3AA94">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4</w:t>
            </w:r>
          </w:p>
        </w:tc>
      </w:tr>
      <w:tr w14:paraId="7E5F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Merge w:val="continue"/>
            <w:noWrap w:val="0"/>
            <w:vAlign w:val="center"/>
          </w:tcPr>
          <w:p w14:paraId="142F9D1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D34401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57AA663">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5877D09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80" w:type="dxa"/>
            <w:noWrap w:val="0"/>
            <w:vAlign w:val="center"/>
          </w:tcPr>
          <w:p w14:paraId="79E98D2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460" w:type="dxa"/>
            <w:noWrap w:val="0"/>
            <w:vAlign w:val="center"/>
          </w:tcPr>
          <w:p w14:paraId="2D4A542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480" w:type="dxa"/>
            <w:noWrap w:val="0"/>
            <w:vAlign w:val="center"/>
          </w:tcPr>
          <w:p w14:paraId="285635F8">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53DE46A9">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846" w:type="dxa"/>
            <w:noWrap w:val="0"/>
            <w:vAlign w:val="center"/>
          </w:tcPr>
          <w:p w14:paraId="6705217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14:paraId="698452F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1B6B6A0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4D7E489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3BF524D">
            <w:pPr>
              <w:snapToGrid w:val="0"/>
              <w:spacing w:line="240" w:lineRule="atLeast"/>
              <w:rPr>
                <w:rFonts w:hint="default" w:ascii="Times New Roman" w:hAnsi="Times New Roman"/>
                <w:color w:val="000000"/>
                <w:sz w:val="21"/>
                <w:szCs w:val="21"/>
              </w:rPr>
            </w:pPr>
          </w:p>
        </w:tc>
        <w:tc>
          <w:tcPr>
            <w:tcW w:w="427" w:type="dxa"/>
            <w:noWrap w:val="0"/>
            <w:vAlign w:val="center"/>
          </w:tcPr>
          <w:p w14:paraId="5A0F75E2">
            <w:pPr>
              <w:snapToGrid w:val="0"/>
              <w:spacing w:line="240" w:lineRule="atLeast"/>
              <w:rPr>
                <w:rFonts w:hint="default" w:ascii="Times New Roman" w:hAnsi="Times New Roman"/>
                <w:color w:val="000000"/>
                <w:sz w:val="21"/>
                <w:szCs w:val="21"/>
              </w:rPr>
            </w:pPr>
          </w:p>
        </w:tc>
        <w:tc>
          <w:tcPr>
            <w:tcW w:w="427" w:type="dxa"/>
            <w:noWrap/>
            <w:vAlign w:val="center"/>
          </w:tcPr>
          <w:p w14:paraId="1E9C01E6">
            <w:pPr>
              <w:snapToGrid w:val="0"/>
              <w:spacing w:line="240" w:lineRule="atLeast"/>
              <w:rPr>
                <w:rFonts w:hint="default" w:ascii="Times New Roman" w:hAnsi="Times New Roman"/>
                <w:color w:val="000000"/>
                <w:sz w:val="21"/>
                <w:szCs w:val="21"/>
              </w:rPr>
            </w:pPr>
          </w:p>
        </w:tc>
        <w:tc>
          <w:tcPr>
            <w:tcW w:w="427" w:type="dxa"/>
            <w:noWrap/>
            <w:vAlign w:val="center"/>
          </w:tcPr>
          <w:p w14:paraId="7ABD107F">
            <w:pPr>
              <w:snapToGrid w:val="0"/>
              <w:spacing w:line="240" w:lineRule="atLeast"/>
              <w:rPr>
                <w:rFonts w:hint="default" w:ascii="Times New Roman" w:hAnsi="Times New Roman"/>
                <w:color w:val="000000"/>
                <w:sz w:val="21"/>
                <w:szCs w:val="21"/>
              </w:rPr>
            </w:pPr>
          </w:p>
        </w:tc>
        <w:tc>
          <w:tcPr>
            <w:tcW w:w="427" w:type="dxa"/>
            <w:noWrap/>
            <w:vAlign w:val="center"/>
          </w:tcPr>
          <w:p w14:paraId="23397D61">
            <w:pPr>
              <w:snapToGrid w:val="0"/>
              <w:spacing w:line="240" w:lineRule="atLeast"/>
              <w:rPr>
                <w:rFonts w:hint="default" w:ascii="Times New Roman" w:hAnsi="Times New Roman"/>
                <w:color w:val="000000"/>
                <w:sz w:val="21"/>
                <w:szCs w:val="21"/>
              </w:rPr>
            </w:pPr>
          </w:p>
        </w:tc>
        <w:tc>
          <w:tcPr>
            <w:tcW w:w="1083" w:type="dxa"/>
            <w:noWrap/>
            <w:vAlign w:val="center"/>
          </w:tcPr>
          <w:p w14:paraId="10BF904D">
            <w:pPr>
              <w:snapToGrid w:val="0"/>
              <w:spacing w:line="240" w:lineRule="atLeast"/>
              <w:rPr>
                <w:rFonts w:hint="default" w:ascii="Times New Roman" w:hAnsi="Times New Roman"/>
                <w:color w:val="000000"/>
                <w:sz w:val="21"/>
                <w:szCs w:val="21"/>
              </w:rPr>
            </w:pPr>
          </w:p>
        </w:tc>
        <w:tc>
          <w:tcPr>
            <w:tcW w:w="640" w:type="dxa"/>
            <w:noWrap/>
            <w:vAlign w:val="center"/>
          </w:tcPr>
          <w:p w14:paraId="3AA0582E">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4</w:t>
            </w:r>
          </w:p>
        </w:tc>
      </w:tr>
      <w:tr w14:paraId="2E57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39" w:type="dxa"/>
            <w:vMerge w:val="continue"/>
            <w:noWrap w:val="0"/>
            <w:vAlign w:val="center"/>
          </w:tcPr>
          <w:p w14:paraId="41A3BB9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F77D9D7">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06CD5340">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680" w:type="dxa"/>
            <w:noWrap w:val="0"/>
            <w:vAlign w:val="center"/>
          </w:tcPr>
          <w:p w14:paraId="4EC6E5D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80" w:type="dxa"/>
            <w:noWrap w:val="0"/>
            <w:vAlign w:val="center"/>
          </w:tcPr>
          <w:p w14:paraId="47F956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460" w:type="dxa"/>
            <w:noWrap w:val="0"/>
            <w:vAlign w:val="center"/>
          </w:tcPr>
          <w:p w14:paraId="6CD7E00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2471075D">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50%</w:t>
            </w:r>
          </w:p>
        </w:tc>
        <w:tc>
          <w:tcPr>
            <w:tcW w:w="1010" w:type="dxa"/>
            <w:noWrap w:val="0"/>
            <w:vAlign w:val="center"/>
          </w:tcPr>
          <w:p w14:paraId="3A1B23C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846" w:type="dxa"/>
            <w:noWrap w:val="0"/>
            <w:vAlign w:val="center"/>
          </w:tcPr>
          <w:p w14:paraId="2A0FEA5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14:paraId="6BB6280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58506875">
            <w:pPr>
              <w:snapToGrid w:val="0"/>
              <w:spacing w:line="240" w:lineRule="atLeast"/>
              <w:rPr>
                <w:rFonts w:hint="default" w:ascii="Times New Roman" w:hAnsi="Times New Roman"/>
                <w:color w:val="000000"/>
                <w:sz w:val="21"/>
                <w:szCs w:val="21"/>
              </w:rPr>
            </w:pPr>
          </w:p>
        </w:tc>
        <w:tc>
          <w:tcPr>
            <w:tcW w:w="427" w:type="dxa"/>
            <w:noWrap w:val="0"/>
            <w:vAlign w:val="center"/>
          </w:tcPr>
          <w:p w14:paraId="4815A1A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9DB7A33">
            <w:pPr>
              <w:snapToGrid w:val="0"/>
              <w:spacing w:line="240" w:lineRule="atLeast"/>
              <w:rPr>
                <w:rFonts w:hint="default" w:ascii="Times New Roman" w:hAnsi="Times New Roman"/>
                <w:color w:val="000000"/>
                <w:sz w:val="21"/>
                <w:szCs w:val="21"/>
              </w:rPr>
            </w:pPr>
          </w:p>
        </w:tc>
        <w:tc>
          <w:tcPr>
            <w:tcW w:w="427" w:type="dxa"/>
            <w:noWrap w:val="0"/>
            <w:vAlign w:val="center"/>
          </w:tcPr>
          <w:p w14:paraId="368D6B6F">
            <w:pPr>
              <w:snapToGrid w:val="0"/>
              <w:spacing w:line="240" w:lineRule="atLeast"/>
              <w:rPr>
                <w:rFonts w:hint="default" w:ascii="Times New Roman" w:hAnsi="Times New Roman"/>
                <w:color w:val="000000"/>
                <w:sz w:val="21"/>
                <w:szCs w:val="21"/>
              </w:rPr>
            </w:pPr>
          </w:p>
        </w:tc>
        <w:tc>
          <w:tcPr>
            <w:tcW w:w="427" w:type="dxa"/>
            <w:noWrap/>
            <w:vAlign w:val="center"/>
          </w:tcPr>
          <w:p w14:paraId="43D8B8B3">
            <w:pPr>
              <w:snapToGrid w:val="0"/>
              <w:spacing w:line="240" w:lineRule="atLeast"/>
              <w:rPr>
                <w:rFonts w:hint="default" w:ascii="Times New Roman" w:hAnsi="Times New Roman"/>
                <w:color w:val="000000"/>
                <w:sz w:val="21"/>
                <w:szCs w:val="21"/>
              </w:rPr>
            </w:pPr>
          </w:p>
        </w:tc>
        <w:tc>
          <w:tcPr>
            <w:tcW w:w="427" w:type="dxa"/>
            <w:noWrap/>
            <w:vAlign w:val="center"/>
          </w:tcPr>
          <w:p w14:paraId="1AEAE5E3">
            <w:pPr>
              <w:snapToGrid w:val="0"/>
              <w:spacing w:line="240" w:lineRule="atLeast"/>
              <w:rPr>
                <w:rFonts w:hint="default" w:ascii="Times New Roman" w:hAnsi="Times New Roman"/>
                <w:color w:val="000000"/>
                <w:sz w:val="21"/>
                <w:szCs w:val="21"/>
              </w:rPr>
            </w:pPr>
          </w:p>
        </w:tc>
        <w:tc>
          <w:tcPr>
            <w:tcW w:w="427" w:type="dxa"/>
            <w:noWrap/>
            <w:vAlign w:val="center"/>
          </w:tcPr>
          <w:p w14:paraId="3C887CC3">
            <w:pPr>
              <w:snapToGrid w:val="0"/>
              <w:spacing w:line="240" w:lineRule="atLeast"/>
              <w:rPr>
                <w:rFonts w:hint="default" w:ascii="Times New Roman" w:hAnsi="Times New Roman"/>
                <w:color w:val="000000"/>
                <w:sz w:val="21"/>
                <w:szCs w:val="21"/>
              </w:rPr>
            </w:pPr>
          </w:p>
        </w:tc>
        <w:tc>
          <w:tcPr>
            <w:tcW w:w="1083" w:type="dxa"/>
            <w:noWrap/>
            <w:vAlign w:val="center"/>
          </w:tcPr>
          <w:p w14:paraId="7F7B4C6F">
            <w:pPr>
              <w:snapToGrid w:val="0"/>
              <w:spacing w:line="240" w:lineRule="atLeast"/>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预算资金使用率没有达到年初预算拨付进度</w:t>
            </w:r>
          </w:p>
        </w:tc>
        <w:tc>
          <w:tcPr>
            <w:tcW w:w="640" w:type="dxa"/>
            <w:noWrap/>
            <w:vAlign w:val="center"/>
          </w:tcPr>
          <w:p w14:paraId="3107158C">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3</w:t>
            </w:r>
          </w:p>
        </w:tc>
      </w:tr>
      <w:tr w14:paraId="2923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39" w:type="dxa"/>
            <w:vMerge w:val="continue"/>
            <w:noWrap w:val="0"/>
            <w:vAlign w:val="center"/>
          </w:tcPr>
          <w:p w14:paraId="0CB6A02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7E00C6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59E9B2B">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4534753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资金使用率</w:t>
            </w:r>
          </w:p>
        </w:tc>
        <w:tc>
          <w:tcPr>
            <w:tcW w:w="480" w:type="dxa"/>
            <w:noWrap w:val="0"/>
            <w:vAlign w:val="center"/>
          </w:tcPr>
          <w:p w14:paraId="15F9A47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w:t>
            </w:r>
          </w:p>
        </w:tc>
        <w:tc>
          <w:tcPr>
            <w:tcW w:w="460" w:type="dxa"/>
            <w:noWrap w:val="0"/>
            <w:vAlign w:val="center"/>
          </w:tcPr>
          <w:p w14:paraId="6197EF4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06B3F567">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772BF2E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反映项目点获得资金的使用情况</w:t>
            </w:r>
          </w:p>
        </w:tc>
        <w:tc>
          <w:tcPr>
            <w:tcW w:w="846" w:type="dxa"/>
            <w:noWrap w:val="0"/>
            <w:vAlign w:val="center"/>
          </w:tcPr>
          <w:p w14:paraId="22B13C0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2454" w:type="dxa"/>
            <w:gridSpan w:val="5"/>
            <w:noWrap w:val="0"/>
            <w:vAlign w:val="center"/>
          </w:tcPr>
          <w:p w14:paraId="50528B90">
            <w:pPr>
              <w:widowControl/>
              <w:snapToGrid w:val="0"/>
              <w:spacing w:line="240" w:lineRule="atLeast"/>
              <w:jc w:val="center"/>
              <w:textAlignment w:val="center"/>
              <w:rPr>
                <w:rFonts w:hint="default" w:ascii="Times New Roman" w:hAnsi="Times New Roman"/>
                <w:color w:val="000000"/>
                <w:sz w:val="21"/>
                <w:szCs w:val="21"/>
              </w:rPr>
            </w:pPr>
            <w:r>
              <w:rPr>
                <w:rStyle w:val="43"/>
                <w:rFonts w:hint="default" w:ascii="Times New Roman" w:hAnsi="Times New Roman" w:cs="Times New Roman"/>
                <w:sz w:val="21"/>
                <w:szCs w:val="21"/>
                <w:lang w:bidi="ar"/>
              </w:rPr>
              <w:t>指标得分=项目点实际使用资金/获得补助资金总额×100%*指标分值</w:t>
            </w:r>
            <w:r>
              <w:rPr>
                <w:rStyle w:val="44"/>
                <w:rFonts w:hint="default" w:ascii="Times New Roman" w:hAnsi="Times New Roman" w:cs="Times New Roman"/>
                <w:color w:val="000000"/>
                <w:sz w:val="21"/>
                <w:szCs w:val="21"/>
                <w:lang w:bidi="ar"/>
              </w:rPr>
              <w:t>（后补助资金可不考核本指标）</w:t>
            </w:r>
          </w:p>
        </w:tc>
        <w:tc>
          <w:tcPr>
            <w:tcW w:w="1805" w:type="dxa"/>
            <w:noWrap w:val="0"/>
            <w:vAlign w:val="center"/>
          </w:tcPr>
          <w:p w14:paraId="4BA1E7C7">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不涉及的将分数调整到预算执行率内（6分）</w:t>
            </w:r>
          </w:p>
        </w:tc>
        <w:tc>
          <w:tcPr>
            <w:tcW w:w="427" w:type="dxa"/>
            <w:noWrap w:val="0"/>
            <w:vAlign w:val="center"/>
          </w:tcPr>
          <w:p w14:paraId="7984789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A958610">
            <w:pPr>
              <w:snapToGrid w:val="0"/>
              <w:spacing w:line="240" w:lineRule="atLeast"/>
              <w:rPr>
                <w:rFonts w:hint="default" w:ascii="Times New Roman" w:hAnsi="Times New Roman"/>
                <w:color w:val="000000"/>
                <w:sz w:val="21"/>
                <w:szCs w:val="21"/>
              </w:rPr>
            </w:pPr>
          </w:p>
        </w:tc>
        <w:tc>
          <w:tcPr>
            <w:tcW w:w="427" w:type="dxa"/>
            <w:noWrap w:val="0"/>
            <w:vAlign w:val="center"/>
          </w:tcPr>
          <w:p w14:paraId="7A44ED45">
            <w:pPr>
              <w:snapToGrid w:val="0"/>
              <w:spacing w:line="240" w:lineRule="atLeast"/>
              <w:rPr>
                <w:rFonts w:hint="default" w:ascii="Times New Roman" w:hAnsi="Times New Roman"/>
                <w:color w:val="000000"/>
                <w:sz w:val="21"/>
                <w:szCs w:val="21"/>
              </w:rPr>
            </w:pPr>
          </w:p>
        </w:tc>
        <w:tc>
          <w:tcPr>
            <w:tcW w:w="427" w:type="dxa"/>
            <w:noWrap/>
            <w:vAlign w:val="center"/>
          </w:tcPr>
          <w:p w14:paraId="3EDE2299">
            <w:pPr>
              <w:snapToGrid w:val="0"/>
              <w:spacing w:line="240" w:lineRule="atLeast"/>
              <w:rPr>
                <w:rFonts w:hint="default" w:ascii="Times New Roman" w:hAnsi="Times New Roman"/>
                <w:color w:val="000000"/>
                <w:sz w:val="21"/>
                <w:szCs w:val="21"/>
              </w:rPr>
            </w:pPr>
          </w:p>
        </w:tc>
        <w:tc>
          <w:tcPr>
            <w:tcW w:w="427" w:type="dxa"/>
            <w:noWrap/>
            <w:vAlign w:val="center"/>
          </w:tcPr>
          <w:p w14:paraId="535A32F8">
            <w:pPr>
              <w:snapToGrid w:val="0"/>
              <w:spacing w:line="240" w:lineRule="atLeast"/>
              <w:rPr>
                <w:rFonts w:hint="default" w:ascii="Times New Roman" w:hAnsi="Times New Roman"/>
                <w:color w:val="000000"/>
                <w:sz w:val="21"/>
                <w:szCs w:val="21"/>
              </w:rPr>
            </w:pPr>
          </w:p>
        </w:tc>
        <w:tc>
          <w:tcPr>
            <w:tcW w:w="427" w:type="dxa"/>
            <w:noWrap/>
            <w:vAlign w:val="center"/>
          </w:tcPr>
          <w:p w14:paraId="79BA10C3">
            <w:pPr>
              <w:snapToGrid w:val="0"/>
              <w:spacing w:line="240" w:lineRule="atLeast"/>
              <w:rPr>
                <w:rFonts w:hint="default" w:ascii="Times New Roman" w:hAnsi="Times New Roman"/>
                <w:color w:val="000000"/>
                <w:sz w:val="21"/>
                <w:szCs w:val="21"/>
              </w:rPr>
            </w:pPr>
          </w:p>
        </w:tc>
        <w:tc>
          <w:tcPr>
            <w:tcW w:w="1083" w:type="dxa"/>
            <w:noWrap/>
            <w:vAlign w:val="center"/>
          </w:tcPr>
          <w:p w14:paraId="241B8D1D">
            <w:pPr>
              <w:snapToGrid w:val="0"/>
              <w:spacing w:line="240" w:lineRule="atLeast"/>
              <w:rPr>
                <w:rFonts w:hint="default" w:ascii="Times New Roman" w:hAnsi="Times New Roman"/>
                <w:color w:val="000000"/>
                <w:sz w:val="21"/>
                <w:szCs w:val="21"/>
              </w:rPr>
            </w:pPr>
          </w:p>
        </w:tc>
        <w:tc>
          <w:tcPr>
            <w:tcW w:w="640" w:type="dxa"/>
            <w:noWrap/>
            <w:vAlign w:val="center"/>
          </w:tcPr>
          <w:p w14:paraId="46CFC141">
            <w:pPr>
              <w:snapToGrid w:val="0"/>
              <w:spacing w:line="240" w:lineRule="atLeast"/>
              <w:rPr>
                <w:rFonts w:hint="default" w:ascii="Times New Roman" w:hAnsi="Times New Roman"/>
                <w:color w:val="000000"/>
                <w:sz w:val="21"/>
                <w:szCs w:val="21"/>
              </w:rPr>
            </w:pPr>
          </w:p>
        </w:tc>
      </w:tr>
      <w:tr w14:paraId="1887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restart"/>
            <w:noWrap w:val="0"/>
            <w:vAlign w:val="center"/>
          </w:tcPr>
          <w:p w14:paraId="61E5DFA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27" w:type="dxa"/>
            <w:vMerge w:val="restart"/>
            <w:noWrap w:val="0"/>
            <w:vAlign w:val="center"/>
          </w:tcPr>
          <w:p w14:paraId="1DAB15B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27" w:type="dxa"/>
            <w:noWrap w:val="0"/>
            <w:vAlign w:val="center"/>
          </w:tcPr>
          <w:p w14:paraId="1D6966D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680" w:type="dxa"/>
            <w:noWrap w:val="0"/>
            <w:vAlign w:val="center"/>
          </w:tcPr>
          <w:p w14:paraId="7BC66139">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项目资金支付100%</w:t>
            </w:r>
          </w:p>
        </w:tc>
        <w:tc>
          <w:tcPr>
            <w:tcW w:w="480" w:type="dxa"/>
            <w:noWrap w:val="0"/>
            <w:vAlign w:val="center"/>
          </w:tcPr>
          <w:p w14:paraId="0CE3CC4F">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5E43E53D">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3FDA850A">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eastAsia" w:ascii="Times New Roman" w:hAnsi="Times New Roman"/>
                <w:color w:val="000000"/>
                <w:sz w:val="21"/>
                <w:szCs w:val="21"/>
                <w:lang w:val="en-US" w:eastAsia="zh-CN" w:bidi="ar"/>
              </w:rPr>
              <w:t>85</w:t>
            </w:r>
            <w:r>
              <w:rPr>
                <w:rFonts w:hint="default" w:ascii="Times New Roman" w:hAnsi="Times New Roman"/>
                <w:color w:val="000000"/>
                <w:sz w:val="21"/>
                <w:szCs w:val="21"/>
                <w:lang w:bidi="ar"/>
              </w:rPr>
              <w:t>%</w:t>
            </w:r>
          </w:p>
        </w:tc>
        <w:tc>
          <w:tcPr>
            <w:tcW w:w="1010" w:type="dxa"/>
            <w:noWrap w:val="0"/>
            <w:vAlign w:val="center"/>
          </w:tcPr>
          <w:p w14:paraId="7B37FDBA">
            <w:pPr>
              <w:snapToGrid w:val="0"/>
              <w:spacing w:line="240" w:lineRule="atLeast"/>
              <w:rPr>
                <w:rFonts w:hint="default" w:ascii="Times New Roman" w:hAnsi="Times New Roman"/>
                <w:color w:val="000000"/>
                <w:sz w:val="21"/>
                <w:szCs w:val="21"/>
              </w:rPr>
            </w:pPr>
          </w:p>
        </w:tc>
        <w:tc>
          <w:tcPr>
            <w:tcW w:w="846" w:type="dxa"/>
            <w:vMerge w:val="restart"/>
            <w:noWrap w:val="0"/>
            <w:vAlign w:val="center"/>
          </w:tcPr>
          <w:p w14:paraId="4C363F43">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224ED0E7">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7AD7B93D">
            <w:pPr>
              <w:snapToGrid w:val="0"/>
              <w:spacing w:line="240" w:lineRule="atLeast"/>
              <w:rPr>
                <w:rFonts w:hint="default" w:ascii="Times New Roman" w:hAnsi="Times New Roman"/>
                <w:color w:val="000000"/>
                <w:sz w:val="21"/>
                <w:szCs w:val="21"/>
              </w:rPr>
            </w:pPr>
          </w:p>
        </w:tc>
        <w:tc>
          <w:tcPr>
            <w:tcW w:w="427" w:type="dxa"/>
            <w:noWrap w:val="0"/>
            <w:vAlign w:val="center"/>
          </w:tcPr>
          <w:p w14:paraId="78F1FE61">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A614728">
            <w:pPr>
              <w:snapToGrid w:val="0"/>
              <w:spacing w:line="240" w:lineRule="atLeast"/>
              <w:rPr>
                <w:rFonts w:hint="default" w:ascii="Times New Roman" w:hAnsi="Times New Roman"/>
                <w:color w:val="000000"/>
                <w:sz w:val="21"/>
                <w:szCs w:val="21"/>
              </w:rPr>
            </w:pPr>
          </w:p>
        </w:tc>
        <w:tc>
          <w:tcPr>
            <w:tcW w:w="427" w:type="dxa"/>
            <w:noWrap w:val="0"/>
            <w:vAlign w:val="center"/>
          </w:tcPr>
          <w:p w14:paraId="0EEDA36F">
            <w:pPr>
              <w:snapToGrid w:val="0"/>
              <w:spacing w:line="240" w:lineRule="atLeast"/>
              <w:rPr>
                <w:rFonts w:hint="default" w:ascii="Times New Roman" w:hAnsi="Times New Roman"/>
                <w:color w:val="000000"/>
                <w:sz w:val="21"/>
                <w:szCs w:val="21"/>
              </w:rPr>
            </w:pPr>
          </w:p>
        </w:tc>
        <w:tc>
          <w:tcPr>
            <w:tcW w:w="427" w:type="dxa"/>
            <w:noWrap/>
            <w:vAlign w:val="center"/>
          </w:tcPr>
          <w:p w14:paraId="1E230F1E">
            <w:pPr>
              <w:snapToGrid w:val="0"/>
              <w:spacing w:line="240" w:lineRule="atLeast"/>
              <w:rPr>
                <w:rFonts w:hint="default" w:ascii="Times New Roman" w:hAnsi="Times New Roman"/>
                <w:color w:val="000000"/>
                <w:sz w:val="21"/>
                <w:szCs w:val="21"/>
              </w:rPr>
            </w:pPr>
          </w:p>
        </w:tc>
        <w:tc>
          <w:tcPr>
            <w:tcW w:w="427" w:type="dxa"/>
            <w:noWrap/>
            <w:vAlign w:val="center"/>
          </w:tcPr>
          <w:p w14:paraId="6985B510">
            <w:pPr>
              <w:snapToGrid w:val="0"/>
              <w:spacing w:line="240" w:lineRule="atLeast"/>
              <w:rPr>
                <w:rFonts w:hint="default" w:ascii="Times New Roman" w:hAnsi="Times New Roman"/>
                <w:color w:val="000000"/>
                <w:sz w:val="21"/>
                <w:szCs w:val="21"/>
              </w:rPr>
            </w:pPr>
          </w:p>
        </w:tc>
        <w:tc>
          <w:tcPr>
            <w:tcW w:w="427" w:type="dxa"/>
            <w:noWrap/>
            <w:vAlign w:val="center"/>
          </w:tcPr>
          <w:p w14:paraId="4DD56F09">
            <w:pPr>
              <w:snapToGrid w:val="0"/>
              <w:spacing w:line="240" w:lineRule="atLeast"/>
              <w:rPr>
                <w:rFonts w:hint="default" w:ascii="Times New Roman" w:hAnsi="Times New Roman"/>
                <w:color w:val="000000"/>
                <w:sz w:val="21"/>
                <w:szCs w:val="21"/>
              </w:rPr>
            </w:pPr>
          </w:p>
        </w:tc>
        <w:tc>
          <w:tcPr>
            <w:tcW w:w="1083" w:type="dxa"/>
            <w:noWrap/>
            <w:vAlign w:val="center"/>
          </w:tcPr>
          <w:p w14:paraId="43549EFC">
            <w:pPr>
              <w:snapToGrid w:val="0"/>
              <w:spacing w:line="240" w:lineRule="atLeast"/>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项目资金拨付不及时拨付进度缓慢</w:t>
            </w:r>
          </w:p>
        </w:tc>
        <w:tc>
          <w:tcPr>
            <w:tcW w:w="640" w:type="dxa"/>
            <w:noWrap/>
            <w:vAlign w:val="center"/>
          </w:tcPr>
          <w:p w14:paraId="04D7E223">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4</w:t>
            </w:r>
          </w:p>
        </w:tc>
      </w:tr>
      <w:tr w14:paraId="79CB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1DA5ED7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BAC48B0">
            <w:pPr>
              <w:snapToGrid w:val="0"/>
              <w:spacing w:line="240" w:lineRule="atLeast"/>
              <w:jc w:val="center"/>
              <w:rPr>
                <w:rFonts w:hint="default" w:ascii="Times New Roman" w:hAnsi="Times New Roman"/>
                <w:b/>
                <w:bCs/>
                <w:color w:val="000000"/>
                <w:sz w:val="21"/>
                <w:szCs w:val="21"/>
              </w:rPr>
            </w:pPr>
          </w:p>
        </w:tc>
        <w:tc>
          <w:tcPr>
            <w:tcW w:w="427" w:type="dxa"/>
            <w:noWrap w:val="0"/>
            <w:vAlign w:val="center"/>
          </w:tcPr>
          <w:p w14:paraId="04577477">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680" w:type="dxa"/>
            <w:noWrap w:val="0"/>
            <w:vAlign w:val="center"/>
          </w:tcPr>
          <w:p w14:paraId="184CAEFE">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支付到位</w:t>
            </w:r>
          </w:p>
        </w:tc>
        <w:tc>
          <w:tcPr>
            <w:tcW w:w="480" w:type="dxa"/>
            <w:noWrap w:val="0"/>
            <w:vAlign w:val="center"/>
          </w:tcPr>
          <w:p w14:paraId="3E16F03B">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3EC9A8A7">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12533E89">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1010" w:type="dxa"/>
            <w:noWrap w:val="0"/>
            <w:vAlign w:val="center"/>
          </w:tcPr>
          <w:p w14:paraId="3A3C81A2">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7D40A73C">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0BA8B071">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7C647962">
            <w:pPr>
              <w:snapToGrid w:val="0"/>
              <w:spacing w:line="240" w:lineRule="atLeast"/>
              <w:rPr>
                <w:rFonts w:hint="default" w:ascii="Times New Roman" w:hAnsi="Times New Roman"/>
                <w:color w:val="000000"/>
                <w:sz w:val="21"/>
                <w:szCs w:val="21"/>
              </w:rPr>
            </w:pPr>
          </w:p>
        </w:tc>
        <w:tc>
          <w:tcPr>
            <w:tcW w:w="427" w:type="dxa"/>
            <w:noWrap w:val="0"/>
            <w:vAlign w:val="center"/>
          </w:tcPr>
          <w:p w14:paraId="5F4C6F35">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7CED09B9">
            <w:pPr>
              <w:snapToGrid w:val="0"/>
              <w:spacing w:line="240" w:lineRule="atLeast"/>
              <w:rPr>
                <w:rFonts w:hint="default" w:ascii="Times New Roman" w:hAnsi="Times New Roman"/>
                <w:color w:val="000000"/>
                <w:sz w:val="21"/>
                <w:szCs w:val="21"/>
              </w:rPr>
            </w:pPr>
          </w:p>
        </w:tc>
        <w:tc>
          <w:tcPr>
            <w:tcW w:w="427" w:type="dxa"/>
            <w:noWrap w:val="0"/>
            <w:vAlign w:val="center"/>
          </w:tcPr>
          <w:p w14:paraId="1D23758C">
            <w:pPr>
              <w:snapToGrid w:val="0"/>
              <w:spacing w:line="240" w:lineRule="atLeast"/>
              <w:rPr>
                <w:rFonts w:hint="default" w:ascii="Times New Roman" w:hAnsi="Times New Roman"/>
                <w:color w:val="000000"/>
                <w:sz w:val="21"/>
                <w:szCs w:val="21"/>
              </w:rPr>
            </w:pPr>
          </w:p>
        </w:tc>
        <w:tc>
          <w:tcPr>
            <w:tcW w:w="427" w:type="dxa"/>
            <w:noWrap/>
            <w:vAlign w:val="center"/>
          </w:tcPr>
          <w:p w14:paraId="08995A3B">
            <w:pPr>
              <w:snapToGrid w:val="0"/>
              <w:spacing w:line="240" w:lineRule="atLeast"/>
              <w:rPr>
                <w:rFonts w:hint="default" w:ascii="Times New Roman" w:hAnsi="Times New Roman"/>
                <w:color w:val="000000"/>
                <w:sz w:val="21"/>
                <w:szCs w:val="21"/>
              </w:rPr>
            </w:pPr>
          </w:p>
        </w:tc>
        <w:tc>
          <w:tcPr>
            <w:tcW w:w="427" w:type="dxa"/>
            <w:noWrap/>
            <w:vAlign w:val="center"/>
          </w:tcPr>
          <w:p w14:paraId="13A35AC7">
            <w:pPr>
              <w:snapToGrid w:val="0"/>
              <w:spacing w:line="240" w:lineRule="atLeast"/>
              <w:rPr>
                <w:rFonts w:hint="default" w:ascii="Times New Roman" w:hAnsi="Times New Roman"/>
                <w:color w:val="000000"/>
                <w:sz w:val="21"/>
                <w:szCs w:val="21"/>
              </w:rPr>
            </w:pPr>
          </w:p>
        </w:tc>
        <w:tc>
          <w:tcPr>
            <w:tcW w:w="427" w:type="dxa"/>
            <w:noWrap/>
            <w:vAlign w:val="center"/>
          </w:tcPr>
          <w:p w14:paraId="48E6368D">
            <w:pPr>
              <w:snapToGrid w:val="0"/>
              <w:spacing w:line="240" w:lineRule="atLeast"/>
              <w:rPr>
                <w:rFonts w:hint="default" w:ascii="Times New Roman" w:hAnsi="Times New Roman"/>
                <w:color w:val="000000"/>
                <w:sz w:val="21"/>
                <w:szCs w:val="21"/>
              </w:rPr>
            </w:pPr>
          </w:p>
        </w:tc>
        <w:tc>
          <w:tcPr>
            <w:tcW w:w="1083" w:type="dxa"/>
            <w:noWrap/>
            <w:vAlign w:val="center"/>
          </w:tcPr>
          <w:p w14:paraId="410633CF">
            <w:pPr>
              <w:snapToGrid w:val="0"/>
              <w:spacing w:line="240" w:lineRule="atLeast"/>
              <w:rPr>
                <w:rFonts w:hint="default" w:ascii="Times New Roman" w:hAnsi="Times New Roman"/>
                <w:color w:val="000000"/>
                <w:sz w:val="21"/>
                <w:szCs w:val="21"/>
              </w:rPr>
            </w:pPr>
          </w:p>
        </w:tc>
        <w:tc>
          <w:tcPr>
            <w:tcW w:w="640" w:type="dxa"/>
            <w:noWrap/>
            <w:vAlign w:val="center"/>
          </w:tcPr>
          <w:p w14:paraId="7F57D1A3">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44FF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5A8FAA0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A946309">
            <w:pPr>
              <w:snapToGrid w:val="0"/>
              <w:spacing w:line="240" w:lineRule="atLeast"/>
              <w:jc w:val="center"/>
              <w:rPr>
                <w:rFonts w:hint="default" w:ascii="Times New Roman" w:hAnsi="Times New Roman"/>
                <w:b/>
                <w:bCs/>
                <w:color w:val="000000"/>
                <w:sz w:val="21"/>
                <w:szCs w:val="21"/>
              </w:rPr>
            </w:pPr>
          </w:p>
        </w:tc>
        <w:tc>
          <w:tcPr>
            <w:tcW w:w="427" w:type="dxa"/>
            <w:noWrap w:val="0"/>
            <w:vAlign w:val="center"/>
          </w:tcPr>
          <w:p w14:paraId="7683751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680" w:type="dxa"/>
            <w:noWrap w:val="0"/>
            <w:vAlign w:val="center"/>
          </w:tcPr>
          <w:p w14:paraId="1572A187">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报销支付到位</w:t>
            </w:r>
          </w:p>
        </w:tc>
        <w:tc>
          <w:tcPr>
            <w:tcW w:w="480" w:type="dxa"/>
            <w:noWrap w:val="0"/>
            <w:vAlign w:val="center"/>
          </w:tcPr>
          <w:p w14:paraId="4A12BC85">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4D021887">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20C88787">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1010" w:type="dxa"/>
            <w:noWrap w:val="0"/>
            <w:vAlign w:val="center"/>
          </w:tcPr>
          <w:p w14:paraId="60E6C3A1">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73766869">
            <w:pPr>
              <w:snapToGrid w:val="0"/>
              <w:spacing w:line="240" w:lineRule="atLeast"/>
              <w:jc w:val="center"/>
              <w:rPr>
                <w:rFonts w:hint="default" w:ascii="Times New Roman" w:hAnsi="Times New Roman"/>
                <w:color w:val="000000"/>
                <w:sz w:val="21"/>
                <w:szCs w:val="21"/>
              </w:rPr>
            </w:pPr>
          </w:p>
        </w:tc>
        <w:tc>
          <w:tcPr>
            <w:tcW w:w="2454" w:type="dxa"/>
            <w:gridSpan w:val="5"/>
            <w:noWrap w:val="0"/>
            <w:vAlign w:val="top"/>
          </w:tcPr>
          <w:p w14:paraId="24C97C44">
            <w:pPr>
              <w:snapToGrid w:val="0"/>
              <w:spacing w:line="240" w:lineRule="atLeast"/>
              <w:rPr>
                <w:rFonts w:hint="default" w:ascii="Times New Roman" w:hAnsi="Times New Roman"/>
                <w:color w:val="000000"/>
                <w:sz w:val="21"/>
                <w:szCs w:val="21"/>
              </w:rPr>
            </w:pPr>
          </w:p>
        </w:tc>
        <w:tc>
          <w:tcPr>
            <w:tcW w:w="1805" w:type="dxa"/>
            <w:noWrap w:val="0"/>
            <w:vAlign w:val="center"/>
          </w:tcPr>
          <w:p w14:paraId="7338C630">
            <w:pPr>
              <w:snapToGrid w:val="0"/>
              <w:spacing w:line="240" w:lineRule="atLeast"/>
              <w:rPr>
                <w:rFonts w:hint="default" w:ascii="Times New Roman" w:hAnsi="Times New Roman"/>
                <w:color w:val="000000"/>
                <w:sz w:val="21"/>
                <w:szCs w:val="21"/>
              </w:rPr>
            </w:pPr>
          </w:p>
        </w:tc>
        <w:tc>
          <w:tcPr>
            <w:tcW w:w="427" w:type="dxa"/>
            <w:noWrap w:val="0"/>
            <w:vAlign w:val="center"/>
          </w:tcPr>
          <w:p w14:paraId="6B5FB498">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1EFA707">
            <w:pPr>
              <w:snapToGrid w:val="0"/>
              <w:spacing w:line="240" w:lineRule="atLeast"/>
              <w:rPr>
                <w:rFonts w:hint="default" w:ascii="Times New Roman" w:hAnsi="Times New Roman"/>
                <w:color w:val="000000"/>
                <w:sz w:val="21"/>
                <w:szCs w:val="21"/>
              </w:rPr>
            </w:pPr>
          </w:p>
        </w:tc>
        <w:tc>
          <w:tcPr>
            <w:tcW w:w="427" w:type="dxa"/>
            <w:noWrap w:val="0"/>
            <w:vAlign w:val="center"/>
          </w:tcPr>
          <w:p w14:paraId="24BBBD83">
            <w:pPr>
              <w:snapToGrid w:val="0"/>
              <w:spacing w:line="240" w:lineRule="atLeast"/>
              <w:rPr>
                <w:rFonts w:hint="default" w:ascii="Times New Roman" w:hAnsi="Times New Roman"/>
                <w:color w:val="000000"/>
                <w:sz w:val="21"/>
                <w:szCs w:val="21"/>
              </w:rPr>
            </w:pPr>
          </w:p>
        </w:tc>
        <w:tc>
          <w:tcPr>
            <w:tcW w:w="427" w:type="dxa"/>
            <w:noWrap/>
            <w:vAlign w:val="center"/>
          </w:tcPr>
          <w:p w14:paraId="20EF86AE">
            <w:pPr>
              <w:snapToGrid w:val="0"/>
              <w:spacing w:line="240" w:lineRule="atLeast"/>
              <w:rPr>
                <w:rFonts w:hint="default" w:ascii="Times New Roman" w:hAnsi="Times New Roman"/>
                <w:color w:val="000000"/>
                <w:sz w:val="21"/>
                <w:szCs w:val="21"/>
              </w:rPr>
            </w:pPr>
          </w:p>
        </w:tc>
        <w:tc>
          <w:tcPr>
            <w:tcW w:w="427" w:type="dxa"/>
            <w:noWrap/>
            <w:vAlign w:val="center"/>
          </w:tcPr>
          <w:p w14:paraId="6180D395">
            <w:pPr>
              <w:snapToGrid w:val="0"/>
              <w:spacing w:line="240" w:lineRule="atLeast"/>
              <w:rPr>
                <w:rFonts w:hint="default" w:ascii="Times New Roman" w:hAnsi="Times New Roman"/>
                <w:color w:val="000000"/>
                <w:sz w:val="21"/>
                <w:szCs w:val="21"/>
              </w:rPr>
            </w:pPr>
          </w:p>
        </w:tc>
        <w:tc>
          <w:tcPr>
            <w:tcW w:w="427" w:type="dxa"/>
            <w:noWrap/>
            <w:vAlign w:val="center"/>
          </w:tcPr>
          <w:p w14:paraId="4FCDF492">
            <w:pPr>
              <w:snapToGrid w:val="0"/>
              <w:spacing w:line="240" w:lineRule="atLeast"/>
              <w:rPr>
                <w:rFonts w:hint="default" w:ascii="Times New Roman" w:hAnsi="Times New Roman"/>
                <w:color w:val="000000"/>
                <w:sz w:val="21"/>
                <w:szCs w:val="21"/>
              </w:rPr>
            </w:pPr>
          </w:p>
        </w:tc>
        <w:tc>
          <w:tcPr>
            <w:tcW w:w="1083" w:type="dxa"/>
            <w:noWrap/>
            <w:vAlign w:val="center"/>
          </w:tcPr>
          <w:p w14:paraId="5429B72B">
            <w:pPr>
              <w:snapToGrid w:val="0"/>
              <w:spacing w:line="240" w:lineRule="atLeast"/>
              <w:rPr>
                <w:rFonts w:hint="default" w:ascii="Times New Roman" w:hAnsi="Times New Roman"/>
                <w:color w:val="000000"/>
                <w:sz w:val="21"/>
                <w:szCs w:val="21"/>
              </w:rPr>
            </w:pPr>
          </w:p>
        </w:tc>
        <w:tc>
          <w:tcPr>
            <w:tcW w:w="640" w:type="dxa"/>
            <w:noWrap/>
            <w:vAlign w:val="center"/>
          </w:tcPr>
          <w:p w14:paraId="12F85B3B">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7C91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732E64D9">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0545C4A">
            <w:pPr>
              <w:snapToGrid w:val="0"/>
              <w:spacing w:line="240" w:lineRule="atLeast"/>
              <w:jc w:val="center"/>
              <w:rPr>
                <w:rFonts w:hint="default" w:ascii="Times New Roman" w:hAnsi="Times New Roman"/>
                <w:b/>
                <w:bCs/>
                <w:color w:val="000000"/>
                <w:sz w:val="21"/>
                <w:szCs w:val="21"/>
              </w:rPr>
            </w:pPr>
          </w:p>
        </w:tc>
        <w:tc>
          <w:tcPr>
            <w:tcW w:w="427" w:type="dxa"/>
            <w:noWrap w:val="0"/>
            <w:vAlign w:val="center"/>
          </w:tcPr>
          <w:p w14:paraId="026D6DC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680" w:type="dxa"/>
            <w:noWrap w:val="0"/>
            <w:vAlign w:val="center"/>
          </w:tcPr>
          <w:p w14:paraId="3341CB66">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支付及时</w:t>
            </w:r>
          </w:p>
        </w:tc>
        <w:tc>
          <w:tcPr>
            <w:tcW w:w="480" w:type="dxa"/>
            <w:noWrap w:val="0"/>
            <w:vAlign w:val="center"/>
          </w:tcPr>
          <w:p w14:paraId="5F59C6EC">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563B91E1">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480" w:type="dxa"/>
            <w:noWrap w:val="0"/>
            <w:vAlign w:val="center"/>
          </w:tcPr>
          <w:p w14:paraId="04BE34B4">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1010" w:type="dxa"/>
            <w:noWrap w:val="0"/>
            <w:vAlign w:val="center"/>
          </w:tcPr>
          <w:p w14:paraId="3EE05632">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47910C70">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1A33D7F0">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523F5932">
            <w:pPr>
              <w:snapToGrid w:val="0"/>
              <w:spacing w:line="240" w:lineRule="atLeast"/>
              <w:rPr>
                <w:rFonts w:hint="default" w:ascii="Times New Roman" w:hAnsi="Times New Roman"/>
                <w:color w:val="000000"/>
                <w:sz w:val="21"/>
                <w:szCs w:val="21"/>
              </w:rPr>
            </w:pPr>
          </w:p>
        </w:tc>
        <w:tc>
          <w:tcPr>
            <w:tcW w:w="427" w:type="dxa"/>
            <w:noWrap w:val="0"/>
            <w:vAlign w:val="center"/>
          </w:tcPr>
          <w:p w14:paraId="4027BDF9">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16715C8B">
            <w:pPr>
              <w:snapToGrid w:val="0"/>
              <w:spacing w:line="240" w:lineRule="atLeast"/>
              <w:rPr>
                <w:rFonts w:hint="default" w:ascii="Times New Roman" w:hAnsi="Times New Roman"/>
                <w:color w:val="000000"/>
                <w:sz w:val="21"/>
                <w:szCs w:val="21"/>
              </w:rPr>
            </w:pPr>
          </w:p>
        </w:tc>
        <w:tc>
          <w:tcPr>
            <w:tcW w:w="427" w:type="dxa"/>
            <w:noWrap w:val="0"/>
            <w:vAlign w:val="center"/>
          </w:tcPr>
          <w:p w14:paraId="0BE3ADCE">
            <w:pPr>
              <w:snapToGrid w:val="0"/>
              <w:spacing w:line="240" w:lineRule="atLeast"/>
              <w:rPr>
                <w:rFonts w:hint="default" w:ascii="Times New Roman" w:hAnsi="Times New Roman"/>
                <w:color w:val="000000"/>
                <w:sz w:val="21"/>
                <w:szCs w:val="21"/>
              </w:rPr>
            </w:pPr>
          </w:p>
        </w:tc>
        <w:tc>
          <w:tcPr>
            <w:tcW w:w="427" w:type="dxa"/>
            <w:noWrap/>
            <w:vAlign w:val="center"/>
          </w:tcPr>
          <w:p w14:paraId="4DCF6492">
            <w:pPr>
              <w:snapToGrid w:val="0"/>
              <w:spacing w:line="240" w:lineRule="atLeast"/>
              <w:rPr>
                <w:rFonts w:hint="default" w:ascii="Times New Roman" w:hAnsi="Times New Roman"/>
                <w:color w:val="000000"/>
                <w:sz w:val="21"/>
                <w:szCs w:val="21"/>
              </w:rPr>
            </w:pPr>
          </w:p>
        </w:tc>
        <w:tc>
          <w:tcPr>
            <w:tcW w:w="427" w:type="dxa"/>
            <w:noWrap/>
            <w:vAlign w:val="center"/>
          </w:tcPr>
          <w:p w14:paraId="57BD3F0A">
            <w:pPr>
              <w:snapToGrid w:val="0"/>
              <w:spacing w:line="240" w:lineRule="atLeast"/>
              <w:rPr>
                <w:rFonts w:hint="default" w:ascii="Times New Roman" w:hAnsi="Times New Roman"/>
                <w:color w:val="000000"/>
                <w:sz w:val="21"/>
                <w:szCs w:val="21"/>
              </w:rPr>
            </w:pPr>
          </w:p>
        </w:tc>
        <w:tc>
          <w:tcPr>
            <w:tcW w:w="427" w:type="dxa"/>
            <w:noWrap/>
            <w:vAlign w:val="center"/>
          </w:tcPr>
          <w:p w14:paraId="41C115FE">
            <w:pPr>
              <w:snapToGrid w:val="0"/>
              <w:spacing w:line="240" w:lineRule="atLeast"/>
              <w:rPr>
                <w:rFonts w:hint="default" w:ascii="Times New Roman" w:hAnsi="Times New Roman"/>
                <w:color w:val="000000"/>
                <w:sz w:val="21"/>
                <w:szCs w:val="21"/>
              </w:rPr>
            </w:pPr>
          </w:p>
        </w:tc>
        <w:tc>
          <w:tcPr>
            <w:tcW w:w="1083" w:type="dxa"/>
            <w:noWrap/>
            <w:vAlign w:val="center"/>
          </w:tcPr>
          <w:p w14:paraId="26F22947">
            <w:pPr>
              <w:snapToGrid w:val="0"/>
              <w:spacing w:line="240" w:lineRule="atLeast"/>
              <w:rPr>
                <w:rFonts w:hint="default" w:ascii="Times New Roman" w:hAnsi="Times New Roman"/>
                <w:color w:val="000000"/>
                <w:sz w:val="21"/>
                <w:szCs w:val="21"/>
              </w:rPr>
            </w:pPr>
          </w:p>
        </w:tc>
        <w:tc>
          <w:tcPr>
            <w:tcW w:w="640" w:type="dxa"/>
            <w:noWrap/>
            <w:vAlign w:val="center"/>
          </w:tcPr>
          <w:p w14:paraId="1A9109D1">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25EE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639" w:type="dxa"/>
            <w:vMerge w:val="restart"/>
            <w:noWrap w:val="0"/>
            <w:vAlign w:val="center"/>
          </w:tcPr>
          <w:p w14:paraId="12276AD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27" w:type="dxa"/>
            <w:vMerge w:val="restart"/>
            <w:noWrap w:val="0"/>
            <w:vAlign w:val="center"/>
          </w:tcPr>
          <w:p w14:paraId="7FB5690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27" w:type="dxa"/>
            <w:vMerge w:val="restart"/>
            <w:noWrap w:val="0"/>
            <w:vAlign w:val="center"/>
          </w:tcPr>
          <w:p w14:paraId="3D8D20CB">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680" w:type="dxa"/>
            <w:noWrap w:val="0"/>
            <w:vAlign w:val="center"/>
          </w:tcPr>
          <w:p w14:paraId="6561AF47">
            <w:pPr>
              <w:snapToGrid w:val="0"/>
              <w:spacing w:line="240" w:lineRule="atLeast"/>
              <w:jc w:val="both"/>
              <w:rPr>
                <w:rFonts w:hint="default" w:ascii="Times New Roman" w:hAnsi="Times New Roman" w:eastAsia="仿宋_GB2312"/>
                <w:color w:val="000000"/>
                <w:sz w:val="21"/>
                <w:szCs w:val="21"/>
                <w:lang w:val="en-US" w:eastAsia="zh-CN"/>
              </w:rPr>
            </w:pPr>
            <w:r>
              <w:rPr>
                <w:rFonts w:hint="eastAsia"/>
                <w:color w:val="000000"/>
                <w:sz w:val="21"/>
                <w:szCs w:val="21"/>
                <w:lang w:val="en-US" w:eastAsia="zh-CN"/>
              </w:rPr>
              <w:t>促进关工委工作在全市领先</w:t>
            </w:r>
            <w:r>
              <w:rPr>
                <w:rFonts w:hint="eastAsia" w:ascii="Times New Roman" w:hAnsi="Times New Roman"/>
                <w:color w:val="000000"/>
                <w:sz w:val="21"/>
                <w:szCs w:val="21"/>
                <w:lang w:val="en-US" w:eastAsia="zh-CN"/>
              </w:rPr>
              <w:t>率</w:t>
            </w:r>
          </w:p>
        </w:tc>
        <w:tc>
          <w:tcPr>
            <w:tcW w:w="480" w:type="dxa"/>
            <w:noWrap w:val="0"/>
            <w:vAlign w:val="center"/>
          </w:tcPr>
          <w:p w14:paraId="04961DBC">
            <w:pPr>
              <w:snapToGrid w:val="0"/>
              <w:spacing w:line="240" w:lineRule="atLeast"/>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c>
          <w:tcPr>
            <w:tcW w:w="460" w:type="dxa"/>
            <w:noWrap w:val="0"/>
            <w:vAlign w:val="center"/>
          </w:tcPr>
          <w:p w14:paraId="14ABC354">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4923D2B8">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1010" w:type="dxa"/>
            <w:noWrap w:val="0"/>
            <w:vAlign w:val="center"/>
          </w:tcPr>
          <w:p w14:paraId="295080CD">
            <w:pPr>
              <w:snapToGrid w:val="0"/>
              <w:spacing w:line="240" w:lineRule="atLeast"/>
              <w:rPr>
                <w:rFonts w:hint="default" w:ascii="Times New Roman" w:hAnsi="Times New Roman"/>
                <w:color w:val="000000"/>
                <w:sz w:val="21"/>
                <w:szCs w:val="21"/>
              </w:rPr>
            </w:pPr>
          </w:p>
        </w:tc>
        <w:tc>
          <w:tcPr>
            <w:tcW w:w="846" w:type="dxa"/>
            <w:vMerge w:val="restart"/>
            <w:noWrap w:val="0"/>
            <w:vAlign w:val="center"/>
          </w:tcPr>
          <w:p w14:paraId="3785A909">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5DC7DCFB">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28A4AA0B">
            <w:pPr>
              <w:snapToGrid w:val="0"/>
              <w:spacing w:line="240" w:lineRule="atLeast"/>
              <w:rPr>
                <w:rFonts w:hint="default" w:ascii="Times New Roman" w:hAnsi="Times New Roman"/>
                <w:color w:val="000000"/>
                <w:sz w:val="21"/>
                <w:szCs w:val="21"/>
              </w:rPr>
            </w:pPr>
          </w:p>
        </w:tc>
        <w:tc>
          <w:tcPr>
            <w:tcW w:w="427" w:type="dxa"/>
            <w:vMerge w:val="restart"/>
            <w:noWrap w:val="0"/>
            <w:vAlign w:val="center"/>
          </w:tcPr>
          <w:p w14:paraId="183FA24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vMerge w:val="restart"/>
            <w:noWrap w:val="0"/>
            <w:vAlign w:val="center"/>
          </w:tcPr>
          <w:p w14:paraId="145C073A">
            <w:pPr>
              <w:snapToGrid w:val="0"/>
              <w:spacing w:line="240" w:lineRule="atLeast"/>
              <w:rPr>
                <w:rFonts w:hint="default" w:ascii="Times New Roman" w:hAnsi="Times New Roman"/>
                <w:color w:val="000000"/>
                <w:sz w:val="21"/>
                <w:szCs w:val="21"/>
              </w:rPr>
            </w:pPr>
          </w:p>
        </w:tc>
        <w:tc>
          <w:tcPr>
            <w:tcW w:w="427" w:type="dxa"/>
            <w:vMerge w:val="restart"/>
            <w:noWrap w:val="0"/>
            <w:vAlign w:val="center"/>
          </w:tcPr>
          <w:p w14:paraId="615B647E">
            <w:pPr>
              <w:snapToGrid w:val="0"/>
              <w:spacing w:line="240" w:lineRule="atLeast"/>
              <w:rPr>
                <w:rFonts w:hint="default" w:ascii="Times New Roman" w:hAnsi="Times New Roman"/>
                <w:color w:val="000000"/>
                <w:sz w:val="21"/>
                <w:szCs w:val="21"/>
              </w:rPr>
            </w:pPr>
          </w:p>
        </w:tc>
        <w:tc>
          <w:tcPr>
            <w:tcW w:w="427" w:type="dxa"/>
            <w:noWrap/>
            <w:vAlign w:val="center"/>
          </w:tcPr>
          <w:p w14:paraId="4AE0CFC6">
            <w:pPr>
              <w:snapToGrid w:val="0"/>
              <w:spacing w:line="240" w:lineRule="atLeast"/>
              <w:rPr>
                <w:rFonts w:hint="default" w:ascii="Times New Roman" w:hAnsi="Times New Roman"/>
                <w:color w:val="000000"/>
                <w:sz w:val="21"/>
                <w:szCs w:val="21"/>
              </w:rPr>
            </w:pPr>
          </w:p>
        </w:tc>
        <w:tc>
          <w:tcPr>
            <w:tcW w:w="427" w:type="dxa"/>
            <w:noWrap/>
            <w:vAlign w:val="center"/>
          </w:tcPr>
          <w:p w14:paraId="13AB0378">
            <w:pPr>
              <w:snapToGrid w:val="0"/>
              <w:spacing w:line="240" w:lineRule="atLeast"/>
              <w:rPr>
                <w:rFonts w:hint="default" w:ascii="Times New Roman" w:hAnsi="Times New Roman"/>
                <w:color w:val="000000"/>
                <w:sz w:val="21"/>
                <w:szCs w:val="21"/>
              </w:rPr>
            </w:pPr>
          </w:p>
        </w:tc>
        <w:tc>
          <w:tcPr>
            <w:tcW w:w="427" w:type="dxa"/>
            <w:noWrap/>
            <w:vAlign w:val="center"/>
          </w:tcPr>
          <w:p w14:paraId="6722EFF5">
            <w:pPr>
              <w:snapToGrid w:val="0"/>
              <w:spacing w:line="240" w:lineRule="atLeast"/>
              <w:rPr>
                <w:rFonts w:hint="default" w:ascii="Times New Roman" w:hAnsi="Times New Roman"/>
                <w:color w:val="000000"/>
                <w:sz w:val="21"/>
                <w:szCs w:val="21"/>
              </w:rPr>
            </w:pPr>
          </w:p>
        </w:tc>
        <w:tc>
          <w:tcPr>
            <w:tcW w:w="1083" w:type="dxa"/>
            <w:noWrap/>
            <w:vAlign w:val="center"/>
          </w:tcPr>
          <w:p w14:paraId="3D0E00EB">
            <w:pPr>
              <w:snapToGrid w:val="0"/>
              <w:spacing w:line="240" w:lineRule="atLeast"/>
              <w:rPr>
                <w:rFonts w:hint="default" w:ascii="Times New Roman" w:hAnsi="Times New Roman"/>
                <w:color w:val="000000"/>
                <w:sz w:val="21"/>
                <w:szCs w:val="21"/>
              </w:rPr>
            </w:pPr>
          </w:p>
        </w:tc>
        <w:tc>
          <w:tcPr>
            <w:tcW w:w="640" w:type="dxa"/>
            <w:noWrap/>
            <w:vAlign w:val="center"/>
          </w:tcPr>
          <w:p w14:paraId="0162ABEA">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r>
      <w:tr w14:paraId="414F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09E99E24">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7722D24">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0FCAFDA">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4BCE4B92">
            <w:pPr>
              <w:snapToGrid w:val="0"/>
              <w:spacing w:line="240" w:lineRule="atLeast"/>
              <w:jc w:val="center"/>
              <w:rPr>
                <w:rFonts w:hint="default" w:ascii="Times New Roman" w:hAnsi="Times New Roman" w:eastAsia="仿宋_GB2312"/>
                <w:color w:val="000000"/>
                <w:sz w:val="21"/>
                <w:szCs w:val="21"/>
                <w:lang w:val="en-US" w:eastAsia="zh-CN"/>
              </w:rPr>
            </w:pPr>
            <w:r>
              <w:rPr>
                <w:rFonts w:hint="eastAsia"/>
                <w:color w:val="000000"/>
                <w:sz w:val="21"/>
                <w:szCs w:val="21"/>
                <w:lang w:val="en-US" w:eastAsia="zh-CN"/>
              </w:rPr>
              <w:t>更好发挥五老</w:t>
            </w:r>
            <w:r>
              <w:rPr>
                <w:rFonts w:hint="eastAsia" w:ascii="Times New Roman" w:hAnsi="Times New Roman"/>
                <w:color w:val="000000"/>
                <w:sz w:val="21"/>
                <w:szCs w:val="21"/>
                <w:lang w:val="en-US" w:eastAsia="zh-CN"/>
              </w:rPr>
              <w:t>长效机制</w:t>
            </w:r>
          </w:p>
        </w:tc>
        <w:tc>
          <w:tcPr>
            <w:tcW w:w="480" w:type="dxa"/>
            <w:noWrap w:val="0"/>
            <w:vAlign w:val="center"/>
          </w:tcPr>
          <w:p w14:paraId="2EB60BDD">
            <w:pPr>
              <w:snapToGrid w:val="0"/>
              <w:spacing w:line="240" w:lineRule="atLeast"/>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c>
          <w:tcPr>
            <w:tcW w:w="460" w:type="dxa"/>
            <w:noWrap w:val="0"/>
            <w:vAlign w:val="center"/>
          </w:tcPr>
          <w:p w14:paraId="1D1BC697">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480" w:type="dxa"/>
            <w:noWrap w:val="0"/>
            <w:vAlign w:val="center"/>
          </w:tcPr>
          <w:p w14:paraId="21E24058">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1010" w:type="dxa"/>
            <w:noWrap w:val="0"/>
            <w:vAlign w:val="center"/>
          </w:tcPr>
          <w:p w14:paraId="744F4B57">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394A3DE4">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44783417">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151C22B5">
            <w:pPr>
              <w:snapToGrid w:val="0"/>
              <w:spacing w:line="240" w:lineRule="atLeast"/>
              <w:rPr>
                <w:rFonts w:hint="default" w:ascii="Times New Roman" w:hAnsi="Times New Roman"/>
                <w:color w:val="000000"/>
                <w:sz w:val="21"/>
                <w:szCs w:val="21"/>
              </w:rPr>
            </w:pPr>
          </w:p>
        </w:tc>
        <w:tc>
          <w:tcPr>
            <w:tcW w:w="427" w:type="dxa"/>
            <w:vMerge w:val="continue"/>
            <w:noWrap w:val="0"/>
            <w:vAlign w:val="center"/>
          </w:tcPr>
          <w:p w14:paraId="35374FB7">
            <w:pPr>
              <w:snapToGrid w:val="0"/>
              <w:spacing w:line="240" w:lineRule="atLeast"/>
              <w:jc w:val="center"/>
              <w:rPr>
                <w:rFonts w:hint="default" w:ascii="Times New Roman" w:hAnsi="Times New Roman"/>
                <w:color w:val="000000"/>
                <w:sz w:val="21"/>
                <w:szCs w:val="21"/>
              </w:rPr>
            </w:pPr>
          </w:p>
        </w:tc>
        <w:tc>
          <w:tcPr>
            <w:tcW w:w="427" w:type="dxa"/>
            <w:vMerge w:val="continue"/>
            <w:noWrap w:val="0"/>
            <w:vAlign w:val="center"/>
          </w:tcPr>
          <w:p w14:paraId="742E21A4">
            <w:pPr>
              <w:snapToGrid w:val="0"/>
              <w:spacing w:line="240" w:lineRule="atLeast"/>
              <w:rPr>
                <w:rFonts w:hint="default" w:ascii="Times New Roman" w:hAnsi="Times New Roman"/>
                <w:color w:val="000000"/>
                <w:sz w:val="21"/>
                <w:szCs w:val="21"/>
              </w:rPr>
            </w:pPr>
          </w:p>
        </w:tc>
        <w:tc>
          <w:tcPr>
            <w:tcW w:w="427" w:type="dxa"/>
            <w:vMerge w:val="continue"/>
            <w:noWrap w:val="0"/>
            <w:vAlign w:val="center"/>
          </w:tcPr>
          <w:p w14:paraId="2BBC17FF">
            <w:pPr>
              <w:snapToGrid w:val="0"/>
              <w:spacing w:line="240" w:lineRule="atLeast"/>
              <w:rPr>
                <w:rFonts w:hint="default" w:ascii="Times New Roman" w:hAnsi="Times New Roman"/>
                <w:color w:val="000000"/>
                <w:sz w:val="21"/>
                <w:szCs w:val="21"/>
              </w:rPr>
            </w:pPr>
          </w:p>
        </w:tc>
        <w:tc>
          <w:tcPr>
            <w:tcW w:w="427" w:type="dxa"/>
            <w:noWrap/>
            <w:vAlign w:val="center"/>
          </w:tcPr>
          <w:p w14:paraId="212DA542">
            <w:pPr>
              <w:snapToGrid w:val="0"/>
              <w:spacing w:line="240" w:lineRule="atLeast"/>
              <w:rPr>
                <w:rFonts w:hint="default" w:ascii="Times New Roman" w:hAnsi="Times New Roman"/>
                <w:color w:val="000000"/>
                <w:sz w:val="21"/>
                <w:szCs w:val="21"/>
              </w:rPr>
            </w:pPr>
          </w:p>
        </w:tc>
        <w:tc>
          <w:tcPr>
            <w:tcW w:w="427" w:type="dxa"/>
            <w:noWrap/>
            <w:vAlign w:val="center"/>
          </w:tcPr>
          <w:p w14:paraId="4AED438C">
            <w:pPr>
              <w:snapToGrid w:val="0"/>
              <w:spacing w:line="240" w:lineRule="atLeast"/>
              <w:rPr>
                <w:rFonts w:hint="default" w:ascii="Times New Roman" w:hAnsi="Times New Roman"/>
                <w:color w:val="000000"/>
                <w:sz w:val="21"/>
                <w:szCs w:val="21"/>
              </w:rPr>
            </w:pPr>
          </w:p>
        </w:tc>
        <w:tc>
          <w:tcPr>
            <w:tcW w:w="427" w:type="dxa"/>
            <w:noWrap/>
            <w:vAlign w:val="center"/>
          </w:tcPr>
          <w:p w14:paraId="1F24DCE2">
            <w:pPr>
              <w:snapToGrid w:val="0"/>
              <w:spacing w:line="240" w:lineRule="atLeast"/>
              <w:rPr>
                <w:rFonts w:hint="default" w:ascii="Times New Roman" w:hAnsi="Times New Roman"/>
                <w:color w:val="000000"/>
                <w:sz w:val="21"/>
                <w:szCs w:val="21"/>
              </w:rPr>
            </w:pPr>
          </w:p>
        </w:tc>
        <w:tc>
          <w:tcPr>
            <w:tcW w:w="1083" w:type="dxa"/>
            <w:noWrap/>
            <w:vAlign w:val="center"/>
          </w:tcPr>
          <w:p w14:paraId="05FD2D89">
            <w:pPr>
              <w:snapToGrid w:val="0"/>
              <w:spacing w:line="240" w:lineRule="atLeast"/>
              <w:rPr>
                <w:rFonts w:hint="default" w:ascii="Times New Roman" w:hAnsi="Times New Roman"/>
                <w:color w:val="000000"/>
                <w:sz w:val="21"/>
                <w:szCs w:val="21"/>
              </w:rPr>
            </w:pPr>
          </w:p>
        </w:tc>
        <w:tc>
          <w:tcPr>
            <w:tcW w:w="640" w:type="dxa"/>
            <w:noWrap/>
            <w:vAlign w:val="center"/>
          </w:tcPr>
          <w:p w14:paraId="0A1493E8">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r>
      <w:tr w14:paraId="069D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39" w:type="dxa"/>
            <w:vMerge w:val="continue"/>
            <w:noWrap w:val="0"/>
            <w:vAlign w:val="center"/>
          </w:tcPr>
          <w:p w14:paraId="2BADC957">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B5F89BD">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5CC3BF1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经济效益</w:t>
            </w:r>
          </w:p>
        </w:tc>
        <w:tc>
          <w:tcPr>
            <w:tcW w:w="680" w:type="dxa"/>
            <w:noWrap w:val="0"/>
            <w:vAlign w:val="center"/>
          </w:tcPr>
          <w:p w14:paraId="4CCDB1EE">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5AE69D41">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68069B4F">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62300756">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388F1331">
            <w:pPr>
              <w:snapToGrid w:val="0"/>
              <w:spacing w:line="240" w:lineRule="atLeast"/>
              <w:rPr>
                <w:rFonts w:hint="default" w:ascii="Times New Roman" w:hAnsi="Times New Roman"/>
                <w:color w:val="000000"/>
                <w:sz w:val="21"/>
                <w:szCs w:val="21"/>
              </w:rPr>
            </w:pPr>
          </w:p>
        </w:tc>
        <w:tc>
          <w:tcPr>
            <w:tcW w:w="846" w:type="dxa"/>
            <w:noWrap w:val="0"/>
            <w:vAlign w:val="center"/>
          </w:tcPr>
          <w:p w14:paraId="3185A131">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76A9373D">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52AA3CF2">
            <w:pPr>
              <w:snapToGrid w:val="0"/>
              <w:spacing w:line="240" w:lineRule="atLeast"/>
              <w:rPr>
                <w:rFonts w:hint="default" w:ascii="Times New Roman" w:hAnsi="Times New Roman"/>
                <w:color w:val="000000"/>
                <w:sz w:val="21"/>
                <w:szCs w:val="21"/>
              </w:rPr>
            </w:pPr>
          </w:p>
        </w:tc>
        <w:tc>
          <w:tcPr>
            <w:tcW w:w="427" w:type="dxa"/>
            <w:noWrap w:val="0"/>
            <w:vAlign w:val="center"/>
          </w:tcPr>
          <w:p w14:paraId="442F5428">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6BBA3767">
            <w:pPr>
              <w:snapToGrid w:val="0"/>
              <w:spacing w:line="240" w:lineRule="atLeast"/>
              <w:rPr>
                <w:rFonts w:hint="default" w:ascii="Times New Roman" w:hAnsi="Times New Roman"/>
                <w:color w:val="000000"/>
                <w:sz w:val="21"/>
                <w:szCs w:val="21"/>
              </w:rPr>
            </w:pPr>
          </w:p>
        </w:tc>
        <w:tc>
          <w:tcPr>
            <w:tcW w:w="427" w:type="dxa"/>
            <w:noWrap w:val="0"/>
            <w:vAlign w:val="center"/>
          </w:tcPr>
          <w:p w14:paraId="6123161E">
            <w:pPr>
              <w:snapToGrid w:val="0"/>
              <w:spacing w:line="240" w:lineRule="atLeast"/>
              <w:rPr>
                <w:rFonts w:hint="default" w:ascii="Times New Roman" w:hAnsi="Times New Roman"/>
                <w:color w:val="000000"/>
                <w:sz w:val="21"/>
                <w:szCs w:val="21"/>
              </w:rPr>
            </w:pPr>
          </w:p>
        </w:tc>
        <w:tc>
          <w:tcPr>
            <w:tcW w:w="427" w:type="dxa"/>
            <w:noWrap/>
            <w:vAlign w:val="center"/>
          </w:tcPr>
          <w:p w14:paraId="1EBDA6C8">
            <w:pPr>
              <w:snapToGrid w:val="0"/>
              <w:spacing w:line="240" w:lineRule="atLeast"/>
              <w:rPr>
                <w:rFonts w:hint="default" w:ascii="Times New Roman" w:hAnsi="Times New Roman"/>
                <w:color w:val="000000"/>
                <w:sz w:val="21"/>
                <w:szCs w:val="21"/>
              </w:rPr>
            </w:pPr>
          </w:p>
        </w:tc>
        <w:tc>
          <w:tcPr>
            <w:tcW w:w="427" w:type="dxa"/>
            <w:noWrap/>
            <w:vAlign w:val="center"/>
          </w:tcPr>
          <w:p w14:paraId="50C53BA2">
            <w:pPr>
              <w:snapToGrid w:val="0"/>
              <w:spacing w:line="240" w:lineRule="atLeast"/>
              <w:rPr>
                <w:rFonts w:hint="default" w:ascii="Times New Roman" w:hAnsi="Times New Roman"/>
                <w:color w:val="000000"/>
                <w:sz w:val="21"/>
                <w:szCs w:val="21"/>
              </w:rPr>
            </w:pPr>
          </w:p>
        </w:tc>
        <w:tc>
          <w:tcPr>
            <w:tcW w:w="427" w:type="dxa"/>
            <w:noWrap/>
            <w:vAlign w:val="center"/>
          </w:tcPr>
          <w:p w14:paraId="5997BC4A">
            <w:pPr>
              <w:snapToGrid w:val="0"/>
              <w:spacing w:line="240" w:lineRule="atLeast"/>
              <w:rPr>
                <w:rFonts w:hint="default" w:ascii="Times New Roman" w:hAnsi="Times New Roman"/>
                <w:color w:val="000000"/>
                <w:sz w:val="21"/>
                <w:szCs w:val="21"/>
              </w:rPr>
            </w:pPr>
          </w:p>
        </w:tc>
        <w:tc>
          <w:tcPr>
            <w:tcW w:w="1083" w:type="dxa"/>
            <w:noWrap/>
            <w:vAlign w:val="center"/>
          </w:tcPr>
          <w:p w14:paraId="6B37BBD6">
            <w:pPr>
              <w:snapToGrid w:val="0"/>
              <w:spacing w:line="240" w:lineRule="atLeast"/>
              <w:rPr>
                <w:rFonts w:hint="default" w:ascii="Times New Roman" w:hAnsi="Times New Roman"/>
                <w:color w:val="000000"/>
                <w:sz w:val="21"/>
                <w:szCs w:val="21"/>
              </w:rPr>
            </w:pPr>
          </w:p>
        </w:tc>
        <w:tc>
          <w:tcPr>
            <w:tcW w:w="640" w:type="dxa"/>
            <w:noWrap/>
            <w:vAlign w:val="center"/>
          </w:tcPr>
          <w:p w14:paraId="1DC7B19A">
            <w:pPr>
              <w:snapToGrid w:val="0"/>
              <w:spacing w:line="240" w:lineRule="atLeast"/>
              <w:rPr>
                <w:rFonts w:hint="default" w:ascii="Times New Roman" w:hAnsi="Times New Roman"/>
                <w:color w:val="000000"/>
                <w:sz w:val="21"/>
                <w:szCs w:val="21"/>
              </w:rPr>
            </w:pPr>
          </w:p>
        </w:tc>
      </w:tr>
      <w:tr w14:paraId="7C85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39" w:type="dxa"/>
            <w:vMerge w:val="continue"/>
            <w:noWrap w:val="0"/>
            <w:vAlign w:val="center"/>
          </w:tcPr>
          <w:p w14:paraId="29B5A5E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ACE9A7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0706F6E">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2A122022">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1DF0A5E3">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28A6020C">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2B529793">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63CF7BBB">
            <w:pPr>
              <w:snapToGrid w:val="0"/>
              <w:spacing w:line="240" w:lineRule="atLeast"/>
              <w:rPr>
                <w:rFonts w:hint="default" w:ascii="Times New Roman" w:hAnsi="Times New Roman"/>
                <w:color w:val="000000"/>
                <w:sz w:val="21"/>
                <w:szCs w:val="21"/>
              </w:rPr>
            </w:pPr>
          </w:p>
        </w:tc>
        <w:tc>
          <w:tcPr>
            <w:tcW w:w="846" w:type="dxa"/>
            <w:noWrap w:val="0"/>
            <w:vAlign w:val="center"/>
          </w:tcPr>
          <w:p w14:paraId="466D103D">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711F94F7">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4AC4996B">
            <w:pPr>
              <w:snapToGrid w:val="0"/>
              <w:spacing w:line="240" w:lineRule="atLeast"/>
              <w:rPr>
                <w:rFonts w:hint="default" w:ascii="Times New Roman" w:hAnsi="Times New Roman"/>
                <w:color w:val="000000"/>
                <w:sz w:val="21"/>
                <w:szCs w:val="21"/>
              </w:rPr>
            </w:pPr>
          </w:p>
        </w:tc>
        <w:tc>
          <w:tcPr>
            <w:tcW w:w="427" w:type="dxa"/>
            <w:noWrap w:val="0"/>
            <w:vAlign w:val="center"/>
          </w:tcPr>
          <w:p w14:paraId="3D88F834">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4909C6B9">
            <w:pPr>
              <w:snapToGrid w:val="0"/>
              <w:spacing w:line="240" w:lineRule="atLeast"/>
              <w:rPr>
                <w:rFonts w:hint="default" w:ascii="Times New Roman" w:hAnsi="Times New Roman"/>
                <w:color w:val="000000"/>
                <w:sz w:val="21"/>
                <w:szCs w:val="21"/>
              </w:rPr>
            </w:pPr>
          </w:p>
        </w:tc>
        <w:tc>
          <w:tcPr>
            <w:tcW w:w="427" w:type="dxa"/>
            <w:noWrap w:val="0"/>
            <w:vAlign w:val="center"/>
          </w:tcPr>
          <w:p w14:paraId="193BD47A">
            <w:pPr>
              <w:snapToGrid w:val="0"/>
              <w:spacing w:line="240" w:lineRule="atLeast"/>
              <w:rPr>
                <w:rFonts w:hint="default" w:ascii="Times New Roman" w:hAnsi="Times New Roman"/>
                <w:color w:val="000000"/>
                <w:sz w:val="21"/>
                <w:szCs w:val="21"/>
              </w:rPr>
            </w:pPr>
          </w:p>
        </w:tc>
        <w:tc>
          <w:tcPr>
            <w:tcW w:w="427" w:type="dxa"/>
            <w:noWrap/>
            <w:vAlign w:val="center"/>
          </w:tcPr>
          <w:p w14:paraId="72D1869C">
            <w:pPr>
              <w:snapToGrid w:val="0"/>
              <w:spacing w:line="240" w:lineRule="atLeast"/>
              <w:rPr>
                <w:rFonts w:hint="default" w:ascii="Times New Roman" w:hAnsi="Times New Roman"/>
                <w:color w:val="000000"/>
                <w:sz w:val="21"/>
                <w:szCs w:val="21"/>
              </w:rPr>
            </w:pPr>
          </w:p>
        </w:tc>
        <w:tc>
          <w:tcPr>
            <w:tcW w:w="427" w:type="dxa"/>
            <w:noWrap/>
            <w:vAlign w:val="center"/>
          </w:tcPr>
          <w:p w14:paraId="3120FF8B">
            <w:pPr>
              <w:snapToGrid w:val="0"/>
              <w:spacing w:line="240" w:lineRule="atLeast"/>
              <w:rPr>
                <w:rFonts w:hint="default" w:ascii="Times New Roman" w:hAnsi="Times New Roman"/>
                <w:color w:val="000000"/>
                <w:sz w:val="21"/>
                <w:szCs w:val="21"/>
              </w:rPr>
            </w:pPr>
          </w:p>
        </w:tc>
        <w:tc>
          <w:tcPr>
            <w:tcW w:w="427" w:type="dxa"/>
            <w:noWrap/>
            <w:vAlign w:val="center"/>
          </w:tcPr>
          <w:p w14:paraId="7C8BF845">
            <w:pPr>
              <w:snapToGrid w:val="0"/>
              <w:spacing w:line="240" w:lineRule="atLeast"/>
              <w:rPr>
                <w:rFonts w:hint="default" w:ascii="Times New Roman" w:hAnsi="Times New Roman"/>
                <w:color w:val="000000"/>
                <w:sz w:val="21"/>
                <w:szCs w:val="21"/>
              </w:rPr>
            </w:pPr>
          </w:p>
        </w:tc>
        <w:tc>
          <w:tcPr>
            <w:tcW w:w="1083" w:type="dxa"/>
            <w:noWrap/>
            <w:vAlign w:val="center"/>
          </w:tcPr>
          <w:p w14:paraId="6C01119B">
            <w:pPr>
              <w:snapToGrid w:val="0"/>
              <w:spacing w:line="240" w:lineRule="atLeast"/>
              <w:rPr>
                <w:rFonts w:hint="default" w:ascii="Times New Roman" w:hAnsi="Times New Roman"/>
                <w:color w:val="000000"/>
                <w:sz w:val="21"/>
                <w:szCs w:val="21"/>
              </w:rPr>
            </w:pPr>
          </w:p>
        </w:tc>
        <w:tc>
          <w:tcPr>
            <w:tcW w:w="640" w:type="dxa"/>
            <w:noWrap/>
            <w:vAlign w:val="center"/>
          </w:tcPr>
          <w:p w14:paraId="4167376F">
            <w:pPr>
              <w:snapToGrid w:val="0"/>
              <w:spacing w:line="240" w:lineRule="atLeast"/>
              <w:rPr>
                <w:rFonts w:hint="default" w:ascii="Times New Roman" w:hAnsi="Times New Roman"/>
                <w:color w:val="000000"/>
                <w:sz w:val="21"/>
                <w:szCs w:val="21"/>
              </w:rPr>
            </w:pPr>
          </w:p>
        </w:tc>
      </w:tr>
      <w:tr w14:paraId="72A1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39" w:type="dxa"/>
            <w:vMerge w:val="continue"/>
            <w:noWrap w:val="0"/>
            <w:vAlign w:val="center"/>
          </w:tcPr>
          <w:p w14:paraId="7BD80AA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5108638">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7A0B6A0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生态效益</w:t>
            </w:r>
          </w:p>
        </w:tc>
        <w:tc>
          <w:tcPr>
            <w:tcW w:w="680" w:type="dxa"/>
            <w:noWrap w:val="0"/>
            <w:vAlign w:val="center"/>
          </w:tcPr>
          <w:p w14:paraId="0BAD2AC8">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6D54E3E6">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0FBA1A5D">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3C2FCDE3">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59D93BD6">
            <w:pPr>
              <w:snapToGrid w:val="0"/>
              <w:spacing w:line="240" w:lineRule="atLeast"/>
              <w:rPr>
                <w:rFonts w:hint="default" w:ascii="Times New Roman" w:hAnsi="Times New Roman"/>
                <w:color w:val="000000"/>
                <w:sz w:val="21"/>
                <w:szCs w:val="21"/>
              </w:rPr>
            </w:pPr>
          </w:p>
        </w:tc>
        <w:tc>
          <w:tcPr>
            <w:tcW w:w="846" w:type="dxa"/>
            <w:noWrap w:val="0"/>
            <w:vAlign w:val="center"/>
          </w:tcPr>
          <w:p w14:paraId="659E6386">
            <w:pPr>
              <w:snapToGrid w:val="0"/>
              <w:spacing w:line="240" w:lineRule="atLeast"/>
              <w:rPr>
                <w:rFonts w:hint="default" w:ascii="Times New Roman" w:hAnsi="Times New Roman"/>
                <w:color w:val="000000"/>
                <w:sz w:val="21"/>
                <w:szCs w:val="21"/>
              </w:rPr>
            </w:pPr>
          </w:p>
        </w:tc>
        <w:tc>
          <w:tcPr>
            <w:tcW w:w="2454" w:type="dxa"/>
            <w:gridSpan w:val="5"/>
            <w:noWrap w:val="0"/>
            <w:vAlign w:val="center"/>
          </w:tcPr>
          <w:p w14:paraId="3EFC6A99">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63A50FEB">
            <w:pPr>
              <w:snapToGrid w:val="0"/>
              <w:spacing w:line="240" w:lineRule="atLeast"/>
              <w:rPr>
                <w:rFonts w:hint="default" w:ascii="Times New Roman" w:hAnsi="Times New Roman"/>
                <w:color w:val="000000"/>
                <w:sz w:val="21"/>
                <w:szCs w:val="21"/>
              </w:rPr>
            </w:pPr>
          </w:p>
        </w:tc>
        <w:tc>
          <w:tcPr>
            <w:tcW w:w="427" w:type="dxa"/>
            <w:noWrap w:val="0"/>
            <w:vAlign w:val="center"/>
          </w:tcPr>
          <w:p w14:paraId="64486201">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18FFEF93">
            <w:pPr>
              <w:snapToGrid w:val="0"/>
              <w:spacing w:line="240" w:lineRule="atLeast"/>
              <w:rPr>
                <w:rFonts w:hint="default" w:ascii="Times New Roman" w:hAnsi="Times New Roman"/>
                <w:color w:val="000000"/>
                <w:sz w:val="21"/>
                <w:szCs w:val="21"/>
              </w:rPr>
            </w:pPr>
          </w:p>
        </w:tc>
        <w:tc>
          <w:tcPr>
            <w:tcW w:w="427" w:type="dxa"/>
            <w:noWrap w:val="0"/>
            <w:vAlign w:val="center"/>
          </w:tcPr>
          <w:p w14:paraId="5D1E94B5">
            <w:pPr>
              <w:snapToGrid w:val="0"/>
              <w:spacing w:line="240" w:lineRule="atLeast"/>
              <w:rPr>
                <w:rFonts w:hint="default" w:ascii="Times New Roman" w:hAnsi="Times New Roman"/>
                <w:color w:val="000000"/>
                <w:sz w:val="21"/>
                <w:szCs w:val="21"/>
              </w:rPr>
            </w:pPr>
          </w:p>
        </w:tc>
        <w:tc>
          <w:tcPr>
            <w:tcW w:w="427" w:type="dxa"/>
            <w:noWrap/>
            <w:vAlign w:val="center"/>
          </w:tcPr>
          <w:p w14:paraId="2CBC1764">
            <w:pPr>
              <w:snapToGrid w:val="0"/>
              <w:spacing w:line="240" w:lineRule="atLeast"/>
              <w:rPr>
                <w:rFonts w:hint="default" w:ascii="Times New Roman" w:hAnsi="Times New Roman"/>
                <w:color w:val="000000"/>
                <w:sz w:val="21"/>
                <w:szCs w:val="21"/>
              </w:rPr>
            </w:pPr>
          </w:p>
        </w:tc>
        <w:tc>
          <w:tcPr>
            <w:tcW w:w="427" w:type="dxa"/>
            <w:noWrap/>
            <w:vAlign w:val="center"/>
          </w:tcPr>
          <w:p w14:paraId="0243E90B">
            <w:pPr>
              <w:snapToGrid w:val="0"/>
              <w:spacing w:line="240" w:lineRule="atLeast"/>
              <w:rPr>
                <w:rFonts w:hint="default" w:ascii="Times New Roman" w:hAnsi="Times New Roman"/>
                <w:color w:val="000000"/>
                <w:sz w:val="21"/>
                <w:szCs w:val="21"/>
              </w:rPr>
            </w:pPr>
          </w:p>
        </w:tc>
        <w:tc>
          <w:tcPr>
            <w:tcW w:w="427" w:type="dxa"/>
            <w:noWrap/>
            <w:vAlign w:val="center"/>
          </w:tcPr>
          <w:p w14:paraId="6DB95F33">
            <w:pPr>
              <w:snapToGrid w:val="0"/>
              <w:spacing w:line="240" w:lineRule="atLeast"/>
              <w:rPr>
                <w:rFonts w:hint="default" w:ascii="Times New Roman" w:hAnsi="Times New Roman"/>
                <w:color w:val="000000"/>
                <w:sz w:val="21"/>
                <w:szCs w:val="21"/>
              </w:rPr>
            </w:pPr>
          </w:p>
        </w:tc>
        <w:tc>
          <w:tcPr>
            <w:tcW w:w="1083" w:type="dxa"/>
            <w:noWrap/>
            <w:vAlign w:val="center"/>
          </w:tcPr>
          <w:p w14:paraId="4AEA3D2E">
            <w:pPr>
              <w:snapToGrid w:val="0"/>
              <w:spacing w:line="240" w:lineRule="atLeast"/>
              <w:rPr>
                <w:rFonts w:hint="default" w:ascii="Times New Roman" w:hAnsi="Times New Roman"/>
                <w:color w:val="000000"/>
                <w:sz w:val="21"/>
                <w:szCs w:val="21"/>
              </w:rPr>
            </w:pPr>
          </w:p>
        </w:tc>
        <w:tc>
          <w:tcPr>
            <w:tcW w:w="640" w:type="dxa"/>
            <w:noWrap/>
            <w:vAlign w:val="center"/>
          </w:tcPr>
          <w:p w14:paraId="1D36CD75">
            <w:pPr>
              <w:snapToGrid w:val="0"/>
              <w:spacing w:line="240" w:lineRule="atLeast"/>
              <w:rPr>
                <w:rFonts w:hint="default" w:ascii="Times New Roman" w:hAnsi="Times New Roman"/>
                <w:color w:val="000000"/>
                <w:sz w:val="21"/>
                <w:szCs w:val="21"/>
              </w:rPr>
            </w:pPr>
          </w:p>
        </w:tc>
      </w:tr>
      <w:tr w14:paraId="3386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39" w:type="dxa"/>
            <w:vMerge w:val="continue"/>
            <w:noWrap w:val="0"/>
            <w:vAlign w:val="center"/>
          </w:tcPr>
          <w:p w14:paraId="745BA3A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C362C2B">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0A06A66">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334F16D4">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11F64CCC">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29F3533D">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27FAAC62">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31C04988">
            <w:pPr>
              <w:snapToGrid w:val="0"/>
              <w:spacing w:line="240" w:lineRule="atLeast"/>
              <w:rPr>
                <w:rFonts w:hint="default" w:ascii="Times New Roman" w:hAnsi="Times New Roman"/>
                <w:color w:val="000000"/>
                <w:sz w:val="21"/>
                <w:szCs w:val="21"/>
              </w:rPr>
            </w:pPr>
          </w:p>
        </w:tc>
        <w:tc>
          <w:tcPr>
            <w:tcW w:w="846" w:type="dxa"/>
            <w:noWrap w:val="0"/>
            <w:vAlign w:val="center"/>
          </w:tcPr>
          <w:p w14:paraId="43358582">
            <w:pPr>
              <w:snapToGrid w:val="0"/>
              <w:spacing w:line="240" w:lineRule="atLeast"/>
              <w:rPr>
                <w:rFonts w:hint="default" w:ascii="Times New Roman" w:hAnsi="Times New Roman"/>
                <w:color w:val="000000"/>
                <w:sz w:val="21"/>
                <w:szCs w:val="21"/>
              </w:rPr>
            </w:pPr>
          </w:p>
        </w:tc>
        <w:tc>
          <w:tcPr>
            <w:tcW w:w="2454" w:type="dxa"/>
            <w:gridSpan w:val="5"/>
            <w:noWrap w:val="0"/>
            <w:vAlign w:val="center"/>
          </w:tcPr>
          <w:p w14:paraId="71800821">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1E389E63">
            <w:pPr>
              <w:snapToGrid w:val="0"/>
              <w:spacing w:line="240" w:lineRule="atLeast"/>
              <w:rPr>
                <w:rFonts w:hint="default" w:ascii="Times New Roman" w:hAnsi="Times New Roman"/>
                <w:color w:val="000000"/>
                <w:sz w:val="21"/>
                <w:szCs w:val="21"/>
              </w:rPr>
            </w:pPr>
          </w:p>
        </w:tc>
        <w:tc>
          <w:tcPr>
            <w:tcW w:w="427" w:type="dxa"/>
            <w:noWrap w:val="0"/>
            <w:vAlign w:val="center"/>
          </w:tcPr>
          <w:p w14:paraId="722775DD">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6CCA471A">
            <w:pPr>
              <w:snapToGrid w:val="0"/>
              <w:spacing w:line="240" w:lineRule="atLeast"/>
              <w:rPr>
                <w:rFonts w:hint="default" w:ascii="Times New Roman" w:hAnsi="Times New Roman"/>
                <w:color w:val="000000"/>
                <w:sz w:val="21"/>
                <w:szCs w:val="21"/>
              </w:rPr>
            </w:pPr>
          </w:p>
        </w:tc>
        <w:tc>
          <w:tcPr>
            <w:tcW w:w="427" w:type="dxa"/>
            <w:noWrap w:val="0"/>
            <w:vAlign w:val="center"/>
          </w:tcPr>
          <w:p w14:paraId="37AF9A88">
            <w:pPr>
              <w:snapToGrid w:val="0"/>
              <w:spacing w:line="240" w:lineRule="atLeast"/>
              <w:rPr>
                <w:rFonts w:hint="default" w:ascii="Times New Roman" w:hAnsi="Times New Roman"/>
                <w:color w:val="000000"/>
                <w:sz w:val="21"/>
                <w:szCs w:val="21"/>
              </w:rPr>
            </w:pPr>
          </w:p>
        </w:tc>
        <w:tc>
          <w:tcPr>
            <w:tcW w:w="427" w:type="dxa"/>
            <w:noWrap/>
            <w:vAlign w:val="center"/>
          </w:tcPr>
          <w:p w14:paraId="19D3FF97">
            <w:pPr>
              <w:snapToGrid w:val="0"/>
              <w:spacing w:line="240" w:lineRule="atLeast"/>
              <w:rPr>
                <w:rFonts w:hint="default" w:ascii="Times New Roman" w:hAnsi="Times New Roman"/>
                <w:color w:val="000000"/>
                <w:sz w:val="21"/>
                <w:szCs w:val="21"/>
              </w:rPr>
            </w:pPr>
          </w:p>
        </w:tc>
        <w:tc>
          <w:tcPr>
            <w:tcW w:w="427" w:type="dxa"/>
            <w:noWrap/>
            <w:vAlign w:val="center"/>
          </w:tcPr>
          <w:p w14:paraId="0F50267A">
            <w:pPr>
              <w:snapToGrid w:val="0"/>
              <w:spacing w:line="240" w:lineRule="atLeast"/>
              <w:rPr>
                <w:rFonts w:hint="default" w:ascii="Times New Roman" w:hAnsi="Times New Roman"/>
                <w:color w:val="000000"/>
                <w:sz w:val="21"/>
                <w:szCs w:val="21"/>
              </w:rPr>
            </w:pPr>
          </w:p>
        </w:tc>
        <w:tc>
          <w:tcPr>
            <w:tcW w:w="427" w:type="dxa"/>
            <w:noWrap/>
            <w:vAlign w:val="center"/>
          </w:tcPr>
          <w:p w14:paraId="7166DE3F">
            <w:pPr>
              <w:snapToGrid w:val="0"/>
              <w:spacing w:line="240" w:lineRule="atLeast"/>
              <w:rPr>
                <w:rFonts w:hint="default" w:ascii="Times New Roman" w:hAnsi="Times New Roman"/>
                <w:color w:val="000000"/>
                <w:sz w:val="21"/>
                <w:szCs w:val="21"/>
              </w:rPr>
            </w:pPr>
          </w:p>
        </w:tc>
        <w:tc>
          <w:tcPr>
            <w:tcW w:w="1083" w:type="dxa"/>
            <w:noWrap/>
            <w:vAlign w:val="center"/>
          </w:tcPr>
          <w:p w14:paraId="7816E329">
            <w:pPr>
              <w:snapToGrid w:val="0"/>
              <w:spacing w:line="240" w:lineRule="atLeast"/>
              <w:rPr>
                <w:rFonts w:hint="default" w:ascii="Times New Roman" w:hAnsi="Times New Roman"/>
                <w:color w:val="000000"/>
                <w:sz w:val="21"/>
                <w:szCs w:val="21"/>
              </w:rPr>
            </w:pPr>
          </w:p>
        </w:tc>
        <w:tc>
          <w:tcPr>
            <w:tcW w:w="640" w:type="dxa"/>
            <w:noWrap/>
            <w:vAlign w:val="center"/>
          </w:tcPr>
          <w:p w14:paraId="5BA13A7A">
            <w:pPr>
              <w:snapToGrid w:val="0"/>
              <w:spacing w:line="240" w:lineRule="atLeast"/>
              <w:rPr>
                <w:rFonts w:hint="default" w:ascii="Times New Roman" w:hAnsi="Times New Roman"/>
                <w:color w:val="000000"/>
                <w:sz w:val="21"/>
                <w:szCs w:val="21"/>
              </w:rPr>
            </w:pPr>
          </w:p>
        </w:tc>
      </w:tr>
      <w:tr w14:paraId="6AE4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39" w:type="dxa"/>
            <w:noWrap w:val="0"/>
            <w:vAlign w:val="center"/>
          </w:tcPr>
          <w:p w14:paraId="16A6911F">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27" w:type="dxa"/>
            <w:noWrap w:val="0"/>
            <w:vAlign w:val="center"/>
          </w:tcPr>
          <w:p w14:paraId="5EDB0B6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27" w:type="dxa"/>
            <w:noWrap w:val="0"/>
            <w:vAlign w:val="center"/>
          </w:tcPr>
          <w:p w14:paraId="29F8A23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680" w:type="dxa"/>
            <w:noWrap w:val="0"/>
            <w:vAlign w:val="center"/>
          </w:tcPr>
          <w:p w14:paraId="21716E53">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服务对象满意度</w:t>
            </w:r>
          </w:p>
        </w:tc>
        <w:tc>
          <w:tcPr>
            <w:tcW w:w="480" w:type="dxa"/>
            <w:noWrap w:val="0"/>
            <w:vAlign w:val="center"/>
          </w:tcPr>
          <w:p w14:paraId="174FB051">
            <w:pPr>
              <w:snapToGrid w:val="0"/>
              <w:spacing w:line="240" w:lineRule="atLeast"/>
              <w:rPr>
                <w:rFonts w:hint="default" w:ascii="Times New Roman" w:hAnsi="Times New Roman"/>
                <w:b/>
                <w:bCs/>
                <w:color w:val="000000"/>
                <w:sz w:val="21"/>
                <w:szCs w:val="21"/>
              </w:rPr>
            </w:pPr>
          </w:p>
        </w:tc>
        <w:tc>
          <w:tcPr>
            <w:tcW w:w="460" w:type="dxa"/>
            <w:noWrap w:val="0"/>
            <w:vAlign w:val="center"/>
          </w:tcPr>
          <w:p w14:paraId="27886CD9">
            <w:pPr>
              <w:snapToGrid w:val="0"/>
              <w:spacing w:line="240" w:lineRule="atLeast"/>
              <w:rPr>
                <w:rFonts w:hint="default" w:ascii="Times New Roman" w:hAnsi="Times New Roman"/>
                <w:b/>
                <w:bCs/>
                <w:color w:val="000000"/>
                <w:sz w:val="21"/>
                <w:szCs w:val="21"/>
              </w:rPr>
            </w:pPr>
          </w:p>
        </w:tc>
        <w:tc>
          <w:tcPr>
            <w:tcW w:w="480" w:type="dxa"/>
            <w:noWrap w:val="0"/>
            <w:vAlign w:val="center"/>
          </w:tcPr>
          <w:p w14:paraId="76036169">
            <w:pPr>
              <w:snapToGrid w:val="0"/>
              <w:spacing w:line="240" w:lineRule="atLeast"/>
              <w:rPr>
                <w:rFonts w:hint="default" w:ascii="Times New Roman" w:hAnsi="Times New Roman"/>
                <w:b/>
                <w:bCs/>
                <w:color w:val="000000"/>
                <w:sz w:val="21"/>
                <w:szCs w:val="21"/>
              </w:rPr>
            </w:pPr>
          </w:p>
        </w:tc>
        <w:tc>
          <w:tcPr>
            <w:tcW w:w="1010" w:type="dxa"/>
            <w:noWrap w:val="0"/>
            <w:vAlign w:val="center"/>
          </w:tcPr>
          <w:p w14:paraId="18B8262D">
            <w:pPr>
              <w:snapToGrid w:val="0"/>
              <w:spacing w:line="240" w:lineRule="atLeast"/>
              <w:rPr>
                <w:rFonts w:hint="default" w:ascii="Times New Roman" w:hAnsi="Times New Roman"/>
                <w:b/>
                <w:bCs/>
                <w:color w:val="000000"/>
                <w:sz w:val="21"/>
                <w:szCs w:val="21"/>
              </w:rPr>
            </w:pPr>
          </w:p>
        </w:tc>
        <w:tc>
          <w:tcPr>
            <w:tcW w:w="846" w:type="dxa"/>
            <w:noWrap w:val="0"/>
            <w:vAlign w:val="center"/>
          </w:tcPr>
          <w:p w14:paraId="29E4A921">
            <w:pPr>
              <w:snapToGrid w:val="0"/>
              <w:spacing w:line="240" w:lineRule="atLeast"/>
              <w:rPr>
                <w:rFonts w:hint="default" w:ascii="Times New Roman" w:hAnsi="Times New Roman"/>
                <w:b/>
                <w:bCs/>
                <w:color w:val="000000"/>
                <w:sz w:val="21"/>
                <w:szCs w:val="21"/>
              </w:rPr>
            </w:pPr>
          </w:p>
        </w:tc>
        <w:tc>
          <w:tcPr>
            <w:tcW w:w="2454" w:type="dxa"/>
            <w:gridSpan w:val="5"/>
            <w:noWrap w:val="0"/>
            <w:vAlign w:val="center"/>
          </w:tcPr>
          <w:p w14:paraId="5F8DB2C7">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47C3B50F">
            <w:pPr>
              <w:snapToGrid w:val="0"/>
              <w:spacing w:line="240" w:lineRule="atLeast"/>
              <w:rPr>
                <w:rFonts w:hint="default" w:ascii="Times New Roman" w:hAnsi="Times New Roman"/>
                <w:b/>
                <w:bCs/>
                <w:color w:val="000000"/>
                <w:sz w:val="21"/>
                <w:szCs w:val="21"/>
              </w:rPr>
            </w:pPr>
          </w:p>
        </w:tc>
        <w:tc>
          <w:tcPr>
            <w:tcW w:w="427" w:type="dxa"/>
            <w:noWrap w:val="0"/>
            <w:vAlign w:val="center"/>
          </w:tcPr>
          <w:p w14:paraId="3BE41C4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3FF3AA2">
            <w:pPr>
              <w:snapToGrid w:val="0"/>
              <w:spacing w:line="240" w:lineRule="atLeast"/>
              <w:rPr>
                <w:rFonts w:hint="default" w:ascii="Times New Roman" w:hAnsi="Times New Roman"/>
                <w:color w:val="000000"/>
                <w:sz w:val="21"/>
                <w:szCs w:val="21"/>
              </w:rPr>
            </w:pPr>
          </w:p>
        </w:tc>
        <w:tc>
          <w:tcPr>
            <w:tcW w:w="427" w:type="dxa"/>
            <w:noWrap w:val="0"/>
            <w:vAlign w:val="center"/>
          </w:tcPr>
          <w:p w14:paraId="42CC8348">
            <w:pPr>
              <w:snapToGrid w:val="0"/>
              <w:spacing w:line="240" w:lineRule="atLeast"/>
              <w:rPr>
                <w:rFonts w:hint="default" w:ascii="Times New Roman" w:hAnsi="Times New Roman"/>
                <w:color w:val="000000"/>
                <w:sz w:val="21"/>
                <w:szCs w:val="21"/>
              </w:rPr>
            </w:pPr>
          </w:p>
        </w:tc>
        <w:tc>
          <w:tcPr>
            <w:tcW w:w="427" w:type="dxa"/>
            <w:noWrap/>
            <w:vAlign w:val="center"/>
          </w:tcPr>
          <w:p w14:paraId="416E1C15">
            <w:pPr>
              <w:snapToGrid w:val="0"/>
              <w:spacing w:line="240" w:lineRule="atLeast"/>
              <w:rPr>
                <w:rFonts w:hint="default" w:ascii="Times New Roman" w:hAnsi="Times New Roman"/>
                <w:color w:val="000000"/>
                <w:sz w:val="21"/>
                <w:szCs w:val="21"/>
              </w:rPr>
            </w:pPr>
          </w:p>
        </w:tc>
        <w:tc>
          <w:tcPr>
            <w:tcW w:w="427" w:type="dxa"/>
            <w:noWrap/>
            <w:vAlign w:val="center"/>
          </w:tcPr>
          <w:p w14:paraId="510039EC">
            <w:pPr>
              <w:snapToGrid w:val="0"/>
              <w:spacing w:line="240" w:lineRule="atLeast"/>
              <w:rPr>
                <w:rFonts w:hint="default" w:ascii="Times New Roman" w:hAnsi="Times New Roman"/>
                <w:color w:val="000000"/>
                <w:sz w:val="21"/>
                <w:szCs w:val="21"/>
              </w:rPr>
            </w:pPr>
          </w:p>
        </w:tc>
        <w:tc>
          <w:tcPr>
            <w:tcW w:w="427" w:type="dxa"/>
            <w:noWrap/>
            <w:vAlign w:val="center"/>
          </w:tcPr>
          <w:p w14:paraId="272A38E9">
            <w:pPr>
              <w:snapToGrid w:val="0"/>
              <w:spacing w:line="240" w:lineRule="atLeast"/>
              <w:rPr>
                <w:rFonts w:hint="default" w:ascii="Times New Roman" w:hAnsi="Times New Roman"/>
                <w:color w:val="000000"/>
                <w:sz w:val="21"/>
                <w:szCs w:val="21"/>
              </w:rPr>
            </w:pPr>
          </w:p>
        </w:tc>
        <w:tc>
          <w:tcPr>
            <w:tcW w:w="1083" w:type="dxa"/>
            <w:noWrap/>
            <w:vAlign w:val="center"/>
          </w:tcPr>
          <w:p w14:paraId="7F728EE8">
            <w:pPr>
              <w:snapToGrid w:val="0"/>
              <w:spacing w:line="240" w:lineRule="atLeast"/>
              <w:rPr>
                <w:rFonts w:hint="default" w:ascii="Times New Roman" w:hAnsi="Times New Roman"/>
                <w:color w:val="000000"/>
                <w:sz w:val="21"/>
                <w:szCs w:val="21"/>
              </w:rPr>
            </w:pPr>
          </w:p>
        </w:tc>
        <w:tc>
          <w:tcPr>
            <w:tcW w:w="640" w:type="dxa"/>
            <w:noWrap/>
            <w:vAlign w:val="center"/>
          </w:tcPr>
          <w:p w14:paraId="35E59370">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10</w:t>
            </w:r>
          </w:p>
        </w:tc>
      </w:tr>
    </w:tbl>
    <w:p w14:paraId="3F25574A">
      <w:pPr>
        <w:ind w:firstLine="880" w:firstLineChars="200"/>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14:paraId="3939472B">
      <w:pPr>
        <w:spacing w:line="600" w:lineRule="exact"/>
        <w:jc w:val="center"/>
        <w:outlineLvl w:val="9"/>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rtlGutter w:val="0"/>
          <w:docGrid w:type="lines" w:linePitch="319" w:charSpace="0"/>
        </w:sectPr>
      </w:pPr>
    </w:p>
    <w:p w14:paraId="30B1E29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部门预算项目支出绩效自评报告</w:t>
      </w:r>
    </w:p>
    <w:p w14:paraId="41DD9E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w:t>
      </w:r>
      <w:r>
        <w:rPr>
          <w:rFonts w:hint="eastAsia" w:ascii="Times New Roman" w:hAnsi="Times New Roman" w:eastAsia="方正小标宋简体" w:cs="Times New Roman"/>
          <w:sz w:val="44"/>
          <w:szCs w:val="44"/>
          <w:lang w:val="en-US" w:eastAsia="zh-CN"/>
        </w:rPr>
        <w:t>对口帮扶阿坝州理县帮扶资金</w:t>
      </w:r>
      <w:r>
        <w:rPr>
          <w:rFonts w:hint="default" w:ascii="Times New Roman" w:hAnsi="Times New Roman" w:eastAsia="方正小标宋简体" w:cs="Times New Roman"/>
          <w:sz w:val="44"/>
          <w:szCs w:val="44"/>
          <w:lang w:val="en-US" w:eastAsia="zh-CN"/>
        </w:rPr>
        <w:t>项目）</w:t>
      </w:r>
    </w:p>
    <w:p w14:paraId="7500C8FF">
      <w:pPr>
        <w:keepNext w:val="0"/>
        <w:keepLines w:val="0"/>
        <w:pageBreakBefore w:val="0"/>
        <w:widowControl w:val="0"/>
        <w:numPr>
          <w:ilvl w:val="0"/>
          <w:numId w:val="0"/>
        </w:numPr>
        <w:tabs>
          <w:tab w:val="left" w:pos="3885"/>
        </w:tabs>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黑体" w:cs="Times New Roman"/>
          <w:szCs w:val="21"/>
        </w:rPr>
      </w:pPr>
      <w:bookmarkStart w:id="109" w:name="_Toc19938"/>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基本情况</w:t>
      </w:r>
      <w:bookmarkEnd w:id="109"/>
    </w:p>
    <w:p w14:paraId="33876574">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w:t>
      </w:r>
    </w:p>
    <w:p w14:paraId="30F742BF">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该项目是</w:t>
      </w:r>
      <w:r>
        <w:rPr>
          <w:rFonts w:hint="eastAsia" w:ascii="仿宋" w:hAnsi="仿宋" w:eastAsia="仿宋" w:cs="仿宋"/>
          <w:color w:val="000000"/>
          <w:sz w:val="32"/>
          <w:szCs w:val="32"/>
          <w:lang w:val="en-US" w:eastAsia="zh-CN"/>
        </w:rPr>
        <w:t>为认真落实中央第六次西藏工作座谈会、东西部扶贫协作座谈会精神和省委十一届三次全会作出的深入推进省内对口帮扶藏区彝区对口帮扶工作要求，根据省委办公厅、省政府办公厅印发的《四川省省内对口帮扶藏区彝区贫困县工作方案》（川委厅【2016】67号）明确帮扶地应按上一年地方一般公共财政预算收入的0.3%，以现金方式投入受扶地；更好地助推我市对口援助县—阿坝藏族羌族自治州理县经济社会发展。</w:t>
      </w:r>
    </w:p>
    <w:p w14:paraId="5DCBAEC6">
      <w:pPr>
        <w:keepNext w:val="0"/>
        <w:keepLines w:val="0"/>
        <w:pageBreakBefore w:val="0"/>
        <w:widowControl w:val="0"/>
        <w:numPr>
          <w:ilvl w:val="0"/>
          <w:numId w:val="6"/>
        </w:numPr>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项目实施情况。</w:t>
      </w:r>
    </w:p>
    <w:p w14:paraId="4F62EEAA">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理县文体中心提升改造项目（第二期）；2、理县应急指挥平台中心建设项目；3、理县中学校园建设项目；4、理县人民医院营养膳食中心改造建设项目；5、党的二十大精神专题培训暨治蜀兴川政工干部队伍提升班；6、2023年度就业培训项目，目前预算资金已全部拨付完毕所有项目均已完工。</w:t>
      </w:r>
    </w:p>
    <w:p w14:paraId="04A7D6A8">
      <w:pPr>
        <w:keepNext w:val="0"/>
        <w:keepLines w:val="0"/>
        <w:pageBreakBefore w:val="0"/>
        <w:widowControl w:val="0"/>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(三）资金投入使用情况。</w:t>
      </w:r>
    </w:p>
    <w:p w14:paraId="19057C3E">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该项目预算为10000000元，到位10000000元，</w:t>
      </w:r>
      <w:r>
        <w:rPr>
          <w:rFonts w:hint="default" w:ascii="仿宋" w:hAnsi="仿宋" w:eastAsia="仿宋" w:cs="仿宋"/>
          <w:color w:val="000000"/>
          <w:sz w:val="32"/>
          <w:szCs w:val="32"/>
          <w:lang w:val="en-US" w:eastAsia="zh-CN"/>
        </w:rPr>
        <w:t>全</w:t>
      </w:r>
      <w:r>
        <w:rPr>
          <w:rFonts w:hint="eastAsia" w:ascii="仿宋" w:hAnsi="仿宋" w:eastAsia="仿宋" w:cs="仿宋"/>
          <w:color w:val="000000"/>
          <w:sz w:val="32"/>
          <w:szCs w:val="32"/>
          <w:lang w:val="en-US" w:eastAsia="zh-CN"/>
        </w:rPr>
        <w:t>年</w:t>
      </w:r>
      <w:r>
        <w:rPr>
          <w:rFonts w:hint="default" w:ascii="仿宋" w:hAnsi="仿宋" w:eastAsia="仿宋" w:cs="仿宋"/>
          <w:color w:val="000000"/>
          <w:sz w:val="32"/>
          <w:szCs w:val="32"/>
          <w:lang w:val="en-US" w:eastAsia="zh-CN"/>
        </w:rPr>
        <w:t>支付费用合计为</w:t>
      </w:r>
      <w:r>
        <w:rPr>
          <w:rFonts w:hint="eastAsia" w:ascii="仿宋" w:hAnsi="仿宋" w:eastAsia="仿宋" w:cs="仿宋"/>
          <w:color w:val="000000"/>
          <w:sz w:val="32"/>
          <w:szCs w:val="32"/>
          <w:lang w:val="en-US" w:eastAsia="zh-CN"/>
        </w:rPr>
        <w:t>10000000</w:t>
      </w:r>
      <w:r>
        <w:rPr>
          <w:rFonts w:hint="default" w:ascii="仿宋" w:hAnsi="仿宋" w:eastAsia="仿宋" w:cs="仿宋"/>
          <w:color w:val="000000"/>
          <w:sz w:val="32"/>
          <w:szCs w:val="32"/>
          <w:lang w:val="en-US" w:eastAsia="zh-CN"/>
        </w:rPr>
        <w:t>元</w:t>
      </w:r>
      <w:r>
        <w:rPr>
          <w:rFonts w:hint="eastAsia" w:ascii="仿宋" w:hAnsi="仿宋" w:eastAsia="仿宋" w:cs="仿宋"/>
          <w:color w:val="000000"/>
          <w:sz w:val="32"/>
          <w:szCs w:val="32"/>
          <w:lang w:val="en-US" w:eastAsia="zh-CN"/>
        </w:rPr>
        <w:t>，支付率100%</w:t>
      </w:r>
      <w:r>
        <w:rPr>
          <w:rFonts w:hint="default" w:ascii="仿宋" w:hAnsi="仿宋" w:eastAsia="仿宋" w:cs="仿宋"/>
          <w:color w:val="000000"/>
          <w:sz w:val="32"/>
          <w:szCs w:val="32"/>
          <w:lang w:val="en-US" w:eastAsia="zh-CN"/>
        </w:rPr>
        <w:t>。</w:t>
      </w:r>
    </w:p>
    <w:p w14:paraId="5C8DDDDF">
      <w:pPr>
        <w:keepNext w:val="0"/>
        <w:keepLines w:val="0"/>
        <w:pageBreakBefore w:val="0"/>
        <w:widowControl w:val="0"/>
        <w:tabs>
          <w:tab w:val="left" w:pos="3885"/>
        </w:tabs>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(四）项目绩效目标。</w:t>
      </w:r>
    </w:p>
    <w:tbl>
      <w:tblPr>
        <w:tblStyle w:val="16"/>
        <w:tblW w:w="86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8"/>
        <w:gridCol w:w="1180"/>
        <w:gridCol w:w="921"/>
        <w:gridCol w:w="1072"/>
        <w:gridCol w:w="683"/>
        <w:gridCol w:w="787"/>
        <w:gridCol w:w="721"/>
        <w:gridCol w:w="474"/>
        <w:gridCol w:w="674"/>
      </w:tblGrid>
      <w:tr w14:paraId="1727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C87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对口帮扶阿坝州理县帮扶资金项目</w:t>
            </w: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E932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4D1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F576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开展对口帮扶理县项目</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4CD235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6A274F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BED96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0C7E45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99F55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445F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C8BAE">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9263D">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6BCE3">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BD414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深入指导助推帮扶项目</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6E630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15E550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E4512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285BC19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91435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0110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582CE">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38155">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595D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1619F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结对帮扶项目合规率</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F8705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B9C624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F8EC0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0D4164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A954D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72EC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0BBFE">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7ADDF">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D89D4">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245C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A3EB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8B03A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621F8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48CDBC8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ACDD5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7A0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396F3">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74C32">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1F1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561C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开展</w:t>
            </w:r>
            <w:r>
              <w:rPr>
                <w:rFonts w:hint="eastAsia" w:ascii="宋体" w:hAnsi="宋体" w:eastAsia="宋体" w:cs="宋体"/>
                <w:i w:val="0"/>
                <w:iCs w:val="0"/>
                <w:color w:val="000000"/>
                <w:kern w:val="0"/>
                <w:sz w:val="18"/>
                <w:szCs w:val="18"/>
                <w:u w:val="none"/>
                <w:lang w:val="en-US" w:eastAsia="zh-CN" w:bidi="ar"/>
              </w:rPr>
              <w:t>理县结对帮扶活动</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C0077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06560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77CF2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2E7AF61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1403D9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1891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D70B1">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7695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5E387">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536E8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资金使用期限</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BAA2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1DB63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96E25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36901AD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048CC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073F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D2D89">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3CB7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D346C">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57BB2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按期开展活动及时率</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724B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0E391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0A428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4E49DB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DC256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3981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009B5">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53D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1" w:type="dxa"/>
            <w:vMerge w:val="restart"/>
            <w:tcBorders>
              <w:top w:val="single" w:color="000000" w:sz="4" w:space="0"/>
              <w:left w:val="single" w:color="000000" w:sz="4" w:space="0"/>
              <w:right w:val="single" w:color="000000" w:sz="4" w:space="0"/>
            </w:tcBorders>
            <w:noWrap w:val="0"/>
            <w:vAlign w:val="center"/>
          </w:tcPr>
          <w:p w14:paraId="29835B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p w14:paraId="6C9967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AC55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对口帮扶理县落实率</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83D71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E6CCF1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E43F4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0C5F58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0FC682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5ED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2631E">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4ED14">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21" w:type="dxa"/>
            <w:vMerge w:val="continue"/>
            <w:tcBorders>
              <w:left w:val="single" w:color="000000" w:sz="4" w:space="0"/>
              <w:bottom w:val="single" w:color="000000" w:sz="4" w:space="0"/>
              <w:right w:val="single" w:color="000000" w:sz="4" w:space="0"/>
            </w:tcBorders>
            <w:noWrap w:val="0"/>
            <w:vAlign w:val="center"/>
          </w:tcPr>
          <w:p w14:paraId="5AF9017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FC4A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通过帮扶助推理县脱贫与乡村振兴有效衔接</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78238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D6AC8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5A6F11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优</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572D65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D07BF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29F7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BE092">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AE32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E6C851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7AD7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受帮扶所在县</w:t>
            </w:r>
            <w:r>
              <w:rPr>
                <w:rFonts w:ascii="宋体" w:hAnsi="宋体" w:eastAsia="宋体" w:cs="宋体"/>
                <w:i w:val="0"/>
                <w:iCs w:val="0"/>
                <w:color w:val="000000"/>
                <w:kern w:val="0"/>
                <w:sz w:val="18"/>
                <w:szCs w:val="18"/>
                <w:u w:val="none"/>
                <w:lang w:val="en-US" w:eastAsia="zh-CN" w:bidi="ar"/>
              </w:rPr>
              <w:t>满意度</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43CC2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6B6ED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A0837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41BB19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3EE34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64E3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08DC9">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DDDF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53F5F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F92971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该项目预算成本控制数成本</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B4F11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B839F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7AAE1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4B7568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970FCAE">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bl>
    <w:p w14:paraId="700B4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cs="Times New Roman"/>
          <w:sz w:val="32"/>
          <w:szCs w:val="32"/>
        </w:rPr>
      </w:pPr>
      <w:bookmarkStart w:id="110" w:name="_Toc23391"/>
      <w:r>
        <w:rPr>
          <w:rFonts w:hint="default" w:ascii="Times New Roman" w:hAnsi="Times New Roman" w:eastAsia="黑体" w:cs="Times New Roman"/>
          <w:sz w:val="32"/>
          <w:szCs w:val="32"/>
        </w:rPr>
        <w:t>二、评价工作开展情况</w:t>
      </w:r>
      <w:bookmarkEnd w:id="110"/>
    </w:p>
    <w:p w14:paraId="42731C48">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1.建立了自评工作组，以分管领导为组长，办公室负责人</w:t>
      </w:r>
      <w:r>
        <w:rPr>
          <w:rFonts w:hint="eastAsia" w:ascii="仿宋" w:hAnsi="仿宋" w:eastAsia="仿宋" w:cs="仿宋"/>
          <w:color w:val="000000"/>
          <w:sz w:val="32"/>
          <w:szCs w:val="32"/>
          <w:lang w:val="en-US" w:eastAsia="zh-CN"/>
        </w:rPr>
        <w:t>为</w:t>
      </w:r>
      <w:r>
        <w:rPr>
          <w:rFonts w:hint="default" w:ascii="仿宋" w:hAnsi="仿宋" w:eastAsia="仿宋" w:cs="仿宋"/>
          <w:color w:val="000000"/>
          <w:sz w:val="32"/>
          <w:szCs w:val="32"/>
          <w:lang w:val="en-US" w:eastAsia="zh-CN"/>
        </w:rPr>
        <w:t>副组长，办公室和财务等有关人员组成自评工作小组。</w:t>
      </w:r>
    </w:p>
    <w:p w14:paraId="50EA4EE7">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sz w:val="32"/>
          <w:szCs w:val="32"/>
          <w:lang w:val="en-US" w:eastAsia="zh-CN"/>
        </w:rPr>
        <w:sectPr>
          <w:footerReference r:id="rId8" w:type="even"/>
          <w:pgSz w:w="11906" w:h="16838"/>
          <w:pgMar w:top="1440" w:right="1803" w:bottom="1440" w:left="1803" w:header="851" w:footer="992" w:gutter="0"/>
          <w:pgNumType w:fmt="decimal"/>
          <w:cols w:space="0" w:num="1"/>
          <w:rtlGutter w:val="0"/>
          <w:docGrid w:type="lines" w:linePitch="319" w:charSpace="0"/>
        </w:sectPr>
      </w:pPr>
      <w:r>
        <w:rPr>
          <w:rFonts w:hint="default" w:ascii="仿宋" w:hAnsi="仿宋" w:eastAsia="仿宋" w:cs="仿宋"/>
          <w:color w:val="000000"/>
          <w:sz w:val="32"/>
          <w:szCs w:val="32"/>
          <w:lang w:val="en-US" w:eastAsia="zh-CN"/>
        </w:rPr>
        <w:t>2.组织开展项目自评工作</w:t>
      </w:r>
      <w:r>
        <w:rPr>
          <w:rFonts w:hint="eastAsia" w:ascii="仿宋" w:hAnsi="仿宋" w:eastAsia="仿宋" w:cs="仿宋"/>
          <w:color w:val="000000"/>
          <w:sz w:val="32"/>
          <w:szCs w:val="32"/>
          <w:lang w:val="en-US" w:eastAsia="zh-CN"/>
        </w:rPr>
        <w:t>得分为100分</w:t>
      </w:r>
      <w:r>
        <w:rPr>
          <w:rFonts w:hint="default" w:ascii="仿宋" w:hAnsi="仿宋" w:eastAsia="仿宋" w:cs="仿宋"/>
          <w:color w:val="000000"/>
          <w:sz w:val="32"/>
          <w:szCs w:val="32"/>
          <w:lang w:val="en-US" w:eastAsia="zh-CN"/>
        </w:rPr>
        <w:t>。一是深入调查，收集资料。根据自评评价的工作计划及安排制订详细的调查提纲，并开展实际调查工作，收集评估所需的各种资料和数据。二是分析研究。采用定量和定性分析方法，针对问题进行深入的分析研究。三是编制评估报告。将分析研究的结果进行汇总、整理，编制出项目后评估报告</w:t>
      </w:r>
      <w:r>
        <w:rPr>
          <w:rFonts w:hint="eastAsia" w:ascii="仿宋" w:hAnsi="仿宋" w:eastAsia="仿宋" w:cs="仿宋"/>
          <w:color w:val="000000"/>
          <w:sz w:val="32"/>
          <w:szCs w:val="32"/>
          <w:lang w:val="en-US" w:eastAsia="zh-CN"/>
        </w:rPr>
        <w:t>。</w:t>
      </w:r>
    </w:p>
    <w:p w14:paraId="4B8E9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综合评价结论（附评分表）</w:t>
      </w:r>
    </w:p>
    <w:tbl>
      <w:tblPr>
        <w:tblStyle w:val="16"/>
        <w:tblW w:w="8914" w:type="dxa"/>
        <w:jc w:val="center"/>
        <w:tblLayout w:type="fixed"/>
        <w:tblCellMar>
          <w:top w:w="0" w:type="dxa"/>
          <w:left w:w="0" w:type="dxa"/>
          <w:bottom w:w="0" w:type="dxa"/>
          <w:right w:w="0" w:type="dxa"/>
        </w:tblCellMar>
      </w:tblPr>
      <w:tblGrid>
        <w:gridCol w:w="1140"/>
        <w:gridCol w:w="926"/>
        <w:gridCol w:w="1009"/>
        <w:gridCol w:w="1658"/>
        <w:gridCol w:w="688"/>
        <w:gridCol w:w="1172"/>
        <w:gridCol w:w="1275"/>
        <w:gridCol w:w="1046"/>
      </w:tblGrid>
      <w:tr w14:paraId="7D918EAA">
        <w:tblPrEx>
          <w:tblCellMar>
            <w:top w:w="0" w:type="dxa"/>
            <w:left w:w="0" w:type="dxa"/>
            <w:bottom w:w="0" w:type="dxa"/>
            <w:right w:w="0" w:type="dxa"/>
          </w:tblCellMar>
        </w:tblPrEx>
        <w:trPr>
          <w:trHeight w:val="432" w:hRule="atLeast"/>
          <w:jc w:val="center"/>
        </w:trPr>
        <w:tc>
          <w:tcPr>
            <w:tcW w:w="47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7F83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分层分类指标</w:t>
            </w: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0688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分值</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35B1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目标值</w:t>
            </w:r>
          </w:p>
        </w:tc>
        <w:tc>
          <w:tcPr>
            <w:tcW w:w="12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61F3B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default" w:ascii="Times New Roman" w:hAnsi="Times New Roman" w:eastAsia="黑体" w:cs="Times New Roman"/>
                <w:b w:val="0"/>
                <w:bCs/>
                <w:i w:val="0"/>
                <w:color w:val="auto"/>
                <w:kern w:val="0"/>
                <w:sz w:val="21"/>
                <w:szCs w:val="21"/>
                <w:highlight w:val="none"/>
                <w:u w:val="none"/>
                <w:lang w:val="en-US" w:eastAsia="zh-CN" w:bidi="ar"/>
              </w:rPr>
              <w:t>完成值</w:t>
            </w:r>
          </w:p>
        </w:tc>
        <w:tc>
          <w:tcPr>
            <w:tcW w:w="10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56D5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sz w:val="21"/>
                <w:szCs w:val="21"/>
                <w:highlight w:val="none"/>
                <w:u w:val="none"/>
              </w:rPr>
            </w:pPr>
            <w:r>
              <w:rPr>
                <w:rFonts w:hint="default" w:ascii="Times New Roman" w:hAnsi="Times New Roman" w:eastAsia="黑体" w:cs="Times New Roman"/>
                <w:b w:val="0"/>
                <w:bCs/>
                <w:i w:val="0"/>
                <w:color w:val="auto"/>
                <w:kern w:val="0"/>
                <w:sz w:val="21"/>
                <w:szCs w:val="21"/>
                <w:highlight w:val="none"/>
                <w:u w:val="none"/>
                <w:lang w:val="en-US" w:eastAsia="zh-CN" w:bidi="ar"/>
              </w:rPr>
              <w:t>自评得分</w:t>
            </w:r>
          </w:p>
        </w:tc>
      </w:tr>
      <w:tr w14:paraId="29C2B5F9">
        <w:tblPrEx>
          <w:tblCellMar>
            <w:top w:w="0" w:type="dxa"/>
            <w:left w:w="0" w:type="dxa"/>
            <w:bottom w:w="0" w:type="dxa"/>
            <w:right w:w="0" w:type="dxa"/>
          </w:tblCellMar>
        </w:tblPrEx>
        <w:trPr>
          <w:trHeight w:val="432" w:hRule="atLeast"/>
          <w:jc w:val="center"/>
        </w:trPr>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3BFA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eastAsia" w:ascii="Times New Roman" w:hAnsi="Times New Roman" w:eastAsia="黑体" w:cs="Times New Roman"/>
                <w:b w:val="0"/>
                <w:bCs/>
                <w:i w:val="0"/>
                <w:color w:val="auto"/>
                <w:kern w:val="0"/>
                <w:sz w:val="18"/>
                <w:szCs w:val="18"/>
                <w:highlight w:val="none"/>
                <w:u w:val="none"/>
                <w:lang w:val="en-US" w:eastAsia="zh-CN" w:bidi="ar"/>
              </w:rPr>
              <w:t>分层</w:t>
            </w:r>
            <w:r>
              <w:rPr>
                <w:rFonts w:hint="default" w:ascii="Times New Roman" w:hAnsi="Times New Roman" w:eastAsia="黑体" w:cs="Times New Roman"/>
                <w:b w:val="0"/>
                <w:bCs/>
                <w:i w:val="0"/>
                <w:color w:val="auto"/>
                <w:kern w:val="0"/>
                <w:sz w:val="18"/>
                <w:szCs w:val="18"/>
                <w:highlight w:val="none"/>
                <w:u w:val="none"/>
                <w:lang w:val="en-US" w:eastAsia="zh-CN" w:bidi="ar"/>
              </w:rPr>
              <w:t>指标</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DA3A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default" w:ascii="Times New Roman" w:hAnsi="Times New Roman" w:eastAsia="黑体" w:cs="Times New Roman"/>
                <w:b w:val="0"/>
                <w:bCs/>
                <w:i w:val="0"/>
                <w:color w:val="auto"/>
                <w:kern w:val="0"/>
                <w:sz w:val="18"/>
                <w:szCs w:val="18"/>
                <w:highlight w:val="none"/>
                <w:u w:val="none"/>
                <w:lang w:val="en-US" w:eastAsia="zh-CN" w:bidi="ar"/>
              </w:rPr>
              <w:t>适用范围</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C13B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eastAsia" w:ascii="Times New Roman" w:hAnsi="Times New Roman" w:eastAsia="黑体" w:cs="Times New Roman"/>
                <w:b w:val="0"/>
                <w:bCs/>
                <w:i w:val="0"/>
                <w:color w:val="auto"/>
                <w:kern w:val="0"/>
                <w:sz w:val="18"/>
                <w:szCs w:val="18"/>
                <w:highlight w:val="none"/>
                <w:u w:val="none"/>
                <w:lang w:val="en-US" w:eastAsia="zh-CN" w:bidi="ar"/>
              </w:rPr>
              <w:t>一</w:t>
            </w:r>
            <w:r>
              <w:rPr>
                <w:rFonts w:hint="default" w:ascii="Times New Roman" w:hAnsi="Times New Roman" w:eastAsia="黑体" w:cs="Times New Roman"/>
                <w:b w:val="0"/>
                <w:bCs/>
                <w:i w:val="0"/>
                <w:color w:val="auto"/>
                <w:kern w:val="0"/>
                <w:sz w:val="18"/>
                <w:szCs w:val="18"/>
                <w:highlight w:val="none"/>
                <w:u w:val="none"/>
                <w:lang w:val="en-US" w:eastAsia="zh-CN" w:bidi="ar"/>
              </w:rPr>
              <w:t>级指标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0666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黑体" w:cs="Times New Roman"/>
                <w:b w:val="0"/>
                <w:bCs/>
                <w:i w:val="0"/>
                <w:color w:val="auto"/>
                <w:kern w:val="0"/>
                <w:sz w:val="21"/>
                <w:szCs w:val="21"/>
                <w:highlight w:val="none"/>
                <w:u w:val="none"/>
                <w:lang w:val="en-US" w:eastAsia="zh-CN" w:bidi="ar"/>
              </w:rPr>
            </w:pPr>
            <w:r>
              <w:rPr>
                <w:rFonts w:hint="eastAsia" w:ascii="Times New Roman" w:hAnsi="Times New Roman" w:eastAsia="黑体" w:cs="Times New Roman"/>
                <w:b w:val="0"/>
                <w:bCs/>
                <w:i w:val="0"/>
                <w:color w:val="auto"/>
                <w:kern w:val="0"/>
                <w:sz w:val="18"/>
                <w:szCs w:val="18"/>
                <w:highlight w:val="none"/>
                <w:u w:val="none"/>
                <w:lang w:val="en-US" w:eastAsia="zh-CN" w:bidi="ar"/>
              </w:rPr>
              <w:t>二</w:t>
            </w:r>
            <w:r>
              <w:rPr>
                <w:rFonts w:hint="default" w:ascii="Times New Roman" w:hAnsi="Times New Roman" w:eastAsia="黑体" w:cs="Times New Roman"/>
                <w:b w:val="0"/>
                <w:bCs/>
                <w:i w:val="0"/>
                <w:color w:val="auto"/>
                <w:kern w:val="0"/>
                <w:sz w:val="18"/>
                <w:szCs w:val="18"/>
                <w:highlight w:val="none"/>
                <w:u w:val="none"/>
                <w:lang w:val="en-US" w:eastAsia="zh-CN" w:bidi="ar"/>
              </w:rPr>
              <w:t>级指标</w:t>
            </w: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0B705">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17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5091D">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275" w:type="dxa"/>
            <w:vMerge w:val="continue"/>
            <w:tcBorders>
              <w:left w:val="single" w:color="000000" w:sz="4" w:space="0"/>
              <w:right w:val="single" w:color="000000" w:sz="4" w:space="0"/>
            </w:tcBorders>
            <w:noWrap w:val="0"/>
            <w:tcMar>
              <w:top w:w="15" w:type="dxa"/>
              <w:left w:w="15" w:type="dxa"/>
              <w:right w:w="15" w:type="dxa"/>
            </w:tcMar>
            <w:vAlign w:val="center"/>
          </w:tcPr>
          <w:p w14:paraId="70A31C2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BFEFD">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r>
      <w:tr w14:paraId="124B0FF6">
        <w:tblPrEx>
          <w:tblCellMar>
            <w:top w:w="0" w:type="dxa"/>
            <w:left w:w="0" w:type="dxa"/>
            <w:bottom w:w="0" w:type="dxa"/>
            <w:right w:w="0" w:type="dxa"/>
          </w:tblCellMar>
        </w:tblPrEx>
        <w:trPr>
          <w:trHeight w:val="325" w:hRule="atLeast"/>
          <w:jc w:val="center"/>
        </w:trPr>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9E17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通用指标（20分）不能修改</w:t>
            </w:r>
          </w:p>
        </w:tc>
        <w:tc>
          <w:tcPr>
            <w:tcW w:w="9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1E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所有项目</w:t>
            </w: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8F06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项目决策</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7930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程序严密</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BF49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8603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严密</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C6D7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严密</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2545C">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r>
      <w:tr w14:paraId="3F4B2ECD">
        <w:tblPrEx>
          <w:tblCellMar>
            <w:top w:w="0" w:type="dxa"/>
            <w:left w:w="0" w:type="dxa"/>
            <w:bottom w:w="0" w:type="dxa"/>
            <w:right w:w="0" w:type="dxa"/>
          </w:tblCellMar>
        </w:tblPrEx>
        <w:trPr>
          <w:trHeight w:val="426"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4B153">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F1C5B">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FDA23">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DB0A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规划合理</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09C8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C41C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合理</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3ED4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合理</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FC2F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r>
      <w:tr w14:paraId="0A274E2C">
        <w:tblPrEx>
          <w:tblCellMar>
            <w:top w:w="0" w:type="dxa"/>
            <w:left w:w="0" w:type="dxa"/>
            <w:bottom w:w="0" w:type="dxa"/>
            <w:right w:w="0" w:type="dxa"/>
          </w:tblCellMar>
        </w:tblPrEx>
        <w:trPr>
          <w:trHeight w:val="395"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C8702">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B5E5A">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F628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50E0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结果符合</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7701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3D8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符合</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FDFD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符合</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D7FE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2</w:t>
            </w:r>
          </w:p>
        </w:tc>
      </w:tr>
      <w:tr w14:paraId="55539726">
        <w:tblPrEx>
          <w:tblCellMar>
            <w:top w:w="0" w:type="dxa"/>
            <w:left w:w="0" w:type="dxa"/>
            <w:bottom w:w="0" w:type="dxa"/>
            <w:right w:w="0" w:type="dxa"/>
          </w:tblCellMar>
        </w:tblPrEx>
        <w:trPr>
          <w:trHeight w:val="352"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38DF0">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C5B7">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82CF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项目实施</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CD9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执行有效</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6E1B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F12A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有效</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3D12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有效</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736C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r>
      <w:tr w14:paraId="59F8527C">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AFDD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0CB21">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1327F">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394EC">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使用合规</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3839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0744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合规</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A1A7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合规</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6C90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4</w:t>
            </w:r>
          </w:p>
        </w:tc>
      </w:tr>
      <w:tr w14:paraId="353B12B6">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EA9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1CF1D">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15C9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预算执行</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940B">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预算执行率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1CBC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cs="Times New Roman"/>
                <w:b w:val="0"/>
                <w:bCs/>
                <w:i w:val="0"/>
                <w:color w:val="auto"/>
                <w:kern w:val="0"/>
                <w:sz w:val="21"/>
                <w:szCs w:val="21"/>
                <w:highlight w:val="none"/>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3865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229F">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0429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3</w:t>
            </w:r>
          </w:p>
        </w:tc>
      </w:tr>
      <w:tr w14:paraId="46B83811">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9EE57">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00E59">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CC0A">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E3FA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资金使用率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B897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1E69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316F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709A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3</w:t>
            </w:r>
          </w:p>
        </w:tc>
      </w:tr>
      <w:tr w14:paraId="398EC90B">
        <w:tblPrEx>
          <w:tblCellMar>
            <w:top w:w="0" w:type="dxa"/>
            <w:left w:w="0" w:type="dxa"/>
            <w:bottom w:w="0" w:type="dxa"/>
            <w:right w:w="0" w:type="dxa"/>
          </w:tblCellMar>
        </w:tblPrEx>
        <w:trPr>
          <w:trHeight w:val="540" w:hRule="atLeast"/>
          <w:jc w:val="center"/>
        </w:trPr>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E859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产出指标（20分）</w:t>
            </w:r>
          </w:p>
        </w:tc>
        <w:tc>
          <w:tcPr>
            <w:tcW w:w="9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C5E8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所有项目</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D20C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数量指标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4636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关工委举办活动次数</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BE7A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CB2A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rPr>
            </w:pPr>
            <w:r>
              <w:rPr>
                <w:rFonts w:hint="eastAsia" w:ascii="Times New Roman" w:hAnsi="Times New Roman" w:cs="Times New Roman"/>
                <w:b w:val="0"/>
                <w:bCs/>
                <w:i w:val="0"/>
                <w:color w:val="auto"/>
                <w:kern w:val="0"/>
                <w:sz w:val="21"/>
                <w:szCs w:val="21"/>
                <w:highlight w:val="none"/>
                <w:u w:val="none"/>
                <w:lang w:val="en-US" w:eastAsia="zh-CN" w:bidi="ar"/>
              </w:rPr>
              <w:t>6次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74E07">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eastAsia" w:ascii="Times New Roman" w:hAnsi="Times New Roman" w:cs="Times New Roman"/>
                <w:b w:val="0"/>
                <w:bCs/>
                <w:i w:val="0"/>
                <w:color w:val="auto"/>
                <w:kern w:val="0"/>
                <w:sz w:val="21"/>
                <w:szCs w:val="21"/>
                <w:highlight w:val="none"/>
                <w:u w:val="none"/>
                <w:lang w:val="en-US" w:eastAsia="zh-CN" w:bidi="ar"/>
              </w:rPr>
              <w:t>5次</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28374">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eastAsia" w:ascii="Times New Roman" w:hAnsi="Times New Roman" w:cs="Times New Roman"/>
                <w:b w:val="0"/>
                <w:bCs/>
                <w:i w:val="0"/>
                <w:color w:val="auto"/>
                <w:kern w:val="0"/>
                <w:sz w:val="21"/>
                <w:szCs w:val="21"/>
                <w:highlight w:val="none"/>
                <w:u w:val="none"/>
                <w:lang w:val="en-US" w:eastAsia="zh-CN" w:bidi="ar"/>
              </w:rPr>
              <w:t>3</w:t>
            </w:r>
          </w:p>
        </w:tc>
      </w:tr>
      <w:tr w14:paraId="5DC68861">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8F90D">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8B0F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C20285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质量指标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B67FC">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资金使用合规</w:t>
            </w:r>
            <w:r>
              <w:rPr>
                <w:rFonts w:hint="default" w:ascii="Times New Roman" w:hAnsi="Times New Roman" w:cs="Times New Roman"/>
                <w:b w:val="0"/>
                <w:bCs/>
                <w:i w:val="0"/>
                <w:color w:val="auto"/>
                <w:sz w:val="21"/>
                <w:szCs w:val="21"/>
                <w:highlight w:val="none"/>
                <w:u w:val="none"/>
                <w:lang w:val="en-US" w:eastAsia="zh-CN"/>
              </w:rPr>
              <w:t>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82202">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eastAsia" w:ascii="Times New Roman" w:hAnsi="Times New Roman" w:cs="Times New Roman"/>
                <w:b w:val="0"/>
                <w:bCs/>
                <w:i w:val="0"/>
                <w:color w:val="auto"/>
                <w:kern w:val="0"/>
                <w:sz w:val="21"/>
                <w:szCs w:val="21"/>
                <w:highlight w:val="none"/>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02F5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9B49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2"/>
                <w:sz w:val="21"/>
                <w:szCs w:val="21"/>
                <w:highlight w:val="none"/>
                <w:u w:val="none"/>
                <w:lang w:val="en-US" w:eastAsia="zh-CN" w:bidi="ar-SA"/>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082B6">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lang w:val="en-US"/>
              </w:rPr>
            </w:pPr>
            <w:r>
              <w:rPr>
                <w:rFonts w:hint="eastAsia" w:ascii="Times New Roman" w:hAnsi="Times New Roman" w:cs="Times New Roman"/>
                <w:b w:val="0"/>
                <w:bCs/>
                <w:i w:val="0"/>
                <w:color w:val="auto"/>
                <w:kern w:val="0"/>
                <w:sz w:val="21"/>
                <w:szCs w:val="21"/>
                <w:highlight w:val="none"/>
                <w:u w:val="none"/>
                <w:lang w:val="en-US" w:eastAsia="zh-CN" w:bidi="ar"/>
              </w:rPr>
              <w:t>5</w:t>
            </w:r>
          </w:p>
        </w:tc>
      </w:tr>
      <w:tr w14:paraId="717DD760">
        <w:tblPrEx>
          <w:tblCellMar>
            <w:top w:w="0" w:type="dxa"/>
            <w:left w:w="0" w:type="dxa"/>
            <w:bottom w:w="0" w:type="dxa"/>
            <w:right w:w="0" w:type="dxa"/>
          </w:tblCellMar>
        </w:tblPrEx>
        <w:trPr>
          <w:trHeight w:val="459"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8DA50">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9C30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1227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成本指标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FDB7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项目总投入</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EC0FB">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eastAsia"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B76D3">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lang w:val="en-US"/>
              </w:rPr>
            </w:pPr>
            <w:r>
              <w:rPr>
                <w:rFonts w:hint="eastAsia" w:ascii="Times New Roman" w:hAnsi="Times New Roman" w:cs="Times New Roman"/>
                <w:b w:val="0"/>
                <w:bCs/>
                <w:i w:val="0"/>
                <w:color w:val="auto"/>
                <w:kern w:val="0"/>
                <w:sz w:val="21"/>
                <w:szCs w:val="21"/>
                <w:highlight w:val="none"/>
                <w:u w:val="none"/>
                <w:lang w:val="en-US" w:eastAsia="zh-CN" w:bidi="ar"/>
              </w:rPr>
              <w:t>≤1000万元</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B097F">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r>
              <w:rPr>
                <w:rFonts w:hint="eastAsia" w:ascii="Times New Roman" w:hAnsi="Times New Roman" w:cs="Times New Roman"/>
                <w:b w:val="0"/>
                <w:bCs/>
                <w:i w:val="0"/>
                <w:color w:val="auto"/>
                <w:kern w:val="0"/>
                <w:sz w:val="21"/>
                <w:szCs w:val="21"/>
                <w:highlight w:val="none"/>
                <w:u w:val="none"/>
                <w:lang w:val="en-US" w:eastAsia="zh-CN" w:bidi="ar"/>
              </w:rPr>
              <w:t>≤1000万元</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044CA">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eastAsia" w:ascii="Times New Roman" w:hAnsi="Times New Roman" w:eastAsia="仿宋_GB2312" w:cs="Times New Roman"/>
                <w:b w:val="0"/>
                <w:bCs/>
                <w:i w:val="0"/>
                <w:color w:val="auto"/>
                <w:sz w:val="21"/>
                <w:szCs w:val="21"/>
                <w:highlight w:val="none"/>
                <w:u w:val="none"/>
                <w:lang w:val="en-US" w:eastAsia="zh-CN"/>
              </w:rPr>
            </w:pPr>
            <w:r>
              <w:rPr>
                <w:rFonts w:hint="eastAsia" w:ascii="Times New Roman" w:hAnsi="Times New Roman" w:cs="Times New Roman"/>
                <w:b w:val="0"/>
                <w:bCs/>
                <w:i w:val="0"/>
                <w:color w:val="auto"/>
                <w:sz w:val="21"/>
                <w:szCs w:val="21"/>
                <w:highlight w:val="none"/>
                <w:u w:val="none"/>
                <w:lang w:val="en-US" w:eastAsia="zh-CN"/>
              </w:rPr>
              <w:t>3</w:t>
            </w:r>
          </w:p>
        </w:tc>
      </w:tr>
      <w:tr w14:paraId="02E7FFC2">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F9F22">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EE0F6">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FC7B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时效指标</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D537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完成及时率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A5EF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B760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18A3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3E1B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w:t>
            </w:r>
          </w:p>
        </w:tc>
      </w:tr>
      <w:tr w14:paraId="2E51A491">
        <w:tblPrEx>
          <w:tblCellMar>
            <w:top w:w="0" w:type="dxa"/>
            <w:left w:w="0" w:type="dxa"/>
            <w:bottom w:w="0" w:type="dxa"/>
            <w:right w:w="0" w:type="dxa"/>
          </w:tblCellMar>
        </w:tblPrEx>
        <w:trPr>
          <w:trHeight w:val="1295" w:hRule="atLeast"/>
          <w:jc w:val="center"/>
        </w:trPr>
        <w:tc>
          <w:tcPr>
            <w:tcW w:w="114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169C07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效益指标（50分）</w:t>
            </w:r>
          </w:p>
        </w:tc>
        <w:tc>
          <w:tcPr>
            <w:tcW w:w="92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08B2B8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至少填写一栏效益</w:t>
            </w: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1EE86C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社会效益</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8B543">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ind w:firstLine="555" w:firstLineChars="0"/>
              <w:jc w:val="both"/>
              <w:textAlignment w:val="center"/>
              <w:rPr>
                <w:rFonts w:hint="default" w:ascii="Times New Roman" w:hAnsi="Times New Roman" w:eastAsia="仿宋_GB2312" w:cs="Times New Roman"/>
                <w:b w:val="0"/>
                <w:bCs/>
                <w:i w:val="0"/>
                <w:color w:val="auto"/>
                <w:sz w:val="21"/>
                <w:szCs w:val="21"/>
                <w:highlight w:val="none"/>
                <w:u w:val="none"/>
                <w:lang w:val="en-US" w:eastAsia="zh-CN"/>
              </w:rPr>
            </w:pPr>
            <w:r>
              <w:rPr>
                <w:rFonts w:hint="eastAsia" w:ascii="宋体" w:hAnsi="宋体" w:eastAsia="宋体" w:cs="宋体"/>
                <w:i w:val="0"/>
                <w:iCs w:val="0"/>
                <w:color w:val="000000"/>
                <w:sz w:val="18"/>
                <w:szCs w:val="18"/>
                <w:u w:val="none"/>
                <w:lang w:val="en-US" w:eastAsia="zh-CN"/>
              </w:rPr>
              <w:t>通过帮扶助推理县脱贫与乡村振兴有效衔接</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01600">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6FE4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E92A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8A60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50</w:t>
            </w:r>
          </w:p>
        </w:tc>
      </w:tr>
      <w:tr w14:paraId="4187C051">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E04C39">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833CAD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0A43659">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经济效益</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739EF">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6254">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1AE5F">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AAD9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37E38">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r>
      <w:tr w14:paraId="2CCFD4E5">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BCF43B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92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95670E5">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5C09B6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生态效益</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313DC">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5B0EE">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8BBC6">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A9037">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A5E69">
            <w:pPr>
              <w:keepNext w:val="0"/>
              <w:keepLines w:val="0"/>
              <w:pageBreakBefore w:val="0"/>
              <w:widowControl w:val="0"/>
              <w:kinsoku/>
              <w:wordWrap/>
              <w:overflowPunct w:val="0"/>
              <w:topLinePunct w:val="0"/>
              <w:autoSpaceDE/>
              <w:autoSpaceDN/>
              <w:bidi w:val="0"/>
              <w:adjustRightInd w:val="0"/>
              <w:snapToGrid w:val="0"/>
              <w:spacing w:line="570" w:lineRule="exact"/>
              <w:jc w:val="center"/>
              <w:rPr>
                <w:rFonts w:hint="default" w:ascii="Times New Roman" w:hAnsi="Times New Roman" w:eastAsia="仿宋_GB2312" w:cs="Times New Roman"/>
                <w:b w:val="0"/>
                <w:bCs/>
                <w:i w:val="0"/>
                <w:color w:val="auto"/>
                <w:sz w:val="21"/>
                <w:szCs w:val="21"/>
                <w:highlight w:val="none"/>
                <w:u w:val="none"/>
              </w:rPr>
            </w:pPr>
          </w:p>
        </w:tc>
      </w:tr>
      <w:tr w14:paraId="39B2343B">
        <w:tblPrEx>
          <w:tblCellMar>
            <w:top w:w="0" w:type="dxa"/>
            <w:left w:w="0" w:type="dxa"/>
            <w:bottom w:w="0" w:type="dxa"/>
            <w:right w:w="0" w:type="dxa"/>
          </w:tblCellMar>
        </w:tblPrEx>
        <w:trPr>
          <w:trHeight w:val="694" w:hRule="atLeast"/>
          <w:jc w:val="center"/>
        </w:trPr>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F611">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满意度</w:t>
            </w:r>
          </w:p>
          <w:p w14:paraId="3088993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（10分）</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8F3B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所有项目</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03E5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满意度</w:t>
            </w:r>
          </w:p>
        </w:tc>
        <w:tc>
          <w:tcPr>
            <w:tcW w:w="1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53EAD">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ascii="宋体" w:hAnsi="宋体" w:eastAsia="宋体" w:cs="宋体"/>
                <w:i w:val="0"/>
                <w:iCs w:val="0"/>
                <w:color w:val="000000"/>
                <w:kern w:val="0"/>
                <w:sz w:val="18"/>
                <w:szCs w:val="18"/>
                <w:u w:val="none"/>
                <w:lang w:val="en-US" w:eastAsia="zh-CN" w:bidi="ar"/>
              </w:rPr>
              <w:t>受助儿童满意度</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DEBA5">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97C98">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大于等于90%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6598A">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kern w:val="0"/>
                <w:sz w:val="21"/>
                <w:szCs w:val="21"/>
                <w:highlight w:val="none"/>
                <w:u w:val="none"/>
                <w:lang w:val="en-US" w:eastAsia="zh-CN" w:bidi="ar"/>
              </w:rPr>
            </w:pPr>
            <w:r>
              <w:rPr>
                <w:rFonts w:hint="default" w:ascii="Times New Roman" w:hAnsi="Times New Roman" w:eastAsia="仿宋_GB2312" w:cs="Times New Roman"/>
                <w:b w:val="0"/>
                <w:bCs/>
                <w:i w:val="0"/>
                <w:color w:val="auto"/>
                <w:kern w:val="0"/>
                <w:sz w:val="21"/>
                <w:szCs w:val="21"/>
                <w:highlight w:val="none"/>
                <w:u w:val="none"/>
                <w:lang w:val="en-US" w:eastAsia="zh-CN" w:bidi="ar"/>
              </w:rPr>
              <w:t>大于等于90%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1D25E">
            <w:pPr>
              <w:keepNext w:val="0"/>
              <w:keepLines w:val="0"/>
              <w:pageBreakBefore w:val="0"/>
              <w:widowControl w:val="0"/>
              <w:suppressLineNumbers w:val="0"/>
              <w:kinsoku/>
              <w:wordWrap/>
              <w:overflowPunct w:val="0"/>
              <w:topLinePunct w:val="0"/>
              <w:autoSpaceDE/>
              <w:autoSpaceDN/>
              <w:bidi w:val="0"/>
              <w:adjustRightInd w:val="0"/>
              <w:snapToGrid w:val="0"/>
              <w:spacing w:line="570" w:lineRule="exact"/>
              <w:jc w:val="center"/>
              <w:textAlignment w:val="center"/>
              <w:rPr>
                <w:rFonts w:hint="default" w:ascii="Times New Roman" w:hAnsi="Times New Roman" w:eastAsia="仿宋_GB2312" w:cs="Times New Roman"/>
                <w:b w:val="0"/>
                <w:bCs/>
                <w:i w:val="0"/>
                <w:color w:val="auto"/>
                <w:sz w:val="21"/>
                <w:szCs w:val="21"/>
                <w:highlight w:val="none"/>
                <w:u w:val="none"/>
              </w:rPr>
            </w:pPr>
            <w:r>
              <w:rPr>
                <w:rFonts w:hint="default" w:ascii="Times New Roman" w:hAnsi="Times New Roman" w:eastAsia="仿宋_GB2312" w:cs="Times New Roman"/>
                <w:b w:val="0"/>
                <w:bCs/>
                <w:i w:val="0"/>
                <w:color w:val="auto"/>
                <w:kern w:val="0"/>
                <w:sz w:val="21"/>
                <w:szCs w:val="21"/>
                <w:highlight w:val="none"/>
                <w:u w:val="none"/>
                <w:lang w:val="en-US" w:eastAsia="zh-CN" w:bidi="ar"/>
              </w:rPr>
              <w:t>10</w:t>
            </w:r>
          </w:p>
        </w:tc>
      </w:tr>
    </w:tbl>
    <w:p w14:paraId="11F9B0F5">
      <w:pPr>
        <w:keepNext w:val="0"/>
        <w:keepLines w:val="0"/>
        <w:pageBreakBefore w:val="0"/>
        <w:widowControl w:val="0"/>
        <w:numPr>
          <w:ilvl w:val="0"/>
          <w:numId w:val="0"/>
        </w:numPr>
        <w:tabs>
          <w:tab w:val="left" w:pos="29185"/>
        </w:tabs>
        <w:kinsoku/>
        <w:wordWrap/>
        <w:topLinePunct w:val="0"/>
        <w:autoSpaceDE/>
        <w:autoSpaceDN/>
        <w:bidi w:val="0"/>
        <w:snapToGrid w:val="0"/>
        <w:ind w:leftChars="200"/>
        <w:jc w:val="left"/>
        <w:rPr>
          <w:rFonts w:hint="default" w:ascii="Times New Roman" w:hAnsi="Times New Roman" w:eastAsia="黑体" w:cs="Times New Roman"/>
          <w:szCs w:val="21"/>
        </w:rPr>
      </w:pPr>
    </w:p>
    <w:p w14:paraId="1A8EC7D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四、绩效评价分析</w:t>
      </w:r>
    </w:p>
    <w:p w14:paraId="2CFF3399">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（一）项目决策情况</w:t>
      </w:r>
    </w:p>
    <w:p w14:paraId="54908DC0">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该项目立项依据充分</w:t>
      </w:r>
      <w:r>
        <w:rPr>
          <w:rFonts w:hint="eastAsia" w:ascii="仿宋" w:hAnsi="仿宋" w:eastAsia="仿宋" w:cs="仿宋"/>
          <w:color w:val="000000"/>
          <w:sz w:val="32"/>
          <w:szCs w:val="32"/>
          <w:lang w:val="en-US" w:eastAsia="zh-CN"/>
        </w:rPr>
        <w:t>，设有明确目标，实施</w:t>
      </w:r>
      <w:r>
        <w:rPr>
          <w:rFonts w:hint="default" w:ascii="仿宋" w:hAnsi="仿宋" w:eastAsia="仿宋" w:cs="仿宋"/>
          <w:color w:val="000000"/>
          <w:sz w:val="32"/>
          <w:szCs w:val="32"/>
          <w:lang w:val="en-US" w:eastAsia="zh-CN"/>
        </w:rPr>
        <w:t>过程规范</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立项内容符合国家政策</w:t>
      </w:r>
      <w:r>
        <w:rPr>
          <w:rFonts w:hint="eastAsia" w:ascii="仿宋" w:hAnsi="仿宋" w:eastAsia="仿宋" w:cs="仿宋"/>
          <w:color w:val="000000"/>
          <w:sz w:val="32"/>
          <w:szCs w:val="32"/>
          <w:lang w:val="en-US" w:eastAsia="zh-CN"/>
        </w:rPr>
        <w:t>、经济社会</w:t>
      </w:r>
      <w:r>
        <w:rPr>
          <w:rFonts w:hint="default" w:ascii="仿宋" w:hAnsi="仿宋" w:eastAsia="仿宋" w:cs="仿宋"/>
          <w:color w:val="000000"/>
          <w:sz w:val="32"/>
          <w:szCs w:val="32"/>
          <w:lang w:val="en-US" w:eastAsia="zh-CN"/>
        </w:rPr>
        <w:t>发展规划要求</w:t>
      </w:r>
      <w:r>
        <w:rPr>
          <w:rFonts w:hint="eastAsia" w:ascii="仿宋" w:hAnsi="仿宋" w:eastAsia="仿宋" w:cs="仿宋"/>
          <w:color w:val="000000"/>
          <w:sz w:val="32"/>
          <w:szCs w:val="32"/>
          <w:lang w:val="en-US" w:eastAsia="zh-CN"/>
        </w:rPr>
        <w:t>、部门年度工作计划，</w:t>
      </w:r>
      <w:r>
        <w:rPr>
          <w:rFonts w:hint="default" w:ascii="仿宋" w:hAnsi="仿宋" w:eastAsia="仿宋" w:cs="仿宋"/>
          <w:color w:val="000000"/>
          <w:sz w:val="32"/>
          <w:szCs w:val="32"/>
          <w:lang w:val="en-US" w:eastAsia="zh-CN"/>
        </w:rPr>
        <w:t>项目预算编制科学合理</w:t>
      </w:r>
      <w:r>
        <w:rPr>
          <w:rFonts w:hint="eastAsia" w:ascii="仿宋" w:hAnsi="仿宋" w:eastAsia="仿宋" w:cs="仿宋"/>
          <w:color w:val="000000"/>
          <w:sz w:val="32"/>
          <w:szCs w:val="32"/>
          <w:lang w:val="en-US" w:eastAsia="zh-CN"/>
        </w:rPr>
        <w:t>，通过该项目的实施，切实助推理县乡村全面振兴扎实推动共同富裕。</w:t>
      </w:r>
    </w:p>
    <w:p w14:paraId="460F4C93">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（二）项目管理情况</w:t>
      </w:r>
    </w:p>
    <w:p w14:paraId="56F66494">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我部有详细的财务管理内控制度，</w:t>
      </w:r>
      <w:r>
        <w:rPr>
          <w:rFonts w:hint="eastAsia" w:ascii="仿宋" w:hAnsi="仿宋" w:eastAsia="仿宋" w:cs="仿宋"/>
          <w:color w:val="000000"/>
          <w:sz w:val="32"/>
          <w:szCs w:val="32"/>
          <w:lang w:val="en-US" w:eastAsia="zh-CN"/>
        </w:rPr>
        <w:t>严格执行项目申报、项目实施及资金使用，严格按照财务制度执行</w:t>
      </w:r>
      <w:r>
        <w:rPr>
          <w:rFonts w:hint="default" w:ascii="仿宋" w:hAnsi="仿宋" w:eastAsia="仿宋" w:cs="仿宋"/>
          <w:color w:val="000000"/>
          <w:sz w:val="32"/>
          <w:szCs w:val="32"/>
          <w:lang w:val="en-US" w:eastAsia="zh-CN"/>
        </w:rPr>
        <w:t>做到</w:t>
      </w:r>
      <w:r>
        <w:rPr>
          <w:rFonts w:hint="eastAsia" w:ascii="仿宋" w:hAnsi="仿宋" w:eastAsia="仿宋" w:cs="仿宋"/>
          <w:color w:val="000000"/>
          <w:sz w:val="32"/>
          <w:szCs w:val="32"/>
          <w:lang w:val="en-US" w:eastAsia="zh-CN"/>
        </w:rPr>
        <w:t>支出依据合规</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无虚列项目支出情况，无挤占挪用情况，无超标准超预算情况</w:t>
      </w:r>
      <w:r>
        <w:rPr>
          <w:rFonts w:hint="default" w:ascii="仿宋" w:hAnsi="仿宋" w:eastAsia="仿宋" w:cs="仿宋"/>
          <w:color w:val="000000"/>
          <w:sz w:val="32"/>
          <w:szCs w:val="32"/>
          <w:lang w:val="en-US" w:eastAsia="zh-CN"/>
        </w:rPr>
        <w:t>。</w:t>
      </w:r>
    </w:p>
    <w:p w14:paraId="5639DB72">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（三）项目产出情况</w:t>
      </w:r>
    </w:p>
    <w:p w14:paraId="363D8C5A">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理县文体中心提升改造项目（第二期）800万，对理县“五馆一中心”建设整体推进，重点推进理县文化中心级博物馆建设；2、理县应急指挥平台中心建设项目80万，主要用于应急调度指挥平台及全县安装地震预警终端等；3、理县中学校园建设项目57万，主要用于学校广播系统建设、校园文化建设、教学质量提升奖励；4、理县人民医院营养膳食中心改造建设项目25万，主要用于改造食堂800平方米，更新食堂用具等；5、党的二十大精神专题培训暨治蜀兴川政工干部队伍提升班28万，主要用于组织理县干部人才100人，分两期赴遂宁市委党校学习每期6天；6、2023年度就业培训项目10万，用于两地联合开展职业技能培训，促进理县就业创业。</w:t>
      </w:r>
    </w:p>
    <w:p w14:paraId="3879FC9B">
      <w:pPr>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（四）项目效益情况。</w:t>
      </w:r>
    </w:p>
    <w:p w14:paraId="398A2B4D">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项目的实施与现实需要基本匹配、绩效目标明确，数量指标、质量指标、时效指标全面完成，完成率100%，支付率100%，该项目产生了很好的社会效益，可持续性影响指标对聚焦理县“一廊两区三地四片五县”发展新思路及助推理县脱贫与乡村有效衔接奠定了坚实基础，对该项目资金预算及支出全面完成，契合政策实质，与财政部门的长期规划目标、年度工作目标相一致，产出和效果相关联，受帮扶县及人民群众满意度较高。</w:t>
      </w:r>
    </w:p>
    <w:p w14:paraId="3B130886">
      <w:pPr>
        <w:snapToGrid w:val="0"/>
        <w:spacing w:line="600" w:lineRule="exact"/>
        <w:ind w:firstLine="640" w:firstLineChars="200"/>
        <w:outlineLvl w:val="1"/>
        <w:rPr>
          <w:rFonts w:hint="default" w:ascii="Times New Roman" w:hAnsi="Times New Roman" w:eastAsia="黑体" w:cs="Times New Roman"/>
          <w:sz w:val="32"/>
          <w:szCs w:val="32"/>
        </w:rPr>
      </w:pPr>
      <w:bookmarkStart w:id="111" w:name="_Toc3831"/>
      <w:r>
        <w:rPr>
          <w:rFonts w:hint="default" w:ascii="Times New Roman" w:hAnsi="Times New Roman" w:eastAsia="黑体" w:cs="Times New Roman"/>
          <w:sz w:val="32"/>
          <w:szCs w:val="32"/>
        </w:rPr>
        <w:t>五、存在主要问题</w:t>
      </w:r>
      <w:bookmarkEnd w:id="111"/>
    </w:p>
    <w:p w14:paraId="4466E05A">
      <w:pPr>
        <w:snapToGrid w:val="0"/>
        <w:spacing w:line="600" w:lineRule="exact"/>
        <w:ind w:firstLine="640" w:firstLineChars="200"/>
        <w:rPr>
          <w:rFonts w:hint="default" w:ascii="仿宋_GB2312" w:hAnsi="仿宋_GB2312" w:eastAsia="仿宋_GB2312" w:cs="仿宋_GB2312"/>
          <w:color w:val="000000"/>
          <w:szCs w:val="21"/>
          <w:lang w:val="en-US" w:eastAsia="zh-CN"/>
        </w:rPr>
      </w:pPr>
      <w:r>
        <w:rPr>
          <w:rFonts w:hint="eastAsia" w:ascii="仿宋" w:hAnsi="仿宋" w:eastAsia="仿宋" w:cs="仿宋"/>
          <w:color w:val="000000"/>
          <w:sz w:val="32"/>
          <w:szCs w:val="32"/>
          <w:lang w:val="en-US" w:eastAsia="zh-CN"/>
        </w:rPr>
        <w:t>无</w:t>
      </w:r>
    </w:p>
    <w:p w14:paraId="498BCF0E">
      <w:pPr>
        <w:snapToGrid w:val="0"/>
        <w:spacing w:line="600" w:lineRule="exact"/>
        <w:ind w:firstLine="640" w:firstLineChars="200"/>
        <w:outlineLvl w:val="1"/>
        <w:rPr>
          <w:rFonts w:hint="default" w:ascii="Times New Roman" w:hAnsi="Times New Roman" w:eastAsia="黑体" w:cs="Times New Roman"/>
          <w:sz w:val="32"/>
          <w:szCs w:val="32"/>
        </w:rPr>
      </w:pPr>
      <w:bookmarkStart w:id="112" w:name="_Toc1461"/>
      <w:r>
        <w:rPr>
          <w:rFonts w:hint="default" w:ascii="Times New Roman" w:hAnsi="Times New Roman" w:eastAsia="黑体" w:cs="Times New Roman"/>
          <w:sz w:val="32"/>
          <w:szCs w:val="32"/>
        </w:rPr>
        <w:t>六、相关措施建议</w:t>
      </w:r>
      <w:bookmarkEnd w:id="112"/>
    </w:p>
    <w:p w14:paraId="4FB2C3E8">
      <w:pPr>
        <w:keepNext w:val="0"/>
        <w:keepLines w:val="0"/>
        <w:pageBreakBefore w:val="0"/>
        <w:widowControl w:val="0"/>
        <w:tabs>
          <w:tab w:val="left" w:pos="3885"/>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w:t>
      </w:r>
    </w:p>
    <w:p w14:paraId="1850B8B9">
      <w:pPr>
        <w:numPr>
          <w:ilvl w:val="0"/>
          <w:numId w:val="0"/>
        </w:numPr>
        <w:tabs>
          <w:tab w:val="left" w:pos="29185"/>
        </w:tabs>
        <w:jc w:val="left"/>
        <w:rPr>
          <w:rFonts w:hint="default" w:ascii="Times New Roman" w:hAnsi="Times New Roman" w:eastAsia="黑体" w:cs="Times New Roman"/>
          <w:szCs w:val="21"/>
        </w:rPr>
      </w:pPr>
    </w:p>
    <w:p w14:paraId="1B16B6B9">
      <w:pPr>
        <w:numPr>
          <w:ilvl w:val="0"/>
          <w:numId w:val="0"/>
        </w:numPr>
        <w:tabs>
          <w:tab w:val="left" w:pos="29185"/>
        </w:tabs>
        <w:jc w:val="left"/>
        <w:rPr>
          <w:rFonts w:hint="eastAsia" w:ascii="Times New Roman" w:hAnsi="Times New Roman" w:eastAsia="方正小标宋简体" w:cs="Times New Roman"/>
          <w:color w:val="000000"/>
          <w:sz w:val="44"/>
          <w:szCs w:val="44"/>
          <w:lang w:eastAsia="zh-CN" w:bidi="ar"/>
        </w:rPr>
        <w:sectPr>
          <w:pgSz w:w="11906" w:h="16838"/>
          <w:pgMar w:top="1440" w:right="1803" w:bottom="1440" w:left="1803" w:header="851" w:footer="992" w:gutter="0"/>
          <w:pgNumType w:fmt="decimal"/>
          <w:cols w:space="0" w:num="1"/>
          <w:rtlGutter w:val="0"/>
          <w:docGrid w:type="lines" w:linePitch="319" w:charSpace="0"/>
        </w:sectPr>
      </w:pPr>
    </w:p>
    <w:p w14:paraId="5CA16771">
      <w:pPr>
        <w:numPr>
          <w:ilvl w:val="0"/>
          <w:numId w:val="0"/>
        </w:numPr>
        <w:tabs>
          <w:tab w:val="left" w:pos="29185"/>
        </w:tabs>
        <w:jc w:val="center"/>
        <w:rPr>
          <w:rFonts w:hint="eastAsia" w:ascii="Times New Roman" w:hAnsi="Times New Roman" w:eastAsia="方正小标宋简体" w:cs="Times New Roman"/>
          <w:color w:val="000000"/>
          <w:sz w:val="44"/>
          <w:szCs w:val="44"/>
          <w:lang w:eastAsia="zh-CN" w:bidi="ar"/>
        </w:rPr>
      </w:pPr>
      <w:r>
        <w:rPr>
          <w:rFonts w:hint="eastAsia" w:ascii="Times New Roman" w:hAnsi="Times New Roman" w:eastAsia="方正小标宋简体" w:cs="Times New Roman"/>
          <w:color w:val="000000"/>
          <w:sz w:val="44"/>
          <w:szCs w:val="44"/>
          <w:lang w:eastAsia="zh-CN" w:bidi="ar"/>
        </w:rPr>
        <w:t>（对口帮扶阿坝州理县帮扶资金项目）</w:t>
      </w:r>
    </w:p>
    <w:p w14:paraId="002235C4">
      <w:pPr>
        <w:numPr>
          <w:ilvl w:val="0"/>
          <w:numId w:val="0"/>
        </w:numPr>
        <w:tabs>
          <w:tab w:val="left" w:pos="29185"/>
        </w:tabs>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bidi="ar"/>
        </w:rPr>
        <w:t>202</w:t>
      </w:r>
      <w:r>
        <w:rPr>
          <w:rFonts w:hint="eastAsia" w:ascii="Times New Roman" w:hAnsi="Times New Roman" w:eastAsia="方正小标宋简体" w:cs="Times New Roman"/>
          <w:color w:val="000000"/>
          <w:sz w:val="44"/>
          <w:szCs w:val="44"/>
          <w:lang w:val="en-US" w:eastAsia="zh-CN" w:bidi="ar"/>
        </w:rPr>
        <w:t>4</w:t>
      </w:r>
      <w:r>
        <w:rPr>
          <w:rFonts w:hint="default" w:ascii="Times New Roman" w:hAnsi="Times New Roman" w:eastAsia="方正小标宋简体" w:cs="Times New Roman"/>
          <w:color w:val="000000"/>
          <w:sz w:val="44"/>
          <w:szCs w:val="44"/>
          <w:lang w:bidi="ar"/>
        </w:rPr>
        <w:t>年项目支出绩效评价指标体系</w:t>
      </w:r>
    </w:p>
    <w:tbl>
      <w:tblPr>
        <w:tblStyle w:val="16"/>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7"/>
        <w:gridCol w:w="427"/>
        <w:gridCol w:w="680"/>
        <w:gridCol w:w="480"/>
        <w:gridCol w:w="460"/>
        <w:gridCol w:w="480"/>
        <w:gridCol w:w="1010"/>
        <w:gridCol w:w="846"/>
        <w:gridCol w:w="426"/>
        <w:gridCol w:w="534"/>
        <w:gridCol w:w="534"/>
        <w:gridCol w:w="534"/>
        <w:gridCol w:w="426"/>
        <w:gridCol w:w="1805"/>
        <w:gridCol w:w="427"/>
        <w:gridCol w:w="427"/>
        <w:gridCol w:w="427"/>
        <w:gridCol w:w="427"/>
        <w:gridCol w:w="427"/>
        <w:gridCol w:w="427"/>
        <w:gridCol w:w="1083"/>
        <w:gridCol w:w="640"/>
      </w:tblGrid>
      <w:tr w14:paraId="3C74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173" w:type="dxa"/>
            <w:gridSpan w:val="4"/>
            <w:noWrap w:val="0"/>
            <w:vAlign w:val="center"/>
          </w:tcPr>
          <w:p w14:paraId="18989B0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80" w:type="dxa"/>
            <w:vMerge w:val="restart"/>
            <w:noWrap w:val="0"/>
            <w:vAlign w:val="center"/>
          </w:tcPr>
          <w:p w14:paraId="3F4F27B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460" w:type="dxa"/>
            <w:vMerge w:val="restart"/>
            <w:noWrap w:val="0"/>
            <w:vAlign w:val="center"/>
          </w:tcPr>
          <w:p w14:paraId="2792F46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480" w:type="dxa"/>
            <w:vMerge w:val="restart"/>
            <w:noWrap w:val="0"/>
            <w:vAlign w:val="center"/>
          </w:tcPr>
          <w:p w14:paraId="0C8AD2A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1010" w:type="dxa"/>
            <w:vMerge w:val="restart"/>
            <w:noWrap w:val="0"/>
            <w:vAlign w:val="center"/>
          </w:tcPr>
          <w:p w14:paraId="0B843E1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300" w:type="dxa"/>
            <w:gridSpan w:val="6"/>
            <w:noWrap w:val="0"/>
            <w:vAlign w:val="center"/>
          </w:tcPr>
          <w:p w14:paraId="2EF9AAA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3CB8E281">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18A5F5F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407667C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7C4112C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2829112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55AD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639" w:type="dxa"/>
            <w:vMerge w:val="restart"/>
            <w:noWrap w:val="0"/>
            <w:vAlign w:val="center"/>
          </w:tcPr>
          <w:p w14:paraId="483DA2B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27" w:type="dxa"/>
            <w:vMerge w:val="restart"/>
            <w:noWrap w:val="0"/>
            <w:vAlign w:val="center"/>
          </w:tcPr>
          <w:p w14:paraId="0EBD7D4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27" w:type="dxa"/>
            <w:vMerge w:val="restart"/>
            <w:noWrap w:val="0"/>
            <w:vAlign w:val="center"/>
          </w:tcPr>
          <w:p w14:paraId="7170D91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680" w:type="dxa"/>
            <w:vMerge w:val="restart"/>
            <w:noWrap w:val="0"/>
            <w:vAlign w:val="center"/>
          </w:tcPr>
          <w:p w14:paraId="15FD199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80" w:type="dxa"/>
            <w:vMerge w:val="continue"/>
            <w:noWrap w:val="0"/>
            <w:vAlign w:val="center"/>
          </w:tcPr>
          <w:p w14:paraId="7BB31BBA">
            <w:pPr>
              <w:snapToGrid w:val="0"/>
              <w:spacing w:line="240" w:lineRule="atLeast"/>
              <w:jc w:val="center"/>
              <w:rPr>
                <w:rFonts w:hint="default" w:ascii="Times New Roman" w:hAnsi="Times New Roman" w:eastAsia="黑体"/>
                <w:color w:val="000000"/>
                <w:sz w:val="21"/>
                <w:szCs w:val="21"/>
              </w:rPr>
            </w:pPr>
          </w:p>
        </w:tc>
        <w:tc>
          <w:tcPr>
            <w:tcW w:w="460" w:type="dxa"/>
            <w:vMerge w:val="continue"/>
            <w:noWrap w:val="0"/>
            <w:vAlign w:val="center"/>
          </w:tcPr>
          <w:p w14:paraId="703EC835">
            <w:pPr>
              <w:snapToGrid w:val="0"/>
              <w:spacing w:line="240" w:lineRule="atLeast"/>
              <w:jc w:val="center"/>
              <w:rPr>
                <w:rFonts w:hint="default" w:ascii="Times New Roman" w:hAnsi="Times New Roman" w:eastAsia="黑体"/>
                <w:color w:val="000000"/>
                <w:sz w:val="21"/>
                <w:szCs w:val="21"/>
              </w:rPr>
            </w:pPr>
          </w:p>
        </w:tc>
        <w:tc>
          <w:tcPr>
            <w:tcW w:w="480" w:type="dxa"/>
            <w:vMerge w:val="continue"/>
            <w:noWrap w:val="0"/>
            <w:vAlign w:val="center"/>
          </w:tcPr>
          <w:p w14:paraId="6DB37B1E">
            <w:pPr>
              <w:snapToGrid w:val="0"/>
              <w:spacing w:line="240" w:lineRule="atLeast"/>
              <w:jc w:val="center"/>
              <w:rPr>
                <w:rFonts w:hint="default" w:ascii="Times New Roman" w:hAnsi="Times New Roman" w:eastAsia="黑体"/>
                <w:color w:val="000000"/>
                <w:sz w:val="21"/>
                <w:szCs w:val="21"/>
              </w:rPr>
            </w:pPr>
          </w:p>
        </w:tc>
        <w:tc>
          <w:tcPr>
            <w:tcW w:w="1010" w:type="dxa"/>
            <w:vMerge w:val="continue"/>
            <w:noWrap w:val="0"/>
            <w:vAlign w:val="center"/>
          </w:tcPr>
          <w:p w14:paraId="0D58B8B3">
            <w:pPr>
              <w:snapToGrid w:val="0"/>
              <w:spacing w:line="240" w:lineRule="atLeast"/>
              <w:jc w:val="center"/>
              <w:rPr>
                <w:rFonts w:hint="default" w:ascii="Times New Roman" w:hAnsi="Times New Roman" w:eastAsia="黑体"/>
                <w:color w:val="000000"/>
                <w:sz w:val="21"/>
                <w:szCs w:val="21"/>
              </w:rPr>
            </w:pPr>
          </w:p>
        </w:tc>
        <w:tc>
          <w:tcPr>
            <w:tcW w:w="846" w:type="dxa"/>
            <w:vMerge w:val="restart"/>
            <w:noWrap w:val="0"/>
            <w:vAlign w:val="center"/>
          </w:tcPr>
          <w:p w14:paraId="6CD2E87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5"/>
            <w:noWrap w:val="0"/>
            <w:vAlign w:val="center"/>
          </w:tcPr>
          <w:p w14:paraId="0F88496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17B38FC8">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4F2D133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6CA9087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403D549C">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1598B2CC">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2EC2FB4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3EC1691C">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5F132B5F">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75205D6A">
            <w:pPr>
              <w:snapToGrid w:val="0"/>
              <w:spacing w:line="240" w:lineRule="atLeast"/>
              <w:jc w:val="center"/>
              <w:rPr>
                <w:rFonts w:hint="default" w:ascii="Times New Roman" w:hAnsi="Times New Roman"/>
                <w:b/>
                <w:bCs/>
                <w:color w:val="000000"/>
                <w:sz w:val="21"/>
                <w:szCs w:val="21"/>
              </w:rPr>
            </w:pPr>
          </w:p>
        </w:tc>
      </w:tr>
      <w:tr w14:paraId="230C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639" w:type="dxa"/>
            <w:vMerge w:val="continue"/>
            <w:noWrap w:val="0"/>
            <w:vAlign w:val="center"/>
          </w:tcPr>
          <w:p w14:paraId="4F955FD3">
            <w:pPr>
              <w:snapToGrid w:val="0"/>
              <w:spacing w:line="240" w:lineRule="atLeast"/>
              <w:jc w:val="center"/>
              <w:rPr>
                <w:rFonts w:hint="default" w:ascii="Times New Roman" w:hAnsi="Times New Roman" w:eastAsia="黑体"/>
                <w:color w:val="000000"/>
                <w:sz w:val="21"/>
                <w:szCs w:val="21"/>
              </w:rPr>
            </w:pPr>
          </w:p>
        </w:tc>
        <w:tc>
          <w:tcPr>
            <w:tcW w:w="427" w:type="dxa"/>
            <w:vMerge w:val="continue"/>
            <w:noWrap w:val="0"/>
            <w:vAlign w:val="center"/>
          </w:tcPr>
          <w:p w14:paraId="26A3A371">
            <w:pPr>
              <w:snapToGrid w:val="0"/>
              <w:spacing w:line="240" w:lineRule="atLeast"/>
              <w:jc w:val="center"/>
              <w:rPr>
                <w:rFonts w:hint="default" w:ascii="Times New Roman" w:hAnsi="Times New Roman" w:eastAsia="黑体"/>
                <w:color w:val="000000"/>
                <w:sz w:val="21"/>
                <w:szCs w:val="21"/>
              </w:rPr>
            </w:pPr>
          </w:p>
        </w:tc>
        <w:tc>
          <w:tcPr>
            <w:tcW w:w="427" w:type="dxa"/>
            <w:vMerge w:val="continue"/>
            <w:noWrap w:val="0"/>
            <w:vAlign w:val="center"/>
          </w:tcPr>
          <w:p w14:paraId="75141BA2">
            <w:pPr>
              <w:snapToGrid w:val="0"/>
              <w:spacing w:line="240" w:lineRule="atLeast"/>
              <w:jc w:val="center"/>
              <w:rPr>
                <w:rFonts w:hint="default" w:ascii="Times New Roman" w:hAnsi="Times New Roman" w:eastAsia="黑体"/>
                <w:color w:val="000000"/>
                <w:sz w:val="21"/>
                <w:szCs w:val="21"/>
              </w:rPr>
            </w:pPr>
          </w:p>
        </w:tc>
        <w:tc>
          <w:tcPr>
            <w:tcW w:w="680" w:type="dxa"/>
            <w:vMerge w:val="continue"/>
            <w:noWrap w:val="0"/>
            <w:vAlign w:val="center"/>
          </w:tcPr>
          <w:p w14:paraId="4A87A9A5">
            <w:pPr>
              <w:snapToGrid w:val="0"/>
              <w:spacing w:line="240" w:lineRule="atLeast"/>
              <w:jc w:val="center"/>
              <w:rPr>
                <w:rFonts w:hint="default" w:ascii="Times New Roman" w:hAnsi="Times New Roman" w:eastAsia="黑体"/>
                <w:color w:val="000000"/>
                <w:sz w:val="21"/>
                <w:szCs w:val="21"/>
              </w:rPr>
            </w:pPr>
          </w:p>
        </w:tc>
        <w:tc>
          <w:tcPr>
            <w:tcW w:w="480" w:type="dxa"/>
            <w:vMerge w:val="continue"/>
            <w:noWrap w:val="0"/>
            <w:vAlign w:val="center"/>
          </w:tcPr>
          <w:p w14:paraId="65EC2C5F">
            <w:pPr>
              <w:snapToGrid w:val="0"/>
              <w:spacing w:line="240" w:lineRule="atLeast"/>
              <w:jc w:val="center"/>
              <w:rPr>
                <w:rFonts w:hint="default" w:ascii="Times New Roman" w:hAnsi="Times New Roman" w:eastAsia="黑体"/>
                <w:color w:val="000000"/>
                <w:sz w:val="21"/>
                <w:szCs w:val="21"/>
              </w:rPr>
            </w:pPr>
          </w:p>
        </w:tc>
        <w:tc>
          <w:tcPr>
            <w:tcW w:w="460" w:type="dxa"/>
            <w:vMerge w:val="continue"/>
            <w:noWrap w:val="0"/>
            <w:vAlign w:val="center"/>
          </w:tcPr>
          <w:p w14:paraId="5769CF3A">
            <w:pPr>
              <w:snapToGrid w:val="0"/>
              <w:spacing w:line="240" w:lineRule="atLeast"/>
              <w:jc w:val="center"/>
              <w:rPr>
                <w:rFonts w:hint="default" w:ascii="Times New Roman" w:hAnsi="Times New Roman" w:eastAsia="黑体"/>
                <w:color w:val="000000"/>
                <w:sz w:val="21"/>
                <w:szCs w:val="21"/>
              </w:rPr>
            </w:pPr>
          </w:p>
        </w:tc>
        <w:tc>
          <w:tcPr>
            <w:tcW w:w="480" w:type="dxa"/>
            <w:vMerge w:val="continue"/>
            <w:noWrap w:val="0"/>
            <w:vAlign w:val="center"/>
          </w:tcPr>
          <w:p w14:paraId="0BA08265">
            <w:pPr>
              <w:snapToGrid w:val="0"/>
              <w:spacing w:line="240" w:lineRule="atLeast"/>
              <w:jc w:val="center"/>
              <w:rPr>
                <w:rFonts w:hint="default" w:ascii="Times New Roman" w:hAnsi="Times New Roman" w:eastAsia="黑体"/>
                <w:color w:val="000000"/>
                <w:sz w:val="21"/>
                <w:szCs w:val="21"/>
              </w:rPr>
            </w:pPr>
          </w:p>
        </w:tc>
        <w:tc>
          <w:tcPr>
            <w:tcW w:w="1010" w:type="dxa"/>
            <w:vMerge w:val="continue"/>
            <w:noWrap w:val="0"/>
            <w:vAlign w:val="center"/>
          </w:tcPr>
          <w:p w14:paraId="74861BE6">
            <w:pPr>
              <w:snapToGrid w:val="0"/>
              <w:spacing w:line="240" w:lineRule="atLeast"/>
              <w:jc w:val="center"/>
              <w:rPr>
                <w:rFonts w:hint="default" w:ascii="Times New Roman" w:hAnsi="Times New Roman" w:eastAsia="黑体"/>
                <w:color w:val="000000"/>
                <w:sz w:val="21"/>
                <w:szCs w:val="21"/>
              </w:rPr>
            </w:pPr>
          </w:p>
        </w:tc>
        <w:tc>
          <w:tcPr>
            <w:tcW w:w="846" w:type="dxa"/>
            <w:vMerge w:val="continue"/>
            <w:noWrap w:val="0"/>
            <w:vAlign w:val="center"/>
          </w:tcPr>
          <w:p w14:paraId="46DC506A">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333B0FA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noWrap w:val="0"/>
            <w:vAlign w:val="center"/>
          </w:tcPr>
          <w:p w14:paraId="121D0EF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noWrap w:val="0"/>
            <w:vAlign w:val="center"/>
          </w:tcPr>
          <w:p w14:paraId="5DBCD2F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noWrap w:val="0"/>
            <w:vAlign w:val="center"/>
          </w:tcPr>
          <w:p w14:paraId="66ADC05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5708CEC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46D0993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903D5F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2A41CD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67B6037">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69BA1A4">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A46FD4B">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BD236AC">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61F4FCC5">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385A82B1">
            <w:pPr>
              <w:snapToGrid w:val="0"/>
              <w:spacing w:line="240" w:lineRule="atLeast"/>
              <w:jc w:val="center"/>
              <w:rPr>
                <w:rFonts w:hint="default" w:ascii="Times New Roman" w:hAnsi="Times New Roman"/>
                <w:b/>
                <w:bCs/>
                <w:color w:val="000000"/>
                <w:sz w:val="21"/>
                <w:szCs w:val="21"/>
              </w:rPr>
            </w:pPr>
          </w:p>
        </w:tc>
      </w:tr>
      <w:tr w14:paraId="604B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639" w:type="dxa"/>
            <w:vMerge w:val="restart"/>
            <w:noWrap w:val="0"/>
            <w:vAlign w:val="center"/>
          </w:tcPr>
          <w:p w14:paraId="19435731">
            <w:pPr>
              <w:widowControl/>
              <w:snapToGrid w:val="0"/>
              <w:spacing w:line="240" w:lineRule="atLeast"/>
              <w:jc w:val="center"/>
              <w:textAlignment w:val="center"/>
              <w:rPr>
                <w:rFonts w:hint="default" w:ascii="Times New Roman" w:hAnsi="Times New Roman"/>
                <w:b/>
                <w:bCs/>
                <w:color w:val="000000"/>
                <w:sz w:val="21"/>
                <w:szCs w:val="21"/>
              </w:rPr>
            </w:pPr>
            <w:r>
              <w:rPr>
                <w:rStyle w:val="41"/>
                <w:rFonts w:hint="default" w:ascii="Times New Roman" w:hAnsi="Times New Roman" w:cs="Times New Roman"/>
                <w:sz w:val="21"/>
                <w:szCs w:val="21"/>
                <w:lang w:bidi="ar"/>
              </w:rPr>
              <w:t>通用指标（20分）</w:t>
            </w:r>
            <w:r>
              <w:rPr>
                <w:rStyle w:val="42"/>
                <w:rFonts w:hint="default" w:ascii="Times New Roman" w:hAnsi="Times New Roman" w:cs="Times New Roman"/>
                <w:color w:val="000000"/>
                <w:sz w:val="21"/>
                <w:szCs w:val="21"/>
                <w:lang w:bidi="ar"/>
              </w:rPr>
              <w:t>不能修改</w:t>
            </w:r>
          </w:p>
        </w:tc>
        <w:tc>
          <w:tcPr>
            <w:tcW w:w="427" w:type="dxa"/>
            <w:vMerge w:val="restart"/>
            <w:noWrap w:val="0"/>
            <w:vAlign w:val="center"/>
          </w:tcPr>
          <w:p w14:paraId="40FE1D0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27" w:type="dxa"/>
            <w:vMerge w:val="restart"/>
            <w:noWrap w:val="0"/>
            <w:vAlign w:val="center"/>
          </w:tcPr>
          <w:p w14:paraId="467A52A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680" w:type="dxa"/>
            <w:noWrap w:val="0"/>
            <w:vAlign w:val="center"/>
          </w:tcPr>
          <w:p w14:paraId="63E7EBA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80" w:type="dxa"/>
            <w:noWrap w:val="0"/>
            <w:vAlign w:val="center"/>
          </w:tcPr>
          <w:p w14:paraId="5AEF399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460" w:type="dxa"/>
            <w:noWrap w:val="0"/>
            <w:vAlign w:val="center"/>
          </w:tcPr>
          <w:p w14:paraId="452662D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480" w:type="dxa"/>
            <w:noWrap w:val="0"/>
            <w:vAlign w:val="center"/>
          </w:tcPr>
          <w:p w14:paraId="25B0292B">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7F8356ED">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846" w:type="dxa"/>
            <w:noWrap w:val="0"/>
            <w:vAlign w:val="center"/>
          </w:tcPr>
          <w:p w14:paraId="0623235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3D4EBF2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noWrap w:val="0"/>
            <w:vAlign w:val="center"/>
          </w:tcPr>
          <w:p w14:paraId="025DB6A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noWrap w:val="0"/>
            <w:vAlign w:val="center"/>
          </w:tcPr>
          <w:p w14:paraId="4D3BDEA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noWrap w:val="0"/>
            <w:vAlign w:val="center"/>
          </w:tcPr>
          <w:p w14:paraId="261B5C9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5F828AB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19DF694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1ED1E33E">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A20143C">
            <w:pPr>
              <w:snapToGrid w:val="0"/>
              <w:spacing w:line="240" w:lineRule="atLeast"/>
              <w:rPr>
                <w:rFonts w:hint="default" w:ascii="Times New Roman" w:hAnsi="Times New Roman"/>
                <w:color w:val="000000"/>
                <w:sz w:val="21"/>
                <w:szCs w:val="21"/>
              </w:rPr>
            </w:pPr>
          </w:p>
        </w:tc>
        <w:tc>
          <w:tcPr>
            <w:tcW w:w="427" w:type="dxa"/>
            <w:noWrap w:val="0"/>
            <w:vAlign w:val="center"/>
          </w:tcPr>
          <w:p w14:paraId="37EBEFEE">
            <w:pPr>
              <w:snapToGrid w:val="0"/>
              <w:spacing w:line="240" w:lineRule="atLeast"/>
              <w:rPr>
                <w:rFonts w:hint="default" w:ascii="Times New Roman" w:hAnsi="Times New Roman"/>
                <w:color w:val="000000"/>
                <w:sz w:val="21"/>
                <w:szCs w:val="21"/>
              </w:rPr>
            </w:pPr>
          </w:p>
        </w:tc>
        <w:tc>
          <w:tcPr>
            <w:tcW w:w="427" w:type="dxa"/>
            <w:noWrap w:val="0"/>
            <w:vAlign w:val="center"/>
          </w:tcPr>
          <w:p w14:paraId="60BAB57D">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49D023FF">
            <w:pPr>
              <w:snapToGrid w:val="0"/>
              <w:spacing w:line="240" w:lineRule="atLeast"/>
              <w:jc w:val="center"/>
              <w:rPr>
                <w:rFonts w:hint="default" w:ascii="Times New Roman" w:hAnsi="Times New Roman"/>
                <w:color w:val="000000"/>
                <w:sz w:val="21"/>
                <w:szCs w:val="21"/>
              </w:rPr>
            </w:pPr>
          </w:p>
        </w:tc>
        <w:tc>
          <w:tcPr>
            <w:tcW w:w="427" w:type="dxa"/>
            <w:noWrap/>
            <w:vAlign w:val="center"/>
          </w:tcPr>
          <w:p w14:paraId="616B8F1C">
            <w:pPr>
              <w:snapToGrid w:val="0"/>
              <w:spacing w:line="240" w:lineRule="atLeast"/>
              <w:rPr>
                <w:rFonts w:hint="default" w:ascii="Times New Roman" w:hAnsi="Times New Roman"/>
                <w:color w:val="000000"/>
                <w:sz w:val="21"/>
                <w:szCs w:val="21"/>
              </w:rPr>
            </w:pPr>
          </w:p>
        </w:tc>
        <w:tc>
          <w:tcPr>
            <w:tcW w:w="1083" w:type="dxa"/>
            <w:noWrap/>
            <w:vAlign w:val="center"/>
          </w:tcPr>
          <w:p w14:paraId="33382FE8">
            <w:pPr>
              <w:snapToGrid w:val="0"/>
              <w:spacing w:line="240" w:lineRule="atLeast"/>
              <w:rPr>
                <w:rFonts w:hint="default" w:ascii="Times New Roman" w:hAnsi="Times New Roman"/>
                <w:color w:val="000000"/>
                <w:sz w:val="21"/>
                <w:szCs w:val="21"/>
              </w:rPr>
            </w:pPr>
          </w:p>
        </w:tc>
        <w:tc>
          <w:tcPr>
            <w:tcW w:w="640" w:type="dxa"/>
            <w:noWrap/>
            <w:vAlign w:val="center"/>
          </w:tcPr>
          <w:p w14:paraId="521B73B0">
            <w:pPr>
              <w:widowControl/>
              <w:tabs>
                <w:tab w:val="center" w:pos="212"/>
                <w:tab w:val="right" w:pos="543"/>
              </w:tabs>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598D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639" w:type="dxa"/>
            <w:vMerge w:val="continue"/>
            <w:noWrap w:val="0"/>
            <w:vAlign w:val="center"/>
          </w:tcPr>
          <w:p w14:paraId="0387A12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FEA628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819FF85">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4D70C60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80" w:type="dxa"/>
            <w:noWrap w:val="0"/>
            <w:vAlign w:val="center"/>
          </w:tcPr>
          <w:p w14:paraId="35CBDD5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460" w:type="dxa"/>
            <w:noWrap w:val="0"/>
            <w:vAlign w:val="center"/>
          </w:tcPr>
          <w:p w14:paraId="3037553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480" w:type="dxa"/>
            <w:noWrap w:val="0"/>
            <w:vAlign w:val="center"/>
          </w:tcPr>
          <w:p w14:paraId="2236DFD2">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1C74587D">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846" w:type="dxa"/>
            <w:noWrap w:val="0"/>
            <w:vAlign w:val="center"/>
          </w:tcPr>
          <w:p w14:paraId="7704149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4DAFFE1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noWrap w:val="0"/>
            <w:vAlign w:val="center"/>
          </w:tcPr>
          <w:p w14:paraId="68E5AB8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noWrap w:val="0"/>
            <w:vAlign w:val="center"/>
          </w:tcPr>
          <w:p w14:paraId="4F70A0B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noWrap w:val="0"/>
            <w:vAlign w:val="center"/>
          </w:tcPr>
          <w:p w14:paraId="7CA57B9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409588C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6F4EF6D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26DB0B3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A281754">
            <w:pPr>
              <w:snapToGrid w:val="0"/>
              <w:spacing w:line="240" w:lineRule="atLeast"/>
              <w:rPr>
                <w:rFonts w:hint="default" w:ascii="Times New Roman" w:hAnsi="Times New Roman"/>
                <w:color w:val="000000"/>
                <w:sz w:val="21"/>
                <w:szCs w:val="21"/>
              </w:rPr>
            </w:pPr>
          </w:p>
        </w:tc>
        <w:tc>
          <w:tcPr>
            <w:tcW w:w="427" w:type="dxa"/>
            <w:noWrap w:val="0"/>
            <w:vAlign w:val="center"/>
          </w:tcPr>
          <w:p w14:paraId="30552E99">
            <w:pPr>
              <w:snapToGrid w:val="0"/>
              <w:spacing w:line="240" w:lineRule="atLeast"/>
              <w:rPr>
                <w:rFonts w:hint="default" w:ascii="Times New Roman" w:hAnsi="Times New Roman"/>
                <w:color w:val="000000"/>
                <w:sz w:val="21"/>
                <w:szCs w:val="21"/>
              </w:rPr>
            </w:pPr>
          </w:p>
        </w:tc>
        <w:tc>
          <w:tcPr>
            <w:tcW w:w="427" w:type="dxa"/>
            <w:noWrap/>
            <w:vAlign w:val="center"/>
          </w:tcPr>
          <w:p w14:paraId="7B6DE9C8">
            <w:pPr>
              <w:snapToGrid w:val="0"/>
              <w:spacing w:line="240" w:lineRule="atLeast"/>
              <w:rPr>
                <w:rFonts w:hint="default" w:ascii="Times New Roman" w:hAnsi="Times New Roman"/>
                <w:color w:val="000000"/>
                <w:sz w:val="21"/>
                <w:szCs w:val="21"/>
              </w:rPr>
            </w:pPr>
          </w:p>
        </w:tc>
        <w:tc>
          <w:tcPr>
            <w:tcW w:w="427" w:type="dxa"/>
            <w:noWrap w:val="0"/>
            <w:vAlign w:val="center"/>
          </w:tcPr>
          <w:p w14:paraId="0EDA7D9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767491B7">
            <w:pPr>
              <w:snapToGrid w:val="0"/>
              <w:spacing w:line="240" w:lineRule="atLeast"/>
              <w:rPr>
                <w:rFonts w:hint="default" w:ascii="Times New Roman" w:hAnsi="Times New Roman"/>
                <w:color w:val="000000"/>
                <w:sz w:val="21"/>
                <w:szCs w:val="21"/>
              </w:rPr>
            </w:pPr>
          </w:p>
        </w:tc>
        <w:tc>
          <w:tcPr>
            <w:tcW w:w="1083" w:type="dxa"/>
            <w:noWrap w:val="0"/>
            <w:vAlign w:val="center"/>
          </w:tcPr>
          <w:p w14:paraId="5F2CFD67">
            <w:pPr>
              <w:snapToGrid w:val="0"/>
              <w:spacing w:line="240" w:lineRule="atLeast"/>
              <w:rPr>
                <w:rFonts w:hint="default" w:ascii="Times New Roman" w:hAnsi="Times New Roman"/>
                <w:color w:val="000000"/>
                <w:sz w:val="21"/>
                <w:szCs w:val="21"/>
              </w:rPr>
            </w:pPr>
          </w:p>
        </w:tc>
        <w:tc>
          <w:tcPr>
            <w:tcW w:w="640" w:type="dxa"/>
            <w:noWrap/>
            <w:vAlign w:val="center"/>
          </w:tcPr>
          <w:p w14:paraId="0B647474">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w:t>
            </w:r>
          </w:p>
        </w:tc>
      </w:tr>
      <w:tr w14:paraId="3CB6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639" w:type="dxa"/>
            <w:vMerge w:val="continue"/>
            <w:noWrap w:val="0"/>
            <w:vAlign w:val="center"/>
          </w:tcPr>
          <w:p w14:paraId="32A1778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7DC389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0DEBF5D">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69DA30C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80" w:type="dxa"/>
            <w:noWrap w:val="0"/>
            <w:vAlign w:val="center"/>
          </w:tcPr>
          <w:p w14:paraId="73AA339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460" w:type="dxa"/>
            <w:noWrap w:val="0"/>
            <w:vAlign w:val="center"/>
          </w:tcPr>
          <w:p w14:paraId="677793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480" w:type="dxa"/>
            <w:noWrap w:val="0"/>
            <w:vAlign w:val="center"/>
          </w:tcPr>
          <w:p w14:paraId="04E5011F">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2BCA51C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846" w:type="dxa"/>
            <w:noWrap w:val="0"/>
            <w:vAlign w:val="center"/>
          </w:tcPr>
          <w:p w14:paraId="79F618E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14:paraId="5BFF6B0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702A636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4FAE3A0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4686519">
            <w:pPr>
              <w:snapToGrid w:val="0"/>
              <w:spacing w:line="240" w:lineRule="atLeast"/>
              <w:rPr>
                <w:rFonts w:hint="default" w:ascii="Times New Roman" w:hAnsi="Times New Roman"/>
                <w:color w:val="000000"/>
                <w:sz w:val="21"/>
                <w:szCs w:val="21"/>
              </w:rPr>
            </w:pPr>
          </w:p>
        </w:tc>
        <w:tc>
          <w:tcPr>
            <w:tcW w:w="427" w:type="dxa"/>
            <w:noWrap w:val="0"/>
            <w:vAlign w:val="center"/>
          </w:tcPr>
          <w:p w14:paraId="5AD896CD">
            <w:pPr>
              <w:snapToGrid w:val="0"/>
              <w:spacing w:line="240" w:lineRule="atLeast"/>
              <w:rPr>
                <w:rFonts w:hint="default" w:ascii="Times New Roman" w:hAnsi="Times New Roman"/>
                <w:color w:val="000000"/>
                <w:sz w:val="21"/>
                <w:szCs w:val="21"/>
              </w:rPr>
            </w:pPr>
          </w:p>
        </w:tc>
        <w:tc>
          <w:tcPr>
            <w:tcW w:w="427" w:type="dxa"/>
            <w:noWrap/>
            <w:vAlign w:val="center"/>
          </w:tcPr>
          <w:p w14:paraId="453FD3F3">
            <w:pPr>
              <w:snapToGrid w:val="0"/>
              <w:spacing w:line="240" w:lineRule="atLeast"/>
              <w:rPr>
                <w:rFonts w:hint="default" w:ascii="Times New Roman" w:hAnsi="Times New Roman"/>
                <w:color w:val="000000"/>
                <w:sz w:val="21"/>
                <w:szCs w:val="21"/>
              </w:rPr>
            </w:pPr>
          </w:p>
        </w:tc>
        <w:tc>
          <w:tcPr>
            <w:tcW w:w="427" w:type="dxa"/>
            <w:noWrap/>
            <w:vAlign w:val="center"/>
          </w:tcPr>
          <w:p w14:paraId="4DF46772">
            <w:pPr>
              <w:snapToGrid w:val="0"/>
              <w:spacing w:line="240" w:lineRule="atLeast"/>
              <w:rPr>
                <w:rFonts w:hint="default" w:ascii="Times New Roman" w:hAnsi="Times New Roman"/>
                <w:color w:val="000000"/>
                <w:sz w:val="21"/>
                <w:szCs w:val="21"/>
              </w:rPr>
            </w:pPr>
          </w:p>
        </w:tc>
        <w:tc>
          <w:tcPr>
            <w:tcW w:w="427" w:type="dxa"/>
            <w:noWrap/>
            <w:vAlign w:val="center"/>
          </w:tcPr>
          <w:p w14:paraId="634FFA4E">
            <w:pPr>
              <w:snapToGrid w:val="0"/>
              <w:spacing w:line="240" w:lineRule="atLeast"/>
              <w:rPr>
                <w:rFonts w:hint="default" w:ascii="Times New Roman" w:hAnsi="Times New Roman"/>
                <w:color w:val="000000"/>
                <w:sz w:val="21"/>
                <w:szCs w:val="21"/>
              </w:rPr>
            </w:pPr>
          </w:p>
        </w:tc>
        <w:tc>
          <w:tcPr>
            <w:tcW w:w="1083" w:type="dxa"/>
            <w:noWrap w:val="0"/>
            <w:vAlign w:val="center"/>
          </w:tcPr>
          <w:p w14:paraId="6EF321C9">
            <w:pPr>
              <w:snapToGrid w:val="0"/>
              <w:spacing w:line="240" w:lineRule="atLeast"/>
              <w:rPr>
                <w:rFonts w:hint="default" w:ascii="Times New Roman" w:hAnsi="Times New Roman"/>
                <w:color w:val="000000"/>
                <w:sz w:val="21"/>
                <w:szCs w:val="21"/>
              </w:rPr>
            </w:pPr>
          </w:p>
        </w:tc>
        <w:tc>
          <w:tcPr>
            <w:tcW w:w="640" w:type="dxa"/>
            <w:noWrap/>
            <w:vAlign w:val="center"/>
          </w:tcPr>
          <w:p w14:paraId="7229F5A9">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w:t>
            </w:r>
          </w:p>
        </w:tc>
      </w:tr>
      <w:tr w14:paraId="557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639" w:type="dxa"/>
            <w:vMerge w:val="continue"/>
            <w:noWrap w:val="0"/>
            <w:vAlign w:val="center"/>
          </w:tcPr>
          <w:p w14:paraId="2EE69A6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D6F02C1">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401570C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680" w:type="dxa"/>
            <w:noWrap w:val="0"/>
            <w:vAlign w:val="center"/>
          </w:tcPr>
          <w:p w14:paraId="79D062E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80" w:type="dxa"/>
            <w:noWrap w:val="0"/>
            <w:vAlign w:val="center"/>
          </w:tcPr>
          <w:p w14:paraId="18F6C97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460" w:type="dxa"/>
            <w:noWrap w:val="0"/>
            <w:vAlign w:val="center"/>
          </w:tcPr>
          <w:p w14:paraId="2E9420F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480" w:type="dxa"/>
            <w:noWrap w:val="0"/>
            <w:vAlign w:val="center"/>
          </w:tcPr>
          <w:p w14:paraId="03FEE3E6">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6A6AD33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846" w:type="dxa"/>
            <w:noWrap w:val="0"/>
            <w:vAlign w:val="center"/>
          </w:tcPr>
          <w:p w14:paraId="20BD60B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14:paraId="5225695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DC72EB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7B2FCCA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208BD8F">
            <w:pPr>
              <w:snapToGrid w:val="0"/>
              <w:spacing w:line="240" w:lineRule="atLeast"/>
              <w:rPr>
                <w:rFonts w:hint="default" w:ascii="Times New Roman" w:hAnsi="Times New Roman"/>
                <w:color w:val="000000"/>
                <w:sz w:val="21"/>
                <w:szCs w:val="21"/>
              </w:rPr>
            </w:pPr>
          </w:p>
        </w:tc>
        <w:tc>
          <w:tcPr>
            <w:tcW w:w="427" w:type="dxa"/>
            <w:noWrap w:val="0"/>
            <w:vAlign w:val="center"/>
          </w:tcPr>
          <w:p w14:paraId="27157013">
            <w:pPr>
              <w:snapToGrid w:val="0"/>
              <w:spacing w:line="240" w:lineRule="atLeast"/>
              <w:rPr>
                <w:rFonts w:hint="default" w:ascii="Times New Roman" w:hAnsi="Times New Roman"/>
                <w:color w:val="000000"/>
                <w:sz w:val="21"/>
                <w:szCs w:val="21"/>
              </w:rPr>
            </w:pPr>
          </w:p>
        </w:tc>
        <w:tc>
          <w:tcPr>
            <w:tcW w:w="427" w:type="dxa"/>
            <w:noWrap/>
            <w:vAlign w:val="center"/>
          </w:tcPr>
          <w:p w14:paraId="5BAEC302">
            <w:pPr>
              <w:snapToGrid w:val="0"/>
              <w:spacing w:line="240" w:lineRule="atLeast"/>
              <w:rPr>
                <w:rFonts w:hint="default" w:ascii="Times New Roman" w:hAnsi="Times New Roman"/>
                <w:color w:val="000000"/>
                <w:sz w:val="21"/>
                <w:szCs w:val="21"/>
              </w:rPr>
            </w:pPr>
          </w:p>
        </w:tc>
        <w:tc>
          <w:tcPr>
            <w:tcW w:w="427" w:type="dxa"/>
            <w:noWrap/>
            <w:vAlign w:val="center"/>
          </w:tcPr>
          <w:p w14:paraId="51C49906">
            <w:pPr>
              <w:snapToGrid w:val="0"/>
              <w:spacing w:line="240" w:lineRule="atLeast"/>
              <w:rPr>
                <w:rFonts w:hint="default" w:ascii="Times New Roman" w:hAnsi="Times New Roman"/>
                <w:color w:val="000000"/>
                <w:sz w:val="21"/>
                <w:szCs w:val="21"/>
              </w:rPr>
            </w:pPr>
          </w:p>
        </w:tc>
        <w:tc>
          <w:tcPr>
            <w:tcW w:w="427" w:type="dxa"/>
            <w:noWrap/>
            <w:vAlign w:val="center"/>
          </w:tcPr>
          <w:p w14:paraId="631A778F">
            <w:pPr>
              <w:snapToGrid w:val="0"/>
              <w:spacing w:line="240" w:lineRule="atLeast"/>
              <w:rPr>
                <w:rFonts w:hint="default" w:ascii="Times New Roman" w:hAnsi="Times New Roman"/>
                <w:color w:val="000000"/>
                <w:sz w:val="21"/>
                <w:szCs w:val="21"/>
              </w:rPr>
            </w:pPr>
          </w:p>
        </w:tc>
        <w:tc>
          <w:tcPr>
            <w:tcW w:w="1083" w:type="dxa"/>
            <w:noWrap/>
            <w:vAlign w:val="center"/>
          </w:tcPr>
          <w:p w14:paraId="7E1CD01F">
            <w:pPr>
              <w:snapToGrid w:val="0"/>
              <w:spacing w:line="240" w:lineRule="atLeast"/>
              <w:rPr>
                <w:rFonts w:hint="default" w:ascii="Times New Roman" w:hAnsi="Times New Roman"/>
                <w:color w:val="000000"/>
                <w:sz w:val="21"/>
                <w:szCs w:val="21"/>
              </w:rPr>
            </w:pPr>
          </w:p>
        </w:tc>
        <w:tc>
          <w:tcPr>
            <w:tcW w:w="640" w:type="dxa"/>
            <w:noWrap/>
            <w:vAlign w:val="center"/>
          </w:tcPr>
          <w:p w14:paraId="46DD6A3D">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4</w:t>
            </w:r>
          </w:p>
        </w:tc>
      </w:tr>
      <w:tr w14:paraId="285A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639" w:type="dxa"/>
            <w:vMerge w:val="continue"/>
            <w:noWrap w:val="0"/>
            <w:vAlign w:val="center"/>
          </w:tcPr>
          <w:p w14:paraId="3E62D4E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114800B">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5973F84">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2D1A03E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80" w:type="dxa"/>
            <w:noWrap w:val="0"/>
            <w:vAlign w:val="center"/>
          </w:tcPr>
          <w:p w14:paraId="031BE68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460" w:type="dxa"/>
            <w:noWrap w:val="0"/>
            <w:vAlign w:val="center"/>
          </w:tcPr>
          <w:p w14:paraId="0EBCFD8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480" w:type="dxa"/>
            <w:noWrap w:val="0"/>
            <w:vAlign w:val="center"/>
          </w:tcPr>
          <w:p w14:paraId="5E3E7554">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1453093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846" w:type="dxa"/>
            <w:noWrap w:val="0"/>
            <w:vAlign w:val="center"/>
          </w:tcPr>
          <w:p w14:paraId="786039B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14:paraId="212FD61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6C25585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17ED579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A3833FF">
            <w:pPr>
              <w:snapToGrid w:val="0"/>
              <w:spacing w:line="240" w:lineRule="atLeast"/>
              <w:rPr>
                <w:rFonts w:hint="default" w:ascii="Times New Roman" w:hAnsi="Times New Roman"/>
                <w:color w:val="000000"/>
                <w:sz w:val="21"/>
                <w:szCs w:val="21"/>
              </w:rPr>
            </w:pPr>
          </w:p>
        </w:tc>
        <w:tc>
          <w:tcPr>
            <w:tcW w:w="427" w:type="dxa"/>
            <w:noWrap w:val="0"/>
            <w:vAlign w:val="center"/>
          </w:tcPr>
          <w:p w14:paraId="452D6137">
            <w:pPr>
              <w:snapToGrid w:val="0"/>
              <w:spacing w:line="240" w:lineRule="atLeast"/>
              <w:rPr>
                <w:rFonts w:hint="default" w:ascii="Times New Roman" w:hAnsi="Times New Roman"/>
                <w:color w:val="000000"/>
                <w:sz w:val="21"/>
                <w:szCs w:val="21"/>
              </w:rPr>
            </w:pPr>
          </w:p>
        </w:tc>
        <w:tc>
          <w:tcPr>
            <w:tcW w:w="427" w:type="dxa"/>
            <w:noWrap/>
            <w:vAlign w:val="center"/>
          </w:tcPr>
          <w:p w14:paraId="700387F2">
            <w:pPr>
              <w:snapToGrid w:val="0"/>
              <w:spacing w:line="240" w:lineRule="atLeast"/>
              <w:rPr>
                <w:rFonts w:hint="default" w:ascii="Times New Roman" w:hAnsi="Times New Roman"/>
                <w:color w:val="000000"/>
                <w:sz w:val="21"/>
                <w:szCs w:val="21"/>
              </w:rPr>
            </w:pPr>
          </w:p>
        </w:tc>
        <w:tc>
          <w:tcPr>
            <w:tcW w:w="427" w:type="dxa"/>
            <w:noWrap/>
            <w:vAlign w:val="center"/>
          </w:tcPr>
          <w:p w14:paraId="27329BFC">
            <w:pPr>
              <w:snapToGrid w:val="0"/>
              <w:spacing w:line="240" w:lineRule="atLeast"/>
              <w:rPr>
                <w:rFonts w:hint="default" w:ascii="Times New Roman" w:hAnsi="Times New Roman"/>
                <w:color w:val="000000"/>
                <w:sz w:val="21"/>
                <w:szCs w:val="21"/>
              </w:rPr>
            </w:pPr>
          </w:p>
        </w:tc>
        <w:tc>
          <w:tcPr>
            <w:tcW w:w="427" w:type="dxa"/>
            <w:noWrap/>
            <w:vAlign w:val="center"/>
          </w:tcPr>
          <w:p w14:paraId="74380DF5">
            <w:pPr>
              <w:snapToGrid w:val="0"/>
              <w:spacing w:line="240" w:lineRule="atLeast"/>
              <w:rPr>
                <w:rFonts w:hint="default" w:ascii="Times New Roman" w:hAnsi="Times New Roman"/>
                <w:color w:val="000000"/>
                <w:sz w:val="21"/>
                <w:szCs w:val="21"/>
              </w:rPr>
            </w:pPr>
          </w:p>
        </w:tc>
        <w:tc>
          <w:tcPr>
            <w:tcW w:w="1083" w:type="dxa"/>
            <w:noWrap/>
            <w:vAlign w:val="center"/>
          </w:tcPr>
          <w:p w14:paraId="1E621A34">
            <w:pPr>
              <w:snapToGrid w:val="0"/>
              <w:spacing w:line="240" w:lineRule="atLeast"/>
              <w:rPr>
                <w:rFonts w:hint="default" w:ascii="Times New Roman" w:hAnsi="Times New Roman"/>
                <w:color w:val="000000"/>
                <w:sz w:val="21"/>
                <w:szCs w:val="21"/>
              </w:rPr>
            </w:pPr>
          </w:p>
        </w:tc>
        <w:tc>
          <w:tcPr>
            <w:tcW w:w="640" w:type="dxa"/>
            <w:noWrap/>
            <w:vAlign w:val="center"/>
          </w:tcPr>
          <w:p w14:paraId="5B419B55">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4</w:t>
            </w:r>
          </w:p>
        </w:tc>
      </w:tr>
      <w:tr w14:paraId="0F58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39" w:type="dxa"/>
            <w:vMerge w:val="continue"/>
            <w:noWrap w:val="0"/>
            <w:vAlign w:val="center"/>
          </w:tcPr>
          <w:p w14:paraId="685352F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B85F6F3">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72558F80">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680" w:type="dxa"/>
            <w:noWrap w:val="0"/>
            <w:vAlign w:val="center"/>
          </w:tcPr>
          <w:p w14:paraId="613535A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80" w:type="dxa"/>
            <w:noWrap w:val="0"/>
            <w:vAlign w:val="center"/>
          </w:tcPr>
          <w:p w14:paraId="10AEE6D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460" w:type="dxa"/>
            <w:noWrap w:val="0"/>
            <w:vAlign w:val="center"/>
          </w:tcPr>
          <w:p w14:paraId="319705B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2C8A3008">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100%</w:t>
            </w:r>
          </w:p>
        </w:tc>
        <w:tc>
          <w:tcPr>
            <w:tcW w:w="1010" w:type="dxa"/>
            <w:noWrap w:val="0"/>
            <w:vAlign w:val="center"/>
          </w:tcPr>
          <w:p w14:paraId="1B8DB651">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846" w:type="dxa"/>
            <w:noWrap w:val="0"/>
            <w:vAlign w:val="center"/>
          </w:tcPr>
          <w:p w14:paraId="1AEFBE9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14:paraId="14E662E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21555C2F">
            <w:pPr>
              <w:snapToGrid w:val="0"/>
              <w:spacing w:line="240" w:lineRule="atLeast"/>
              <w:rPr>
                <w:rFonts w:hint="default" w:ascii="Times New Roman" w:hAnsi="Times New Roman"/>
                <w:color w:val="000000"/>
                <w:sz w:val="21"/>
                <w:szCs w:val="21"/>
              </w:rPr>
            </w:pPr>
          </w:p>
        </w:tc>
        <w:tc>
          <w:tcPr>
            <w:tcW w:w="427" w:type="dxa"/>
            <w:noWrap w:val="0"/>
            <w:vAlign w:val="center"/>
          </w:tcPr>
          <w:p w14:paraId="209C75A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D50BB84">
            <w:pPr>
              <w:snapToGrid w:val="0"/>
              <w:spacing w:line="240" w:lineRule="atLeast"/>
              <w:rPr>
                <w:rFonts w:hint="default" w:ascii="Times New Roman" w:hAnsi="Times New Roman"/>
                <w:color w:val="000000"/>
                <w:sz w:val="21"/>
                <w:szCs w:val="21"/>
              </w:rPr>
            </w:pPr>
          </w:p>
        </w:tc>
        <w:tc>
          <w:tcPr>
            <w:tcW w:w="427" w:type="dxa"/>
            <w:noWrap w:val="0"/>
            <w:vAlign w:val="center"/>
          </w:tcPr>
          <w:p w14:paraId="5836ADF7">
            <w:pPr>
              <w:snapToGrid w:val="0"/>
              <w:spacing w:line="240" w:lineRule="atLeast"/>
              <w:rPr>
                <w:rFonts w:hint="default" w:ascii="Times New Roman" w:hAnsi="Times New Roman"/>
                <w:color w:val="000000"/>
                <w:sz w:val="21"/>
                <w:szCs w:val="21"/>
              </w:rPr>
            </w:pPr>
          </w:p>
        </w:tc>
        <w:tc>
          <w:tcPr>
            <w:tcW w:w="427" w:type="dxa"/>
            <w:noWrap/>
            <w:vAlign w:val="center"/>
          </w:tcPr>
          <w:p w14:paraId="00149724">
            <w:pPr>
              <w:snapToGrid w:val="0"/>
              <w:spacing w:line="240" w:lineRule="atLeast"/>
              <w:rPr>
                <w:rFonts w:hint="default" w:ascii="Times New Roman" w:hAnsi="Times New Roman"/>
                <w:color w:val="000000"/>
                <w:sz w:val="21"/>
                <w:szCs w:val="21"/>
              </w:rPr>
            </w:pPr>
          </w:p>
        </w:tc>
        <w:tc>
          <w:tcPr>
            <w:tcW w:w="427" w:type="dxa"/>
            <w:noWrap/>
            <w:vAlign w:val="center"/>
          </w:tcPr>
          <w:p w14:paraId="3B7AF4AA">
            <w:pPr>
              <w:snapToGrid w:val="0"/>
              <w:spacing w:line="240" w:lineRule="atLeast"/>
              <w:rPr>
                <w:rFonts w:hint="default" w:ascii="Times New Roman" w:hAnsi="Times New Roman"/>
                <w:color w:val="000000"/>
                <w:sz w:val="21"/>
                <w:szCs w:val="21"/>
              </w:rPr>
            </w:pPr>
          </w:p>
        </w:tc>
        <w:tc>
          <w:tcPr>
            <w:tcW w:w="427" w:type="dxa"/>
            <w:noWrap/>
            <w:vAlign w:val="center"/>
          </w:tcPr>
          <w:p w14:paraId="13B07164">
            <w:pPr>
              <w:snapToGrid w:val="0"/>
              <w:spacing w:line="240" w:lineRule="atLeast"/>
              <w:rPr>
                <w:rFonts w:hint="default" w:ascii="Times New Roman" w:hAnsi="Times New Roman"/>
                <w:color w:val="000000"/>
                <w:sz w:val="21"/>
                <w:szCs w:val="21"/>
              </w:rPr>
            </w:pPr>
          </w:p>
        </w:tc>
        <w:tc>
          <w:tcPr>
            <w:tcW w:w="1083" w:type="dxa"/>
            <w:noWrap/>
            <w:vAlign w:val="center"/>
          </w:tcPr>
          <w:p w14:paraId="4D140384">
            <w:pPr>
              <w:snapToGrid w:val="0"/>
              <w:spacing w:line="240" w:lineRule="atLeast"/>
              <w:rPr>
                <w:rFonts w:hint="default" w:ascii="Times New Roman" w:hAnsi="Times New Roman" w:eastAsia="仿宋_GB2312"/>
                <w:color w:val="000000"/>
                <w:sz w:val="21"/>
                <w:szCs w:val="21"/>
                <w:lang w:val="en-US" w:eastAsia="zh-CN"/>
              </w:rPr>
            </w:pPr>
          </w:p>
        </w:tc>
        <w:tc>
          <w:tcPr>
            <w:tcW w:w="640" w:type="dxa"/>
            <w:noWrap/>
            <w:vAlign w:val="center"/>
          </w:tcPr>
          <w:p w14:paraId="64325368">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6</w:t>
            </w:r>
          </w:p>
        </w:tc>
      </w:tr>
      <w:tr w14:paraId="2435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39" w:type="dxa"/>
            <w:vMerge w:val="continue"/>
            <w:noWrap w:val="0"/>
            <w:vAlign w:val="center"/>
          </w:tcPr>
          <w:p w14:paraId="1DDB2A8C">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E9A3A0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DE05DF6">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50FBDEC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资金使用率</w:t>
            </w:r>
          </w:p>
        </w:tc>
        <w:tc>
          <w:tcPr>
            <w:tcW w:w="480" w:type="dxa"/>
            <w:noWrap w:val="0"/>
            <w:vAlign w:val="center"/>
          </w:tcPr>
          <w:p w14:paraId="25C1DC4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w:t>
            </w:r>
          </w:p>
        </w:tc>
        <w:tc>
          <w:tcPr>
            <w:tcW w:w="460" w:type="dxa"/>
            <w:noWrap w:val="0"/>
            <w:vAlign w:val="center"/>
          </w:tcPr>
          <w:p w14:paraId="4F63CF1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45533B08">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45ED998C">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反映项目点获得资金的使用情况</w:t>
            </w:r>
          </w:p>
        </w:tc>
        <w:tc>
          <w:tcPr>
            <w:tcW w:w="846" w:type="dxa"/>
            <w:noWrap w:val="0"/>
            <w:vAlign w:val="center"/>
          </w:tcPr>
          <w:p w14:paraId="36B5A62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2454" w:type="dxa"/>
            <w:gridSpan w:val="5"/>
            <w:noWrap w:val="0"/>
            <w:vAlign w:val="center"/>
          </w:tcPr>
          <w:p w14:paraId="5D3727FC">
            <w:pPr>
              <w:widowControl/>
              <w:snapToGrid w:val="0"/>
              <w:spacing w:line="240" w:lineRule="atLeast"/>
              <w:jc w:val="center"/>
              <w:textAlignment w:val="center"/>
              <w:rPr>
                <w:rFonts w:hint="default" w:ascii="Times New Roman" w:hAnsi="Times New Roman"/>
                <w:color w:val="000000"/>
                <w:sz w:val="21"/>
                <w:szCs w:val="21"/>
              </w:rPr>
            </w:pPr>
            <w:r>
              <w:rPr>
                <w:rStyle w:val="43"/>
                <w:rFonts w:hint="default" w:ascii="Times New Roman" w:hAnsi="Times New Roman" w:cs="Times New Roman"/>
                <w:sz w:val="21"/>
                <w:szCs w:val="21"/>
                <w:lang w:bidi="ar"/>
              </w:rPr>
              <w:t>指标得分=项目点实际使用资金/获得补助资金总额×100%*指标分值</w:t>
            </w:r>
            <w:r>
              <w:rPr>
                <w:rStyle w:val="44"/>
                <w:rFonts w:hint="default" w:ascii="Times New Roman" w:hAnsi="Times New Roman" w:cs="Times New Roman"/>
                <w:color w:val="000000"/>
                <w:sz w:val="21"/>
                <w:szCs w:val="21"/>
                <w:lang w:bidi="ar"/>
              </w:rPr>
              <w:t>（后补助资金可不考核本指标）</w:t>
            </w:r>
          </w:p>
        </w:tc>
        <w:tc>
          <w:tcPr>
            <w:tcW w:w="1805" w:type="dxa"/>
            <w:noWrap w:val="0"/>
            <w:vAlign w:val="center"/>
          </w:tcPr>
          <w:p w14:paraId="77D66A7D">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不涉及的将分数调整到预算执行率内（6分）</w:t>
            </w:r>
          </w:p>
        </w:tc>
        <w:tc>
          <w:tcPr>
            <w:tcW w:w="427" w:type="dxa"/>
            <w:noWrap w:val="0"/>
            <w:vAlign w:val="center"/>
          </w:tcPr>
          <w:p w14:paraId="53DB4D3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9F6308F">
            <w:pPr>
              <w:snapToGrid w:val="0"/>
              <w:spacing w:line="240" w:lineRule="atLeast"/>
              <w:rPr>
                <w:rFonts w:hint="default" w:ascii="Times New Roman" w:hAnsi="Times New Roman"/>
                <w:color w:val="000000"/>
                <w:sz w:val="21"/>
                <w:szCs w:val="21"/>
              </w:rPr>
            </w:pPr>
          </w:p>
        </w:tc>
        <w:tc>
          <w:tcPr>
            <w:tcW w:w="427" w:type="dxa"/>
            <w:noWrap w:val="0"/>
            <w:vAlign w:val="center"/>
          </w:tcPr>
          <w:p w14:paraId="336EFF2B">
            <w:pPr>
              <w:snapToGrid w:val="0"/>
              <w:spacing w:line="240" w:lineRule="atLeast"/>
              <w:rPr>
                <w:rFonts w:hint="default" w:ascii="Times New Roman" w:hAnsi="Times New Roman"/>
                <w:color w:val="000000"/>
                <w:sz w:val="21"/>
                <w:szCs w:val="21"/>
              </w:rPr>
            </w:pPr>
          </w:p>
        </w:tc>
        <w:tc>
          <w:tcPr>
            <w:tcW w:w="427" w:type="dxa"/>
            <w:noWrap/>
            <w:vAlign w:val="center"/>
          </w:tcPr>
          <w:p w14:paraId="0EEFF14B">
            <w:pPr>
              <w:snapToGrid w:val="0"/>
              <w:spacing w:line="240" w:lineRule="atLeast"/>
              <w:rPr>
                <w:rFonts w:hint="default" w:ascii="Times New Roman" w:hAnsi="Times New Roman"/>
                <w:color w:val="000000"/>
                <w:sz w:val="21"/>
                <w:szCs w:val="21"/>
              </w:rPr>
            </w:pPr>
          </w:p>
        </w:tc>
        <w:tc>
          <w:tcPr>
            <w:tcW w:w="427" w:type="dxa"/>
            <w:noWrap/>
            <w:vAlign w:val="center"/>
          </w:tcPr>
          <w:p w14:paraId="707B13A7">
            <w:pPr>
              <w:snapToGrid w:val="0"/>
              <w:spacing w:line="240" w:lineRule="atLeast"/>
              <w:rPr>
                <w:rFonts w:hint="default" w:ascii="Times New Roman" w:hAnsi="Times New Roman"/>
                <w:color w:val="000000"/>
                <w:sz w:val="21"/>
                <w:szCs w:val="21"/>
              </w:rPr>
            </w:pPr>
          </w:p>
        </w:tc>
        <w:tc>
          <w:tcPr>
            <w:tcW w:w="427" w:type="dxa"/>
            <w:noWrap/>
            <w:vAlign w:val="center"/>
          </w:tcPr>
          <w:p w14:paraId="67F15A49">
            <w:pPr>
              <w:snapToGrid w:val="0"/>
              <w:spacing w:line="240" w:lineRule="atLeast"/>
              <w:rPr>
                <w:rFonts w:hint="default" w:ascii="Times New Roman" w:hAnsi="Times New Roman"/>
                <w:color w:val="000000"/>
                <w:sz w:val="21"/>
                <w:szCs w:val="21"/>
              </w:rPr>
            </w:pPr>
          </w:p>
        </w:tc>
        <w:tc>
          <w:tcPr>
            <w:tcW w:w="1083" w:type="dxa"/>
            <w:noWrap/>
            <w:vAlign w:val="center"/>
          </w:tcPr>
          <w:p w14:paraId="25803C86">
            <w:pPr>
              <w:snapToGrid w:val="0"/>
              <w:spacing w:line="240" w:lineRule="atLeast"/>
              <w:rPr>
                <w:rFonts w:hint="default" w:ascii="Times New Roman" w:hAnsi="Times New Roman"/>
                <w:color w:val="000000"/>
                <w:sz w:val="21"/>
                <w:szCs w:val="21"/>
              </w:rPr>
            </w:pPr>
          </w:p>
        </w:tc>
        <w:tc>
          <w:tcPr>
            <w:tcW w:w="640" w:type="dxa"/>
            <w:noWrap/>
            <w:vAlign w:val="center"/>
          </w:tcPr>
          <w:p w14:paraId="56289C40">
            <w:pPr>
              <w:snapToGrid w:val="0"/>
              <w:spacing w:line="240" w:lineRule="atLeast"/>
              <w:rPr>
                <w:rFonts w:hint="default" w:ascii="Times New Roman" w:hAnsi="Times New Roman"/>
                <w:color w:val="000000"/>
                <w:sz w:val="21"/>
                <w:szCs w:val="21"/>
              </w:rPr>
            </w:pPr>
          </w:p>
        </w:tc>
      </w:tr>
      <w:tr w14:paraId="3B8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restart"/>
            <w:noWrap w:val="0"/>
            <w:vAlign w:val="center"/>
          </w:tcPr>
          <w:p w14:paraId="4997937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27" w:type="dxa"/>
            <w:vMerge w:val="restart"/>
            <w:noWrap w:val="0"/>
            <w:vAlign w:val="center"/>
          </w:tcPr>
          <w:p w14:paraId="75D8707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27" w:type="dxa"/>
            <w:noWrap w:val="0"/>
            <w:vAlign w:val="center"/>
          </w:tcPr>
          <w:p w14:paraId="3C09596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680" w:type="dxa"/>
            <w:noWrap w:val="0"/>
            <w:vAlign w:val="center"/>
          </w:tcPr>
          <w:p w14:paraId="47303247">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项目资金支付100%</w:t>
            </w:r>
          </w:p>
        </w:tc>
        <w:tc>
          <w:tcPr>
            <w:tcW w:w="480" w:type="dxa"/>
            <w:noWrap w:val="0"/>
            <w:vAlign w:val="center"/>
          </w:tcPr>
          <w:p w14:paraId="71A58438">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4BA7A9D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0F8E5E85">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eastAsia" w:ascii="Times New Roman" w:hAnsi="Times New Roman"/>
                <w:color w:val="000000"/>
                <w:sz w:val="21"/>
                <w:szCs w:val="21"/>
                <w:lang w:val="en-US" w:eastAsia="zh-CN" w:bidi="ar"/>
              </w:rPr>
              <w:t>100</w:t>
            </w:r>
            <w:r>
              <w:rPr>
                <w:rFonts w:hint="default" w:ascii="Times New Roman" w:hAnsi="Times New Roman"/>
                <w:color w:val="000000"/>
                <w:sz w:val="21"/>
                <w:szCs w:val="21"/>
                <w:lang w:bidi="ar"/>
              </w:rPr>
              <w:t>%</w:t>
            </w:r>
          </w:p>
        </w:tc>
        <w:tc>
          <w:tcPr>
            <w:tcW w:w="1010" w:type="dxa"/>
            <w:noWrap w:val="0"/>
            <w:vAlign w:val="center"/>
          </w:tcPr>
          <w:p w14:paraId="278F9B5A">
            <w:pPr>
              <w:snapToGrid w:val="0"/>
              <w:spacing w:line="240" w:lineRule="atLeast"/>
              <w:rPr>
                <w:rFonts w:hint="default" w:ascii="Times New Roman" w:hAnsi="Times New Roman"/>
                <w:color w:val="000000"/>
                <w:sz w:val="21"/>
                <w:szCs w:val="21"/>
              </w:rPr>
            </w:pPr>
          </w:p>
        </w:tc>
        <w:tc>
          <w:tcPr>
            <w:tcW w:w="846" w:type="dxa"/>
            <w:vMerge w:val="restart"/>
            <w:noWrap w:val="0"/>
            <w:vAlign w:val="center"/>
          </w:tcPr>
          <w:p w14:paraId="08084A2A">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24FEE743">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5584E89A">
            <w:pPr>
              <w:snapToGrid w:val="0"/>
              <w:spacing w:line="240" w:lineRule="atLeast"/>
              <w:rPr>
                <w:rFonts w:hint="default" w:ascii="Times New Roman" w:hAnsi="Times New Roman"/>
                <w:color w:val="000000"/>
                <w:sz w:val="21"/>
                <w:szCs w:val="21"/>
              </w:rPr>
            </w:pPr>
          </w:p>
        </w:tc>
        <w:tc>
          <w:tcPr>
            <w:tcW w:w="427" w:type="dxa"/>
            <w:noWrap w:val="0"/>
            <w:vAlign w:val="center"/>
          </w:tcPr>
          <w:p w14:paraId="430B21B9">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FCD2E95">
            <w:pPr>
              <w:snapToGrid w:val="0"/>
              <w:spacing w:line="240" w:lineRule="atLeast"/>
              <w:rPr>
                <w:rFonts w:hint="default" w:ascii="Times New Roman" w:hAnsi="Times New Roman"/>
                <w:color w:val="000000"/>
                <w:sz w:val="21"/>
                <w:szCs w:val="21"/>
              </w:rPr>
            </w:pPr>
          </w:p>
        </w:tc>
        <w:tc>
          <w:tcPr>
            <w:tcW w:w="427" w:type="dxa"/>
            <w:noWrap w:val="0"/>
            <w:vAlign w:val="center"/>
          </w:tcPr>
          <w:p w14:paraId="1D568231">
            <w:pPr>
              <w:snapToGrid w:val="0"/>
              <w:spacing w:line="240" w:lineRule="atLeast"/>
              <w:rPr>
                <w:rFonts w:hint="default" w:ascii="Times New Roman" w:hAnsi="Times New Roman"/>
                <w:color w:val="000000"/>
                <w:sz w:val="21"/>
                <w:szCs w:val="21"/>
              </w:rPr>
            </w:pPr>
          </w:p>
        </w:tc>
        <w:tc>
          <w:tcPr>
            <w:tcW w:w="427" w:type="dxa"/>
            <w:noWrap/>
            <w:vAlign w:val="center"/>
          </w:tcPr>
          <w:p w14:paraId="5CBCC92F">
            <w:pPr>
              <w:snapToGrid w:val="0"/>
              <w:spacing w:line="240" w:lineRule="atLeast"/>
              <w:rPr>
                <w:rFonts w:hint="default" w:ascii="Times New Roman" w:hAnsi="Times New Roman"/>
                <w:color w:val="000000"/>
                <w:sz w:val="21"/>
                <w:szCs w:val="21"/>
              </w:rPr>
            </w:pPr>
          </w:p>
        </w:tc>
        <w:tc>
          <w:tcPr>
            <w:tcW w:w="427" w:type="dxa"/>
            <w:noWrap/>
            <w:vAlign w:val="center"/>
          </w:tcPr>
          <w:p w14:paraId="5E6FBFD1">
            <w:pPr>
              <w:snapToGrid w:val="0"/>
              <w:spacing w:line="240" w:lineRule="atLeast"/>
              <w:rPr>
                <w:rFonts w:hint="default" w:ascii="Times New Roman" w:hAnsi="Times New Roman"/>
                <w:color w:val="000000"/>
                <w:sz w:val="21"/>
                <w:szCs w:val="21"/>
              </w:rPr>
            </w:pPr>
          </w:p>
        </w:tc>
        <w:tc>
          <w:tcPr>
            <w:tcW w:w="427" w:type="dxa"/>
            <w:noWrap/>
            <w:vAlign w:val="center"/>
          </w:tcPr>
          <w:p w14:paraId="21590D50">
            <w:pPr>
              <w:snapToGrid w:val="0"/>
              <w:spacing w:line="240" w:lineRule="atLeast"/>
              <w:rPr>
                <w:rFonts w:hint="default" w:ascii="Times New Roman" w:hAnsi="Times New Roman"/>
                <w:color w:val="000000"/>
                <w:sz w:val="21"/>
                <w:szCs w:val="21"/>
              </w:rPr>
            </w:pPr>
          </w:p>
        </w:tc>
        <w:tc>
          <w:tcPr>
            <w:tcW w:w="1083" w:type="dxa"/>
            <w:noWrap/>
            <w:vAlign w:val="center"/>
          </w:tcPr>
          <w:p w14:paraId="22928548">
            <w:pPr>
              <w:snapToGrid w:val="0"/>
              <w:spacing w:line="240" w:lineRule="atLeast"/>
              <w:rPr>
                <w:rFonts w:hint="default" w:ascii="Times New Roman" w:hAnsi="Times New Roman" w:eastAsia="仿宋_GB2312"/>
                <w:color w:val="000000"/>
                <w:sz w:val="21"/>
                <w:szCs w:val="21"/>
                <w:lang w:val="en-US" w:eastAsia="zh-CN"/>
              </w:rPr>
            </w:pPr>
          </w:p>
        </w:tc>
        <w:tc>
          <w:tcPr>
            <w:tcW w:w="640" w:type="dxa"/>
            <w:noWrap/>
            <w:vAlign w:val="center"/>
          </w:tcPr>
          <w:p w14:paraId="773C2055">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1C8C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4262ED3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4AADFB8">
            <w:pPr>
              <w:snapToGrid w:val="0"/>
              <w:spacing w:line="240" w:lineRule="atLeast"/>
              <w:jc w:val="center"/>
              <w:rPr>
                <w:rFonts w:hint="default" w:ascii="Times New Roman" w:hAnsi="Times New Roman"/>
                <w:b/>
                <w:bCs/>
                <w:color w:val="000000"/>
                <w:sz w:val="21"/>
                <w:szCs w:val="21"/>
              </w:rPr>
            </w:pPr>
          </w:p>
        </w:tc>
        <w:tc>
          <w:tcPr>
            <w:tcW w:w="427" w:type="dxa"/>
            <w:noWrap w:val="0"/>
            <w:vAlign w:val="center"/>
          </w:tcPr>
          <w:p w14:paraId="4FE1EDB9">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680" w:type="dxa"/>
            <w:noWrap w:val="0"/>
            <w:vAlign w:val="center"/>
          </w:tcPr>
          <w:p w14:paraId="54F26B09">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支付到位</w:t>
            </w:r>
          </w:p>
        </w:tc>
        <w:tc>
          <w:tcPr>
            <w:tcW w:w="480" w:type="dxa"/>
            <w:noWrap w:val="0"/>
            <w:vAlign w:val="center"/>
          </w:tcPr>
          <w:p w14:paraId="3A5517D3">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55D3A70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3F0212F6">
            <w:pPr>
              <w:snapToGrid w:val="0"/>
              <w:spacing w:line="240" w:lineRule="atLeast"/>
              <w:jc w:val="center"/>
              <w:rPr>
                <w:rFonts w:hint="default" w:ascii="Times New Roman" w:hAnsi="Times New Roman"/>
                <w:color w:val="000000"/>
                <w:sz w:val="21"/>
                <w:szCs w:val="21"/>
              </w:rPr>
            </w:pPr>
            <w:r>
              <w:rPr>
                <w:rFonts w:hint="eastAsia" w:ascii="Times New Roman" w:hAnsi="Times New Roman"/>
                <w:color w:val="000000"/>
                <w:sz w:val="21"/>
                <w:szCs w:val="21"/>
                <w:lang w:val="en-US" w:eastAsia="zh-CN" w:bidi="ar"/>
              </w:rPr>
              <w:t>100</w:t>
            </w:r>
            <w:r>
              <w:rPr>
                <w:rFonts w:hint="default" w:ascii="Times New Roman" w:hAnsi="Times New Roman"/>
                <w:color w:val="000000"/>
                <w:sz w:val="21"/>
                <w:szCs w:val="21"/>
                <w:lang w:bidi="ar"/>
              </w:rPr>
              <w:t>%</w:t>
            </w:r>
          </w:p>
        </w:tc>
        <w:tc>
          <w:tcPr>
            <w:tcW w:w="1010" w:type="dxa"/>
            <w:noWrap w:val="0"/>
            <w:vAlign w:val="center"/>
          </w:tcPr>
          <w:p w14:paraId="3C77631D">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42CA921F">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48FBE536">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38F9303E">
            <w:pPr>
              <w:snapToGrid w:val="0"/>
              <w:spacing w:line="240" w:lineRule="atLeast"/>
              <w:rPr>
                <w:rFonts w:hint="default" w:ascii="Times New Roman" w:hAnsi="Times New Roman"/>
                <w:color w:val="000000"/>
                <w:sz w:val="21"/>
                <w:szCs w:val="21"/>
              </w:rPr>
            </w:pPr>
          </w:p>
        </w:tc>
        <w:tc>
          <w:tcPr>
            <w:tcW w:w="427" w:type="dxa"/>
            <w:noWrap w:val="0"/>
            <w:vAlign w:val="center"/>
          </w:tcPr>
          <w:p w14:paraId="69ABA6C6">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423C1034">
            <w:pPr>
              <w:snapToGrid w:val="0"/>
              <w:spacing w:line="240" w:lineRule="atLeast"/>
              <w:rPr>
                <w:rFonts w:hint="default" w:ascii="Times New Roman" w:hAnsi="Times New Roman"/>
                <w:color w:val="000000"/>
                <w:sz w:val="21"/>
                <w:szCs w:val="21"/>
              </w:rPr>
            </w:pPr>
          </w:p>
        </w:tc>
        <w:tc>
          <w:tcPr>
            <w:tcW w:w="427" w:type="dxa"/>
            <w:noWrap w:val="0"/>
            <w:vAlign w:val="center"/>
          </w:tcPr>
          <w:p w14:paraId="53411539">
            <w:pPr>
              <w:snapToGrid w:val="0"/>
              <w:spacing w:line="240" w:lineRule="atLeast"/>
              <w:rPr>
                <w:rFonts w:hint="default" w:ascii="Times New Roman" w:hAnsi="Times New Roman"/>
                <w:color w:val="000000"/>
                <w:sz w:val="21"/>
                <w:szCs w:val="21"/>
              </w:rPr>
            </w:pPr>
          </w:p>
        </w:tc>
        <w:tc>
          <w:tcPr>
            <w:tcW w:w="427" w:type="dxa"/>
            <w:noWrap/>
            <w:vAlign w:val="center"/>
          </w:tcPr>
          <w:p w14:paraId="228E5BFE">
            <w:pPr>
              <w:snapToGrid w:val="0"/>
              <w:spacing w:line="240" w:lineRule="atLeast"/>
              <w:rPr>
                <w:rFonts w:hint="default" w:ascii="Times New Roman" w:hAnsi="Times New Roman"/>
                <w:color w:val="000000"/>
                <w:sz w:val="21"/>
                <w:szCs w:val="21"/>
              </w:rPr>
            </w:pPr>
          </w:p>
        </w:tc>
        <w:tc>
          <w:tcPr>
            <w:tcW w:w="427" w:type="dxa"/>
            <w:noWrap/>
            <w:vAlign w:val="center"/>
          </w:tcPr>
          <w:p w14:paraId="03D950A3">
            <w:pPr>
              <w:snapToGrid w:val="0"/>
              <w:spacing w:line="240" w:lineRule="atLeast"/>
              <w:rPr>
                <w:rFonts w:hint="default" w:ascii="Times New Roman" w:hAnsi="Times New Roman"/>
                <w:color w:val="000000"/>
                <w:sz w:val="21"/>
                <w:szCs w:val="21"/>
              </w:rPr>
            </w:pPr>
          </w:p>
        </w:tc>
        <w:tc>
          <w:tcPr>
            <w:tcW w:w="427" w:type="dxa"/>
            <w:noWrap/>
            <w:vAlign w:val="center"/>
          </w:tcPr>
          <w:p w14:paraId="0BAA4704">
            <w:pPr>
              <w:snapToGrid w:val="0"/>
              <w:spacing w:line="240" w:lineRule="atLeast"/>
              <w:rPr>
                <w:rFonts w:hint="default" w:ascii="Times New Roman" w:hAnsi="Times New Roman"/>
                <w:color w:val="000000"/>
                <w:sz w:val="21"/>
                <w:szCs w:val="21"/>
              </w:rPr>
            </w:pPr>
          </w:p>
        </w:tc>
        <w:tc>
          <w:tcPr>
            <w:tcW w:w="1083" w:type="dxa"/>
            <w:noWrap/>
            <w:vAlign w:val="center"/>
          </w:tcPr>
          <w:p w14:paraId="4C2430EA">
            <w:pPr>
              <w:snapToGrid w:val="0"/>
              <w:spacing w:line="240" w:lineRule="atLeast"/>
              <w:rPr>
                <w:rFonts w:hint="default" w:ascii="Times New Roman" w:hAnsi="Times New Roman" w:eastAsia="仿宋_GB2312"/>
                <w:color w:val="000000"/>
                <w:sz w:val="21"/>
                <w:szCs w:val="21"/>
                <w:lang w:val="en-US" w:eastAsia="zh-CN"/>
              </w:rPr>
            </w:pPr>
          </w:p>
        </w:tc>
        <w:tc>
          <w:tcPr>
            <w:tcW w:w="640" w:type="dxa"/>
            <w:noWrap/>
            <w:vAlign w:val="center"/>
          </w:tcPr>
          <w:p w14:paraId="669B66E0">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393F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2CF8209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F8E845E">
            <w:pPr>
              <w:snapToGrid w:val="0"/>
              <w:spacing w:line="240" w:lineRule="atLeast"/>
              <w:jc w:val="center"/>
              <w:rPr>
                <w:rFonts w:hint="default" w:ascii="Times New Roman" w:hAnsi="Times New Roman"/>
                <w:b/>
                <w:bCs/>
                <w:color w:val="000000"/>
                <w:sz w:val="21"/>
                <w:szCs w:val="21"/>
              </w:rPr>
            </w:pPr>
          </w:p>
        </w:tc>
        <w:tc>
          <w:tcPr>
            <w:tcW w:w="427" w:type="dxa"/>
            <w:noWrap w:val="0"/>
            <w:vAlign w:val="center"/>
          </w:tcPr>
          <w:p w14:paraId="5B4C683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680" w:type="dxa"/>
            <w:noWrap w:val="0"/>
            <w:vAlign w:val="center"/>
          </w:tcPr>
          <w:p w14:paraId="452E8B34">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报销支付到位</w:t>
            </w:r>
          </w:p>
        </w:tc>
        <w:tc>
          <w:tcPr>
            <w:tcW w:w="480" w:type="dxa"/>
            <w:noWrap w:val="0"/>
            <w:vAlign w:val="center"/>
          </w:tcPr>
          <w:p w14:paraId="4950E410">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01CD37F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1E4A2F85">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1010" w:type="dxa"/>
            <w:noWrap w:val="0"/>
            <w:vAlign w:val="center"/>
          </w:tcPr>
          <w:p w14:paraId="7D99A7F3">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3690F56C">
            <w:pPr>
              <w:snapToGrid w:val="0"/>
              <w:spacing w:line="240" w:lineRule="atLeast"/>
              <w:jc w:val="center"/>
              <w:rPr>
                <w:rFonts w:hint="default" w:ascii="Times New Roman" w:hAnsi="Times New Roman"/>
                <w:color w:val="000000"/>
                <w:sz w:val="21"/>
                <w:szCs w:val="21"/>
              </w:rPr>
            </w:pPr>
          </w:p>
        </w:tc>
        <w:tc>
          <w:tcPr>
            <w:tcW w:w="2454" w:type="dxa"/>
            <w:gridSpan w:val="5"/>
            <w:noWrap w:val="0"/>
            <w:vAlign w:val="top"/>
          </w:tcPr>
          <w:p w14:paraId="0DD9DE27">
            <w:pPr>
              <w:snapToGrid w:val="0"/>
              <w:spacing w:line="240" w:lineRule="atLeast"/>
              <w:rPr>
                <w:rFonts w:hint="default" w:ascii="Times New Roman" w:hAnsi="Times New Roman"/>
                <w:color w:val="000000"/>
                <w:sz w:val="21"/>
                <w:szCs w:val="21"/>
              </w:rPr>
            </w:pPr>
          </w:p>
        </w:tc>
        <w:tc>
          <w:tcPr>
            <w:tcW w:w="1805" w:type="dxa"/>
            <w:noWrap w:val="0"/>
            <w:vAlign w:val="center"/>
          </w:tcPr>
          <w:p w14:paraId="644B2433">
            <w:pPr>
              <w:snapToGrid w:val="0"/>
              <w:spacing w:line="240" w:lineRule="atLeast"/>
              <w:rPr>
                <w:rFonts w:hint="default" w:ascii="Times New Roman" w:hAnsi="Times New Roman"/>
                <w:color w:val="000000"/>
                <w:sz w:val="21"/>
                <w:szCs w:val="21"/>
              </w:rPr>
            </w:pPr>
          </w:p>
        </w:tc>
        <w:tc>
          <w:tcPr>
            <w:tcW w:w="427" w:type="dxa"/>
            <w:noWrap w:val="0"/>
            <w:vAlign w:val="center"/>
          </w:tcPr>
          <w:p w14:paraId="3AD1279C">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1CDA198F">
            <w:pPr>
              <w:snapToGrid w:val="0"/>
              <w:spacing w:line="240" w:lineRule="atLeast"/>
              <w:rPr>
                <w:rFonts w:hint="default" w:ascii="Times New Roman" w:hAnsi="Times New Roman"/>
                <w:color w:val="000000"/>
                <w:sz w:val="21"/>
                <w:szCs w:val="21"/>
              </w:rPr>
            </w:pPr>
          </w:p>
        </w:tc>
        <w:tc>
          <w:tcPr>
            <w:tcW w:w="427" w:type="dxa"/>
            <w:noWrap w:val="0"/>
            <w:vAlign w:val="center"/>
          </w:tcPr>
          <w:p w14:paraId="1FED027E">
            <w:pPr>
              <w:snapToGrid w:val="0"/>
              <w:spacing w:line="240" w:lineRule="atLeast"/>
              <w:rPr>
                <w:rFonts w:hint="default" w:ascii="Times New Roman" w:hAnsi="Times New Roman"/>
                <w:color w:val="000000"/>
                <w:sz w:val="21"/>
                <w:szCs w:val="21"/>
              </w:rPr>
            </w:pPr>
          </w:p>
        </w:tc>
        <w:tc>
          <w:tcPr>
            <w:tcW w:w="427" w:type="dxa"/>
            <w:noWrap/>
            <w:vAlign w:val="center"/>
          </w:tcPr>
          <w:p w14:paraId="1A1CFAA0">
            <w:pPr>
              <w:snapToGrid w:val="0"/>
              <w:spacing w:line="240" w:lineRule="atLeast"/>
              <w:rPr>
                <w:rFonts w:hint="default" w:ascii="Times New Roman" w:hAnsi="Times New Roman"/>
                <w:color w:val="000000"/>
                <w:sz w:val="21"/>
                <w:szCs w:val="21"/>
              </w:rPr>
            </w:pPr>
          </w:p>
        </w:tc>
        <w:tc>
          <w:tcPr>
            <w:tcW w:w="427" w:type="dxa"/>
            <w:noWrap/>
            <w:vAlign w:val="center"/>
          </w:tcPr>
          <w:p w14:paraId="2145885A">
            <w:pPr>
              <w:snapToGrid w:val="0"/>
              <w:spacing w:line="240" w:lineRule="atLeast"/>
              <w:rPr>
                <w:rFonts w:hint="default" w:ascii="Times New Roman" w:hAnsi="Times New Roman"/>
                <w:color w:val="000000"/>
                <w:sz w:val="21"/>
                <w:szCs w:val="21"/>
              </w:rPr>
            </w:pPr>
          </w:p>
        </w:tc>
        <w:tc>
          <w:tcPr>
            <w:tcW w:w="427" w:type="dxa"/>
            <w:noWrap/>
            <w:vAlign w:val="center"/>
          </w:tcPr>
          <w:p w14:paraId="095D2BEA">
            <w:pPr>
              <w:snapToGrid w:val="0"/>
              <w:spacing w:line="240" w:lineRule="atLeast"/>
              <w:rPr>
                <w:rFonts w:hint="default" w:ascii="Times New Roman" w:hAnsi="Times New Roman"/>
                <w:color w:val="000000"/>
                <w:sz w:val="21"/>
                <w:szCs w:val="21"/>
              </w:rPr>
            </w:pPr>
          </w:p>
        </w:tc>
        <w:tc>
          <w:tcPr>
            <w:tcW w:w="1083" w:type="dxa"/>
            <w:noWrap/>
            <w:vAlign w:val="center"/>
          </w:tcPr>
          <w:p w14:paraId="3B19654C">
            <w:pPr>
              <w:snapToGrid w:val="0"/>
              <w:spacing w:line="240" w:lineRule="atLeast"/>
              <w:rPr>
                <w:rFonts w:hint="default" w:ascii="Times New Roman" w:hAnsi="Times New Roman"/>
                <w:color w:val="000000"/>
                <w:sz w:val="21"/>
                <w:szCs w:val="21"/>
              </w:rPr>
            </w:pPr>
          </w:p>
        </w:tc>
        <w:tc>
          <w:tcPr>
            <w:tcW w:w="640" w:type="dxa"/>
            <w:noWrap/>
            <w:vAlign w:val="center"/>
          </w:tcPr>
          <w:p w14:paraId="173A9243">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3F1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1437221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A25EEB7">
            <w:pPr>
              <w:snapToGrid w:val="0"/>
              <w:spacing w:line="240" w:lineRule="atLeast"/>
              <w:jc w:val="center"/>
              <w:rPr>
                <w:rFonts w:hint="default" w:ascii="Times New Roman" w:hAnsi="Times New Roman"/>
                <w:b/>
                <w:bCs/>
                <w:color w:val="000000"/>
                <w:sz w:val="21"/>
                <w:szCs w:val="21"/>
              </w:rPr>
            </w:pPr>
          </w:p>
        </w:tc>
        <w:tc>
          <w:tcPr>
            <w:tcW w:w="427" w:type="dxa"/>
            <w:noWrap w:val="0"/>
            <w:vAlign w:val="center"/>
          </w:tcPr>
          <w:p w14:paraId="723F519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680" w:type="dxa"/>
            <w:noWrap w:val="0"/>
            <w:vAlign w:val="center"/>
          </w:tcPr>
          <w:p w14:paraId="79A1EB56">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支付及时</w:t>
            </w:r>
          </w:p>
        </w:tc>
        <w:tc>
          <w:tcPr>
            <w:tcW w:w="480" w:type="dxa"/>
            <w:noWrap w:val="0"/>
            <w:vAlign w:val="center"/>
          </w:tcPr>
          <w:p w14:paraId="7B0FEC85">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c>
          <w:tcPr>
            <w:tcW w:w="460" w:type="dxa"/>
            <w:noWrap w:val="0"/>
            <w:vAlign w:val="center"/>
          </w:tcPr>
          <w:p w14:paraId="7094B37C">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480" w:type="dxa"/>
            <w:noWrap w:val="0"/>
            <w:vAlign w:val="center"/>
          </w:tcPr>
          <w:p w14:paraId="57F86242">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1010" w:type="dxa"/>
            <w:noWrap w:val="0"/>
            <w:vAlign w:val="center"/>
          </w:tcPr>
          <w:p w14:paraId="35289891">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609DF3AC">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4D091765">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5A5D5AE8">
            <w:pPr>
              <w:snapToGrid w:val="0"/>
              <w:spacing w:line="240" w:lineRule="atLeast"/>
              <w:rPr>
                <w:rFonts w:hint="default" w:ascii="Times New Roman" w:hAnsi="Times New Roman"/>
                <w:color w:val="000000"/>
                <w:sz w:val="21"/>
                <w:szCs w:val="21"/>
              </w:rPr>
            </w:pPr>
          </w:p>
        </w:tc>
        <w:tc>
          <w:tcPr>
            <w:tcW w:w="427" w:type="dxa"/>
            <w:noWrap w:val="0"/>
            <w:vAlign w:val="center"/>
          </w:tcPr>
          <w:p w14:paraId="5E946772">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E9527E0">
            <w:pPr>
              <w:snapToGrid w:val="0"/>
              <w:spacing w:line="240" w:lineRule="atLeast"/>
              <w:rPr>
                <w:rFonts w:hint="default" w:ascii="Times New Roman" w:hAnsi="Times New Roman"/>
                <w:color w:val="000000"/>
                <w:sz w:val="21"/>
                <w:szCs w:val="21"/>
              </w:rPr>
            </w:pPr>
          </w:p>
        </w:tc>
        <w:tc>
          <w:tcPr>
            <w:tcW w:w="427" w:type="dxa"/>
            <w:noWrap w:val="0"/>
            <w:vAlign w:val="center"/>
          </w:tcPr>
          <w:p w14:paraId="5A132E98">
            <w:pPr>
              <w:snapToGrid w:val="0"/>
              <w:spacing w:line="240" w:lineRule="atLeast"/>
              <w:rPr>
                <w:rFonts w:hint="default" w:ascii="Times New Roman" w:hAnsi="Times New Roman"/>
                <w:color w:val="000000"/>
                <w:sz w:val="21"/>
                <w:szCs w:val="21"/>
              </w:rPr>
            </w:pPr>
          </w:p>
        </w:tc>
        <w:tc>
          <w:tcPr>
            <w:tcW w:w="427" w:type="dxa"/>
            <w:noWrap/>
            <w:vAlign w:val="center"/>
          </w:tcPr>
          <w:p w14:paraId="63D27A20">
            <w:pPr>
              <w:snapToGrid w:val="0"/>
              <w:spacing w:line="240" w:lineRule="atLeast"/>
              <w:rPr>
                <w:rFonts w:hint="default" w:ascii="Times New Roman" w:hAnsi="Times New Roman"/>
                <w:color w:val="000000"/>
                <w:sz w:val="21"/>
                <w:szCs w:val="21"/>
              </w:rPr>
            </w:pPr>
          </w:p>
        </w:tc>
        <w:tc>
          <w:tcPr>
            <w:tcW w:w="427" w:type="dxa"/>
            <w:noWrap/>
            <w:vAlign w:val="center"/>
          </w:tcPr>
          <w:p w14:paraId="21BC65AA">
            <w:pPr>
              <w:snapToGrid w:val="0"/>
              <w:spacing w:line="240" w:lineRule="atLeast"/>
              <w:rPr>
                <w:rFonts w:hint="default" w:ascii="Times New Roman" w:hAnsi="Times New Roman"/>
                <w:color w:val="000000"/>
                <w:sz w:val="21"/>
                <w:szCs w:val="21"/>
              </w:rPr>
            </w:pPr>
          </w:p>
        </w:tc>
        <w:tc>
          <w:tcPr>
            <w:tcW w:w="427" w:type="dxa"/>
            <w:noWrap/>
            <w:vAlign w:val="center"/>
          </w:tcPr>
          <w:p w14:paraId="6A5C6BA3">
            <w:pPr>
              <w:snapToGrid w:val="0"/>
              <w:spacing w:line="240" w:lineRule="atLeast"/>
              <w:rPr>
                <w:rFonts w:hint="default" w:ascii="Times New Roman" w:hAnsi="Times New Roman"/>
                <w:color w:val="000000"/>
                <w:sz w:val="21"/>
                <w:szCs w:val="21"/>
              </w:rPr>
            </w:pPr>
          </w:p>
        </w:tc>
        <w:tc>
          <w:tcPr>
            <w:tcW w:w="1083" w:type="dxa"/>
            <w:noWrap/>
            <w:vAlign w:val="center"/>
          </w:tcPr>
          <w:p w14:paraId="2C17279E">
            <w:pPr>
              <w:snapToGrid w:val="0"/>
              <w:spacing w:line="240" w:lineRule="atLeast"/>
              <w:rPr>
                <w:rFonts w:hint="default" w:ascii="Times New Roman" w:hAnsi="Times New Roman"/>
                <w:color w:val="000000"/>
                <w:sz w:val="21"/>
                <w:szCs w:val="21"/>
              </w:rPr>
            </w:pPr>
          </w:p>
        </w:tc>
        <w:tc>
          <w:tcPr>
            <w:tcW w:w="640" w:type="dxa"/>
            <w:noWrap/>
            <w:vAlign w:val="center"/>
          </w:tcPr>
          <w:p w14:paraId="0F895772">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5</w:t>
            </w:r>
          </w:p>
        </w:tc>
      </w:tr>
      <w:tr w14:paraId="6E02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639" w:type="dxa"/>
            <w:vMerge w:val="restart"/>
            <w:noWrap w:val="0"/>
            <w:vAlign w:val="center"/>
          </w:tcPr>
          <w:p w14:paraId="7DDF5F0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27" w:type="dxa"/>
            <w:vMerge w:val="restart"/>
            <w:noWrap w:val="0"/>
            <w:vAlign w:val="center"/>
          </w:tcPr>
          <w:p w14:paraId="74EC8A4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27" w:type="dxa"/>
            <w:vMerge w:val="restart"/>
            <w:noWrap w:val="0"/>
            <w:vAlign w:val="center"/>
          </w:tcPr>
          <w:p w14:paraId="2DF6E00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680" w:type="dxa"/>
            <w:noWrap w:val="0"/>
            <w:vAlign w:val="center"/>
          </w:tcPr>
          <w:p w14:paraId="3E15C413">
            <w:pPr>
              <w:snapToGrid w:val="0"/>
              <w:spacing w:line="240" w:lineRule="atLeast"/>
              <w:jc w:val="both"/>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帮扶人口不返贫率</w:t>
            </w:r>
          </w:p>
        </w:tc>
        <w:tc>
          <w:tcPr>
            <w:tcW w:w="480" w:type="dxa"/>
            <w:noWrap w:val="0"/>
            <w:vAlign w:val="center"/>
          </w:tcPr>
          <w:p w14:paraId="5AD8041E">
            <w:pPr>
              <w:snapToGrid w:val="0"/>
              <w:spacing w:line="240" w:lineRule="atLeast"/>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c>
          <w:tcPr>
            <w:tcW w:w="460" w:type="dxa"/>
            <w:noWrap w:val="0"/>
            <w:vAlign w:val="center"/>
          </w:tcPr>
          <w:p w14:paraId="65221C1C">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480" w:type="dxa"/>
            <w:noWrap w:val="0"/>
            <w:vAlign w:val="center"/>
          </w:tcPr>
          <w:p w14:paraId="3DAA2A0C">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1010" w:type="dxa"/>
            <w:noWrap w:val="0"/>
            <w:vAlign w:val="center"/>
          </w:tcPr>
          <w:p w14:paraId="0EB72ECC">
            <w:pPr>
              <w:snapToGrid w:val="0"/>
              <w:spacing w:line="240" w:lineRule="atLeast"/>
              <w:rPr>
                <w:rFonts w:hint="default" w:ascii="Times New Roman" w:hAnsi="Times New Roman"/>
                <w:color w:val="000000"/>
                <w:sz w:val="21"/>
                <w:szCs w:val="21"/>
              </w:rPr>
            </w:pPr>
          </w:p>
        </w:tc>
        <w:tc>
          <w:tcPr>
            <w:tcW w:w="846" w:type="dxa"/>
            <w:vMerge w:val="restart"/>
            <w:noWrap w:val="0"/>
            <w:vAlign w:val="center"/>
          </w:tcPr>
          <w:p w14:paraId="7AB1CA7B">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57B2E75B">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50A6FA66">
            <w:pPr>
              <w:snapToGrid w:val="0"/>
              <w:spacing w:line="240" w:lineRule="atLeast"/>
              <w:rPr>
                <w:rFonts w:hint="default" w:ascii="Times New Roman" w:hAnsi="Times New Roman"/>
                <w:color w:val="000000"/>
                <w:sz w:val="21"/>
                <w:szCs w:val="21"/>
              </w:rPr>
            </w:pPr>
          </w:p>
        </w:tc>
        <w:tc>
          <w:tcPr>
            <w:tcW w:w="427" w:type="dxa"/>
            <w:vMerge w:val="restart"/>
            <w:noWrap w:val="0"/>
            <w:vAlign w:val="center"/>
          </w:tcPr>
          <w:p w14:paraId="0A51E6E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vMerge w:val="restart"/>
            <w:noWrap w:val="0"/>
            <w:vAlign w:val="center"/>
          </w:tcPr>
          <w:p w14:paraId="0BED865F">
            <w:pPr>
              <w:snapToGrid w:val="0"/>
              <w:spacing w:line="240" w:lineRule="atLeast"/>
              <w:rPr>
                <w:rFonts w:hint="default" w:ascii="Times New Roman" w:hAnsi="Times New Roman"/>
                <w:color w:val="000000"/>
                <w:sz w:val="21"/>
                <w:szCs w:val="21"/>
              </w:rPr>
            </w:pPr>
          </w:p>
        </w:tc>
        <w:tc>
          <w:tcPr>
            <w:tcW w:w="427" w:type="dxa"/>
            <w:vMerge w:val="restart"/>
            <w:noWrap w:val="0"/>
            <w:vAlign w:val="center"/>
          </w:tcPr>
          <w:p w14:paraId="2CE0E88B">
            <w:pPr>
              <w:snapToGrid w:val="0"/>
              <w:spacing w:line="240" w:lineRule="atLeast"/>
              <w:rPr>
                <w:rFonts w:hint="default" w:ascii="Times New Roman" w:hAnsi="Times New Roman"/>
                <w:color w:val="000000"/>
                <w:sz w:val="21"/>
                <w:szCs w:val="21"/>
              </w:rPr>
            </w:pPr>
          </w:p>
        </w:tc>
        <w:tc>
          <w:tcPr>
            <w:tcW w:w="427" w:type="dxa"/>
            <w:noWrap/>
            <w:vAlign w:val="center"/>
          </w:tcPr>
          <w:p w14:paraId="19C953FA">
            <w:pPr>
              <w:snapToGrid w:val="0"/>
              <w:spacing w:line="240" w:lineRule="atLeast"/>
              <w:rPr>
                <w:rFonts w:hint="default" w:ascii="Times New Roman" w:hAnsi="Times New Roman"/>
                <w:color w:val="000000"/>
                <w:sz w:val="21"/>
                <w:szCs w:val="21"/>
              </w:rPr>
            </w:pPr>
          </w:p>
        </w:tc>
        <w:tc>
          <w:tcPr>
            <w:tcW w:w="427" w:type="dxa"/>
            <w:noWrap/>
            <w:vAlign w:val="center"/>
          </w:tcPr>
          <w:p w14:paraId="2BB2264E">
            <w:pPr>
              <w:snapToGrid w:val="0"/>
              <w:spacing w:line="240" w:lineRule="atLeast"/>
              <w:rPr>
                <w:rFonts w:hint="default" w:ascii="Times New Roman" w:hAnsi="Times New Roman"/>
                <w:color w:val="000000"/>
                <w:sz w:val="21"/>
                <w:szCs w:val="21"/>
              </w:rPr>
            </w:pPr>
          </w:p>
        </w:tc>
        <w:tc>
          <w:tcPr>
            <w:tcW w:w="427" w:type="dxa"/>
            <w:noWrap/>
            <w:vAlign w:val="center"/>
          </w:tcPr>
          <w:p w14:paraId="2AFF636A">
            <w:pPr>
              <w:snapToGrid w:val="0"/>
              <w:spacing w:line="240" w:lineRule="atLeast"/>
              <w:rPr>
                <w:rFonts w:hint="default" w:ascii="Times New Roman" w:hAnsi="Times New Roman"/>
                <w:color w:val="000000"/>
                <w:sz w:val="21"/>
                <w:szCs w:val="21"/>
              </w:rPr>
            </w:pPr>
          </w:p>
        </w:tc>
        <w:tc>
          <w:tcPr>
            <w:tcW w:w="1083" w:type="dxa"/>
            <w:noWrap/>
            <w:vAlign w:val="center"/>
          </w:tcPr>
          <w:p w14:paraId="0812027E">
            <w:pPr>
              <w:snapToGrid w:val="0"/>
              <w:spacing w:line="240" w:lineRule="atLeast"/>
              <w:rPr>
                <w:rFonts w:hint="default" w:ascii="Times New Roman" w:hAnsi="Times New Roman"/>
                <w:color w:val="000000"/>
                <w:sz w:val="21"/>
                <w:szCs w:val="21"/>
              </w:rPr>
            </w:pPr>
          </w:p>
        </w:tc>
        <w:tc>
          <w:tcPr>
            <w:tcW w:w="640" w:type="dxa"/>
            <w:noWrap/>
            <w:vAlign w:val="center"/>
          </w:tcPr>
          <w:p w14:paraId="70D13BDC">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r>
      <w:tr w14:paraId="678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70D5A379">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8358514">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50CF337">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317507E4">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助推理县脱贫及向乡村振兴转变有效衔接率</w:t>
            </w:r>
          </w:p>
        </w:tc>
        <w:tc>
          <w:tcPr>
            <w:tcW w:w="480" w:type="dxa"/>
            <w:noWrap w:val="0"/>
            <w:vAlign w:val="center"/>
          </w:tcPr>
          <w:p w14:paraId="1790A331">
            <w:pPr>
              <w:snapToGrid w:val="0"/>
              <w:spacing w:line="240" w:lineRule="atLeast"/>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c>
          <w:tcPr>
            <w:tcW w:w="460" w:type="dxa"/>
            <w:noWrap w:val="0"/>
            <w:vAlign w:val="center"/>
          </w:tcPr>
          <w:p w14:paraId="06C8B65C">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480" w:type="dxa"/>
            <w:noWrap w:val="0"/>
            <w:vAlign w:val="center"/>
          </w:tcPr>
          <w:p w14:paraId="29204E58">
            <w:pPr>
              <w:snapToGrid w:val="0"/>
              <w:spacing w:line="240" w:lineRule="atLeast"/>
              <w:jc w:val="center"/>
              <w:rPr>
                <w:rFonts w:hint="default" w:ascii="Times New Roman" w:hAnsi="Times New Roman" w:eastAsia="仿宋_GB2312"/>
                <w:color w:val="000000"/>
                <w:kern w:val="2"/>
                <w:sz w:val="21"/>
                <w:szCs w:val="21"/>
                <w:lang w:val="en-US" w:eastAsia="zh-CN" w:bidi="ar-SA"/>
              </w:rPr>
            </w:pPr>
            <w:r>
              <w:rPr>
                <w:rFonts w:hint="default" w:ascii="Times New Roman" w:hAnsi="Times New Roman"/>
                <w:color w:val="000000"/>
                <w:sz w:val="21"/>
                <w:szCs w:val="21"/>
                <w:lang w:bidi="ar"/>
              </w:rPr>
              <w:t>100%</w:t>
            </w:r>
          </w:p>
        </w:tc>
        <w:tc>
          <w:tcPr>
            <w:tcW w:w="1010" w:type="dxa"/>
            <w:noWrap w:val="0"/>
            <w:vAlign w:val="center"/>
          </w:tcPr>
          <w:p w14:paraId="73C3AA31">
            <w:pPr>
              <w:snapToGrid w:val="0"/>
              <w:spacing w:line="240" w:lineRule="atLeast"/>
              <w:rPr>
                <w:rFonts w:hint="default" w:ascii="Times New Roman" w:hAnsi="Times New Roman"/>
                <w:color w:val="000000"/>
                <w:sz w:val="21"/>
                <w:szCs w:val="21"/>
              </w:rPr>
            </w:pPr>
          </w:p>
        </w:tc>
        <w:tc>
          <w:tcPr>
            <w:tcW w:w="846" w:type="dxa"/>
            <w:vMerge w:val="continue"/>
            <w:noWrap w:val="0"/>
            <w:vAlign w:val="center"/>
          </w:tcPr>
          <w:p w14:paraId="5E417F6C">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00B615A5">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38C57F55">
            <w:pPr>
              <w:snapToGrid w:val="0"/>
              <w:spacing w:line="240" w:lineRule="atLeast"/>
              <w:rPr>
                <w:rFonts w:hint="default" w:ascii="Times New Roman" w:hAnsi="Times New Roman"/>
                <w:color w:val="000000"/>
                <w:sz w:val="21"/>
                <w:szCs w:val="21"/>
              </w:rPr>
            </w:pPr>
          </w:p>
        </w:tc>
        <w:tc>
          <w:tcPr>
            <w:tcW w:w="427" w:type="dxa"/>
            <w:vMerge w:val="continue"/>
            <w:noWrap w:val="0"/>
            <w:vAlign w:val="center"/>
          </w:tcPr>
          <w:p w14:paraId="6D390F2D">
            <w:pPr>
              <w:snapToGrid w:val="0"/>
              <w:spacing w:line="240" w:lineRule="atLeast"/>
              <w:jc w:val="center"/>
              <w:rPr>
                <w:rFonts w:hint="default" w:ascii="Times New Roman" w:hAnsi="Times New Roman"/>
                <w:color w:val="000000"/>
                <w:sz w:val="21"/>
                <w:szCs w:val="21"/>
              </w:rPr>
            </w:pPr>
          </w:p>
        </w:tc>
        <w:tc>
          <w:tcPr>
            <w:tcW w:w="427" w:type="dxa"/>
            <w:vMerge w:val="continue"/>
            <w:noWrap w:val="0"/>
            <w:vAlign w:val="center"/>
          </w:tcPr>
          <w:p w14:paraId="3771F5FC">
            <w:pPr>
              <w:snapToGrid w:val="0"/>
              <w:spacing w:line="240" w:lineRule="atLeast"/>
              <w:rPr>
                <w:rFonts w:hint="default" w:ascii="Times New Roman" w:hAnsi="Times New Roman"/>
                <w:color w:val="000000"/>
                <w:sz w:val="21"/>
                <w:szCs w:val="21"/>
              </w:rPr>
            </w:pPr>
          </w:p>
        </w:tc>
        <w:tc>
          <w:tcPr>
            <w:tcW w:w="427" w:type="dxa"/>
            <w:vMerge w:val="continue"/>
            <w:noWrap w:val="0"/>
            <w:vAlign w:val="center"/>
          </w:tcPr>
          <w:p w14:paraId="0B3A29EE">
            <w:pPr>
              <w:snapToGrid w:val="0"/>
              <w:spacing w:line="240" w:lineRule="atLeast"/>
              <w:rPr>
                <w:rFonts w:hint="default" w:ascii="Times New Roman" w:hAnsi="Times New Roman"/>
                <w:color w:val="000000"/>
                <w:sz w:val="21"/>
                <w:szCs w:val="21"/>
              </w:rPr>
            </w:pPr>
          </w:p>
        </w:tc>
        <w:tc>
          <w:tcPr>
            <w:tcW w:w="427" w:type="dxa"/>
            <w:noWrap/>
            <w:vAlign w:val="center"/>
          </w:tcPr>
          <w:p w14:paraId="02EE5A2F">
            <w:pPr>
              <w:snapToGrid w:val="0"/>
              <w:spacing w:line="240" w:lineRule="atLeast"/>
              <w:rPr>
                <w:rFonts w:hint="default" w:ascii="Times New Roman" w:hAnsi="Times New Roman"/>
                <w:color w:val="000000"/>
                <w:sz w:val="21"/>
                <w:szCs w:val="21"/>
              </w:rPr>
            </w:pPr>
          </w:p>
        </w:tc>
        <w:tc>
          <w:tcPr>
            <w:tcW w:w="427" w:type="dxa"/>
            <w:noWrap/>
            <w:vAlign w:val="center"/>
          </w:tcPr>
          <w:p w14:paraId="042B18F8">
            <w:pPr>
              <w:snapToGrid w:val="0"/>
              <w:spacing w:line="240" w:lineRule="atLeast"/>
              <w:rPr>
                <w:rFonts w:hint="default" w:ascii="Times New Roman" w:hAnsi="Times New Roman"/>
                <w:color w:val="000000"/>
                <w:sz w:val="21"/>
                <w:szCs w:val="21"/>
              </w:rPr>
            </w:pPr>
          </w:p>
        </w:tc>
        <w:tc>
          <w:tcPr>
            <w:tcW w:w="427" w:type="dxa"/>
            <w:noWrap/>
            <w:vAlign w:val="center"/>
          </w:tcPr>
          <w:p w14:paraId="7D49CCC9">
            <w:pPr>
              <w:snapToGrid w:val="0"/>
              <w:spacing w:line="240" w:lineRule="atLeast"/>
              <w:rPr>
                <w:rFonts w:hint="default" w:ascii="Times New Roman" w:hAnsi="Times New Roman"/>
                <w:color w:val="000000"/>
                <w:sz w:val="21"/>
                <w:szCs w:val="21"/>
              </w:rPr>
            </w:pPr>
          </w:p>
        </w:tc>
        <w:tc>
          <w:tcPr>
            <w:tcW w:w="1083" w:type="dxa"/>
            <w:noWrap/>
            <w:vAlign w:val="center"/>
          </w:tcPr>
          <w:p w14:paraId="1982F967">
            <w:pPr>
              <w:snapToGrid w:val="0"/>
              <w:spacing w:line="240" w:lineRule="atLeast"/>
              <w:rPr>
                <w:rFonts w:hint="default" w:ascii="Times New Roman" w:hAnsi="Times New Roman"/>
                <w:color w:val="000000"/>
                <w:sz w:val="21"/>
                <w:szCs w:val="21"/>
              </w:rPr>
            </w:pPr>
          </w:p>
        </w:tc>
        <w:tc>
          <w:tcPr>
            <w:tcW w:w="640" w:type="dxa"/>
            <w:noWrap/>
            <w:vAlign w:val="center"/>
          </w:tcPr>
          <w:p w14:paraId="6604507E">
            <w:pPr>
              <w:snapToGrid w:val="0"/>
              <w:spacing w:line="240" w:lineRule="atLeast"/>
              <w:jc w:val="center"/>
              <w:rPr>
                <w:rFonts w:hint="eastAsia"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25</w:t>
            </w:r>
          </w:p>
        </w:tc>
      </w:tr>
      <w:tr w14:paraId="47CF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9" w:type="dxa"/>
            <w:vMerge w:val="continue"/>
            <w:noWrap w:val="0"/>
            <w:vAlign w:val="center"/>
          </w:tcPr>
          <w:p w14:paraId="46486909">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130E48D">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3A6D4A79">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经济效益</w:t>
            </w:r>
          </w:p>
        </w:tc>
        <w:tc>
          <w:tcPr>
            <w:tcW w:w="680" w:type="dxa"/>
            <w:noWrap w:val="0"/>
            <w:vAlign w:val="center"/>
          </w:tcPr>
          <w:p w14:paraId="5AFA74A4">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3EA72E01">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7DF323DC">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13FE3F09">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6D9B7A4C">
            <w:pPr>
              <w:snapToGrid w:val="0"/>
              <w:spacing w:line="240" w:lineRule="atLeast"/>
              <w:rPr>
                <w:rFonts w:hint="default" w:ascii="Times New Roman" w:hAnsi="Times New Roman"/>
                <w:color w:val="000000"/>
                <w:sz w:val="21"/>
                <w:szCs w:val="21"/>
              </w:rPr>
            </w:pPr>
          </w:p>
        </w:tc>
        <w:tc>
          <w:tcPr>
            <w:tcW w:w="846" w:type="dxa"/>
            <w:noWrap w:val="0"/>
            <w:vAlign w:val="center"/>
          </w:tcPr>
          <w:p w14:paraId="281320FC">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49150179">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3DFBB30A">
            <w:pPr>
              <w:snapToGrid w:val="0"/>
              <w:spacing w:line="240" w:lineRule="atLeast"/>
              <w:rPr>
                <w:rFonts w:hint="default" w:ascii="Times New Roman" w:hAnsi="Times New Roman"/>
                <w:color w:val="000000"/>
                <w:sz w:val="21"/>
                <w:szCs w:val="21"/>
              </w:rPr>
            </w:pPr>
          </w:p>
        </w:tc>
        <w:tc>
          <w:tcPr>
            <w:tcW w:w="427" w:type="dxa"/>
            <w:noWrap w:val="0"/>
            <w:vAlign w:val="center"/>
          </w:tcPr>
          <w:p w14:paraId="621B3F27">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46CCF88C">
            <w:pPr>
              <w:snapToGrid w:val="0"/>
              <w:spacing w:line="240" w:lineRule="atLeast"/>
              <w:rPr>
                <w:rFonts w:hint="default" w:ascii="Times New Roman" w:hAnsi="Times New Roman"/>
                <w:color w:val="000000"/>
                <w:sz w:val="21"/>
                <w:szCs w:val="21"/>
              </w:rPr>
            </w:pPr>
          </w:p>
        </w:tc>
        <w:tc>
          <w:tcPr>
            <w:tcW w:w="427" w:type="dxa"/>
            <w:noWrap w:val="0"/>
            <w:vAlign w:val="center"/>
          </w:tcPr>
          <w:p w14:paraId="178ECA92">
            <w:pPr>
              <w:snapToGrid w:val="0"/>
              <w:spacing w:line="240" w:lineRule="atLeast"/>
              <w:rPr>
                <w:rFonts w:hint="default" w:ascii="Times New Roman" w:hAnsi="Times New Roman"/>
                <w:color w:val="000000"/>
                <w:sz w:val="21"/>
                <w:szCs w:val="21"/>
              </w:rPr>
            </w:pPr>
          </w:p>
        </w:tc>
        <w:tc>
          <w:tcPr>
            <w:tcW w:w="427" w:type="dxa"/>
            <w:noWrap/>
            <w:vAlign w:val="center"/>
          </w:tcPr>
          <w:p w14:paraId="79072813">
            <w:pPr>
              <w:snapToGrid w:val="0"/>
              <w:spacing w:line="240" w:lineRule="atLeast"/>
              <w:rPr>
                <w:rFonts w:hint="default" w:ascii="Times New Roman" w:hAnsi="Times New Roman"/>
                <w:color w:val="000000"/>
                <w:sz w:val="21"/>
                <w:szCs w:val="21"/>
              </w:rPr>
            </w:pPr>
          </w:p>
        </w:tc>
        <w:tc>
          <w:tcPr>
            <w:tcW w:w="427" w:type="dxa"/>
            <w:noWrap/>
            <w:vAlign w:val="center"/>
          </w:tcPr>
          <w:p w14:paraId="0FA454D1">
            <w:pPr>
              <w:snapToGrid w:val="0"/>
              <w:spacing w:line="240" w:lineRule="atLeast"/>
              <w:rPr>
                <w:rFonts w:hint="default" w:ascii="Times New Roman" w:hAnsi="Times New Roman"/>
                <w:color w:val="000000"/>
                <w:sz w:val="21"/>
                <w:szCs w:val="21"/>
              </w:rPr>
            </w:pPr>
          </w:p>
        </w:tc>
        <w:tc>
          <w:tcPr>
            <w:tcW w:w="427" w:type="dxa"/>
            <w:noWrap/>
            <w:vAlign w:val="center"/>
          </w:tcPr>
          <w:p w14:paraId="2760E2DA">
            <w:pPr>
              <w:snapToGrid w:val="0"/>
              <w:spacing w:line="240" w:lineRule="atLeast"/>
              <w:rPr>
                <w:rFonts w:hint="default" w:ascii="Times New Roman" w:hAnsi="Times New Roman"/>
                <w:color w:val="000000"/>
                <w:sz w:val="21"/>
                <w:szCs w:val="21"/>
              </w:rPr>
            </w:pPr>
          </w:p>
        </w:tc>
        <w:tc>
          <w:tcPr>
            <w:tcW w:w="1083" w:type="dxa"/>
            <w:noWrap/>
            <w:vAlign w:val="center"/>
          </w:tcPr>
          <w:p w14:paraId="384184C3">
            <w:pPr>
              <w:snapToGrid w:val="0"/>
              <w:spacing w:line="240" w:lineRule="atLeast"/>
              <w:rPr>
                <w:rFonts w:hint="default" w:ascii="Times New Roman" w:hAnsi="Times New Roman"/>
                <w:color w:val="000000"/>
                <w:sz w:val="21"/>
                <w:szCs w:val="21"/>
              </w:rPr>
            </w:pPr>
          </w:p>
        </w:tc>
        <w:tc>
          <w:tcPr>
            <w:tcW w:w="640" w:type="dxa"/>
            <w:noWrap/>
            <w:vAlign w:val="center"/>
          </w:tcPr>
          <w:p w14:paraId="2334E4A6">
            <w:pPr>
              <w:snapToGrid w:val="0"/>
              <w:spacing w:line="240" w:lineRule="atLeast"/>
              <w:rPr>
                <w:rFonts w:hint="default" w:ascii="Times New Roman" w:hAnsi="Times New Roman"/>
                <w:color w:val="000000"/>
                <w:sz w:val="21"/>
                <w:szCs w:val="21"/>
              </w:rPr>
            </w:pPr>
          </w:p>
        </w:tc>
      </w:tr>
      <w:tr w14:paraId="756B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649821F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2642A75">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FB91858">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07198CEF">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5F45FC21">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2CC4BBD6">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215A0028">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628FFE9B">
            <w:pPr>
              <w:snapToGrid w:val="0"/>
              <w:spacing w:line="240" w:lineRule="atLeast"/>
              <w:rPr>
                <w:rFonts w:hint="default" w:ascii="Times New Roman" w:hAnsi="Times New Roman"/>
                <w:color w:val="000000"/>
                <w:sz w:val="21"/>
                <w:szCs w:val="21"/>
              </w:rPr>
            </w:pPr>
          </w:p>
        </w:tc>
        <w:tc>
          <w:tcPr>
            <w:tcW w:w="846" w:type="dxa"/>
            <w:noWrap w:val="0"/>
            <w:vAlign w:val="center"/>
          </w:tcPr>
          <w:p w14:paraId="466D675B">
            <w:pPr>
              <w:snapToGrid w:val="0"/>
              <w:spacing w:line="240" w:lineRule="atLeast"/>
              <w:jc w:val="center"/>
              <w:rPr>
                <w:rFonts w:hint="default" w:ascii="Times New Roman" w:hAnsi="Times New Roman"/>
                <w:color w:val="000000"/>
                <w:sz w:val="21"/>
                <w:szCs w:val="21"/>
              </w:rPr>
            </w:pPr>
          </w:p>
        </w:tc>
        <w:tc>
          <w:tcPr>
            <w:tcW w:w="2454" w:type="dxa"/>
            <w:gridSpan w:val="5"/>
            <w:noWrap w:val="0"/>
            <w:vAlign w:val="center"/>
          </w:tcPr>
          <w:p w14:paraId="3CBE2237">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7992BAC9">
            <w:pPr>
              <w:snapToGrid w:val="0"/>
              <w:spacing w:line="240" w:lineRule="atLeast"/>
              <w:rPr>
                <w:rFonts w:hint="default" w:ascii="Times New Roman" w:hAnsi="Times New Roman"/>
                <w:color w:val="000000"/>
                <w:sz w:val="21"/>
                <w:szCs w:val="21"/>
              </w:rPr>
            </w:pPr>
          </w:p>
        </w:tc>
        <w:tc>
          <w:tcPr>
            <w:tcW w:w="427" w:type="dxa"/>
            <w:noWrap w:val="0"/>
            <w:vAlign w:val="center"/>
          </w:tcPr>
          <w:p w14:paraId="16441AA1">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89C1710">
            <w:pPr>
              <w:snapToGrid w:val="0"/>
              <w:spacing w:line="240" w:lineRule="atLeast"/>
              <w:rPr>
                <w:rFonts w:hint="default" w:ascii="Times New Roman" w:hAnsi="Times New Roman"/>
                <w:color w:val="000000"/>
                <w:sz w:val="21"/>
                <w:szCs w:val="21"/>
              </w:rPr>
            </w:pPr>
          </w:p>
        </w:tc>
        <w:tc>
          <w:tcPr>
            <w:tcW w:w="427" w:type="dxa"/>
            <w:noWrap w:val="0"/>
            <w:vAlign w:val="center"/>
          </w:tcPr>
          <w:p w14:paraId="2F08B347">
            <w:pPr>
              <w:snapToGrid w:val="0"/>
              <w:spacing w:line="240" w:lineRule="atLeast"/>
              <w:rPr>
                <w:rFonts w:hint="default" w:ascii="Times New Roman" w:hAnsi="Times New Roman"/>
                <w:color w:val="000000"/>
                <w:sz w:val="21"/>
                <w:szCs w:val="21"/>
              </w:rPr>
            </w:pPr>
          </w:p>
        </w:tc>
        <w:tc>
          <w:tcPr>
            <w:tcW w:w="427" w:type="dxa"/>
            <w:noWrap/>
            <w:vAlign w:val="center"/>
          </w:tcPr>
          <w:p w14:paraId="38A8306A">
            <w:pPr>
              <w:snapToGrid w:val="0"/>
              <w:spacing w:line="240" w:lineRule="atLeast"/>
              <w:rPr>
                <w:rFonts w:hint="default" w:ascii="Times New Roman" w:hAnsi="Times New Roman"/>
                <w:color w:val="000000"/>
                <w:sz w:val="21"/>
                <w:szCs w:val="21"/>
              </w:rPr>
            </w:pPr>
          </w:p>
        </w:tc>
        <w:tc>
          <w:tcPr>
            <w:tcW w:w="427" w:type="dxa"/>
            <w:noWrap/>
            <w:vAlign w:val="center"/>
          </w:tcPr>
          <w:p w14:paraId="268AE9BF">
            <w:pPr>
              <w:snapToGrid w:val="0"/>
              <w:spacing w:line="240" w:lineRule="atLeast"/>
              <w:rPr>
                <w:rFonts w:hint="default" w:ascii="Times New Roman" w:hAnsi="Times New Roman"/>
                <w:color w:val="000000"/>
                <w:sz w:val="21"/>
                <w:szCs w:val="21"/>
              </w:rPr>
            </w:pPr>
          </w:p>
        </w:tc>
        <w:tc>
          <w:tcPr>
            <w:tcW w:w="427" w:type="dxa"/>
            <w:noWrap/>
            <w:vAlign w:val="center"/>
          </w:tcPr>
          <w:p w14:paraId="2E0704B5">
            <w:pPr>
              <w:snapToGrid w:val="0"/>
              <w:spacing w:line="240" w:lineRule="atLeast"/>
              <w:rPr>
                <w:rFonts w:hint="default" w:ascii="Times New Roman" w:hAnsi="Times New Roman"/>
                <w:color w:val="000000"/>
                <w:sz w:val="21"/>
                <w:szCs w:val="21"/>
              </w:rPr>
            </w:pPr>
          </w:p>
        </w:tc>
        <w:tc>
          <w:tcPr>
            <w:tcW w:w="1083" w:type="dxa"/>
            <w:noWrap/>
            <w:vAlign w:val="center"/>
          </w:tcPr>
          <w:p w14:paraId="6495113D">
            <w:pPr>
              <w:snapToGrid w:val="0"/>
              <w:spacing w:line="240" w:lineRule="atLeast"/>
              <w:rPr>
                <w:rFonts w:hint="default" w:ascii="Times New Roman" w:hAnsi="Times New Roman"/>
                <w:color w:val="000000"/>
                <w:sz w:val="21"/>
                <w:szCs w:val="21"/>
              </w:rPr>
            </w:pPr>
          </w:p>
        </w:tc>
        <w:tc>
          <w:tcPr>
            <w:tcW w:w="640" w:type="dxa"/>
            <w:noWrap/>
            <w:vAlign w:val="center"/>
          </w:tcPr>
          <w:p w14:paraId="73498ED2">
            <w:pPr>
              <w:snapToGrid w:val="0"/>
              <w:spacing w:line="240" w:lineRule="atLeast"/>
              <w:rPr>
                <w:rFonts w:hint="default" w:ascii="Times New Roman" w:hAnsi="Times New Roman"/>
                <w:color w:val="000000"/>
                <w:sz w:val="21"/>
                <w:szCs w:val="21"/>
              </w:rPr>
            </w:pPr>
          </w:p>
        </w:tc>
      </w:tr>
      <w:tr w14:paraId="2F2D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07F9E67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780EE88">
            <w:pPr>
              <w:snapToGrid w:val="0"/>
              <w:spacing w:line="240" w:lineRule="atLeast"/>
              <w:jc w:val="center"/>
              <w:rPr>
                <w:rFonts w:hint="default" w:ascii="Times New Roman" w:hAnsi="Times New Roman"/>
                <w:b/>
                <w:bCs/>
                <w:color w:val="000000"/>
                <w:sz w:val="21"/>
                <w:szCs w:val="21"/>
              </w:rPr>
            </w:pPr>
          </w:p>
        </w:tc>
        <w:tc>
          <w:tcPr>
            <w:tcW w:w="427" w:type="dxa"/>
            <w:vMerge w:val="restart"/>
            <w:noWrap w:val="0"/>
            <w:vAlign w:val="center"/>
          </w:tcPr>
          <w:p w14:paraId="58BC10A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生态效益</w:t>
            </w:r>
          </w:p>
        </w:tc>
        <w:tc>
          <w:tcPr>
            <w:tcW w:w="680" w:type="dxa"/>
            <w:noWrap w:val="0"/>
            <w:vAlign w:val="center"/>
          </w:tcPr>
          <w:p w14:paraId="46F4D56C">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109BD4DE">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1D81FFC4">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0A4A48E0">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24C5EF33">
            <w:pPr>
              <w:snapToGrid w:val="0"/>
              <w:spacing w:line="240" w:lineRule="atLeast"/>
              <w:rPr>
                <w:rFonts w:hint="default" w:ascii="Times New Roman" w:hAnsi="Times New Roman"/>
                <w:color w:val="000000"/>
                <w:sz w:val="21"/>
                <w:szCs w:val="21"/>
              </w:rPr>
            </w:pPr>
          </w:p>
        </w:tc>
        <w:tc>
          <w:tcPr>
            <w:tcW w:w="846" w:type="dxa"/>
            <w:noWrap w:val="0"/>
            <w:vAlign w:val="center"/>
          </w:tcPr>
          <w:p w14:paraId="58D8CCDD">
            <w:pPr>
              <w:snapToGrid w:val="0"/>
              <w:spacing w:line="240" w:lineRule="atLeast"/>
              <w:rPr>
                <w:rFonts w:hint="default" w:ascii="Times New Roman" w:hAnsi="Times New Roman"/>
                <w:color w:val="000000"/>
                <w:sz w:val="21"/>
                <w:szCs w:val="21"/>
              </w:rPr>
            </w:pPr>
          </w:p>
        </w:tc>
        <w:tc>
          <w:tcPr>
            <w:tcW w:w="2454" w:type="dxa"/>
            <w:gridSpan w:val="5"/>
            <w:noWrap w:val="0"/>
            <w:vAlign w:val="center"/>
          </w:tcPr>
          <w:p w14:paraId="4A5A13A9">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5E17FB76">
            <w:pPr>
              <w:snapToGrid w:val="0"/>
              <w:spacing w:line="240" w:lineRule="atLeast"/>
              <w:rPr>
                <w:rFonts w:hint="default" w:ascii="Times New Roman" w:hAnsi="Times New Roman"/>
                <w:color w:val="000000"/>
                <w:sz w:val="21"/>
                <w:szCs w:val="21"/>
              </w:rPr>
            </w:pPr>
          </w:p>
        </w:tc>
        <w:tc>
          <w:tcPr>
            <w:tcW w:w="427" w:type="dxa"/>
            <w:noWrap w:val="0"/>
            <w:vAlign w:val="center"/>
          </w:tcPr>
          <w:p w14:paraId="49347457">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638FD07">
            <w:pPr>
              <w:snapToGrid w:val="0"/>
              <w:spacing w:line="240" w:lineRule="atLeast"/>
              <w:rPr>
                <w:rFonts w:hint="default" w:ascii="Times New Roman" w:hAnsi="Times New Roman"/>
                <w:color w:val="000000"/>
                <w:sz w:val="21"/>
                <w:szCs w:val="21"/>
              </w:rPr>
            </w:pPr>
          </w:p>
        </w:tc>
        <w:tc>
          <w:tcPr>
            <w:tcW w:w="427" w:type="dxa"/>
            <w:noWrap w:val="0"/>
            <w:vAlign w:val="center"/>
          </w:tcPr>
          <w:p w14:paraId="3FC6F3D3">
            <w:pPr>
              <w:snapToGrid w:val="0"/>
              <w:spacing w:line="240" w:lineRule="atLeast"/>
              <w:rPr>
                <w:rFonts w:hint="default" w:ascii="Times New Roman" w:hAnsi="Times New Roman"/>
                <w:color w:val="000000"/>
                <w:sz w:val="21"/>
                <w:szCs w:val="21"/>
              </w:rPr>
            </w:pPr>
          </w:p>
        </w:tc>
        <w:tc>
          <w:tcPr>
            <w:tcW w:w="427" w:type="dxa"/>
            <w:noWrap/>
            <w:vAlign w:val="center"/>
          </w:tcPr>
          <w:p w14:paraId="09C5D7F3">
            <w:pPr>
              <w:snapToGrid w:val="0"/>
              <w:spacing w:line="240" w:lineRule="atLeast"/>
              <w:rPr>
                <w:rFonts w:hint="default" w:ascii="Times New Roman" w:hAnsi="Times New Roman"/>
                <w:color w:val="000000"/>
                <w:sz w:val="21"/>
                <w:szCs w:val="21"/>
              </w:rPr>
            </w:pPr>
          </w:p>
        </w:tc>
        <w:tc>
          <w:tcPr>
            <w:tcW w:w="427" w:type="dxa"/>
            <w:noWrap/>
            <w:vAlign w:val="center"/>
          </w:tcPr>
          <w:p w14:paraId="70BB8B24">
            <w:pPr>
              <w:snapToGrid w:val="0"/>
              <w:spacing w:line="240" w:lineRule="atLeast"/>
              <w:rPr>
                <w:rFonts w:hint="default" w:ascii="Times New Roman" w:hAnsi="Times New Roman"/>
                <w:color w:val="000000"/>
                <w:sz w:val="21"/>
                <w:szCs w:val="21"/>
              </w:rPr>
            </w:pPr>
          </w:p>
        </w:tc>
        <w:tc>
          <w:tcPr>
            <w:tcW w:w="427" w:type="dxa"/>
            <w:noWrap/>
            <w:vAlign w:val="center"/>
          </w:tcPr>
          <w:p w14:paraId="64E3653C">
            <w:pPr>
              <w:snapToGrid w:val="0"/>
              <w:spacing w:line="240" w:lineRule="atLeast"/>
              <w:rPr>
                <w:rFonts w:hint="default" w:ascii="Times New Roman" w:hAnsi="Times New Roman"/>
                <w:color w:val="000000"/>
                <w:sz w:val="21"/>
                <w:szCs w:val="21"/>
              </w:rPr>
            </w:pPr>
          </w:p>
        </w:tc>
        <w:tc>
          <w:tcPr>
            <w:tcW w:w="1083" w:type="dxa"/>
            <w:noWrap/>
            <w:vAlign w:val="center"/>
          </w:tcPr>
          <w:p w14:paraId="0453EF4E">
            <w:pPr>
              <w:snapToGrid w:val="0"/>
              <w:spacing w:line="240" w:lineRule="atLeast"/>
              <w:rPr>
                <w:rFonts w:hint="default" w:ascii="Times New Roman" w:hAnsi="Times New Roman"/>
                <w:color w:val="000000"/>
                <w:sz w:val="21"/>
                <w:szCs w:val="21"/>
              </w:rPr>
            </w:pPr>
          </w:p>
        </w:tc>
        <w:tc>
          <w:tcPr>
            <w:tcW w:w="640" w:type="dxa"/>
            <w:noWrap/>
            <w:vAlign w:val="center"/>
          </w:tcPr>
          <w:p w14:paraId="44BC5969">
            <w:pPr>
              <w:snapToGrid w:val="0"/>
              <w:spacing w:line="240" w:lineRule="atLeast"/>
              <w:rPr>
                <w:rFonts w:hint="default" w:ascii="Times New Roman" w:hAnsi="Times New Roman"/>
                <w:color w:val="000000"/>
                <w:sz w:val="21"/>
                <w:szCs w:val="21"/>
              </w:rPr>
            </w:pPr>
          </w:p>
        </w:tc>
      </w:tr>
      <w:tr w14:paraId="2BF2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9" w:type="dxa"/>
            <w:vMerge w:val="continue"/>
            <w:noWrap w:val="0"/>
            <w:vAlign w:val="center"/>
          </w:tcPr>
          <w:p w14:paraId="5B3262FF">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943A0E9">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7ADC3D84">
            <w:pPr>
              <w:snapToGrid w:val="0"/>
              <w:spacing w:line="240" w:lineRule="atLeast"/>
              <w:jc w:val="center"/>
              <w:rPr>
                <w:rFonts w:hint="default" w:ascii="Times New Roman" w:hAnsi="Times New Roman"/>
                <w:b/>
                <w:bCs/>
                <w:color w:val="000000"/>
                <w:sz w:val="21"/>
                <w:szCs w:val="21"/>
              </w:rPr>
            </w:pPr>
          </w:p>
        </w:tc>
        <w:tc>
          <w:tcPr>
            <w:tcW w:w="680" w:type="dxa"/>
            <w:noWrap w:val="0"/>
            <w:vAlign w:val="center"/>
          </w:tcPr>
          <w:p w14:paraId="01592650">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18949C5D">
            <w:pPr>
              <w:snapToGrid w:val="0"/>
              <w:spacing w:line="240" w:lineRule="atLeast"/>
              <w:jc w:val="center"/>
              <w:rPr>
                <w:rFonts w:hint="default" w:ascii="Times New Roman" w:hAnsi="Times New Roman"/>
                <w:color w:val="000000"/>
                <w:sz w:val="21"/>
                <w:szCs w:val="21"/>
              </w:rPr>
            </w:pPr>
          </w:p>
        </w:tc>
        <w:tc>
          <w:tcPr>
            <w:tcW w:w="460" w:type="dxa"/>
            <w:noWrap w:val="0"/>
            <w:vAlign w:val="center"/>
          </w:tcPr>
          <w:p w14:paraId="52A51F07">
            <w:pPr>
              <w:snapToGrid w:val="0"/>
              <w:spacing w:line="240" w:lineRule="atLeast"/>
              <w:jc w:val="center"/>
              <w:rPr>
                <w:rFonts w:hint="default" w:ascii="Times New Roman" w:hAnsi="Times New Roman"/>
                <w:color w:val="000000"/>
                <w:sz w:val="21"/>
                <w:szCs w:val="21"/>
              </w:rPr>
            </w:pPr>
          </w:p>
        </w:tc>
        <w:tc>
          <w:tcPr>
            <w:tcW w:w="480" w:type="dxa"/>
            <w:noWrap w:val="0"/>
            <w:vAlign w:val="center"/>
          </w:tcPr>
          <w:p w14:paraId="77EA3023">
            <w:pPr>
              <w:snapToGrid w:val="0"/>
              <w:spacing w:line="240" w:lineRule="atLeast"/>
              <w:jc w:val="center"/>
              <w:rPr>
                <w:rFonts w:hint="default" w:ascii="Times New Roman" w:hAnsi="Times New Roman"/>
                <w:color w:val="000000"/>
                <w:sz w:val="21"/>
                <w:szCs w:val="21"/>
              </w:rPr>
            </w:pPr>
          </w:p>
        </w:tc>
        <w:tc>
          <w:tcPr>
            <w:tcW w:w="1010" w:type="dxa"/>
            <w:noWrap w:val="0"/>
            <w:vAlign w:val="center"/>
          </w:tcPr>
          <w:p w14:paraId="55F164B8">
            <w:pPr>
              <w:snapToGrid w:val="0"/>
              <w:spacing w:line="240" w:lineRule="atLeast"/>
              <w:rPr>
                <w:rFonts w:hint="default" w:ascii="Times New Roman" w:hAnsi="Times New Roman"/>
                <w:color w:val="000000"/>
                <w:sz w:val="21"/>
                <w:szCs w:val="21"/>
              </w:rPr>
            </w:pPr>
          </w:p>
        </w:tc>
        <w:tc>
          <w:tcPr>
            <w:tcW w:w="846" w:type="dxa"/>
            <w:noWrap w:val="0"/>
            <w:vAlign w:val="center"/>
          </w:tcPr>
          <w:p w14:paraId="57D94BE9">
            <w:pPr>
              <w:snapToGrid w:val="0"/>
              <w:spacing w:line="240" w:lineRule="atLeast"/>
              <w:rPr>
                <w:rFonts w:hint="default" w:ascii="Times New Roman" w:hAnsi="Times New Roman"/>
                <w:color w:val="000000"/>
                <w:sz w:val="21"/>
                <w:szCs w:val="21"/>
              </w:rPr>
            </w:pPr>
          </w:p>
        </w:tc>
        <w:tc>
          <w:tcPr>
            <w:tcW w:w="2454" w:type="dxa"/>
            <w:gridSpan w:val="5"/>
            <w:noWrap w:val="0"/>
            <w:vAlign w:val="center"/>
          </w:tcPr>
          <w:p w14:paraId="038CC992">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37F2E3FB">
            <w:pPr>
              <w:snapToGrid w:val="0"/>
              <w:spacing w:line="240" w:lineRule="atLeast"/>
              <w:rPr>
                <w:rFonts w:hint="default" w:ascii="Times New Roman" w:hAnsi="Times New Roman"/>
                <w:color w:val="000000"/>
                <w:sz w:val="21"/>
                <w:szCs w:val="21"/>
              </w:rPr>
            </w:pPr>
          </w:p>
        </w:tc>
        <w:tc>
          <w:tcPr>
            <w:tcW w:w="427" w:type="dxa"/>
            <w:noWrap w:val="0"/>
            <w:vAlign w:val="center"/>
          </w:tcPr>
          <w:p w14:paraId="66D1B759">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24561EB9">
            <w:pPr>
              <w:snapToGrid w:val="0"/>
              <w:spacing w:line="240" w:lineRule="atLeast"/>
              <w:rPr>
                <w:rFonts w:hint="default" w:ascii="Times New Roman" w:hAnsi="Times New Roman"/>
                <w:color w:val="000000"/>
                <w:sz w:val="21"/>
                <w:szCs w:val="21"/>
              </w:rPr>
            </w:pPr>
          </w:p>
        </w:tc>
        <w:tc>
          <w:tcPr>
            <w:tcW w:w="427" w:type="dxa"/>
            <w:noWrap w:val="0"/>
            <w:vAlign w:val="center"/>
          </w:tcPr>
          <w:p w14:paraId="30DB6F84">
            <w:pPr>
              <w:snapToGrid w:val="0"/>
              <w:spacing w:line="240" w:lineRule="atLeast"/>
              <w:rPr>
                <w:rFonts w:hint="default" w:ascii="Times New Roman" w:hAnsi="Times New Roman"/>
                <w:color w:val="000000"/>
                <w:sz w:val="21"/>
                <w:szCs w:val="21"/>
              </w:rPr>
            </w:pPr>
          </w:p>
        </w:tc>
        <w:tc>
          <w:tcPr>
            <w:tcW w:w="427" w:type="dxa"/>
            <w:noWrap/>
            <w:vAlign w:val="center"/>
          </w:tcPr>
          <w:p w14:paraId="7A4CA93A">
            <w:pPr>
              <w:snapToGrid w:val="0"/>
              <w:spacing w:line="240" w:lineRule="atLeast"/>
              <w:rPr>
                <w:rFonts w:hint="default" w:ascii="Times New Roman" w:hAnsi="Times New Roman"/>
                <w:color w:val="000000"/>
                <w:sz w:val="21"/>
                <w:szCs w:val="21"/>
              </w:rPr>
            </w:pPr>
          </w:p>
        </w:tc>
        <w:tc>
          <w:tcPr>
            <w:tcW w:w="427" w:type="dxa"/>
            <w:noWrap/>
            <w:vAlign w:val="center"/>
          </w:tcPr>
          <w:p w14:paraId="2E34EB26">
            <w:pPr>
              <w:snapToGrid w:val="0"/>
              <w:spacing w:line="240" w:lineRule="atLeast"/>
              <w:rPr>
                <w:rFonts w:hint="default" w:ascii="Times New Roman" w:hAnsi="Times New Roman"/>
                <w:color w:val="000000"/>
                <w:sz w:val="21"/>
                <w:szCs w:val="21"/>
              </w:rPr>
            </w:pPr>
          </w:p>
        </w:tc>
        <w:tc>
          <w:tcPr>
            <w:tcW w:w="427" w:type="dxa"/>
            <w:noWrap/>
            <w:vAlign w:val="center"/>
          </w:tcPr>
          <w:p w14:paraId="06D19F5D">
            <w:pPr>
              <w:snapToGrid w:val="0"/>
              <w:spacing w:line="240" w:lineRule="atLeast"/>
              <w:rPr>
                <w:rFonts w:hint="default" w:ascii="Times New Roman" w:hAnsi="Times New Roman"/>
                <w:color w:val="000000"/>
                <w:sz w:val="21"/>
                <w:szCs w:val="21"/>
              </w:rPr>
            </w:pPr>
          </w:p>
        </w:tc>
        <w:tc>
          <w:tcPr>
            <w:tcW w:w="1083" w:type="dxa"/>
            <w:noWrap/>
            <w:vAlign w:val="center"/>
          </w:tcPr>
          <w:p w14:paraId="1B800B02">
            <w:pPr>
              <w:snapToGrid w:val="0"/>
              <w:spacing w:line="240" w:lineRule="atLeast"/>
              <w:rPr>
                <w:rFonts w:hint="default" w:ascii="Times New Roman" w:hAnsi="Times New Roman"/>
                <w:color w:val="000000"/>
                <w:sz w:val="21"/>
                <w:szCs w:val="21"/>
              </w:rPr>
            </w:pPr>
          </w:p>
        </w:tc>
        <w:tc>
          <w:tcPr>
            <w:tcW w:w="640" w:type="dxa"/>
            <w:noWrap/>
            <w:vAlign w:val="center"/>
          </w:tcPr>
          <w:p w14:paraId="49B173EB">
            <w:pPr>
              <w:snapToGrid w:val="0"/>
              <w:spacing w:line="240" w:lineRule="atLeast"/>
              <w:rPr>
                <w:rFonts w:hint="default" w:ascii="Times New Roman" w:hAnsi="Times New Roman"/>
                <w:color w:val="000000"/>
                <w:sz w:val="21"/>
                <w:szCs w:val="21"/>
              </w:rPr>
            </w:pPr>
          </w:p>
        </w:tc>
      </w:tr>
      <w:tr w14:paraId="1C52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39" w:type="dxa"/>
            <w:noWrap w:val="0"/>
            <w:vAlign w:val="center"/>
          </w:tcPr>
          <w:p w14:paraId="21E681AE">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27" w:type="dxa"/>
            <w:noWrap w:val="0"/>
            <w:vAlign w:val="center"/>
          </w:tcPr>
          <w:p w14:paraId="77F8221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27" w:type="dxa"/>
            <w:noWrap w:val="0"/>
            <w:vAlign w:val="center"/>
          </w:tcPr>
          <w:p w14:paraId="66A08197">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680" w:type="dxa"/>
            <w:noWrap w:val="0"/>
            <w:vAlign w:val="center"/>
          </w:tcPr>
          <w:p w14:paraId="259B37C4">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受帮扶对象满意度</w:t>
            </w:r>
          </w:p>
        </w:tc>
        <w:tc>
          <w:tcPr>
            <w:tcW w:w="480" w:type="dxa"/>
            <w:noWrap w:val="0"/>
            <w:vAlign w:val="center"/>
          </w:tcPr>
          <w:p w14:paraId="4596D1B1">
            <w:pPr>
              <w:snapToGrid w:val="0"/>
              <w:spacing w:line="240" w:lineRule="atLeast"/>
              <w:rPr>
                <w:rFonts w:hint="default" w:ascii="Times New Roman" w:hAnsi="Times New Roman"/>
                <w:b/>
                <w:bCs/>
                <w:color w:val="000000"/>
                <w:sz w:val="21"/>
                <w:szCs w:val="21"/>
              </w:rPr>
            </w:pPr>
          </w:p>
        </w:tc>
        <w:tc>
          <w:tcPr>
            <w:tcW w:w="460" w:type="dxa"/>
            <w:noWrap w:val="0"/>
            <w:vAlign w:val="center"/>
          </w:tcPr>
          <w:p w14:paraId="45F6DEE2">
            <w:pPr>
              <w:snapToGrid w:val="0"/>
              <w:spacing w:line="240" w:lineRule="atLeast"/>
              <w:rPr>
                <w:rFonts w:hint="default" w:ascii="Times New Roman" w:hAnsi="Times New Roman"/>
                <w:b/>
                <w:bCs/>
                <w:color w:val="000000"/>
                <w:sz w:val="21"/>
                <w:szCs w:val="21"/>
              </w:rPr>
            </w:pPr>
          </w:p>
        </w:tc>
        <w:tc>
          <w:tcPr>
            <w:tcW w:w="480" w:type="dxa"/>
            <w:noWrap w:val="0"/>
            <w:vAlign w:val="center"/>
          </w:tcPr>
          <w:p w14:paraId="598164E1">
            <w:pPr>
              <w:snapToGrid w:val="0"/>
              <w:spacing w:line="240" w:lineRule="atLeast"/>
              <w:rPr>
                <w:rFonts w:hint="default" w:ascii="Times New Roman" w:hAnsi="Times New Roman"/>
                <w:b/>
                <w:bCs/>
                <w:color w:val="000000"/>
                <w:sz w:val="21"/>
                <w:szCs w:val="21"/>
              </w:rPr>
            </w:pPr>
          </w:p>
        </w:tc>
        <w:tc>
          <w:tcPr>
            <w:tcW w:w="1010" w:type="dxa"/>
            <w:noWrap w:val="0"/>
            <w:vAlign w:val="center"/>
          </w:tcPr>
          <w:p w14:paraId="22965D95">
            <w:pPr>
              <w:snapToGrid w:val="0"/>
              <w:spacing w:line="240" w:lineRule="atLeast"/>
              <w:rPr>
                <w:rFonts w:hint="default" w:ascii="Times New Roman" w:hAnsi="Times New Roman"/>
                <w:b/>
                <w:bCs/>
                <w:color w:val="000000"/>
                <w:sz w:val="21"/>
                <w:szCs w:val="21"/>
              </w:rPr>
            </w:pPr>
          </w:p>
        </w:tc>
        <w:tc>
          <w:tcPr>
            <w:tcW w:w="846" w:type="dxa"/>
            <w:noWrap w:val="0"/>
            <w:vAlign w:val="center"/>
          </w:tcPr>
          <w:p w14:paraId="627E7DB7">
            <w:pPr>
              <w:snapToGrid w:val="0"/>
              <w:spacing w:line="240" w:lineRule="atLeast"/>
              <w:rPr>
                <w:rFonts w:hint="default" w:ascii="Times New Roman" w:hAnsi="Times New Roman"/>
                <w:b/>
                <w:bCs/>
                <w:color w:val="000000"/>
                <w:sz w:val="21"/>
                <w:szCs w:val="21"/>
              </w:rPr>
            </w:pPr>
          </w:p>
        </w:tc>
        <w:tc>
          <w:tcPr>
            <w:tcW w:w="2454" w:type="dxa"/>
            <w:gridSpan w:val="5"/>
            <w:noWrap w:val="0"/>
            <w:vAlign w:val="center"/>
          </w:tcPr>
          <w:p w14:paraId="7F0B5569">
            <w:pPr>
              <w:snapToGrid w:val="0"/>
              <w:spacing w:line="240" w:lineRule="atLeast"/>
              <w:jc w:val="center"/>
              <w:rPr>
                <w:rFonts w:hint="default" w:ascii="Times New Roman" w:hAnsi="Times New Roman"/>
                <w:color w:val="000000"/>
                <w:sz w:val="21"/>
                <w:szCs w:val="21"/>
              </w:rPr>
            </w:pPr>
          </w:p>
        </w:tc>
        <w:tc>
          <w:tcPr>
            <w:tcW w:w="1805" w:type="dxa"/>
            <w:noWrap w:val="0"/>
            <w:vAlign w:val="center"/>
          </w:tcPr>
          <w:p w14:paraId="45E4F050">
            <w:pPr>
              <w:snapToGrid w:val="0"/>
              <w:spacing w:line="240" w:lineRule="atLeast"/>
              <w:rPr>
                <w:rFonts w:hint="default" w:ascii="Times New Roman" w:hAnsi="Times New Roman"/>
                <w:b/>
                <w:bCs/>
                <w:color w:val="000000"/>
                <w:sz w:val="21"/>
                <w:szCs w:val="21"/>
              </w:rPr>
            </w:pPr>
          </w:p>
        </w:tc>
        <w:tc>
          <w:tcPr>
            <w:tcW w:w="427" w:type="dxa"/>
            <w:noWrap w:val="0"/>
            <w:vAlign w:val="center"/>
          </w:tcPr>
          <w:p w14:paraId="4ADC914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B8DDA3C">
            <w:pPr>
              <w:snapToGrid w:val="0"/>
              <w:spacing w:line="240" w:lineRule="atLeast"/>
              <w:rPr>
                <w:rFonts w:hint="default" w:ascii="Times New Roman" w:hAnsi="Times New Roman"/>
                <w:color w:val="000000"/>
                <w:sz w:val="21"/>
                <w:szCs w:val="21"/>
              </w:rPr>
            </w:pPr>
          </w:p>
        </w:tc>
        <w:tc>
          <w:tcPr>
            <w:tcW w:w="427" w:type="dxa"/>
            <w:noWrap w:val="0"/>
            <w:vAlign w:val="center"/>
          </w:tcPr>
          <w:p w14:paraId="06666AA0">
            <w:pPr>
              <w:snapToGrid w:val="0"/>
              <w:spacing w:line="240" w:lineRule="atLeast"/>
              <w:rPr>
                <w:rFonts w:hint="default" w:ascii="Times New Roman" w:hAnsi="Times New Roman"/>
                <w:color w:val="000000"/>
                <w:sz w:val="21"/>
                <w:szCs w:val="21"/>
              </w:rPr>
            </w:pPr>
          </w:p>
        </w:tc>
        <w:tc>
          <w:tcPr>
            <w:tcW w:w="427" w:type="dxa"/>
            <w:noWrap/>
            <w:vAlign w:val="center"/>
          </w:tcPr>
          <w:p w14:paraId="11B23D32">
            <w:pPr>
              <w:snapToGrid w:val="0"/>
              <w:spacing w:line="240" w:lineRule="atLeast"/>
              <w:rPr>
                <w:rFonts w:hint="default" w:ascii="Times New Roman" w:hAnsi="Times New Roman"/>
                <w:color w:val="000000"/>
                <w:sz w:val="21"/>
                <w:szCs w:val="21"/>
              </w:rPr>
            </w:pPr>
          </w:p>
        </w:tc>
        <w:tc>
          <w:tcPr>
            <w:tcW w:w="427" w:type="dxa"/>
            <w:noWrap/>
            <w:vAlign w:val="center"/>
          </w:tcPr>
          <w:p w14:paraId="6773391C">
            <w:pPr>
              <w:snapToGrid w:val="0"/>
              <w:spacing w:line="240" w:lineRule="atLeast"/>
              <w:rPr>
                <w:rFonts w:hint="default" w:ascii="Times New Roman" w:hAnsi="Times New Roman"/>
                <w:color w:val="000000"/>
                <w:sz w:val="21"/>
                <w:szCs w:val="21"/>
              </w:rPr>
            </w:pPr>
          </w:p>
        </w:tc>
        <w:tc>
          <w:tcPr>
            <w:tcW w:w="427" w:type="dxa"/>
            <w:noWrap/>
            <w:vAlign w:val="center"/>
          </w:tcPr>
          <w:p w14:paraId="45661D75">
            <w:pPr>
              <w:snapToGrid w:val="0"/>
              <w:spacing w:line="240" w:lineRule="atLeast"/>
              <w:rPr>
                <w:rFonts w:hint="default" w:ascii="Times New Roman" w:hAnsi="Times New Roman"/>
                <w:color w:val="000000"/>
                <w:sz w:val="21"/>
                <w:szCs w:val="21"/>
              </w:rPr>
            </w:pPr>
          </w:p>
        </w:tc>
        <w:tc>
          <w:tcPr>
            <w:tcW w:w="1083" w:type="dxa"/>
            <w:noWrap/>
            <w:vAlign w:val="center"/>
          </w:tcPr>
          <w:p w14:paraId="7F9EB654">
            <w:pPr>
              <w:snapToGrid w:val="0"/>
              <w:spacing w:line="240" w:lineRule="atLeast"/>
              <w:rPr>
                <w:rFonts w:hint="default" w:ascii="Times New Roman" w:hAnsi="Times New Roman"/>
                <w:color w:val="000000"/>
                <w:sz w:val="21"/>
                <w:szCs w:val="21"/>
              </w:rPr>
            </w:pPr>
          </w:p>
        </w:tc>
        <w:tc>
          <w:tcPr>
            <w:tcW w:w="640" w:type="dxa"/>
            <w:noWrap/>
            <w:vAlign w:val="center"/>
          </w:tcPr>
          <w:p w14:paraId="0F3BFBEB">
            <w:pPr>
              <w:snapToGrid w:val="0"/>
              <w:spacing w:line="240" w:lineRule="atLeast"/>
              <w:jc w:val="center"/>
              <w:rPr>
                <w:rFonts w:hint="default" w:ascii="Times New Roman" w:hAnsi="Times New Roman" w:eastAsia="仿宋_GB2312"/>
                <w:color w:val="000000"/>
                <w:sz w:val="21"/>
                <w:szCs w:val="21"/>
                <w:lang w:val="en-US" w:eastAsia="zh-CN"/>
              </w:rPr>
            </w:pPr>
            <w:r>
              <w:rPr>
                <w:rFonts w:hint="eastAsia" w:ascii="Times New Roman" w:hAnsi="Times New Roman"/>
                <w:color w:val="000000"/>
                <w:sz w:val="21"/>
                <w:szCs w:val="21"/>
                <w:lang w:val="en-US" w:eastAsia="zh-CN"/>
              </w:rPr>
              <w:t>10</w:t>
            </w:r>
          </w:p>
        </w:tc>
      </w:tr>
    </w:tbl>
    <w:p w14:paraId="7DE6FA97">
      <w:pPr>
        <w:pStyle w:val="2"/>
        <w:rPr>
          <w:rFonts w:hint="eastAsia"/>
        </w:rPr>
        <w:sectPr>
          <w:pgSz w:w="16838" w:h="11906" w:orient="landscape"/>
          <w:pgMar w:top="1803" w:right="1440" w:bottom="1803" w:left="1440" w:header="851" w:footer="992" w:gutter="0"/>
          <w:pgNumType w:fmt="decimal"/>
          <w:cols w:space="0" w:num="1"/>
          <w:rtlGutter w:val="0"/>
          <w:docGrid w:type="lines" w:linePitch="319" w:charSpace="0"/>
        </w:sectPr>
      </w:pPr>
    </w:p>
    <w:p w14:paraId="0E7A6A9B">
      <w:pPr>
        <w:spacing w:line="600" w:lineRule="exact"/>
        <w:jc w:val="center"/>
        <w:outlineLvl w:val="0"/>
        <w:rPr>
          <w:rFonts w:hint="eastAsia" w:ascii="仿宋" w:hAnsi="仿宋" w:eastAsia="仿宋"/>
          <w:b w:val="0"/>
          <w:color w:val="auto"/>
          <w:highlight w:val="none"/>
        </w:rPr>
      </w:pPr>
      <w:bookmarkStart w:id="113" w:name="_Toc15319"/>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91"/>
      <w:bookmarkEnd w:id="97"/>
      <w:bookmarkEnd w:id="98"/>
      <w:bookmarkEnd w:id="99"/>
      <w:bookmarkEnd w:id="113"/>
      <w:bookmarkStart w:id="114" w:name="_Toc15396619"/>
    </w:p>
    <w:p w14:paraId="186855BA">
      <w:pPr>
        <w:pStyle w:val="5"/>
        <w:rPr>
          <w:rFonts w:ascii="仿宋" w:hAnsi="仿宋" w:eastAsia="仿宋"/>
          <w:color w:val="auto"/>
          <w:highlight w:val="none"/>
        </w:rPr>
      </w:pPr>
      <w:bookmarkStart w:id="115" w:name="_Toc25714"/>
      <w:bookmarkStart w:id="116" w:name="_Toc28809"/>
      <w:bookmarkStart w:id="117" w:name="_Toc7569"/>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14"/>
      <w:bookmarkEnd w:id="115"/>
      <w:bookmarkEnd w:id="116"/>
      <w:bookmarkEnd w:id="117"/>
    </w:p>
    <w:p w14:paraId="69E201A7">
      <w:pPr>
        <w:pStyle w:val="5"/>
        <w:rPr>
          <w:rFonts w:ascii="仿宋" w:hAnsi="仿宋" w:eastAsia="仿宋"/>
          <w:color w:val="auto"/>
          <w:highlight w:val="none"/>
        </w:rPr>
      </w:pPr>
      <w:bookmarkStart w:id="118" w:name="_Toc11417"/>
      <w:bookmarkStart w:id="119" w:name="_Toc15396620"/>
      <w:bookmarkStart w:id="120" w:name="_Toc29848"/>
      <w:bookmarkStart w:id="121" w:name="_Toc12917"/>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18"/>
      <w:bookmarkEnd w:id="119"/>
      <w:bookmarkEnd w:id="120"/>
      <w:bookmarkEnd w:id="121"/>
    </w:p>
    <w:p w14:paraId="7302B47F">
      <w:pPr>
        <w:pStyle w:val="5"/>
        <w:rPr>
          <w:rFonts w:ascii="仿宋" w:hAnsi="仿宋" w:eastAsia="仿宋"/>
          <w:color w:val="auto"/>
          <w:highlight w:val="none"/>
        </w:rPr>
      </w:pPr>
      <w:bookmarkStart w:id="122" w:name="_Toc3807"/>
      <w:bookmarkStart w:id="123" w:name="_Toc15396621"/>
      <w:bookmarkStart w:id="124" w:name="_Toc7222"/>
      <w:bookmarkStart w:id="125" w:name="_Toc12864"/>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22"/>
      <w:bookmarkEnd w:id="123"/>
      <w:bookmarkEnd w:id="124"/>
      <w:bookmarkEnd w:id="125"/>
    </w:p>
    <w:p w14:paraId="63BEE2C8">
      <w:pPr>
        <w:pStyle w:val="5"/>
        <w:rPr>
          <w:rFonts w:ascii="仿宋" w:hAnsi="仿宋" w:eastAsia="仿宋"/>
          <w:b w:val="0"/>
          <w:color w:val="auto"/>
          <w:highlight w:val="none"/>
        </w:rPr>
      </w:pPr>
      <w:bookmarkStart w:id="126" w:name="_Toc21576"/>
      <w:bookmarkStart w:id="127" w:name="_Toc15396622"/>
      <w:bookmarkStart w:id="128" w:name="_Toc32233"/>
      <w:bookmarkStart w:id="129" w:name="_Toc29036"/>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26"/>
      <w:bookmarkEnd w:id="127"/>
      <w:bookmarkEnd w:id="128"/>
      <w:bookmarkEnd w:id="129"/>
    </w:p>
    <w:p w14:paraId="20DEE5CC">
      <w:pPr>
        <w:pStyle w:val="5"/>
        <w:rPr>
          <w:rStyle w:val="32"/>
          <w:rFonts w:ascii="仿宋" w:hAnsi="仿宋" w:eastAsia="仿宋"/>
          <w:b w:val="0"/>
          <w:bCs w:val="0"/>
          <w:color w:val="auto"/>
          <w:highlight w:val="none"/>
        </w:rPr>
      </w:pPr>
      <w:bookmarkStart w:id="130" w:name="_Toc13148"/>
      <w:bookmarkStart w:id="131" w:name="_Toc15396623"/>
      <w:bookmarkStart w:id="132" w:name="_Toc10765"/>
      <w:bookmarkStart w:id="133" w:name="_Toc19054"/>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30"/>
      <w:bookmarkEnd w:id="131"/>
      <w:bookmarkEnd w:id="132"/>
      <w:bookmarkEnd w:id="133"/>
      <w:bookmarkStart w:id="134" w:name="_Toc15396624"/>
    </w:p>
    <w:p w14:paraId="53C13494">
      <w:pPr>
        <w:pStyle w:val="5"/>
        <w:rPr>
          <w:rFonts w:ascii="仿宋" w:hAnsi="仿宋" w:eastAsia="仿宋"/>
          <w:color w:val="auto"/>
          <w:highlight w:val="none"/>
        </w:rPr>
      </w:pPr>
      <w:bookmarkStart w:id="135" w:name="_Toc14000"/>
      <w:bookmarkStart w:id="136" w:name="_Toc5833"/>
      <w:bookmarkStart w:id="137" w:name="_Toc17741"/>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34"/>
      <w:bookmarkEnd w:id="135"/>
      <w:bookmarkEnd w:id="136"/>
      <w:bookmarkEnd w:id="137"/>
    </w:p>
    <w:p w14:paraId="3BB4E682">
      <w:pPr>
        <w:pStyle w:val="5"/>
        <w:rPr>
          <w:rFonts w:ascii="仿宋" w:hAnsi="仿宋" w:eastAsia="仿宋"/>
          <w:color w:val="auto"/>
          <w:highlight w:val="none"/>
        </w:rPr>
      </w:pPr>
      <w:bookmarkStart w:id="138" w:name="_Toc26338"/>
      <w:bookmarkStart w:id="139" w:name="_Toc15396625"/>
      <w:bookmarkStart w:id="140" w:name="_Toc10018"/>
      <w:bookmarkStart w:id="141" w:name="_Toc9904"/>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38"/>
      <w:bookmarkEnd w:id="139"/>
      <w:bookmarkEnd w:id="140"/>
      <w:bookmarkEnd w:id="141"/>
    </w:p>
    <w:p w14:paraId="6331979A">
      <w:pPr>
        <w:pStyle w:val="5"/>
        <w:rPr>
          <w:rFonts w:ascii="仿宋" w:hAnsi="仿宋" w:eastAsia="仿宋"/>
          <w:color w:val="auto"/>
          <w:highlight w:val="none"/>
        </w:rPr>
      </w:pPr>
      <w:bookmarkStart w:id="142" w:name="_Toc15396626"/>
      <w:bookmarkStart w:id="143" w:name="_Toc13930"/>
      <w:bookmarkStart w:id="144" w:name="_Toc4655"/>
      <w:bookmarkStart w:id="145" w:name="_Toc8565"/>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42"/>
      <w:bookmarkEnd w:id="143"/>
      <w:bookmarkEnd w:id="144"/>
      <w:bookmarkEnd w:id="145"/>
    </w:p>
    <w:p w14:paraId="1459F938">
      <w:pPr>
        <w:pStyle w:val="5"/>
        <w:rPr>
          <w:rFonts w:ascii="仿宋" w:hAnsi="仿宋" w:eastAsia="仿宋"/>
          <w:color w:val="auto"/>
          <w:highlight w:val="none"/>
        </w:rPr>
      </w:pPr>
      <w:bookmarkStart w:id="146" w:name="_Toc15240"/>
      <w:bookmarkStart w:id="147" w:name="_Toc23946"/>
      <w:bookmarkStart w:id="148" w:name="_Toc15396627"/>
      <w:bookmarkStart w:id="149" w:name="_Toc2189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46"/>
      <w:bookmarkEnd w:id="147"/>
      <w:bookmarkEnd w:id="148"/>
      <w:bookmarkEnd w:id="149"/>
    </w:p>
    <w:p w14:paraId="1D4AD311">
      <w:pPr>
        <w:pStyle w:val="5"/>
        <w:rPr>
          <w:rFonts w:ascii="仿宋" w:hAnsi="仿宋" w:eastAsia="仿宋"/>
          <w:color w:val="auto"/>
          <w:highlight w:val="none"/>
        </w:rPr>
      </w:pPr>
      <w:bookmarkStart w:id="150" w:name="_Toc15396628"/>
      <w:bookmarkStart w:id="151" w:name="_Toc20706"/>
      <w:bookmarkStart w:id="152" w:name="_Toc30586"/>
      <w:bookmarkStart w:id="153" w:name="_Toc2194"/>
      <w:r>
        <w:rPr>
          <w:rStyle w:val="32"/>
          <w:rFonts w:hint="eastAsia" w:ascii="仿宋" w:hAnsi="仿宋" w:eastAsia="仿宋"/>
          <w:b w:val="0"/>
          <w:bCs w:val="0"/>
          <w:color w:val="auto"/>
          <w:highlight w:val="none"/>
        </w:rPr>
        <w:t>十、</w:t>
      </w:r>
      <w:bookmarkEnd w:id="150"/>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51"/>
      <w:bookmarkEnd w:id="152"/>
      <w:bookmarkEnd w:id="153"/>
    </w:p>
    <w:p w14:paraId="2DBC1EAC">
      <w:pPr>
        <w:pStyle w:val="5"/>
        <w:rPr>
          <w:rFonts w:ascii="仿宋" w:hAnsi="仿宋" w:eastAsia="仿宋"/>
          <w:color w:val="auto"/>
          <w:highlight w:val="none"/>
        </w:rPr>
      </w:pPr>
      <w:bookmarkStart w:id="154" w:name="_Toc15396629"/>
      <w:bookmarkStart w:id="155" w:name="_Toc17868"/>
      <w:bookmarkStart w:id="156" w:name="_Toc11889"/>
      <w:bookmarkStart w:id="157" w:name="_Toc3165"/>
      <w:r>
        <w:rPr>
          <w:rStyle w:val="32"/>
          <w:rFonts w:hint="eastAsia" w:ascii="仿宋" w:hAnsi="仿宋" w:eastAsia="仿宋"/>
          <w:b w:val="0"/>
          <w:bCs w:val="0"/>
          <w:color w:val="auto"/>
          <w:highlight w:val="none"/>
        </w:rPr>
        <w:t>十一、</w:t>
      </w:r>
      <w:bookmarkEnd w:id="154"/>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55"/>
      <w:bookmarkEnd w:id="156"/>
      <w:bookmarkEnd w:id="157"/>
    </w:p>
    <w:p w14:paraId="25F1057C">
      <w:pPr>
        <w:pStyle w:val="5"/>
        <w:rPr>
          <w:rFonts w:ascii="仿宋" w:hAnsi="仿宋" w:eastAsia="仿宋"/>
          <w:color w:val="auto"/>
          <w:highlight w:val="none"/>
        </w:rPr>
      </w:pPr>
      <w:bookmarkStart w:id="158" w:name="_Toc15396630"/>
      <w:bookmarkStart w:id="159" w:name="_Toc8981"/>
      <w:bookmarkStart w:id="160" w:name="_Toc19625"/>
      <w:bookmarkStart w:id="161" w:name="_Toc18997"/>
      <w:r>
        <w:rPr>
          <w:rStyle w:val="32"/>
          <w:rFonts w:hint="eastAsia" w:ascii="仿宋" w:hAnsi="仿宋" w:eastAsia="仿宋"/>
          <w:b w:val="0"/>
          <w:bCs w:val="0"/>
          <w:color w:val="auto"/>
          <w:highlight w:val="none"/>
        </w:rPr>
        <w:t>十二、</w:t>
      </w:r>
      <w:bookmarkEnd w:id="158"/>
      <w:r>
        <w:rPr>
          <w:rStyle w:val="32"/>
          <w:rFonts w:hint="eastAsia" w:ascii="仿宋" w:hAnsi="仿宋" w:eastAsia="仿宋"/>
          <w:b w:val="0"/>
          <w:bCs w:val="0"/>
          <w:color w:val="auto"/>
          <w:highlight w:val="none"/>
          <w:lang w:eastAsia="zh-CN"/>
        </w:rPr>
        <w:t>国有资本经营预算财政拨款支出决算表</w:t>
      </w:r>
      <w:bookmarkEnd w:id="159"/>
      <w:bookmarkEnd w:id="160"/>
      <w:bookmarkEnd w:id="161"/>
    </w:p>
    <w:p w14:paraId="7220CCDE">
      <w:pPr>
        <w:pStyle w:val="5"/>
        <w:rPr>
          <w:rFonts w:hint="eastAsia" w:eastAsia="仿宋"/>
          <w:color w:val="auto"/>
          <w:highlight w:val="none"/>
          <w:lang w:eastAsia="zh-CN"/>
        </w:rPr>
      </w:pPr>
      <w:bookmarkStart w:id="162" w:name="_Toc15396631"/>
      <w:bookmarkStart w:id="163" w:name="_Toc10948"/>
      <w:bookmarkStart w:id="164" w:name="_Toc20468"/>
      <w:bookmarkStart w:id="165" w:name="_Toc5423"/>
      <w:r>
        <w:rPr>
          <w:rStyle w:val="32"/>
          <w:rFonts w:hint="eastAsia" w:ascii="仿宋" w:hAnsi="仿宋" w:eastAsia="仿宋"/>
          <w:b w:val="0"/>
          <w:bCs w:val="0"/>
          <w:color w:val="auto"/>
          <w:highlight w:val="none"/>
        </w:rPr>
        <w:t>十三、</w:t>
      </w:r>
      <w:bookmarkEnd w:id="162"/>
      <w:r>
        <w:rPr>
          <w:rStyle w:val="32"/>
          <w:rFonts w:hint="eastAsia" w:ascii="仿宋" w:hAnsi="仿宋" w:eastAsia="仿宋"/>
          <w:b w:val="0"/>
          <w:bCs w:val="0"/>
          <w:color w:val="auto"/>
          <w:highlight w:val="none"/>
          <w:lang w:eastAsia="zh-CN"/>
        </w:rPr>
        <w:t>财政拨款“三公”经费支出决算表</w:t>
      </w:r>
      <w:bookmarkEnd w:id="163"/>
      <w:bookmarkEnd w:id="164"/>
      <w:bookmarkEnd w:id="165"/>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F91D">
    <w:pPr>
      <w:pStyle w:val="11"/>
      <w:jc w:val="center"/>
    </w:pPr>
    <w:sdt>
      <w:sdtPr>
        <w:id w:val="-1994781956"/>
      </w:sdtPr>
      <w:sdtContent/>
    </w:sdt>
  </w:p>
  <w:p w14:paraId="77DE7A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2A3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E140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8E140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9DDF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6736E">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16736E">
                    <w:pPr>
                      <w:pStyle w:val="11"/>
                    </w:pPr>
                    <w:r>
                      <w:fldChar w:fldCharType="begin"/>
                    </w:r>
                    <w:r>
                      <w:instrText xml:space="preserve"> PAGE  \* MERGEFORMAT </w:instrText>
                    </w:r>
                    <w:r>
                      <w:fldChar w:fldCharType="separate"/>
                    </w:r>
                    <w:r>
                      <w:t>34</w:t>
                    </w:r>
                    <w:r>
                      <w:fldChar w:fldCharType="end"/>
                    </w:r>
                  </w:p>
                </w:txbxContent>
              </v:textbox>
            </v:shape>
          </w:pict>
        </mc:Fallback>
      </mc:AlternateContent>
    </w:r>
    <w:sdt>
      <w:sdtPr>
        <w:id w:val="147476118"/>
      </w:sdtPr>
      <w:sdtContent/>
    </w:sdt>
  </w:p>
  <w:p w14:paraId="11202CD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3A46">
    <w:pPr>
      <w:pStyle w:val="11"/>
      <w:ind w:left="210" w:leftChars="100" w:right="21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p w14:paraId="73B135D1">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5BB9">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4BD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ED1D4D6"/>
    <w:multiLevelType w:val="singleLevel"/>
    <w:tmpl w:val="0ED1D4D6"/>
    <w:lvl w:ilvl="0" w:tentative="0">
      <w:start w:val="2"/>
      <w:numFmt w:val="chineseCounting"/>
      <w:suff w:val="nothing"/>
      <w:lvlText w:val="(%1）"/>
      <w:lvlJc w:val="left"/>
      <w:rPr>
        <w:rFonts w:hint="eastAsia"/>
      </w:rPr>
    </w:lvl>
  </w:abstractNum>
  <w:abstractNum w:abstractNumId="3">
    <w:nsid w:val="0F0527F2"/>
    <w:multiLevelType w:val="singleLevel"/>
    <w:tmpl w:val="0F0527F2"/>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AB33E88"/>
    <w:multiLevelType w:val="singleLevel"/>
    <w:tmpl w:val="7AB33E88"/>
    <w:lvl w:ilvl="0" w:tentative="0">
      <w:start w:val="2"/>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2D7E"/>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03060"/>
    <w:rsid w:val="02143E91"/>
    <w:rsid w:val="032A692E"/>
    <w:rsid w:val="03465822"/>
    <w:rsid w:val="037D56E7"/>
    <w:rsid w:val="038237DB"/>
    <w:rsid w:val="03A5079A"/>
    <w:rsid w:val="061B09D3"/>
    <w:rsid w:val="06245B62"/>
    <w:rsid w:val="066E0107"/>
    <w:rsid w:val="06725B16"/>
    <w:rsid w:val="06E613FB"/>
    <w:rsid w:val="073011B6"/>
    <w:rsid w:val="07996F6E"/>
    <w:rsid w:val="08D12F8B"/>
    <w:rsid w:val="09E162A4"/>
    <w:rsid w:val="0A0007F1"/>
    <w:rsid w:val="0A2032A3"/>
    <w:rsid w:val="0AD201E7"/>
    <w:rsid w:val="0B4228B8"/>
    <w:rsid w:val="0BE41E86"/>
    <w:rsid w:val="0C2C1C73"/>
    <w:rsid w:val="0C6560A6"/>
    <w:rsid w:val="0CAD46F0"/>
    <w:rsid w:val="0D33704E"/>
    <w:rsid w:val="0E0210F2"/>
    <w:rsid w:val="0E1E5E3A"/>
    <w:rsid w:val="0E693E36"/>
    <w:rsid w:val="0E9B55C3"/>
    <w:rsid w:val="0F98263C"/>
    <w:rsid w:val="101860EC"/>
    <w:rsid w:val="10246EEB"/>
    <w:rsid w:val="10C055FF"/>
    <w:rsid w:val="116E7634"/>
    <w:rsid w:val="118107EC"/>
    <w:rsid w:val="122116FA"/>
    <w:rsid w:val="126E03DF"/>
    <w:rsid w:val="12887C05"/>
    <w:rsid w:val="12D373EF"/>
    <w:rsid w:val="13761E05"/>
    <w:rsid w:val="13D50BC4"/>
    <w:rsid w:val="14C52A4A"/>
    <w:rsid w:val="155618F4"/>
    <w:rsid w:val="16880215"/>
    <w:rsid w:val="16BB723D"/>
    <w:rsid w:val="174E605E"/>
    <w:rsid w:val="188B7B07"/>
    <w:rsid w:val="19250A5C"/>
    <w:rsid w:val="1A393593"/>
    <w:rsid w:val="1A673374"/>
    <w:rsid w:val="1A71784A"/>
    <w:rsid w:val="1A83689F"/>
    <w:rsid w:val="1A8F0467"/>
    <w:rsid w:val="1BE8440E"/>
    <w:rsid w:val="1C6B7E4C"/>
    <w:rsid w:val="1D155CEE"/>
    <w:rsid w:val="1E177358"/>
    <w:rsid w:val="1E284BEA"/>
    <w:rsid w:val="1ED7385D"/>
    <w:rsid w:val="1F257A1C"/>
    <w:rsid w:val="1F2A0C01"/>
    <w:rsid w:val="1F7312F5"/>
    <w:rsid w:val="1F8F74CF"/>
    <w:rsid w:val="1FF35744"/>
    <w:rsid w:val="20464723"/>
    <w:rsid w:val="20482782"/>
    <w:rsid w:val="204A043C"/>
    <w:rsid w:val="204F1D62"/>
    <w:rsid w:val="214232AF"/>
    <w:rsid w:val="22C56648"/>
    <w:rsid w:val="231C34B1"/>
    <w:rsid w:val="23307C29"/>
    <w:rsid w:val="23860B96"/>
    <w:rsid w:val="23B51EDC"/>
    <w:rsid w:val="23DD781E"/>
    <w:rsid w:val="240371BF"/>
    <w:rsid w:val="240B2444"/>
    <w:rsid w:val="242660B6"/>
    <w:rsid w:val="246062EC"/>
    <w:rsid w:val="24B11017"/>
    <w:rsid w:val="25045DC6"/>
    <w:rsid w:val="28C65F6B"/>
    <w:rsid w:val="29FD04D3"/>
    <w:rsid w:val="2AA54433"/>
    <w:rsid w:val="2AFA0B7E"/>
    <w:rsid w:val="2BE17102"/>
    <w:rsid w:val="2C8A61B5"/>
    <w:rsid w:val="2DF04E50"/>
    <w:rsid w:val="2EE04960"/>
    <w:rsid w:val="2F040D46"/>
    <w:rsid w:val="300A2EB5"/>
    <w:rsid w:val="302E54F0"/>
    <w:rsid w:val="30B5488C"/>
    <w:rsid w:val="319F7F4E"/>
    <w:rsid w:val="31C9085B"/>
    <w:rsid w:val="322F15A6"/>
    <w:rsid w:val="326571C3"/>
    <w:rsid w:val="3304709D"/>
    <w:rsid w:val="3350390F"/>
    <w:rsid w:val="3457457F"/>
    <w:rsid w:val="345B0EA7"/>
    <w:rsid w:val="3485255C"/>
    <w:rsid w:val="36834BC5"/>
    <w:rsid w:val="36AA5135"/>
    <w:rsid w:val="36ED5D04"/>
    <w:rsid w:val="374B5AF8"/>
    <w:rsid w:val="376D39B2"/>
    <w:rsid w:val="377207C1"/>
    <w:rsid w:val="37831746"/>
    <w:rsid w:val="37E16F03"/>
    <w:rsid w:val="38D469F0"/>
    <w:rsid w:val="3A115E55"/>
    <w:rsid w:val="3A3E2D61"/>
    <w:rsid w:val="3A5A5133"/>
    <w:rsid w:val="3A754BF8"/>
    <w:rsid w:val="3AB17686"/>
    <w:rsid w:val="3B0357CB"/>
    <w:rsid w:val="3CC46C0C"/>
    <w:rsid w:val="3D98207C"/>
    <w:rsid w:val="3E661B42"/>
    <w:rsid w:val="3E78745D"/>
    <w:rsid w:val="3E8731F0"/>
    <w:rsid w:val="4041301D"/>
    <w:rsid w:val="433E2588"/>
    <w:rsid w:val="43D83C99"/>
    <w:rsid w:val="447E6EF0"/>
    <w:rsid w:val="448C73B7"/>
    <w:rsid w:val="44E268DA"/>
    <w:rsid w:val="462250D1"/>
    <w:rsid w:val="47255961"/>
    <w:rsid w:val="47692093"/>
    <w:rsid w:val="47C9785B"/>
    <w:rsid w:val="47D31C64"/>
    <w:rsid w:val="47F71E45"/>
    <w:rsid w:val="48845161"/>
    <w:rsid w:val="48B3613E"/>
    <w:rsid w:val="4A2E66B9"/>
    <w:rsid w:val="4A425141"/>
    <w:rsid w:val="4A627F82"/>
    <w:rsid w:val="4B0E749A"/>
    <w:rsid w:val="4B4F25DA"/>
    <w:rsid w:val="4BCC5DCD"/>
    <w:rsid w:val="4BE068DB"/>
    <w:rsid w:val="4C50700A"/>
    <w:rsid w:val="4D577224"/>
    <w:rsid w:val="4D9A75AE"/>
    <w:rsid w:val="4EAB630A"/>
    <w:rsid w:val="4EC46F6F"/>
    <w:rsid w:val="4ECE2238"/>
    <w:rsid w:val="508A00C9"/>
    <w:rsid w:val="509C387B"/>
    <w:rsid w:val="509E1DC6"/>
    <w:rsid w:val="514F5E63"/>
    <w:rsid w:val="516D352B"/>
    <w:rsid w:val="51842C5D"/>
    <w:rsid w:val="537E6D0A"/>
    <w:rsid w:val="53D17DBD"/>
    <w:rsid w:val="54A45BFD"/>
    <w:rsid w:val="54AB2D04"/>
    <w:rsid w:val="54D15990"/>
    <w:rsid w:val="572E2DA2"/>
    <w:rsid w:val="57687CF7"/>
    <w:rsid w:val="59125193"/>
    <w:rsid w:val="598D6817"/>
    <w:rsid w:val="59C74AA1"/>
    <w:rsid w:val="5A7F67C4"/>
    <w:rsid w:val="5A940C24"/>
    <w:rsid w:val="5AE16878"/>
    <w:rsid w:val="5AF92295"/>
    <w:rsid w:val="5B4D0671"/>
    <w:rsid w:val="5B9D3224"/>
    <w:rsid w:val="5C1D5175"/>
    <w:rsid w:val="5C3B415B"/>
    <w:rsid w:val="5CA729BF"/>
    <w:rsid w:val="5CD71FC4"/>
    <w:rsid w:val="5D5C7C44"/>
    <w:rsid w:val="5DD12FD7"/>
    <w:rsid w:val="60252BAF"/>
    <w:rsid w:val="610D0FDD"/>
    <w:rsid w:val="61486AA4"/>
    <w:rsid w:val="616362D1"/>
    <w:rsid w:val="61DB6589"/>
    <w:rsid w:val="644E3AA6"/>
    <w:rsid w:val="64DD334F"/>
    <w:rsid w:val="65A41C8F"/>
    <w:rsid w:val="66933FAE"/>
    <w:rsid w:val="669C425A"/>
    <w:rsid w:val="671D31D2"/>
    <w:rsid w:val="67687304"/>
    <w:rsid w:val="67851681"/>
    <w:rsid w:val="67B65CC6"/>
    <w:rsid w:val="697A6F62"/>
    <w:rsid w:val="69802EAF"/>
    <w:rsid w:val="6A393D5B"/>
    <w:rsid w:val="6BC73B27"/>
    <w:rsid w:val="6BD9192D"/>
    <w:rsid w:val="6BDF7450"/>
    <w:rsid w:val="6C4A05C8"/>
    <w:rsid w:val="6C56135A"/>
    <w:rsid w:val="6D89482E"/>
    <w:rsid w:val="6D8E5ACF"/>
    <w:rsid w:val="6E160D96"/>
    <w:rsid w:val="6E7E3605"/>
    <w:rsid w:val="6FA23218"/>
    <w:rsid w:val="6FEC5751"/>
    <w:rsid w:val="6FF5CC65"/>
    <w:rsid w:val="70EC5DDE"/>
    <w:rsid w:val="70F04D1B"/>
    <w:rsid w:val="715C0E4B"/>
    <w:rsid w:val="71B27028"/>
    <w:rsid w:val="721F4B03"/>
    <w:rsid w:val="727062C8"/>
    <w:rsid w:val="72734D90"/>
    <w:rsid w:val="737E3BCF"/>
    <w:rsid w:val="73A0254A"/>
    <w:rsid w:val="73AD73D5"/>
    <w:rsid w:val="73B6EB34"/>
    <w:rsid w:val="73D460C7"/>
    <w:rsid w:val="73EC63C8"/>
    <w:rsid w:val="73F04EF0"/>
    <w:rsid w:val="74086EB5"/>
    <w:rsid w:val="741E6032"/>
    <w:rsid w:val="744731E5"/>
    <w:rsid w:val="74533E38"/>
    <w:rsid w:val="75A840C2"/>
    <w:rsid w:val="75C5557C"/>
    <w:rsid w:val="76465F91"/>
    <w:rsid w:val="76E3355F"/>
    <w:rsid w:val="778769C8"/>
    <w:rsid w:val="77940E15"/>
    <w:rsid w:val="77FB3F93"/>
    <w:rsid w:val="79EE5BA4"/>
    <w:rsid w:val="7A894339"/>
    <w:rsid w:val="7AF97A75"/>
    <w:rsid w:val="7BB51BEE"/>
    <w:rsid w:val="7BC97C07"/>
    <w:rsid w:val="7BE614E6"/>
    <w:rsid w:val="7C296138"/>
    <w:rsid w:val="7D7D0FA8"/>
    <w:rsid w:val="7D7F24B4"/>
    <w:rsid w:val="7D8C5DEA"/>
    <w:rsid w:val="7EC27D8B"/>
    <w:rsid w:val="7EEF11D3"/>
    <w:rsid w:val="7F631C62"/>
    <w:rsid w:val="7FA30C79"/>
    <w:rsid w:val="7FB7269E"/>
    <w:rsid w:val="7FBC5C1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spacing w:beforeLines="30"/>
    </w:pPr>
    <w:rPr>
      <w:rFonts w:ascii="仿宋_GB2312" w:eastAsia="仿宋_GB2312"/>
      <w:kern w:val="0"/>
      <w:sz w:val="30"/>
    </w:rPr>
  </w:style>
  <w:style w:type="paragraph" w:customStyle="1" w:styleId="3">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styleId="7">
    <w:name w:val="index 6"/>
    <w:basedOn w:val="1"/>
    <w:next w:val="1"/>
    <w:semiHidden/>
    <w:unhideWhenUsed/>
    <w:qFormat/>
    <w:uiPriority w:val="99"/>
    <w:pPr>
      <w:ind w:left="2100"/>
    </w:pPr>
    <w:rPr>
      <w:rFonts w:ascii="Times New Roman" w:hAnsi="Times New Roman" w:eastAsia="黑体"/>
      <w:sz w:val="32"/>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章标题"/>
    <w:basedOn w:val="1"/>
    <w:next w:val="21"/>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1">
    <w:name w:val="节标题"/>
    <w:basedOn w:val="1"/>
    <w:next w:val="1"/>
    <w:qFormat/>
    <w:uiPriority w:val="99"/>
    <w:pPr>
      <w:widowControl/>
      <w:spacing w:line="289" w:lineRule="atLeast"/>
      <w:jc w:val="center"/>
      <w:textAlignment w:val="baseline"/>
    </w:pPr>
    <w:rPr>
      <w:color w:val="000000"/>
      <w:sz w:val="28"/>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7"/>
    <w:link w:val="4"/>
    <w:qFormat/>
    <w:uiPriority w:val="9"/>
    <w:rPr>
      <w:rFonts w:ascii="Times New Roman" w:hAnsi="Times New Roman"/>
      <w:b/>
      <w:bCs/>
      <w:kern w:val="44"/>
      <w:sz w:val="44"/>
      <w:szCs w:val="44"/>
    </w:rPr>
  </w:style>
  <w:style w:type="character" w:customStyle="1" w:styleId="32">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10"/>
    <w:semiHidden/>
    <w:qFormat/>
    <w:uiPriority w:val="99"/>
    <w:rPr>
      <w:rFonts w:ascii="Times New Roman" w:hAnsi="Times New Roman"/>
      <w:kern w:val="2"/>
      <w:sz w:val="18"/>
      <w:szCs w:val="18"/>
    </w:rPr>
  </w:style>
  <w:style w:type="character" w:customStyle="1" w:styleId="35">
    <w:name w:val="标题 3 Char"/>
    <w:basedOn w:val="17"/>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footer1"/>
    <w:basedOn w:val="1"/>
    <w:qFormat/>
    <w:uiPriority w:val="0"/>
    <w:pPr>
      <w:snapToGrid w:val="0"/>
      <w:jc w:val="left"/>
    </w:pPr>
    <w:rPr>
      <w:sz w:val="18"/>
      <w:szCs w:val="18"/>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font41"/>
    <w:basedOn w:val="17"/>
    <w:qFormat/>
    <w:uiPriority w:val="0"/>
    <w:rPr>
      <w:rFonts w:hint="eastAsia" w:ascii="宋体" w:hAnsi="宋体" w:eastAsia="宋体" w:cs="宋体"/>
      <w:b/>
      <w:bCs/>
      <w:color w:val="000000"/>
      <w:sz w:val="22"/>
      <w:szCs w:val="22"/>
      <w:u w:val="none"/>
    </w:rPr>
  </w:style>
  <w:style w:type="character" w:customStyle="1" w:styleId="42">
    <w:name w:val="font121"/>
    <w:basedOn w:val="17"/>
    <w:qFormat/>
    <w:uiPriority w:val="0"/>
    <w:rPr>
      <w:rFonts w:hint="eastAsia" w:ascii="宋体" w:hAnsi="宋体" w:eastAsia="宋体" w:cs="宋体"/>
      <w:b/>
      <w:bCs/>
      <w:color w:val="FF0000"/>
      <w:sz w:val="22"/>
      <w:szCs w:val="22"/>
      <w:u w:val="none"/>
    </w:rPr>
  </w:style>
  <w:style w:type="character" w:customStyle="1" w:styleId="43">
    <w:name w:val="font81"/>
    <w:basedOn w:val="17"/>
    <w:qFormat/>
    <w:uiPriority w:val="0"/>
    <w:rPr>
      <w:rFonts w:hint="eastAsia" w:ascii="宋体" w:hAnsi="宋体" w:eastAsia="宋体" w:cs="宋体"/>
      <w:color w:val="000000"/>
      <w:sz w:val="28"/>
      <w:szCs w:val="28"/>
      <w:u w:val="none"/>
    </w:rPr>
  </w:style>
  <w:style w:type="character" w:customStyle="1" w:styleId="44">
    <w:name w:val="font131"/>
    <w:basedOn w:val="17"/>
    <w:qFormat/>
    <w:uiPriority w:val="0"/>
    <w:rPr>
      <w:rFonts w:hint="eastAsia" w:ascii="宋体" w:hAnsi="宋体" w:eastAsia="宋体" w:cs="宋体"/>
      <w:color w:val="FF0000"/>
      <w:sz w:val="28"/>
      <w:szCs w:val="28"/>
      <w:u w:val="none"/>
    </w:rPr>
  </w:style>
  <w:style w:type="character" w:customStyle="1" w:styleId="45">
    <w:name w:val="font91"/>
    <w:basedOn w:val="17"/>
    <w:qFormat/>
    <w:uiPriority w:val="0"/>
    <w:rPr>
      <w:rFonts w:hint="eastAsia" w:ascii="宋体" w:hAnsi="宋体" w:eastAsia="宋体" w:cs="宋体"/>
      <w:color w:val="000000"/>
      <w:sz w:val="24"/>
      <w:szCs w:val="24"/>
      <w:u w:val="none"/>
    </w:rPr>
  </w:style>
  <w:style w:type="character" w:customStyle="1" w:styleId="46">
    <w:name w:val="font122"/>
    <w:basedOn w:val="17"/>
    <w:qFormat/>
    <w:uiPriority w:val="0"/>
    <w:rPr>
      <w:rFonts w:hint="eastAsia" w:ascii="宋体" w:hAnsi="宋体" w:eastAsia="宋体" w:cs="宋体"/>
      <w:color w:val="FF0000"/>
      <w:sz w:val="24"/>
      <w:szCs w:val="24"/>
      <w:u w:val="none"/>
    </w:rPr>
  </w:style>
  <w:style w:type="character" w:customStyle="1" w:styleId="47">
    <w:name w:val="font21"/>
    <w:basedOn w:val="17"/>
    <w:qFormat/>
    <w:uiPriority w:val="0"/>
    <w:rPr>
      <w:rFonts w:hint="default" w:ascii="Times New Roman" w:hAnsi="Times New Roman" w:cs="Times New Roman"/>
      <w:color w:val="000000"/>
      <w:sz w:val="16"/>
      <w:szCs w:val="16"/>
      <w:u w:val="none"/>
    </w:rPr>
  </w:style>
  <w:style w:type="character" w:customStyle="1" w:styleId="48">
    <w:name w:val="font31"/>
    <w:basedOn w:val="17"/>
    <w:qFormat/>
    <w:uiPriority w:val="0"/>
    <w:rPr>
      <w:rFonts w:hint="eastAsia" w:ascii="宋体" w:hAnsi="宋体" w:eastAsia="宋体" w:cs="宋体"/>
      <w:color w:val="000000"/>
      <w:sz w:val="16"/>
      <w:szCs w:val="16"/>
      <w:u w:val="none"/>
    </w:rPr>
  </w:style>
  <w:style w:type="character" w:customStyle="1" w:styleId="49">
    <w:name w:val="font141"/>
    <w:basedOn w:val="17"/>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0.00_ </c:formatCode>
                <c:ptCount val="2"/>
                <c:pt idx="0">
                  <c:v>2267.56</c:v>
                </c:pt>
                <c:pt idx="1">
                  <c:v>2332.44</c:v>
                </c:pt>
              </c:numCache>
            </c:numRef>
          </c:val>
        </c:ser>
        <c:dLbls>
          <c:showLegendKey val="0"/>
          <c:showVal val="1"/>
          <c:showCatName val="0"/>
          <c:showSerName val="0"/>
          <c:showPercent val="0"/>
          <c:showBubbleSize val="0"/>
        </c:dLbls>
        <c:gapWidth val="219"/>
        <c:overlap val="-27"/>
        <c:axId val="38375808"/>
        <c:axId val="38378496"/>
      </c:barChart>
      <c:catAx>
        <c:axId val="38375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78496"/>
        <c:crosses val="autoZero"/>
        <c:auto val="1"/>
        <c:lblAlgn val="ctr"/>
        <c:lblOffset val="100"/>
        <c:noMultiLvlLbl val="0"/>
      </c:catAx>
      <c:valAx>
        <c:axId val="38378496"/>
        <c:scaling>
          <c:orientation val="minMax"/>
          <c:min val="20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758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07688730429391"/>
                  <c:y val="-0.138905592303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0.9908</c:v>
                </c:pt>
                <c:pt idx="1">
                  <c:v>0.0092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0.3304</c:v>
                </c:pt>
                <c:pt idx="1">
                  <c:v>0.6696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2202.61</c:v>
                </c:pt>
                <c:pt idx="1">
                  <c:v>2253.12</c:v>
                </c:pt>
              </c:numCache>
            </c:numRef>
          </c:val>
        </c:ser>
        <c:dLbls>
          <c:showLegendKey val="0"/>
          <c:showVal val="1"/>
          <c:showCatName val="0"/>
          <c:showSerName val="0"/>
          <c:showPercent val="0"/>
          <c:showBubbleSize val="0"/>
        </c:dLbls>
        <c:gapWidth val="219"/>
        <c:overlap val="-27"/>
        <c:axId val="38684160"/>
        <c:axId val="38719872"/>
      </c:barChart>
      <c:catAx>
        <c:axId val="38684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19872"/>
        <c:crosses val="autoZero"/>
        <c:auto val="1"/>
        <c:lblAlgn val="ctr"/>
        <c:lblOffset val="100"/>
        <c:noMultiLvlLbl val="0"/>
      </c:catAx>
      <c:valAx>
        <c:axId val="38719872"/>
        <c:scaling>
          <c:orientation val="minMax"/>
          <c:max val="2300"/>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841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647310584152689"/>
          <c:y val="0.302540415704388"/>
          <c:w val="0.949103528050896"/>
          <c:h val="0.439590894094358"/>
        </c:manualLayout>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2202.61</c:v>
                </c:pt>
                <c:pt idx="1">
                  <c:v>2253.12</c:v>
                </c:pt>
              </c:numCache>
            </c:numRef>
          </c:val>
        </c:ser>
        <c:dLbls>
          <c:showLegendKey val="0"/>
          <c:showVal val="1"/>
          <c:showCatName val="0"/>
          <c:showSerName val="0"/>
          <c:showPercent val="0"/>
          <c:showBubbleSize val="0"/>
        </c:dLbls>
        <c:gapWidth val="219"/>
        <c:overlap val="-27"/>
        <c:axId val="38442112"/>
        <c:axId val="38731136"/>
      </c:barChart>
      <c:catAx>
        <c:axId val="384421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31136"/>
        <c:crosses val="autoZero"/>
        <c:auto val="1"/>
        <c:lblAlgn val="ctr"/>
        <c:lblOffset val="100"/>
        <c:noMultiLvlLbl val="0"/>
      </c:catAx>
      <c:valAx>
        <c:axId val="38731136"/>
        <c:scaling>
          <c:orientation val="minMax"/>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42112"/>
        <c:crosses val="autoZero"/>
        <c:crossBetween val="between"/>
      </c:valAx>
      <c:spPr>
        <a:noFill/>
        <a:ln>
          <a:noFill/>
        </a:ln>
        <a:effectLst/>
      </c:spPr>
    </c:plotArea>
    <c:legend>
      <c:legendPos val="b"/>
      <c:layout>
        <c:manualLayout>
          <c:xMode val="edge"/>
          <c:yMode val="edge"/>
          <c:x val="0.378658183921342"/>
          <c:y val="0.8413064995051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0249197244043085"/>
                  <c:y val="0.1089183099229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66409770766957"/>
                  <c:y val="0.14490148115636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912715994683208"/>
                      <c:h val="0.127430311548372"/>
                    </c:manualLayout>
                  </c15:layout>
                </c:ext>
              </c:extLst>
            </c:dLbl>
            <c:dLbl>
              <c:idx val="3"/>
              <c:layout>
                <c:manualLayout>
                  <c:x val="0.0265859126444954"/>
                  <c:y val="0.06477541377470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571930986003875"/>
                  <c:y val="0.03988363830621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0.912</c:v>
                </c:pt>
                <c:pt idx="1">
                  <c:v>0.0413</c:v>
                </c:pt>
                <c:pt idx="2">
                  <c:v>0.013</c:v>
                </c:pt>
                <c:pt idx="3">
                  <c:v>0.0089</c:v>
                </c:pt>
                <c:pt idx="4">
                  <c:v>0.0248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公务接待费</c:v>
                </c:pt>
                <c:pt idx="2">
                  <c:v>公务用车购置及运行维护费</c:v>
                </c:pt>
              </c:strCache>
            </c:strRef>
          </c:cat>
          <c:val>
            <c:numRef>
              <c:f>Sheet1!$B$2:$B$4</c:f>
              <c:numCache>
                <c:formatCode>0.00%</c:formatCode>
                <c:ptCount val="3"/>
                <c:pt idx="0">
                  <c:v>0</c:v>
                </c:pt>
                <c:pt idx="1">
                  <c:v>0.2827</c:v>
                </c:pt>
                <c:pt idx="2">
                  <c:v>0.7173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123</Pages>
  <Words>50435</Words>
  <Characters>56037</Characters>
  <Lines>61</Lines>
  <Paragraphs>17</Paragraphs>
  <TotalTime>54</TotalTime>
  <ScaleCrop>false</ScaleCrop>
  <LinksUpToDate>false</LinksUpToDate>
  <CharactersWithSpaces>56567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2024-09-12T08:48:38Z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45F26B1D0D304F2EA3948C6F1D768176_12</vt:lpwstr>
  </property>
</Properties>
</file>