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65A5D">
      <w:pPr>
        <w:spacing w:line="600" w:lineRule="exact"/>
        <w:jc w:val="center"/>
        <w:outlineLvl w:val="0"/>
        <w:rPr>
          <w:rFonts w:ascii="方正小标宋简体" w:hAnsi="宋体" w:eastAsia="方正小标宋简体"/>
          <w:color w:val="auto"/>
          <w:sz w:val="72"/>
          <w:szCs w:val="72"/>
          <w:highlight w:val="none"/>
        </w:rPr>
      </w:pPr>
      <w:bookmarkStart w:id="0" w:name="_Toc15396475"/>
      <w:bookmarkStart w:id="1" w:name="_Toc15378441"/>
      <w:bookmarkStart w:id="2" w:name="_Toc15377193"/>
      <w:bookmarkStart w:id="3" w:name="_Toc15377425"/>
      <w:bookmarkStart w:id="4" w:name="_Toc15396597"/>
      <w:bookmarkStart w:id="5" w:name="_Toc15306267"/>
    </w:p>
    <w:p w14:paraId="182772F1">
      <w:pPr>
        <w:spacing w:line="600" w:lineRule="exact"/>
        <w:jc w:val="center"/>
        <w:outlineLvl w:val="0"/>
        <w:rPr>
          <w:rFonts w:ascii="方正小标宋简体" w:hAnsi="宋体" w:eastAsia="方正小标宋简体"/>
          <w:color w:val="auto"/>
          <w:sz w:val="72"/>
          <w:szCs w:val="72"/>
          <w:highlight w:val="none"/>
        </w:rPr>
      </w:pPr>
    </w:p>
    <w:p w14:paraId="642FB788">
      <w:pPr>
        <w:spacing w:line="600" w:lineRule="exact"/>
        <w:jc w:val="center"/>
        <w:outlineLvl w:val="0"/>
        <w:rPr>
          <w:rFonts w:ascii="方正小标宋简体" w:hAnsi="宋体" w:eastAsia="方正小标宋简体"/>
          <w:color w:val="auto"/>
          <w:sz w:val="72"/>
          <w:szCs w:val="72"/>
          <w:highlight w:val="none"/>
        </w:rPr>
      </w:pPr>
    </w:p>
    <w:p w14:paraId="7D3EA252">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2023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14:paraId="29D87858">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96476"/>
      <w:bookmarkStart w:id="7" w:name="_Toc15377426"/>
      <w:bookmarkStart w:id="8" w:name="_Toc15377194"/>
      <w:bookmarkStart w:id="9" w:name="_Toc15378442"/>
      <w:bookmarkStart w:id="10" w:name="_Toc15396598"/>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color w:val="auto"/>
          <w:sz w:val="72"/>
          <w:szCs w:val="72"/>
          <w:highlight w:val="none"/>
          <w:lang w:val="en-US" w:eastAsia="zh-CN"/>
        </w:rPr>
        <w:t>遂宁市船山区财政局</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14:paraId="0893FDC1">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5E813D9F">
      <w:pPr>
        <w:widowControl/>
        <w:jc w:val="center"/>
        <w:rPr>
          <w:rFonts w:ascii="黑体" w:hAnsi="黑体" w:eastAsia="黑体" w:cstheme="minorBidi"/>
          <w:color w:val="auto"/>
          <w:sz w:val="28"/>
          <w:szCs w:val="28"/>
          <w:highlight w:val="none"/>
        </w:rPr>
      </w:pPr>
    </w:p>
    <w:p w14:paraId="6E94B09E">
      <w:pPr>
        <w:rPr>
          <w:color w:val="auto"/>
          <w:highlight w:val="none"/>
        </w:rPr>
      </w:pPr>
    </w:p>
    <w:p w14:paraId="73DB8058">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color w:val="auto"/>
          <w:sz w:val="24"/>
          <w:highlight w:val="none"/>
          <w:lang w:val="en-US" w:eastAsia="zh-CN"/>
        </w:rPr>
        <w:t>............................ ............4</w:t>
      </w:r>
    </w:p>
    <w:p w14:paraId="3CE5C7AC">
      <w:pPr>
        <w:pStyle w:val="12"/>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.....................................................................................4</w:t>
      </w:r>
    </w:p>
    <w:p w14:paraId="2EBC3208">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.....................................................................................10</w:t>
      </w:r>
    </w:p>
    <w:p w14:paraId="3784CE11">
      <w:pPr>
        <w:pStyle w:val="11"/>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rPr>
        <w:t>部门决算情况说明</w:t>
      </w:r>
      <w:r>
        <w:rPr>
          <w:rFonts w:hint="eastAsia"/>
          <w:color w:val="auto"/>
          <w:sz w:val="24"/>
          <w:highlight w:val="none"/>
          <w:lang w:val="en-US" w:eastAsia="zh-CN"/>
        </w:rPr>
        <w:t>.........................10</w:t>
      </w:r>
    </w:p>
    <w:p w14:paraId="6198D399">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.....................................................10</w:t>
      </w:r>
    </w:p>
    <w:p w14:paraId="7D549AD5">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.....................................................................11</w:t>
      </w:r>
    </w:p>
    <w:p w14:paraId="587F7CFD">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.....................................................................12</w:t>
      </w:r>
    </w:p>
    <w:p w14:paraId="276CBED2">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.....................................13</w:t>
      </w:r>
    </w:p>
    <w:p w14:paraId="4C63BF38">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.............................13</w:t>
      </w:r>
    </w:p>
    <w:p w14:paraId="2A24D5E3">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.....................17</w:t>
      </w:r>
    </w:p>
    <w:p w14:paraId="2A3CE92A">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.............................18</w:t>
      </w:r>
    </w:p>
    <w:p w14:paraId="2D0D2DFE">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.........................................19</w:t>
      </w:r>
    </w:p>
    <w:p w14:paraId="327781A4">
      <w:pPr>
        <w:pStyle w:val="12"/>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color w:val="auto"/>
          <w:sz w:val="24"/>
          <w:highlight w:val="none"/>
          <w:lang w:val="en-US" w:eastAsia="zh-CN"/>
        </w:rPr>
        <w:t>.....................................19</w:t>
      </w:r>
    </w:p>
    <w:p w14:paraId="4D5936A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Theme="minorEastAsia" w:hAnsiTheme="minorEastAsia" w:eastAsiaTheme="minorEastAsia" w:cstheme="minorEastAsia"/>
          <w:color w:val="auto"/>
          <w:sz w:val="24"/>
          <w:highlight w:val="none"/>
          <w:lang w:val="en-US"/>
        </w:rPr>
      </w:pPr>
      <w:r>
        <w:rPr>
          <w:rStyle w:val="18"/>
          <w:rFonts w:hint="eastAsia" w:asciiTheme="minorEastAsia" w:hAnsiTheme="minorEastAsia" w:eastAsiaTheme="minorEastAsia" w:cstheme="minorEastAsia"/>
          <w:color w:val="auto"/>
          <w:sz w:val="24"/>
          <w:highlight w:val="none"/>
          <w:u w:val="none"/>
          <w:lang w:eastAsia="zh-CN"/>
        </w:rPr>
        <w:t>十</w:t>
      </w:r>
      <w:r>
        <w:rPr>
          <w:rStyle w:val="18"/>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color w:val="auto"/>
          <w:sz w:val="24"/>
          <w:highlight w:val="none"/>
          <w:lang w:val="en-US" w:eastAsia="zh-CN"/>
        </w:rPr>
        <w:t>.........................................................19</w:t>
      </w:r>
    </w:p>
    <w:p w14:paraId="3116D91F">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.........................................21</w:t>
      </w:r>
    </w:p>
    <w:p w14:paraId="4EC5BD8B">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.............................................26</w:t>
      </w:r>
    </w:p>
    <w:p w14:paraId="602D5F6A">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.............................................45</w:t>
      </w:r>
    </w:p>
    <w:p w14:paraId="19E0269F">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.....................................................................45</w:t>
      </w:r>
    </w:p>
    <w:p w14:paraId="69C4AF5C">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二、收入决算表</w:t>
      </w:r>
      <w:r>
        <w:rPr>
          <w:rFonts w:hint="eastAsia"/>
          <w:color w:val="auto"/>
          <w:sz w:val="24"/>
          <w:highlight w:val="none"/>
          <w:lang w:val="en-US" w:eastAsia="zh-CN"/>
        </w:rPr>
        <w:t>.................................................................................45</w:t>
      </w:r>
    </w:p>
    <w:p w14:paraId="7040DF71">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.................................................................................45</w:t>
      </w:r>
    </w:p>
    <w:p w14:paraId="5F51DA00">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.....................................................45</w:t>
      </w:r>
    </w:p>
    <w:p w14:paraId="356AF9EE">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val="en-US" w:eastAsia="zh-CN"/>
        </w:rPr>
        <w:t>.........................................................45</w:t>
      </w:r>
    </w:p>
    <w:p w14:paraId="43DED4BF">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.........................................45</w:t>
      </w:r>
    </w:p>
    <w:p w14:paraId="13D408D3">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.................................45</w:t>
      </w:r>
    </w:p>
    <w:p w14:paraId="338A7609">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val="en-US" w:eastAsia="zh-CN"/>
        </w:rPr>
        <w:t>.........................45</w:t>
      </w:r>
    </w:p>
    <w:p w14:paraId="2EC7FAB7">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.................................45</w:t>
      </w:r>
    </w:p>
    <w:p w14:paraId="29398D04">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十、政府性基金预算财政拨款收入支出决算表</w:t>
      </w:r>
      <w:r>
        <w:rPr>
          <w:rFonts w:hint="eastAsia"/>
          <w:color w:val="auto"/>
          <w:sz w:val="24"/>
          <w:highlight w:val="none"/>
          <w:lang w:val="en-US" w:eastAsia="zh-CN"/>
        </w:rPr>
        <w:t>.............................45</w:t>
      </w:r>
    </w:p>
    <w:p w14:paraId="7317E4C8">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olor w:val="auto"/>
          <w:sz w:val="24"/>
          <w:highlight w:val="none"/>
          <w:lang w:val="en-US" w:eastAsia="zh-CN"/>
        </w:rPr>
        <w:t>.....................45</w:t>
      </w:r>
    </w:p>
    <w:p w14:paraId="64A06D74">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国有资本经营预算财政拨款支出决算表...........................45</w:t>
      </w:r>
    </w:p>
    <w:p w14:paraId="1E4A4680">
      <w:pPr>
        <w:pStyle w:val="12"/>
        <w:adjustRightInd w:val="0"/>
        <w:snapToGrid w:val="0"/>
        <w:spacing w:line="440" w:lineRule="exact"/>
        <w:jc w:val="left"/>
        <w:rPr>
          <w:rFonts w:hint="default" w:eastAsia="宋体" w:asciiTheme="minorEastAsia" w:hAnsiTheme="minorEastAsia" w:cstheme="minorEastAsia"/>
          <w:color w:val="auto"/>
          <w:sz w:val="24"/>
          <w:highlight w:val="none"/>
          <w:lang w:val="en-US" w:eastAsia="zh-CN"/>
        </w:rPr>
      </w:pPr>
      <w:r>
        <w:rPr>
          <w:rFonts w:hint="eastAsia"/>
          <w:color w:val="auto"/>
          <w:sz w:val="24"/>
          <w:highlight w:val="none"/>
        </w:rPr>
        <w:t>十三、财政拨款“三公”经费支出决算表</w:t>
      </w:r>
      <w:r>
        <w:rPr>
          <w:rFonts w:hint="eastAsia"/>
          <w:color w:val="auto"/>
          <w:sz w:val="24"/>
          <w:highlight w:val="none"/>
          <w:lang w:val="en-US" w:eastAsia="zh-CN"/>
        </w:rPr>
        <w:t>...................................45</w:t>
      </w:r>
    </w:p>
    <w:p w14:paraId="5E454A7D">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14:paraId="66BE697A">
      <w:pPr>
        <w:pStyle w:val="2"/>
        <w:jc w:val="center"/>
        <w:rPr>
          <w:rStyle w:val="30"/>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30"/>
          <w:rFonts w:hint="eastAsia" w:ascii="黑体" w:hAnsi="黑体" w:eastAsia="黑体"/>
          <w:b w:val="0"/>
          <w:bCs w:val="0"/>
          <w:color w:val="auto"/>
          <w:highlight w:val="none"/>
        </w:rPr>
        <w:t>部门概况</w:t>
      </w:r>
      <w:bookmarkEnd w:id="12"/>
      <w:bookmarkEnd w:id="13"/>
    </w:p>
    <w:p w14:paraId="5FAD9BC6">
      <w:pPr>
        <w:widowControl/>
        <w:jc w:val="left"/>
        <w:rPr>
          <w:rFonts w:ascii="黑体" w:eastAsia="黑体"/>
          <w:color w:val="auto"/>
          <w:sz w:val="32"/>
          <w:szCs w:val="32"/>
          <w:highlight w:val="none"/>
        </w:rPr>
      </w:pPr>
    </w:p>
    <w:p w14:paraId="670D53FD">
      <w:pPr>
        <w:pStyle w:val="3"/>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14:paraId="472128BC">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区财政局贯彻落实党中央和省委、市委、区委关于财政金融工作的方针政策和决策部署，在履行职责过程中坚持和加强党对财政金融工作的集中统一领导。主要职责是：</w:t>
      </w:r>
    </w:p>
    <w:p w14:paraId="75D04A85">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1.拟</w:t>
      </w:r>
      <w:r>
        <w:rPr>
          <w:rFonts w:hint="eastAsia" w:ascii="仿宋" w:hAnsi="仿宋" w:eastAsia="仿宋"/>
          <w:bCs/>
          <w:color w:val="000000"/>
          <w:sz w:val="32"/>
          <w:szCs w:val="32"/>
          <w:lang w:val="en-US" w:eastAsia="zh-CN"/>
        </w:rPr>
        <w:t>定</w:t>
      </w:r>
      <w:r>
        <w:rPr>
          <w:rFonts w:hint="eastAsia" w:ascii="仿宋" w:hAnsi="仿宋" w:eastAsia="仿宋"/>
          <w:bCs/>
          <w:color w:val="000000"/>
          <w:sz w:val="32"/>
          <w:szCs w:val="32"/>
        </w:rPr>
        <w:t>全区财税发展规划、政策和改革方案并组织实施。分析预测宏观经济形势，参与制定宏观经济政策，提出运用财税政策实施宏观调控和综合平衡社会财力的建议。拟订区和乡镇街道及园区、政府与企业的分配政策，完善鼓励公益事业发展的财税政策。</w:t>
      </w:r>
    </w:p>
    <w:p w14:paraId="1969F0B8">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贯彻执行财政、税收、财务、会计管理的法律、法规和规章。负责组织起草地方财税实施办法和管理制度并组织实施。研究我区经济社会中的财税重大问题，围绕区委区政府中心工作提出改进和完善政府管理、提高财政资金使用效益的建议。</w:t>
      </w:r>
    </w:p>
    <w:p w14:paraId="7ED69B2F">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3.负责管理各项财政收支。编制年度区级预决算草案并组织执行。组织制定经费开支标准、定额，审核批复部门（单位）年度预决算，完善转移支付制度。受区政府委托，向区人民代表大会报告全区和区本级预算及其执行情况，向区人大常委会报告决算。负责政府投资基金区级财政出资的资产管理。负责组织全区预决算公开。指导街道乡镇财政管理工作。</w:t>
      </w:r>
    </w:p>
    <w:p w14:paraId="313BBE86">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4.按照管理权限负责政府非税收入管理。负责政府性基金管理，按规定管理行政事业性收费。管理财政票据。按规定管理彩票资金。负责管辖权限内的税收政策及税收调整方案的制定并组织实施，按照管理权限管理全区税政事项，承办上级要求区一级承担的税政工作。</w:t>
      </w:r>
    </w:p>
    <w:p w14:paraId="764EDF78">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5.组织实施全区国库管理和国库集中收付制度，指导和监督国库业务，开展国库现金管理工作。贯彻执行政府财务报告编制办法并组织实施。负责制定政府采购制度并监督管理。</w:t>
      </w:r>
    </w:p>
    <w:p w14:paraId="67D74100">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6.贯彻执行地方政府债务管理制度和政策，制定具体管理办法，统一管理政府性债务，防范化解财政风险。按规定管理外国政府和国际金融机构贷（赠）款项目的有关业务。</w:t>
      </w:r>
    </w:p>
    <w:p w14:paraId="7B43BE26">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7.牵头编制全区国有资产管理情况报告。根据区政府授权，集中统一履行区本级国有金融资本出资人职责。制定区级国有金融资本管理制度。拟</w:t>
      </w:r>
      <w:r>
        <w:rPr>
          <w:rFonts w:hint="eastAsia" w:ascii="仿宋" w:hAnsi="仿宋" w:eastAsia="仿宋"/>
          <w:bCs/>
          <w:color w:val="000000"/>
          <w:sz w:val="32"/>
          <w:szCs w:val="32"/>
          <w:lang w:val="en-US" w:eastAsia="zh-CN"/>
        </w:rPr>
        <w:t>定</w:t>
      </w:r>
      <w:r>
        <w:rPr>
          <w:rFonts w:hint="eastAsia" w:ascii="仿宋" w:hAnsi="仿宋" w:eastAsia="仿宋"/>
          <w:bCs/>
          <w:color w:val="000000"/>
          <w:sz w:val="32"/>
          <w:szCs w:val="32"/>
        </w:rPr>
        <w:t>全区行政事业单位国有资产管理制度并组织实施，制定需要全区统一规定的开支标准和支出政策。</w:t>
      </w:r>
    </w:p>
    <w:p w14:paraId="7BD0B891">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8.负责审核并汇总编制全区国有资本经营预决算草案，制定国有资本经营预算的制度和办法，收取区本级企业国有资本收益。组织实施企业财务制度，负责财政预算内行政事业单位和社会团体的非贸易和财政预算内的国际收支管理。</w:t>
      </w:r>
    </w:p>
    <w:p w14:paraId="04FF48AB">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9.负责审核并汇总编制全区社会保险基本预决算草案，会同有关部门拟定有关资金（基金）财务管理制度，承担社会保险基金财政监管工作。</w:t>
      </w:r>
    </w:p>
    <w:p w14:paraId="67884EA7">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10.负责办理和监督区本级财政性的经济发展支出、区本级政府性投资项目的财政拨款，负责投资评审管理工作，参与拟订区级基建投资有关政策，制定基建财务管理制度。</w:t>
      </w:r>
    </w:p>
    <w:p w14:paraId="2ABF5FD7">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11.负责全区涉及外国政府和国际金融机构贷（赠）款项目的有关业务，参与财经领域的国际交流与合作。</w:t>
      </w:r>
    </w:p>
    <w:p w14:paraId="5F170A83">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12.负责管理全区会计工作，监督和规范会计行为，组织实施国家统一的会计制度，指导和监督注册会计师和会计师事务所的相关业务，指导和管理社会审计，依法管理资产评估有关工作。</w:t>
      </w:r>
    </w:p>
    <w:p w14:paraId="02AE382A">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13.负责监督检查系统内财税法规、政策的执行情况，反映财政收支管理中的重大问题，依法查处违反财经法纪的行为。</w:t>
      </w:r>
    </w:p>
    <w:p w14:paraId="699AD520">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14.全面实施预算绩效管理，将政府收支预算、部门预算的项目全面纳入绩效管理，构建全方位、全过程、全覆盖的预算绩效管理体系，实现预算和绩效管理一体化。</w:t>
      </w:r>
    </w:p>
    <w:p w14:paraId="2C329730">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15.会同有关部门根据全市金融业发展规划，拟定我区金融政策措施。协调推进全区金融业服务实体经济、防控金融风险、深化金融改革。推动地方政府与金融机构合作。加强金融对外合作交流。会同有关部门推进地方金融业规范发展，培育、壮大地方法人金融机构，引进区外金融机构，促进地方金融机构合理布局和金融资源优化配置。会同相关部门推进全区企业直接融资工作。</w:t>
      </w:r>
    </w:p>
    <w:p w14:paraId="4D505D86">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16.配合全区企业上市改制工作，配合企业上市培育和上市协调工作。配合指导上市公司规范运作、并购重组。会同有关部门推动企业发行各种债券、开展资产证券化等工作（境外融资除外），推进多渠道直接融资。</w:t>
      </w:r>
    </w:p>
    <w:p w14:paraId="6AAC3295">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17.会同有关部门推动全区地方金融要素市场建设，积极推进与多层次资本市场有效对接。配合中</w:t>
      </w:r>
      <w:r>
        <w:rPr>
          <w:rFonts w:hint="eastAsia" w:ascii="仿宋" w:hAnsi="仿宋" w:eastAsia="仿宋"/>
          <w:bCs/>
          <w:color w:val="000000"/>
          <w:sz w:val="32"/>
          <w:szCs w:val="32"/>
          <w:lang w:val="en-US" w:eastAsia="zh-CN"/>
        </w:rPr>
        <w:t>央</w:t>
      </w:r>
      <w:r>
        <w:rPr>
          <w:rFonts w:hint="eastAsia" w:ascii="仿宋" w:hAnsi="仿宋" w:eastAsia="仿宋"/>
          <w:bCs/>
          <w:color w:val="000000"/>
          <w:sz w:val="32"/>
          <w:szCs w:val="32"/>
        </w:rPr>
        <w:t>、省金融管理部门驻遂机构，以及市地方金融监管部门开展金融监管相关工作，共享地方金融监管指标数据和金融业务发展情况，为中</w:t>
      </w:r>
      <w:r>
        <w:rPr>
          <w:rFonts w:hint="eastAsia" w:ascii="仿宋" w:hAnsi="仿宋" w:eastAsia="仿宋"/>
          <w:bCs/>
          <w:color w:val="000000"/>
          <w:sz w:val="32"/>
          <w:szCs w:val="32"/>
          <w:lang w:val="en-US" w:eastAsia="zh-CN"/>
        </w:rPr>
        <w:t>央</w:t>
      </w:r>
      <w:r>
        <w:rPr>
          <w:rFonts w:hint="eastAsia" w:ascii="仿宋" w:hAnsi="仿宋" w:eastAsia="仿宋"/>
          <w:bCs/>
          <w:color w:val="000000"/>
          <w:sz w:val="32"/>
          <w:szCs w:val="32"/>
        </w:rPr>
        <w:t>、省金融管理部门、金融机构提供服务，协调解决地方金融业改革发展中的有关问题。</w:t>
      </w:r>
    </w:p>
    <w:p w14:paraId="2F1874C2">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18.协调各类金融机构为全区经济社会发展服务，参与政府重大项目融资对接、协调服务。引导金融机构创新服务产品，扩大服务范围，延伸服务领域，提升服务效率。按照中</w:t>
      </w:r>
      <w:r>
        <w:rPr>
          <w:rFonts w:hint="eastAsia" w:ascii="仿宋" w:hAnsi="仿宋" w:eastAsia="仿宋"/>
          <w:bCs/>
          <w:color w:val="000000"/>
          <w:sz w:val="32"/>
          <w:szCs w:val="32"/>
          <w:lang w:val="en-US" w:eastAsia="zh-CN"/>
        </w:rPr>
        <w:t>央</w:t>
      </w:r>
      <w:r>
        <w:rPr>
          <w:rFonts w:hint="eastAsia" w:ascii="仿宋" w:hAnsi="仿宋" w:eastAsia="仿宋"/>
          <w:bCs/>
          <w:color w:val="000000"/>
          <w:sz w:val="32"/>
          <w:szCs w:val="32"/>
        </w:rPr>
        <w:t>、省、市有关规定，配合市地方金融监管部门，监管全区小额贷款公司、融资担保公司、典当行。</w:t>
      </w:r>
    </w:p>
    <w:p w14:paraId="2E570989">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19.配合省、市地方金融监管局对开展信用互助的农民专业合作社进行风险监测与行为监管。按照中</w:t>
      </w:r>
      <w:r>
        <w:rPr>
          <w:rFonts w:hint="eastAsia" w:ascii="仿宋" w:hAnsi="仿宋" w:eastAsia="仿宋"/>
          <w:bCs/>
          <w:color w:val="000000"/>
          <w:sz w:val="32"/>
          <w:szCs w:val="32"/>
          <w:lang w:val="en-US" w:eastAsia="zh-CN"/>
        </w:rPr>
        <w:t>央</w:t>
      </w:r>
      <w:r>
        <w:rPr>
          <w:rFonts w:hint="eastAsia" w:ascii="仿宋" w:hAnsi="仿宋" w:eastAsia="仿宋"/>
          <w:bCs/>
          <w:color w:val="000000"/>
          <w:sz w:val="32"/>
          <w:szCs w:val="32"/>
        </w:rPr>
        <w:t>、省、市有关规定，负责地方金融机构和金融中介机构的行业管理和服务，促进金融中介服务业发展。维护地方金融秩序。配合有关部门防范、化解和处置地方金融风险。</w:t>
      </w:r>
    </w:p>
    <w:p w14:paraId="7B6C5B57">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20.负责职责范围内的安全生产和职业健康、消防安全、生态环境保护、审批服务便民化等工作。</w:t>
      </w:r>
    </w:p>
    <w:p w14:paraId="483F9650">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21.承担区政府公布的相关行政权力事项。</w:t>
      </w:r>
    </w:p>
    <w:p w14:paraId="2A7CA7B4">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22.完成区委和区政府交办的其他任务。</w:t>
      </w:r>
    </w:p>
    <w:p w14:paraId="08FA1D39">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23.职能转变。</w:t>
      </w:r>
    </w:p>
    <w:p w14:paraId="422D67DD">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完善宏观调控体系，创新调控方式，构建发展规划、财政、金融等政策协调和工作协同机制，强化经济监测预测预警能力，建立健全重大问题研究和政策储备工作机制，增强宏观调控前瞻性、针对性、协同性。</w:t>
      </w:r>
    </w:p>
    <w:p w14:paraId="23296A53">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深化财税体制改革。加快建立现代财政制度，推进财政事权和支出责任划分改革，建立权责清晰、财力协调、区域均衡的区和园区、乡镇街道财政关系。完善转移支付制度，优化转移支付分类，规范转移支付项目，增强统筹能力。逐步统一预算分配，全面实施绩效管理，建立全面规范透明、标准科学、约束有力的预算制度。全面推行政府性基金和行政事业性收费清单管理，完善监督制度。深化税收制度改革，形成税法统一、税负公平、调节有度的税收制度体系。</w:t>
      </w:r>
    </w:p>
    <w:p w14:paraId="4C547526">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防范化解地方政府债务风险。规范举债融资机制，构建“闭环”管理体系，严控法定限额内债务风险，着力防控隐性债务风险，牢牢守住不发生系统性风险的底线。</w:t>
      </w:r>
    </w:p>
    <w:p w14:paraId="7967198E">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在坚持金融管理主要是中央事权的前提下，按照中央统一规则，落实属地管理，加强对地方金融的监督管理，落实好服务实体经济、防控金融风险、深化金融改革三项任务。加强重点领域和薄弱环节金融服务，提高金融体系抵御风险能力，确保地方金融安全高效稳健运行。</w:t>
      </w:r>
    </w:p>
    <w:p w14:paraId="67DE7D98">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24.有关职责分工。</w:t>
      </w:r>
    </w:p>
    <w:p w14:paraId="348B13C3">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税政管理的职责分工。区财政局负责在授权范围内对税收行政规章、税收政策进行解释，国家税务总局遂宁市船山区税务局（简称区税务局）对执行过程中的征管和一般性税收问题进行解释。</w:t>
      </w:r>
    </w:p>
    <w:p w14:paraId="058BDE3D">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非税收入管理的职责分工。区财政局负责制定和组织实施非税收入国库集中收缴制度，负责非税收入账户、收缴方式、退付退库等管理。区税务局等部门按照非税收入国库集中收缴等有关规定，负责做好非税收入申报征收、会统核算、缴费检查、欠费追缴和违法处罚等工作，有关非税收入项目收缴信息与区财政局及时共享。</w:t>
      </w:r>
    </w:p>
    <w:p w14:paraId="017A1342">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区级行政事业单位国有资产管理的职责分工。区财政局负责制定全区行政事业单位国有资产管理制度，并负责组织实施和监督检查。区政府办公室负责区级行政事业单位的国有资产管理，承担产权界定、清查登记、资产处置工作，制定区级行政事业单位国有资产管理具体制度和办法并组织实施。区级行政事业单位按规定负责所属事业单位及派出机构的国有资产管理。</w:t>
      </w:r>
    </w:p>
    <w:p w14:paraId="2B835A71">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知识产权交易的职责分工。区市场监督管理局负责贯彻执行知识产权规范交易的政策。区财政局配合省地方金融监管局监管知识产权交易场所。</w:t>
      </w:r>
    </w:p>
    <w:p w14:paraId="5774D2CA">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区直公务用车管理的职责分工。区财政局负责执法执勤用车和特种专业技术用车管理。区政府办公室负责其他公务用车管理。</w:t>
      </w:r>
    </w:p>
    <w:p w14:paraId="261EFE6E">
      <w:pPr>
        <w:numPr>
          <w:ilvl w:val="0"/>
          <w:numId w:val="0"/>
        </w:numPr>
        <w:rPr>
          <w:rFonts w:hint="default"/>
          <w:lang w:val="en-US" w:eastAsia="zh-CN"/>
        </w:rPr>
      </w:pPr>
    </w:p>
    <w:p w14:paraId="450E62B1">
      <w:pPr>
        <w:pStyle w:val="3"/>
        <w:rPr>
          <w:rStyle w:val="31"/>
          <w:rFonts w:hint="eastAsia" w:ascii="黑体" w:hAnsi="黑体" w:eastAsia="黑体"/>
          <w:b w:val="0"/>
          <w:bCs w:val="0"/>
          <w:color w:val="auto"/>
          <w:highlight w:val="none"/>
        </w:rPr>
      </w:pPr>
      <w:bookmarkStart w:id="14" w:name="_Toc15396601"/>
      <w:bookmarkStart w:id="15"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31"/>
          <w:rFonts w:hint="eastAsia" w:ascii="黑体" w:hAnsi="黑体" w:eastAsia="黑体"/>
          <w:b w:val="0"/>
          <w:bCs w:val="0"/>
          <w:color w:val="auto"/>
          <w:highlight w:val="none"/>
        </w:rPr>
        <w:t>构设置</w:t>
      </w:r>
      <w:bookmarkEnd w:id="14"/>
      <w:bookmarkEnd w:id="15"/>
    </w:p>
    <w:p w14:paraId="016B7750">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财政局</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7D7DA418">
      <w:pPr>
        <w:pStyle w:val="3"/>
        <w:ind w:firstLine="640" w:firstLineChars="200"/>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无纳入2023年度部门决算编制范围的二级预算单位。</w:t>
      </w:r>
    </w:p>
    <w:p w14:paraId="6D067310">
      <w:pPr>
        <w:pStyle w:val="2"/>
        <w:ind w:right="440"/>
        <w:jc w:val="center"/>
        <w:rPr>
          <w:rStyle w:val="30"/>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0"/>
          <w:rFonts w:hint="eastAsia" w:ascii="黑体" w:hAnsi="黑体" w:eastAsia="黑体"/>
          <w:b w:val="0"/>
          <w:bCs/>
          <w:color w:val="auto"/>
          <w:highlight w:val="none"/>
        </w:rPr>
        <w:t>部门决算情况说明</w:t>
      </w:r>
      <w:bookmarkEnd w:id="16"/>
      <w:bookmarkEnd w:id="17"/>
    </w:p>
    <w:p w14:paraId="6D15E252">
      <w:pPr>
        <w:rPr>
          <w:color w:val="auto"/>
          <w:highlight w:val="none"/>
        </w:rPr>
      </w:pPr>
    </w:p>
    <w:p w14:paraId="4BCC232E">
      <w:pPr>
        <w:pStyle w:val="29"/>
        <w:numPr>
          <w:ilvl w:val="0"/>
          <w:numId w:val="2"/>
        </w:numPr>
        <w:spacing w:line="600" w:lineRule="exact"/>
        <w:ind w:firstLineChars="0"/>
        <w:outlineLvl w:val="1"/>
        <w:rPr>
          <w:rStyle w:val="31"/>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18"/>
      <w:bookmarkEnd w:id="19"/>
    </w:p>
    <w:p w14:paraId="275B1F77">
      <w:pPr>
        <w:snapToGrid w:val="0"/>
        <w:spacing w:line="520" w:lineRule="exact"/>
        <w:ind w:firstLine="640" w:firstLineChars="200"/>
        <w:rPr>
          <w:rFonts w:hint="default" w:ascii="仿宋_GB2312" w:hAnsi="仿宋" w:eastAsia="仿宋_GB2312"/>
          <w:sz w:val="32"/>
          <w:szCs w:val="32"/>
          <w:highlight w:val="red"/>
          <w:lang w:val="en-US"/>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1999.05</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216.23</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9.76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sz w:val="32"/>
          <w:szCs w:val="32"/>
          <w:highlight w:val="none"/>
          <w:lang w:val="en-US" w:eastAsia="zh-CN"/>
        </w:rPr>
        <w:t>：一是2022年补发上年年度考核奖，比2023年多发放1年；二是2023年项目支出减少。</w:t>
      </w:r>
    </w:p>
    <w:p w14:paraId="35C8B6BC">
      <w:pPr>
        <w:snapToGrid w:val="0"/>
        <w:spacing w:line="520" w:lineRule="exact"/>
        <w:ind w:firstLine="640" w:firstLineChars="200"/>
        <w:rPr>
          <w:rFonts w:hint="eastAsia" w:ascii="仿宋_GB2312" w:hAnsi="仿宋" w:eastAsia="仿宋_GB2312"/>
          <w:sz w:val="32"/>
          <w:szCs w:val="32"/>
          <w:highlight w:val="red"/>
          <w:lang w:val="en-US" w:eastAsia="zh-CN"/>
        </w:rPr>
      </w:pPr>
    </w:p>
    <w:p w14:paraId="448C8074">
      <w:pPr>
        <w:spacing w:line="600" w:lineRule="exact"/>
        <w:ind w:firstLine="640" w:firstLineChars="200"/>
        <w:rPr>
          <w:rFonts w:hint="eastAsia" w:ascii="仿宋" w:hAnsi="仿宋" w:eastAsia="仿宋"/>
          <w:color w:val="auto"/>
          <w:sz w:val="32"/>
          <w:szCs w:val="32"/>
          <w:highlight w:val="none"/>
        </w:rPr>
      </w:pPr>
    </w:p>
    <w:p w14:paraId="0CE07CDB">
      <w:pPr>
        <w:pStyle w:val="19"/>
        <w:jc w:val="both"/>
        <w:rPr>
          <w:rFonts w:hint="eastAsia" w:ascii="仿宋" w:hAnsi="仿宋" w:eastAsia="仿宋"/>
          <w:color w:val="auto"/>
          <w:sz w:val="32"/>
          <w:szCs w:val="32"/>
          <w:highlight w:val="none"/>
        </w:rPr>
      </w:pPr>
    </w:p>
    <w:p w14:paraId="53B8BB2A">
      <w:pPr>
        <w:rPr>
          <w:rFonts w:hint="eastAsia" w:ascii="仿宋" w:hAnsi="仿宋" w:eastAsia="仿宋"/>
          <w:color w:val="auto"/>
          <w:sz w:val="32"/>
          <w:szCs w:val="32"/>
          <w:highlight w:val="none"/>
        </w:rPr>
      </w:pPr>
      <w:r>
        <w:drawing>
          <wp:inline distT="0" distB="0" distL="114300" distR="114300">
            <wp:extent cx="4671060" cy="2743200"/>
            <wp:effectExtent l="4445" t="4445" r="1079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3E1D53F">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001D7E6D">
      <w:pPr>
        <w:pStyle w:val="29"/>
        <w:numPr>
          <w:ilvl w:val="0"/>
          <w:numId w:val="2"/>
        </w:numPr>
        <w:spacing w:line="600" w:lineRule="exact"/>
        <w:ind w:firstLineChars="0"/>
        <w:outlineLvl w:val="1"/>
        <w:rPr>
          <w:rStyle w:val="31"/>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20"/>
      <w:bookmarkEnd w:id="21"/>
    </w:p>
    <w:p w14:paraId="08990E25">
      <w:pPr>
        <w:spacing w:line="600" w:lineRule="exact"/>
        <w:ind w:firstLine="640" w:firstLineChars="200"/>
        <w:outlineLvl w:val="1"/>
        <w:rPr>
          <w:rFonts w:hint="eastAsia" w:ascii="仿宋_GB2312" w:hAnsi="仿宋" w:eastAsia="仿宋_GB2312" w:cs="Times New Roman"/>
          <w:sz w:val="32"/>
          <w:szCs w:val="32"/>
          <w:lang w:eastAsia="zh-CN"/>
        </w:rPr>
      </w:pPr>
      <w:r>
        <w:rPr>
          <w:rFonts w:hint="eastAsia" w:ascii="仿宋_GB2312" w:hAnsi="仿宋" w:eastAsia="仿宋_GB2312"/>
          <w:sz w:val="32"/>
          <w:szCs w:val="32"/>
          <w:lang w:val="en-US" w:eastAsia="zh-CN"/>
        </w:rPr>
        <w:t>2023年共完成收入1832.79万元，其中：一般公共预算拨款收入1829.51万元，占比99.82%。</w:t>
      </w:r>
      <w:r>
        <w:rPr>
          <w:rFonts w:hint="eastAsia" w:ascii="仿宋_GB2312" w:hAnsi="仿宋" w:eastAsia="仿宋_GB2312" w:cs="Times New Roman"/>
          <w:sz w:val="32"/>
          <w:szCs w:val="32"/>
        </w:rPr>
        <w:t>其他收入</w:t>
      </w:r>
      <w:r>
        <w:rPr>
          <w:rFonts w:hint="eastAsia" w:ascii="仿宋_GB2312" w:hAnsi="仿宋" w:eastAsia="仿宋_GB2312" w:cs="Times New Roman"/>
          <w:sz w:val="32"/>
          <w:szCs w:val="32"/>
          <w:lang w:val="en-US" w:eastAsia="zh-CN"/>
        </w:rPr>
        <w:t>3.28</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0.18</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w:t>
      </w:r>
    </w:p>
    <w:p w14:paraId="5927F718">
      <w:pPr>
        <w:spacing w:line="60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，仅罗列本部门涉及的收入。</w:t>
      </w:r>
      <w:r>
        <w:rPr>
          <w:rFonts w:ascii="仿宋" w:hAnsi="仿宋" w:eastAsia="仿宋"/>
          <w:b/>
          <w:color w:val="auto"/>
          <w:sz w:val="32"/>
          <w:szCs w:val="32"/>
          <w:highlight w:val="none"/>
        </w:rPr>
        <w:t>）</w:t>
      </w:r>
    </w:p>
    <w:p w14:paraId="40110BC0"/>
    <w:p w14:paraId="1E739703">
      <w:pPr>
        <w:pStyle w:val="19"/>
      </w:pPr>
      <w:r>
        <w:drawing>
          <wp:inline distT="0" distB="0" distL="114300" distR="114300">
            <wp:extent cx="4671060" cy="2743200"/>
            <wp:effectExtent l="4445" t="4445" r="10795"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83358BD">
      <w:pPr>
        <w:spacing w:line="600" w:lineRule="exact"/>
        <w:ind w:firstLine="2880" w:firstLineChars="9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w:t>
      </w:r>
    </w:p>
    <w:p w14:paraId="59BE747F">
      <w:pPr>
        <w:pStyle w:val="29"/>
        <w:numPr>
          <w:ilvl w:val="0"/>
          <w:numId w:val="2"/>
        </w:numPr>
        <w:spacing w:line="600" w:lineRule="exact"/>
        <w:ind w:firstLineChars="0"/>
        <w:outlineLvl w:val="1"/>
        <w:rPr>
          <w:rStyle w:val="31"/>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22"/>
      <w:bookmarkEnd w:id="23"/>
    </w:p>
    <w:p w14:paraId="14C6FF5E">
      <w:pPr>
        <w:numPr>
          <w:ilvl w:val="0"/>
          <w:numId w:val="0"/>
        </w:numPr>
        <w:snapToGrid w:val="0"/>
        <w:spacing w:line="520" w:lineRule="exact"/>
        <w:ind w:firstLine="640" w:firstLineChars="200"/>
        <w:outlineLvl w:val="9"/>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eastAsia="zh-CN"/>
        </w:rPr>
        <w:t>2023</w:t>
      </w:r>
      <w:r>
        <w:rPr>
          <w:rFonts w:hint="eastAsia" w:ascii="仿宋_GB2312" w:hAnsi="仿宋" w:eastAsia="仿宋_GB2312" w:cs="Times New Roman"/>
          <w:sz w:val="32"/>
          <w:szCs w:val="32"/>
        </w:rPr>
        <w:t>年本年支出合计</w:t>
      </w:r>
      <w:r>
        <w:rPr>
          <w:rFonts w:hint="eastAsia" w:ascii="仿宋_GB2312" w:hAnsi="仿宋" w:eastAsia="仿宋_GB2312" w:cs="Times New Roman"/>
          <w:sz w:val="32"/>
          <w:szCs w:val="32"/>
          <w:lang w:val="en-US" w:eastAsia="zh-CN"/>
        </w:rPr>
        <w:t>1831.02</w:t>
      </w:r>
      <w:r>
        <w:rPr>
          <w:rFonts w:hint="eastAsia" w:ascii="仿宋_GB2312" w:hAnsi="仿宋" w:eastAsia="仿宋_GB2312" w:cs="Times New Roman"/>
          <w:sz w:val="32"/>
          <w:szCs w:val="32"/>
        </w:rPr>
        <w:t>万元，其中：基本支出</w:t>
      </w:r>
      <w:r>
        <w:rPr>
          <w:rFonts w:hint="eastAsia" w:ascii="仿宋_GB2312" w:hAnsi="仿宋" w:eastAsia="仿宋_GB2312" w:cs="Times New Roman"/>
          <w:sz w:val="32"/>
          <w:szCs w:val="32"/>
          <w:lang w:val="en-US" w:eastAsia="zh-CN"/>
        </w:rPr>
        <w:t>1420.15</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77.56</w:t>
      </w:r>
      <w:r>
        <w:rPr>
          <w:rFonts w:hint="eastAsia" w:ascii="仿宋_GB2312" w:hAnsi="仿宋" w:eastAsia="仿宋_GB2312" w:cs="Times New Roman"/>
          <w:sz w:val="32"/>
          <w:szCs w:val="32"/>
        </w:rPr>
        <w:t>%；项目支出</w:t>
      </w:r>
      <w:r>
        <w:rPr>
          <w:rFonts w:hint="eastAsia" w:ascii="仿宋_GB2312" w:hAnsi="仿宋" w:eastAsia="仿宋_GB2312" w:cs="Times New Roman"/>
          <w:sz w:val="32"/>
          <w:szCs w:val="32"/>
          <w:lang w:val="en-US" w:eastAsia="zh-CN"/>
        </w:rPr>
        <w:t>410.87</w:t>
      </w:r>
      <w:r>
        <w:rPr>
          <w:rFonts w:hint="eastAsia" w:ascii="仿宋_GB2312" w:hAnsi="仿宋" w:eastAsia="仿宋_GB2312" w:cs="Times New Roman"/>
          <w:sz w:val="32"/>
          <w:szCs w:val="32"/>
        </w:rPr>
        <w:t>元，占</w:t>
      </w:r>
      <w:r>
        <w:rPr>
          <w:rFonts w:hint="eastAsia" w:ascii="仿宋_GB2312" w:hAnsi="仿宋" w:eastAsia="仿宋_GB2312" w:cs="Times New Roman"/>
          <w:sz w:val="32"/>
          <w:szCs w:val="32"/>
          <w:lang w:val="en-US" w:eastAsia="zh-CN"/>
        </w:rPr>
        <w:t>22.44</w:t>
      </w:r>
      <w:r>
        <w:rPr>
          <w:rFonts w:hint="eastAsia" w:ascii="仿宋_GB2312" w:hAnsi="仿宋" w:eastAsia="仿宋_GB2312" w:cs="Times New Roman"/>
          <w:sz w:val="32"/>
          <w:szCs w:val="32"/>
        </w:rPr>
        <w:t>%；上缴上级支出0万元，占0%；经营支出0万元，占0%；对附属单位补助支出0万元，占0%。</w:t>
      </w:r>
    </w:p>
    <w:p w14:paraId="48060C5E">
      <w:pPr>
        <w:spacing w:line="600" w:lineRule="exact"/>
        <w:outlineLvl w:val="1"/>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，仅罗列本部门涉及的支出。</w:t>
      </w:r>
      <w:r>
        <w:rPr>
          <w:rFonts w:hint="eastAsia" w:ascii="仿宋" w:hAnsi="仿宋" w:eastAsia="仿宋"/>
          <w:b/>
          <w:color w:val="auto"/>
          <w:sz w:val="32"/>
          <w:szCs w:val="32"/>
          <w:highlight w:val="none"/>
        </w:rPr>
        <w:t>）</w:t>
      </w:r>
    </w:p>
    <w:p w14:paraId="7CE0A139">
      <w:pPr>
        <w:pStyle w:val="19"/>
        <w:rPr>
          <w:rFonts w:hint="eastAsia"/>
        </w:rPr>
      </w:pPr>
      <w:r>
        <w:drawing>
          <wp:inline distT="0" distB="0" distL="114300" distR="114300">
            <wp:extent cx="4752340" cy="2743200"/>
            <wp:effectExtent l="4445" t="4445" r="571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07F30C">
      <w:pPr>
        <w:spacing w:line="600" w:lineRule="exact"/>
        <w:ind w:firstLine="1600" w:firstLineChars="5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4541858B">
      <w:pPr>
        <w:spacing w:line="600" w:lineRule="exact"/>
        <w:ind w:firstLine="640" w:firstLineChars="200"/>
        <w:rPr>
          <w:rFonts w:ascii="仿宋_GB2312" w:eastAsia="仿宋_GB2312"/>
          <w:color w:val="auto"/>
          <w:sz w:val="32"/>
          <w:szCs w:val="32"/>
          <w:highlight w:val="none"/>
        </w:rPr>
      </w:pPr>
    </w:p>
    <w:p w14:paraId="7394CEAF">
      <w:pPr>
        <w:spacing w:line="600" w:lineRule="exact"/>
        <w:ind w:firstLine="640" w:firstLineChars="200"/>
        <w:outlineLvl w:val="1"/>
        <w:rPr>
          <w:rStyle w:val="31"/>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24"/>
      <w:bookmarkEnd w:id="25"/>
    </w:p>
    <w:p w14:paraId="660ABE9B">
      <w:pPr>
        <w:spacing w:line="600" w:lineRule="exact"/>
        <w:ind w:firstLine="640"/>
        <w:rPr>
          <w:rFonts w:hint="eastAsia" w:ascii="仿宋_GB2312" w:hAnsi="仿宋" w:eastAsia="仿宋_GB2312"/>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1829.51</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val="en-US" w:eastAsia="zh-CN"/>
        </w:rPr>
        <w:t>减少219.51</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下降10.71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w:t>
      </w:r>
      <w:r>
        <w:rPr>
          <w:rFonts w:hint="eastAsia" w:ascii="仿宋_GB2312" w:hAnsi="仿宋" w:eastAsia="仿宋_GB2312"/>
          <w:sz w:val="32"/>
          <w:szCs w:val="32"/>
          <w:highlight w:val="none"/>
          <w:lang w:val="en-US" w:eastAsia="zh-CN"/>
        </w:rPr>
        <w:t>一是2022年补发上年年度考核奖，比2023年多发放1年；二是2023年项目支出减少。</w:t>
      </w:r>
    </w:p>
    <w:p w14:paraId="795F414B">
      <w:pPr>
        <w:spacing w:line="600" w:lineRule="exact"/>
        <w:ind w:firstLine="640"/>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14:paraId="2568F792">
      <w:pPr>
        <w:pStyle w:val="19"/>
        <w:jc w:val="both"/>
        <w:rPr>
          <w:rFonts w:hint="eastAsia" w:ascii="仿宋" w:hAnsi="仿宋" w:eastAsia="仿宋"/>
          <w:color w:val="auto"/>
          <w:sz w:val="32"/>
          <w:szCs w:val="32"/>
          <w:highlight w:val="none"/>
        </w:rPr>
      </w:pPr>
    </w:p>
    <w:p w14:paraId="5C294208">
      <w:pPr>
        <w:spacing w:line="240" w:lineRule="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 xml:space="preserve">  </w:t>
      </w:r>
      <w:r>
        <w:drawing>
          <wp:inline distT="0" distB="0" distL="114300" distR="114300">
            <wp:extent cx="4671060" cy="2743200"/>
            <wp:effectExtent l="4445" t="4445" r="10795" b="14605"/>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F52D4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14:paraId="01079997">
      <w:pPr>
        <w:spacing w:line="600" w:lineRule="exact"/>
        <w:ind w:firstLine="640"/>
        <w:rPr>
          <w:rFonts w:ascii="仿宋" w:hAnsi="仿宋" w:eastAsia="仿宋"/>
          <w:b/>
          <w:color w:val="auto"/>
          <w:sz w:val="32"/>
          <w:szCs w:val="32"/>
          <w:highlight w:val="none"/>
        </w:rPr>
      </w:pPr>
    </w:p>
    <w:p w14:paraId="19833A96">
      <w:pPr>
        <w:spacing w:line="600" w:lineRule="exact"/>
        <w:ind w:firstLine="640" w:firstLineChars="200"/>
        <w:outlineLvl w:val="1"/>
        <w:rPr>
          <w:rStyle w:val="31"/>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26"/>
      <w:bookmarkEnd w:id="27"/>
    </w:p>
    <w:p w14:paraId="7DFC10FA">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14:paraId="26E310DA">
      <w:pPr>
        <w:spacing w:line="600" w:lineRule="exact"/>
        <w:ind w:firstLine="640" w:firstLineChars="200"/>
        <w:rPr>
          <w:rFonts w:hint="eastAsia" w:ascii="仿宋_GB2312" w:hAnsi="仿宋" w:eastAsia="仿宋_GB2312"/>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1829.51</w:t>
      </w:r>
      <w:r>
        <w:rPr>
          <w:rFonts w:hint="eastAsia" w:ascii="仿宋" w:hAnsi="仿宋" w:eastAsia="仿宋"/>
          <w:color w:val="auto"/>
          <w:sz w:val="32"/>
          <w:szCs w:val="32"/>
          <w:highlight w:val="none"/>
        </w:rPr>
        <w:t>万元，占本年</w:t>
      </w:r>
      <w:r>
        <w:rPr>
          <w:rFonts w:hint="eastAsia" w:ascii="仿宋" w:hAnsi="仿宋" w:eastAsia="仿宋"/>
          <w:color w:val="auto"/>
          <w:sz w:val="32"/>
          <w:szCs w:val="32"/>
          <w:highlight w:val="none"/>
          <w:lang w:val="en-US" w:eastAsia="zh-CN"/>
        </w:rPr>
        <w:t>财政拨款</w:t>
      </w:r>
      <w:r>
        <w:rPr>
          <w:rFonts w:hint="eastAsia" w:ascii="仿宋" w:hAnsi="仿宋" w:eastAsia="仿宋"/>
          <w:color w:val="auto"/>
          <w:sz w:val="32"/>
          <w:szCs w:val="32"/>
          <w:highlight w:val="none"/>
        </w:rPr>
        <w:t>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减少219.51</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下降10.71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w:t>
      </w:r>
      <w:r>
        <w:rPr>
          <w:rFonts w:hint="eastAsia" w:ascii="仿宋_GB2312" w:hAnsi="仿宋" w:eastAsia="仿宋_GB2312"/>
          <w:sz w:val="32"/>
          <w:szCs w:val="32"/>
          <w:highlight w:val="none"/>
          <w:lang w:val="en-US" w:eastAsia="zh-CN"/>
        </w:rPr>
        <w:t>一是2022年补发上年年度考核奖，比2023年多发放1年；二是2023年项目支出减少。</w:t>
      </w:r>
    </w:p>
    <w:p w14:paraId="5E8C6FC0">
      <w:pPr>
        <w:pStyle w:val="20"/>
        <w:jc w:val="both"/>
        <w:rPr>
          <w:rFonts w:hint="eastAsia" w:ascii="仿宋_GB2312" w:hAnsi="仿宋" w:eastAsia="仿宋_GB2312"/>
          <w:sz w:val="32"/>
          <w:szCs w:val="32"/>
          <w:highlight w:val="none"/>
          <w:lang w:val="en-US" w:eastAsia="zh-CN"/>
        </w:rPr>
      </w:pPr>
      <w:r>
        <w:drawing>
          <wp:inline distT="0" distB="0" distL="114300" distR="114300">
            <wp:extent cx="4671060" cy="2743200"/>
            <wp:effectExtent l="4445" t="4445" r="1079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5133FE">
      <w:pPr>
        <w:spacing w:line="600" w:lineRule="exact"/>
        <w:ind w:firstLine="640" w:firstLineChars="200"/>
      </w:pPr>
      <w:r>
        <w:rPr>
          <w:rFonts w:hint="eastAsia" w:ascii="仿宋" w:hAnsi="仿宋" w:eastAsia="仿宋"/>
          <w:color w:val="auto"/>
          <w:sz w:val="32"/>
          <w:szCs w:val="32"/>
          <w:highlight w:val="none"/>
        </w:rPr>
        <w:t>（图5：一般公共预算财政拨款支出决算变动情况）</w:t>
      </w:r>
    </w:p>
    <w:p w14:paraId="74ED23BD">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14:paraId="4C43BB84">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1829.51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1508.35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82.45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149.98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58.72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val="en-US" w:eastAsia="zh-CN"/>
        </w:rPr>
        <w:t>农林水</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0.54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102.46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17029580">
      <w:pPr>
        <w:spacing w:line="600" w:lineRule="exact"/>
        <w:ind w:firstLine="640"/>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本部门涉及的全部</w:t>
      </w:r>
      <w:r>
        <w:rPr>
          <w:rFonts w:hint="eastAsia" w:ascii="仿宋" w:hAnsi="仿宋" w:eastAsia="仿宋"/>
          <w:b/>
          <w:color w:val="auto"/>
          <w:sz w:val="32"/>
          <w:szCs w:val="32"/>
          <w:highlight w:val="none"/>
        </w:rPr>
        <w:t>功能分类科目，至类级。）</w:t>
      </w:r>
    </w:p>
    <w:p w14:paraId="61AE3095">
      <w:pPr>
        <w:rPr>
          <w:rFonts w:hint="eastAsia"/>
        </w:rPr>
      </w:pPr>
      <w:r>
        <w:drawing>
          <wp:inline distT="0" distB="0" distL="114300" distR="114300">
            <wp:extent cx="5542915" cy="3847465"/>
            <wp:effectExtent l="4445" t="4445" r="15240" b="1524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EEFA1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14:paraId="27759ADA">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14:paraId="46AC5150">
      <w:pPr>
        <w:spacing w:line="600" w:lineRule="exact"/>
        <w:ind w:firstLine="643" w:firstLineChars="200"/>
        <w:outlineLvl w:val="2"/>
        <w:rPr>
          <w:rStyle w:val="17"/>
          <w:rFonts w:hint="eastAsia" w:ascii="仿宋" w:hAnsi="仿宋" w:eastAsia="仿宋"/>
          <w:bCs/>
          <w:color w:val="auto"/>
          <w:sz w:val="32"/>
          <w:szCs w:val="32"/>
          <w:highlight w:val="none"/>
        </w:rPr>
      </w:pPr>
      <w:bookmarkStart w:id="31" w:name="_Toc15378460"/>
      <w:bookmarkStart w:id="32" w:name="_Toc15377444"/>
      <w:bookmarkStart w:id="33" w:name="_Toc15377213"/>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1829.51万元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91.59</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31"/>
      <w:bookmarkEnd w:id="32"/>
      <w:bookmarkEnd w:id="33"/>
    </w:p>
    <w:p w14:paraId="68ECA7C0">
      <w:pPr>
        <w:spacing w:line="60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一般公共服务（</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）财政事务（</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）行政运行（</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538.21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决算数等于预算数</w:t>
      </w:r>
      <w:r>
        <w:rPr>
          <w:rStyle w:val="17"/>
          <w:rFonts w:hint="eastAsia" w:ascii="仿宋" w:hAnsi="仿宋" w:eastAsia="仿宋"/>
          <w:b w:val="0"/>
          <w:bCs/>
          <w:color w:val="auto"/>
          <w:sz w:val="32"/>
          <w:szCs w:val="32"/>
          <w:highlight w:val="none"/>
        </w:rPr>
        <w:t>。</w:t>
      </w:r>
    </w:p>
    <w:p w14:paraId="13E53F11">
      <w:pPr>
        <w:spacing w:line="60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一般公共服务（</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）财政事务（</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）一般行政管理事务（</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400.87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决算数等于预算数</w:t>
      </w:r>
      <w:r>
        <w:rPr>
          <w:rStyle w:val="17"/>
          <w:rFonts w:hint="eastAsia" w:ascii="仿宋" w:hAnsi="仿宋" w:eastAsia="仿宋"/>
          <w:b w:val="0"/>
          <w:bCs/>
          <w:color w:val="auto"/>
          <w:sz w:val="32"/>
          <w:szCs w:val="32"/>
          <w:highlight w:val="none"/>
        </w:rPr>
        <w:t>。</w:t>
      </w:r>
    </w:p>
    <w:p w14:paraId="44077DB2">
      <w:pPr>
        <w:spacing w:line="60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一般公共服务（</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）财政事务（</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）事业运行（</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569.27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决算数等于预算数</w:t>
      </w:r>
      <w:r>
        <w:rPr>
          <w:rStyle w:val="17"/>
          <w:rFonts w:hint="eastAsia" w:ascii="仿宋" w:hAnsi="仿宋" w:eastAsia="仿宋"/>
          <w:b w:val="0"/>
          <w:bCs/>
          <w:color w:val="auto"/>
          <w:sz w:val="32"/>
          <w:szCs w:val="32"/>
          <w:highlight w:val="none"/>
        </w:rPr>
        <w:t>。</w:t>
      </w:r>
    </w:p>
    <w:p w14:paraId="6E725546">
      <w:pPr>
        <w:spacing w:line="60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）行政事业单位养老支出（</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）行政单位离退休（</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4.68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决算数等于预算数</w:t>
      </w:r>
      <w:r>
        <w:rPr>
          <w:rStyle w:val="17"/>
          <w:rFonts w:hint="eastAsia" w:ascii="仿宋" w:hAnsi="仿宋" w:eastAsia="仿宋"/>
          <w:b w:val="0"/>
          <w:bCs/>
          <w:color w:val="auto"/>
          <w:sz w:val="32"/>
          <w:szCs w:val="32"/>
          <w:highlight w:val="none"/>
        </w:rPr>
        <w:t>。</w:t>
      </w:r>
    </w:p>
    <w:p w14:paraId="6821C8C8">
      <w:pPr>
        <w:spacing w:line="60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）行政事业单位养老支出（</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）机关事业单位基本养老保险缴费支出（</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120.99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决算数等于预算数</w:t>
      </w:r>
      <w:r>
        <w:rPr>
          <w:rStyle w:val="17"/>
          <w:rFonts w:hint="eastAsia" w:ascii="仿宋" w:hAnsi="仿宋" w:eastAsia="仿宋"/>
          <w:b w:val="0"/>
          <w:bCs/>
          <w:color w:val="auto"/>
          <w:sz w:val="32"/>
          <w:szCs w:val="32"/>
          <w:highlight w:val="none"/>
        </w:rPr>
        <w:t>。</w:t>
      </w:r>
    </w:p>
    <w:p w14:paraId="11496A95">
      <w:pPr>
        <w:spacing w:line="60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）行政事业单位养老支出（</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）机关事业单位职业年金缴费支出（</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12.26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决算数等于预算数</w:t>
      </w:r>
      <w:r>
        <w:rPr>
          <w:rStyle w:val="17"/>
          <w:rFonts w:hint="eastAsia" w:ascii="仿宋" w:hAnsi="仿宋" w:eastAsia="仿宋"/>
          <w:b w:val="0"/>
          <w:bCs/>
          <w:color w:val="auto"/>
          <w:sz w:val="32"/>
          <w:szCs w:val="32"/>
          <w:highlight w:val="none"/>
        </w:rPr>
        <w:t>。</w:t>
      </w:r>
    </w:p>
    <w:p w14:paraId="50FCF5A3">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残疾人事业</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残疾人就业</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9.23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决算数等于预算数</w:t>
      </w:r>
      <w:r>
        <w:rPr>
          <w:rStyle w:val="17"/>
          <w:rFonts w:hint="eastAsia" w:ascii="仿宋" w:hAnsi="仿宋" w:eastAsia="仿宋"/>
          <w:b w:val="0"/>
          <w:bCs/>
          <w:color w:val="auto"/>
          <w:sz w:val="32"/>
          <w:szCs w:val="32"/>
          <w:highlight w:val="none"/>
        </w:rPr>
        <w:t>。</w:t>
      </w:r>
    </w:p>
    <w:p w14:paraId="5AA627C6">
      <w:pPr>
        <w:spacing w:line="600" w:lineRule="exact"/>
        <w:ind w:firstLine="640" w:firstLineChars="200"/>
        <w:rPr>
          <w:rFonts w:ascii="仿宋" w:hAnsi="仿宋" w:eastAsia="仿宋"/>
          <w:b/>
          <w:color w:val="auto"/>
          <w:sz w:val="32"/>
          <w:szCs w:val="32"/>
          <w:highlight w:val="none"/>
        </w:rPr>
      </w:pPr>
      <w:r>
        <w:rPr>
          <w:rFonts w:hint="eastAsia" w:ascii="仿宋_GB2312" w:eastAsia="仿宋_GB2312"/>
          <w:sz w:val="32"/>
          <w:szCs w:val="32"/>
          <w:lang w:val="en-US" w:eastAsia="zh-CN"/>
        </w:rPr>
        <w:t>8.</w:t>
      </w:r>
      <w:r>
        <w:rPr>
          <w:rFonts w:hint="eastAsia" w:ascii="仿宋_GB2312" w:eastAsia="仿宋_GB2312"/>
          <w:sz w:val="32"/>
          <w:szCs w:val="32"/>
        </w:rPr>
        <w:t>社会保障和就业支出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w:t>
      </w:r>
      <w:r>
        <w:rPr>
          <w:rFonts w:hint="eastAsia" w:ascii="仿宋_GB2312" w:eastAsia="仿宋_GB2312"/>
          <w:sz w:val="32"/>
          <w:szCs w:val="32"/>
        </w:rPr>
        <w:t>其他社会保障和就业支出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w:t>
      </w:r>
      <w:r>
        <w:rPr>
          <w:rFonts w:hint="eastAsia" w:ascii="仿宋_GB2312" w:eastAsia="仿宋_GB2312"/>
          <w:sz w:val="32"/>
          <w:szCs w:val="32"/>
        </w:rPr>
        <w:t>其他社会保障和就业支出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2.82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决算数等于预算数</w:t>
      </w:r>
      <w:r>
        <w:rPr>
          <w:rStyle w:val="17"/>
          <w:rFonts w:hint="eastAsia" w:ascii="仿宋" w:hAnsi="仿宋" w:eastAsia="仿宋"/>
          <w:b w:val="0"/>
          <w:bCs/>
          <w:color w:val="auto"/>
          <w:sz w:val="32"/>
          <w:szCs w:val="32"/>
          <w:highlight w:val="none"/>
        </w:rPr>
        <w:t>。</w:t>
      </w:r>
    </w:p>
    <w:p w14:paraId="50DCB20C">
      <w:pPr>
        <w:spacing w:line="600" w:lineRule="exact"/>
        <w:ind w:firstLine="640" w:firstLineChars="200"/>
        <w:rPr>
          <w:rFonts w:ascii="仿宋" w:hAnsi="仿宋" w:eastAsia="仿宋"/>
          <w:b/>
          <w:color w:val="auto"/>
          <w:sz w:val="32"/>
          <w:szCs w:val="32"/>
          <w:highlight w:val="none"/>
        </w:rPr>
      </w:pPr>
      <w:r>
        <w:rPr>
          <w:rFonts w:hint="eastAsia" w:ascii="仿宋_GB2312" w:eastAsia="仿宋_GB2312"/>
          <w:sz w:val="32"/>
          <w:szCs w:val="32"/>
          <w:highlight w:val="none"/>
          <w:lang w:val="en-US" w:eastAsia="zh-CN"/>
        </w:rPr>
        <w:t>9.卫生健康</w:t>
      </w:r>
      <w:r>
        <w:rPr>
          <w:rFonts w:hint="eastAsia" w:ascii="仿宋_GB2312" w:eastAsia="仿宋_GB2312"/>
          <w:sz w:val="32"/>
          <w:szCs w:val="32"/>
          <w:highlight w:val="none"/>
        </w:rPr>
        <w:t>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w:t>
      </w:r>
      <w:r>
        <w:rPr>
          <w:rFonts w:hint="eastAsia" w:ascii="仿宋_GB2312" w:eastAsia="仿宋_GB2312"/>
          <w:sz w:val="32"/>
          <w:szCs w:val="32"/>
          <w:highlight w:val="none"/>
        </w:rPr>
        <w:t>行政事业单位医疗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w:t>
      </w:r>
      <w:r>
        <w:rPr>
          <w:rFonts w:hint="eastAsia" w:ascii="仿宋_GB2312" w:eastAsia="仿宋_GB2312"/>
          <w:sz w:val="32"/>
          <w:szCs w:val="32"/>
          <w:highlight w:val="none"/>
        </w:rPr>
        <w:t>行政单位医疗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17.9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决算数等于预算数</w:t>
      </w:r>
      <w:r>
        <w:rPr>
          <w:rStyle w:val="17"/>
          <w:rFonts w:hint="eastAsia" w:ascii="仿宋" w:hAnsi="仿宋" w:eastAsia="仿宋"/>
          <w:b w:val="0"/>
          <w:bCs/>
          <w:color w:val="auto"/>
          <w:sz w:val="32"/>
          <w:szCs w:val="32"/>
          <w:highlight w:val="none"/>
        </w:rPr>
        <w:t>。</w:t>
      </w:r>
    </w:p>
    <w:p w14:paraId="7C067929">
      <w:pPr>
        <w:spacing w:line="600" w:lineRule="exact"/>
        <w:ind w:firstLine="640" w:firstLineChars="200"/>
        <w:rPr>
          <w:rFonts w:ascii="仿宋" w:hAnsi="仿宋" w:eastAsia="仿宋"/>
          <w:b/>
          <w:color w:val="auto"/>
          <w:sz w:val="32"/>
          <w:szCs w:val="32"/>
          <w:highlight w:val="none"/>
        </w:rPr>
      </w:pPr>
      <w:r>
        <w:rPr>
          <w:rFonts w:hint="eastAsia" w:ascii="仿宋_GB2312" w:eastAsia="仿宋_GB2312"/>
          <w:sz w:val="32"/>
          <w:szCs w:val="32"/>
          <w:lang w:val="en-US" w:eastAsia="zh-CN"/>
        </w:rPr>
        <w:t>10.</w:t>
      </w:r>
      <w:r>
        <w:rPr>
          <w:rFonts w:hint="eastAsia" w:ascii="仿宋_GB2312" w:eastAsia="仿宋_GB2312"/>
          <w:sz w:val="32"/>
          <w:szCs w:val="32"/>
          <w:highlight w:val="none"/>
          <w:lang w:val="en-US" w:eastAsia="zh-CN"/>
        </w:rPr>
        <w:t>卫生健康</w:t>
      </w:r>
      <w:r>
        <w:rPr>
          <w:rFonts w:hint="eastAsia" w:ascii="仿宋_GB2312" w:eastAsia="仿宋_GB2312"/>
          <w:sz w:val="32"/>
          <w:szCs w:val="32"/>
          <w:highlight w:val="none"/>
        </w:rPr>
        <w:t>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w:t>
      </w:r>
      <w:r>
        <w:rPr>
          <w:rFonts w:hint="eastAsia" w:ascii="仿宋_GB2312" w:eastAsia="仿宋_GB2312"/>
          <w:sz w:val="32"/>
          <w:szCs w:val="32"/>
        </w:rPr>
        <w:t>行政事业单位医疗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w:t>
      </w:r>
      <w:r>
        <w:rPr>
          <w:rFonts w:hint="eastAsia" w:ascii="仿宋_GB2312" w:eastAsia="仿宋_GB2312"/>
          <w:sz w:val="32"/>
          <w:szCs w:val="32"/>
        </w:rPr>
        <w:t>事业单位医疗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23.87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决算数等于预算数</w:t>
      </w:r>
      <w:r>
        <w:rPr>
          <w:rStyle w:val="17"/>
          <w:rFonts w:hint="eastAsia" w:ascii="仿宋" w:hAnsi="仿宋" w:eastAsia="仿宋"/>
          <w:b w:val="0"/>
          <w:bCs/>
          <w:color w:val="auto"/>
          <w:sz w:val="32"/>
          <w:szCs w:val="32"/>
          <w:highlight w:val="none"/>
        </w:rPr>
        <w:t>。</w:t>
      </w:r>
    </w:p>
    <w:p w14:paraId="1A58DF67">
      <w:pPr>
        <w:spacing w:line="600" w:lineRule="exact"/>
        <w:ind w:firstLine="640" w:firstLineChars="200"/>
        <w:rPr>
          <w:rFonts w:ascii="仿宋" w:hAnsi="仿宋" w:eastAsia="仿宋"/>
          <w:b/>
          <w:color w:val="auto"/>
          <w:sz w:val="32"/>
          <w:szCs w:val="32"/>
          <w:highlight w:val="none"/>
        </w:rPr>
      </w:pPr>
      <w:r>
        <w:rPr>
          <w:rFonts w:hint="eastAsia" w:ascii="仿宋_GB2312" w:eastAsia="仿宋_GB2312"/>
          <w:sz w:val="32"/>
          <w:szCs w:val="32"/>
          <w:lang w:val="en-US" w:eastAsia="zh-CN"/>
        </w:rPr>
        <w:t>11.</w:t>
      </w:r>
      <w:r>
        <w:rPr>
          <w:rFonts w:hint="eastAsia" w:ascii="仿宋_GB2312" w:eastAsia="仿宋_GB2312"/>
          <w:sz w:val="32"/>
          <w:szCs w:val="32"/>
          <w:highlight w:val="none"/>
          <w:lang w:val="en-US" w:eastAsia="zh-CN"/>
        </w:rPr>
        <w:t>卫生健康</w:t>
      </w:r>
      <w:r>
        <w:rPr>
          <w:rFonts w:hint="eastAsia" w:ascii="仿宋_GB2312" w:eastAsia="仿宋_GB2312"/>
          <w:sz w:val="32"/>
          <w:szCs w:val="32"/>
          <w:highlight w:val="none"/>
        </w:rPr>
        <w:t>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w:t>
      </w:r>
      <w:r>
        <w:rPr>
          <w:rFonts w:hint="eastAsia" w:ascii="仿宋_GB2312" w:eastAsia="仿宋_GB2312"/>
          <w:sz w:val="32"/>
          <w:szCs w:val="32"/>
        </w:rPr>
        <w:t>行政事业单位医疗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w:t>
      </w:r>
      <w:r>
        <w:rPr>
          <w:rFonts w:hint="eastAsia" w:ascii="仿宋_GB2312" w:eastAsia="仿宋_GB2312"/>
          <w:sz w:val="32"/>
          <w:szCs w:val="32"/>
        </w:rPr>
        <w:t>公务员医疗补助</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16.95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决算数等于预算数</w:t>
      </w:r>
      <w:r>
        <w:rPr>
          <w:rStyle w:val="17"/>
          <w:rFonts w:hint="eastAsia" w:ascii="仿宋" w:hAnsi="仿宋" w:eastAsia="仿宋"/>
          <w:b w:val="0"/>
          <w:bCs/>
          <w:color w:val="auto"/>
          <w:sz w:val="32"/>
          <w:szCs w:val="32"/>
          <w:highlight w:val="none"/>
        </w:rPr>
        <w:t>。</w:t>
      </w:r>
    </w:p>
    <w:p w14:paraId="7E2E8316">
      <w:pPr>
        <w:spacing w:line="600" w:lineRule="exact"/>
        <w:ind w:firstLine="640" w:firstLineChars="200"/>
        <w:rPr>
          <w:rFonts w:ascii="仿宋" w:hAnsi="仿宋" w:eastAsia="仿宋"/>
          <w:b/>
          <w:color w:val="auto"/>
          <w:sz w:val="32"/>
          <w:szCs w:val="32"/>
          <w:highlight w:val="none"/>
        </w:rPr>
      </w:pPr>
      <w:r>
        <w:rPr>
          <w:rFonts w:hint="eastAsia" w:ascii="仿宋_GB2312" w:eastAsia="仿宋_GB2312"/>
          <w:sz w:val="32"/>
          <w:szCs w:val="32"/>
          <w:lang w:val="en-US" w:eastAsia="zh-CN"/>
        </w:rPr>
        <w:t>12.农林水支出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w:t>
      </w:r>
      <w:r>
        <w:rPr>
          <w:rFonts w:hint="eastAsia" w:ascii="仿宋_GB2312" w:eastAsia="仿宋_GB2312"/>
          <w:sz w:val="32"/>
          <w:szCs w:val="32"/>
          <w:lang w:val="en-US" w:eastAsia="zh-CN"/>
        </w:rPr>
        <w:t>巩固脱贫衔接乡村振兴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w:t>
      </w:r>
      <w:r>
        <w:rPr>
          <w:rFonts w:hint="eastAsia" w:ascii="仿宋_GB2312" w:eastAsia="仿宋_GB2312"/>
          <w:sz w:val="32"/>
          <w:szCs w:val="32"/>
          <w:lang w:val="en-US" w:eastAsia="zh-CN"/>
        </w:rPr>
        <w:t>其他巩固脱贫衔接乡村振兴支出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决算数等于预算数</w:t>
      </w:r>
      <w:r>
        <w:rPr>
          <w:rStyle w:val="17"/>
          <w:rFonts w:hint="eastAsia" w:ascii="仿宋" w:hAnsi="仿宋" w:eastAsia="仿宋"/>
          <w:b w:val="0"/>
          <w:bCs/>
          <w:color w:val="auto"/>
          <w:sz w:val="32"/>
          <w:szCs w:val="32"/>
          <w:highlight w:val="none"/>
        </w:rPr>
        <w:t>。</w:t>
      </w:r>
    </w:p>
    <w:p w14:paraId="4585E630">
      <w:pPr>
        <w:spacing w:line="600" w:lineRule="exact"/>
        <w:ind w:firstLine="640" w:firstLineChars="200"/>
        <w:rPr>
          <w:rFonts w:ascii="仿宋" w:hAnsi="仿宋" w:eastAsia="仿宋"/>
          <w:b/>
          <w:color w:val="auto"/>
          <w:sz w:val="32"/>
          <w:szCs w:val="32"/>
          <w:highlight w:val="none"/>
        </w:rPr>
      </w:pPr>
      <w:r>
        <w:rPr>
          <w:rFonts w:hint="eastAsia" w:ascii="仿宋_GB2312" w:eastAsia="仿宋_GB2312"/>
          <w:sz w:val="32"/>
          <w:szCs w:val="32"/>
          <w:lang w:val="en-US" w:eastAsia="zh-CN"/>
        </w:rPr>
        <w:t>13.</w:t>
      </w:r>
      <w:r>
        <w:rPr>
          <w:rFonts w:hint="eastAsia" w:ascii="仿宋_GB2312" w:eastAsia="仿宋_GB2312"/>
          <w:sz w:val="32"/>
          <w:szCs w:val="32"/>
        </w:rPr>
        <w:t>住房保障支出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w:t>
      </w:r>
      <w:r>
        <w:rPr>
          <w:rFonts w:hint="eastAsia" w:ascii="仿宋_GB2312" w:eastAsia="仿宋_GB2312"/>
          <w:sz w:val="32"/>
          <w:szCs w:val="32"/>
        </w:rPr>
        <w:t>住房改革支出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w:t>
      </w:r>
      <w:r>
        <w:rPr>
          <w:rFonts w:hint="eastAsia" w:ascii="仿宋_GB2312" w:eastAsia="仿宋_GB2312"/>
          <w:sz w:val="32"/>
          <w:szCs w:val="32"/>
        </w:rPr>
        <w:t>住房公积金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102.46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决算数等于预算数</w:t>
      </w:r>
      <w:r>
        <w:rPr>
          <w:rStyle w:val="17"/>
          <w:rFonts w:hint="eastAsia" w:ascii="仿宋" w:hAnsi="仿宋" w:eastAsia="仿宋"/>
          <w:b w:val="0"/>
          <w:bCs/>
          <w:color w:val="auto"/>
          <w:sz w:val="32"/>
          <w:szCs w:val="32"/>
          <w:highlight w:val="none"/>
        </w:rPr>
        <w:t>。</w:t>
      </w:r>
    </w:p>
    <w:p w14:paraId="08BCC516">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本部门涉及的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数。增减变动原因为决算数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比较，与预算数持平可以不写原因。）</w:t>
      </w:r>
    </w:p>
    <w:p w14:paraId="42F2348A">
      <w:pPr>
        <w:spacing w:line="600" w:lineRule="exact"/>
        <w:ind w:firstLine="640"/>
        <w:rPr>
          <w:rFonts w:ascii="仿宋" w:hAnsi="仿宋" w:eastAsia="仿宋"/>
          <w:b/>
          <w:color w:val="auto"/>
          <w:sz w:val="32"/>
          <w:szCs w:val="32"/>
          <w:highlight w:val="none"/>
        </w:rPr>
      </w:pPr>
    </w:p>
    <w:p w14:paraId="7D4F3682">
      <w:pPr>
        <w:tabs>
          <w:tab w:val="right" w:pos="8306"/>
        </w:tabs>
        <w:spacing w:line="600" w:lineRule="exact"/>
        <w:ind w:firstLine="640"/>
        <w:outlineLvl w:val="1"/>
        <w:rPr>
          <w:rStyle w:val="31"/>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34"/>
      <w:bookmarkEnd w:id="35"/>
      <w:r>
        <w:rPr>
          <w:rStyle w:val="31"/>
          <w:rFonts w:ascii="黑体" w:hAnsi="黑体" w:eastAsia="黑体"/>
          <w:b w:val="0"/>
          <w:color w:val="auto"/>
          <w:highlight w:val="none"/>
        </w:rPr>
        <w:tab/>
      </w:r>
    </w:p>
    <w:p w14:paraId="057FCA89">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1418.64</w:t>
      </w:r>
      <w:r>
        <w:rPr>
          <w:rFonts w:hint="eastAsia" w:ascii="仿宋" w:hAnsi="仿宋" w:eastAsia="仿宋"/>
          <w:color w:val="auto"/>
          <w:sz w:val="32"/>
          <w:szCs w:val="32"/>
          <w:highlight w:val="none"/>
        </w:rPr>
        <w:t>万元，其中：</w:t>
      </w:r>
    </w:p>
    <w:p w14:paraId="65307F4B">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1284.2</w:t>
      </w:r>
      <w:r>
        <w:rPr>
          <w:rFonts w:hint="eastAsia" w:ascii="仿宋" w:hAnsi="仿宋" w:eastAsia="仿宋"/>
          <w:color w:val="auto"/>
          <w:sz w:val="32"/>
          <w:szCs w:val="32"/>
          <w:highlight w:val="none"/>
        </w:rPr>
        <w:t>万元，主要包括：基本工资、津贴补贴、奖金、绩效工资、机关事业单位基本养老保险缴费、职业年金缴费、职工基本医疗保险缴费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 其他工资福利支出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134.44</w:t>
      </w:r>
      <w:r>
        <w:rPr>
          <w:rFonts w:hint="eastAsia" w:ascii="仿宋" w:hAnsi="仿宋" w:eastAsia="仿宋"/>
          <w:color w:val="auto"/>
          <w:sz w:val="32"/>
          <w:szCs w:val="32"/>
          <w:highlight w:val="none"/>
        </w:rPr>
        <w:t>万元，主要包括：办公费、印刷费、邮电费、差旅费、维修（护）费、会议费、培训费、</w:t>
      </w:r>
      <w:r>
        <w:rPr>
          <w:rFonts w:hint="eastAsia" w:ascii="仿宋" w:hAnsi="仿宋" w:eastAsia="仿宋"/>
          <w:color w:val="auto"/>
          <w:sz w:val="32"/>
          <w:szCs w:val="32"/>
          <w:highlight w:val="none"/>
          <w:lang w:val="en-US" w:eastAsia="zh-CN"/>
        </w:rPr>
        <w:t>公务接待费、劳务费、</w:t>
      </w:r>
      <w:r>
        <w:rPr>
          <w:rFonts w:hint="eastAsia" w:ascii="仿宋" w:hAnsi="仿宋" w:eastAsia="仿宋"/>
          <w:color w:val="auto"/>
          <w:sz w:val="32"/>
          <w:szCs w:val="32"/>
          <w:highlight w:val="none"/>
        </w:rPr>
        <w:t>福利费、其他交通费、其他商品和服务支出。</w:t>
      </w:r>
    </w:p>
    <w:p w14:paraId="7CA8DD98">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本部门实际支出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14:paraId="57BE37E7">
      <w:pPr>
        <w:spacing w:line="600" w:lineRule="exact"/>
        <w:ind w:firstLine="640"/>
        <w:outlineLvl w:val="1"/>
        <w:rPr>
          <w:rStyle w:val="31"/>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31"/>
          <w:rFonts w:hint="eastAsia" w:ascii="黑体" w:hAnsi="黑体" w:eastAsia="黑体"/>
          <w:b w:val="0"/>
          <w:color w:val="auto"/>
          <w:highlight w:val="none"/>
        </w:rPr>
        <w:t>财政拨款</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三公”经费支出决算情况说明</w:t>
      </w:r>
      <w:bookmarkEnd w:id="36"/>
      <w:bookmarkEnd w:id="37"/>
    </w:p>
    <w:p w14:paraId="2A823D87">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14:paraId="5F074F24">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0.12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仿宋" w:eastAsia="仿宋_GB2312"/>
          <w:sz w:val="32"/>
          <w:szCs w:val="32"/>
          <w:lang w:val="en-US" w:eastAsia="zh-CN"/>
        </w:rPr>
        <w:t>比2022年增加0.12万元</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决算数与预算数持平。</w:t>
      </w:r>
    </w:p>
    <w:p w14:paraId="03E32D6C">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14:paraId="169C33E8">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14:paraId="325E3B90">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8E0C7B5">
      <w:pPr>
        <w:spacing w:line="600" w:lineRule="exact"/>
        <w:ind w:firstLine="640"/>
        <w:rPr>
          <w:rFonts w:ascii="仿宋_GB2312" w:eastAsia="仿宋_GB2312"/>
          <w:color w:val="auto"/>
          <w:sz w:val="32"/>
          <w:szCs w:val="32"/>
          <w:highlight w:val="none"/>
        </w:rPr>
      </w:pPr>
      <w:bookmarkStart w:id="40" w:name="_Toc15377218"/>
      <w:bookmarkStart w:id="41" w:name="_Toc15396610"/>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6AE523D9">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1803F8B5">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50DA8777">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650BCA1">
      <w:pPr>
        <w:numPr>
          <w:ilvl w:val="0"/>
          <w:numId w:val="3"/>
        </w:num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0.12</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0.12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主要原因是：2022年无接待费，2023年开展一次理县交流学习接待。</w:t>
      </w:r>
    </w:p>
    <w:p w14:paraId="094A5962">
      <w:pPr>
        <w:numPr>
          <w:ilvl w:val="0"/>
          <w:numId w:val="0"/>
        </w:num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lang w:val="en-US" w:eastAsia="zh-CN"/>
        </w:rPr>
        <w:t>无</w:t>
      </w:r>
      <w:r>
        <w:rPr>
          <w:rFonts w:hint="eastAsia" w:ascii="仿宋" w:hAnsi="仿宋" w:eastAsia="仿宋"/>
          <w:b/>
          <w:color w:val="auto"/>
          <w:sz w:val="32"/>
          <w:szCs w:val="32"/>
          <w:highlight w:val="none"/>
        </w:rPr>
        <w:t>国内公务接待支出</w:t>
      </w:r>
      <w:r>
        <w:rPr>
          <w:rFonts w:hint="eastAsia" w:ascii="仿宋_GB2312" w:eastAsia="仿宋_GB2312"/>
          <w:color w:val="auto"/>
          <w:sz w:val="32"/>
          <w:szCs w:val="32"/>
          <w:highlight w:val="none"/>
        </w:rPr>
        <w:t>。</w:t>
      </w:r>
    </w:p>
    <w:p w14:paraId="00975F15">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lang w:val="en-US" w:eastAsia="zh-CN"/>
        </w:rPr>
        <w:t>无</w:t>
      </w:r>
      <w:r>
        <w:rPr>
          <w:rFonts w:hint="eastAsia" w:ascii="仿宋" w:hAnsi="仿宋" w:eastAsia="仿宋"/>
          <w:b/>
          <w:color w:val="auto"/>
          <w:sz w:val="32"/>
          <w:szCs w:val="32"/>
          <w:highlight w:val="none"/>
        </w:rPr>
        <w:t>外事接待支出</w:t>
      </w:r>
      <w:r>
        <w:rPr>
          <w:rFonts w:hint="eastAsia" w:ascii="仿宋_GB2312" w:eastAsia="仿宋_GB2312"/>
          <w:color w:val="auto"/>
          <w:sz w:val="32"/>
          <w:szCs w:val="32"/>
          <w:highlight w:val="none"/>
        </w:rPr>
        <w:t>。</w:t>
      </w:r>
    </w:p>
    <w:p w14:paraId="7AC4FD8E">
      <w:pPr>
        <w:spacing w:line="600" w:lineRule="exact"/>
        <w:outlineLvl w:val="1"/>
        <w:rPr>
          <w:rFonts w:ascii="黑体" w:eastAsia="黑体"/>
          <w:color w:val="auto"/>
          <w:sz w:val="32"/>
          <w:szCs w:val="32"/>
          <w:highlight w:val="none"/>
        </w:rPr>
      </w:pPr>
    </w:p>
    <w:p w14:paraId="689D345B">
      <w:pPr>
        <w:spacing w:line="600" w:lineRule="exact"/>
        <w:ind w:firstLine="640"/>
        <w:outlineLvl w:val="1"/>
        <w:rPr>
          <w:rStyle w:val="31"/>
          <w:rFonts w:ascii="黑体" w:hAnsi="黑体" w:eastAsia="黑体"/>
          <w:color w:val="auto"/>
          <w:highlight w:val="none"/>
        </w:rPr>
      </w:pPr>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40"/>
      <w:bookmarkEnd w:id="41"/>
    </w:p>
    <w:p w14:paraId="7C6D7A38">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FE0D68B">
      <w:pPr>
        <w:spacing w:line="600" w:lineRule="exact"/>
        <w:ind w:firstLine="640"/>
        <w:rPr>
          <w:rFonts w:ascii="仿宋_GB2312" w:eastAsia="仿宋_GB2312"/>
          <w:color w:val="auto"/>
          <w:sz w:val="32"/>
          <w:szCs w:val="32"/>
          <w:highlight w:val="none"/>
        </w:rPr>
      </w:pPr>
    </w:p>
    <w:p w14:paraId="1C34ECBF">
      <w:pPr>
        <w:numPr>
          <w:ilvl w:val="0"/>
          <w:numId w:val="4"/>
        </w:numPr>
        <w:spacing w:line="600" w:lineRule="exact"/>
        <w:ind w:firstLine="640"/>
        <w:outlineLvl w:val="1"/>
        <w:rPr>
          <w:rStyle w:val="31"/>
          <w:rFonts w:ascii="黑体" w:hAnsi="黑体" w:eastAsia="黑体"/>
          <w:b w:val="0"/>
          <w:color w:val="auto"/>
          <w:highlight w:val="none"/>
        </w:rPr>
      </w:pPr>
      <w:bookmarkStart w:id="42" w:name="_Toc15377219"/>
      <w:bookmarkStart w:id="43" w:name="_Toc15396611"/>
      <w:r>
        <w:rPr>
          <w:rStyle w:val="31"/>
          <w:rFonts w:hint="eastAsia" w:ascii="黑体" w:hAnsi="黑体" w:eastAsia="黑体"/>
          <w:b w:val="0"/>
          <w:color w:val="auto"/>
          <w:highlight w:val="none"/>
        </w:rPr>
        <w:t>国有资本经营预算支出决算情况说明</w:t>
      </w:r>
      <w:bookmarkEnd w:id="42"/>
      <w:bookmarkEnd w:id="43"/>
    </w:p>
    <w:p w14:paraId="5D21DA74">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01FE036">
      <w:pPr>
        <w:spacing w:line="580" w:lineRule="exact"/>
        <w:jc w:val="center"/>
        <w:rPr>
          <w:rFonts w:ascii="方正小标宋简体" w:hAnsi="方正小标宋简体" w:eastAsia="方正小标宋简体" w:cs="方正小标宋简体"/>
          <w:color w:val="auto"/>
          <w:sz w:val="44"/>
          <w:szCs w:val="44"/>
          <w:highlight w:val="none"/>
        </w:rPr>
      </w:pPr>
    </w:p>
    <w:p w14:paraId="0C2A429C">
      <w:pPr>
        <w:numPr>
          <w:ilvl w:val="0"/>
          <w:numId w:val="4"/>
        </w:numPr>
        <w:spacing w:line="600" w:lineRule="exact"/>
        <w:ind w:firstLine="640"/>
        <w:outlineLvl w:val="1"/>
        <w:rPr>
          <w:rStyle w:val="31"/>
          <w:rFonts w:hint="eastAsia" w:ascii="黑体" w:hAnsi="黑体" w:eastAsia="黑体"/>
          <w:b w:val="0"/>
          <w:color w:val="auto"/>
          <w:highlight w:val="none"/>
        </w:rPr>
      </w:pPr>
      <w:bookmarkStart w:id="44" w:name="_Toc15396612"/>
      <w:bookmarkStart w:id="45" w:name="_Toc15377221"/>
      <w:r>
        <w:rPr>
          <w:rStyle w:val="31"/>
          <w:rFonts w:hint="eastAsia" w:ascii="黑体" w:hAnsi="黑体" w:eastAsia="黑体"/>
          <w:b w:val="0"/>
          <w:color w:val="auto"/>
          <w:highlight w:val="none"/>
        </w:rPr>
        <w:t>其他重要事项的情况说明</w:t>
      </w:r>
      <w:bookmarkEnd w:id="44"/>
      <w:bookmarkEnd w:id="45"/>
    </w:p>
    <w:p w14:paraId="7D589A34">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14:paraId="750C4278">
      <w:pPr>
        <w:spacing w:line="600" w:lineRule="exact"/>
        <w:ind w:firstLine="640" w:firstLineChars="200"/>
        <w:rPr>
          <w:rFonts w:hint="eastAsia" w:ascii="仿宋_GB2312" w:eastAsia="仿宋_GB2312"/>
          <w:color w:val="auto"/>
          <w:sz w:val="32"/>
          <w:szCs w:val="32"/>
          <w:highlight w:val="red"/>
          <w:lang w:eastAsia="zh-CN"/>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年，机关运行经费支出</w:t>
      </w:r>
      <w:r>
        <w:rPr>
          <w:rFonts w:hint="eastAsia" w:ascii="仿宋_GB2312" w:eastAsia="仿宋_GB2312"/>
          <w:color w:val="auto"/>
          <w:sz w:val="32"/>
          <w:szCs w:val="32"/>
          <w:highlight w:val="none"/>
          <w:lang w:val="en-US" w:eastAsia="zh-CN"/>
        </w:rPr>
        <w:t>134.45</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增加7.83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增长6.18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临聘人员增加，劳务费增加。</w:t>
      </w:r>
    </w:p>
    <w:p w14:paraId="661B7C9A">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599E27B9">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14:paraId="57478BCF">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342.76</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342.76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val="en-US" w:eastAsia="zh-CN"/>
        </w:rPr>
        <w:t>投资项目评审</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342.76</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D22ADA7">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5A1335BA">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14:paraId="0586D7C8">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rPr>
        <w:t>船山区财政局共有车辆0辆，其中：主要领导干部用车0辆、机要通信用车0辆、应急保障用车0辆、其他用车0辆，单价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43A1A9F1">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表，按部门决算报表填报数据罗列车辆情况。）</w:t>
      </w:r>
    </w:p>
    <w:p w14:paraId="427884D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1E3BF64C">
      <w:pPr>
        <w:widowControl/>
        <w:ind w:firstLine="640" w:firstLineChars="200"/>
        <w:jc w:val="left"/>
        <w:rPr>
          <w:rFonts w:hint="eastAsia" w:ascii="仿宋" w:hAnsi="仿宋" w:eastAsia="仿宋" w:cs="仿宋"/>
          <w:color w:val="auto"/>
          <w:sz w:val="32"/>
          <w:szCs w:val="32"/>
          <w:highlight w:val="none"/>
        </w:rPr>
      </w:pPr>
      <w:bookmarkStart w:id="49" w:name="OLE_LINK14"/>
      <w:r>
        <w:rPr>
          <w:rFonts w:hint="eastAsia" w:ascii="仿宋_GB2312" w:hAnsi="仿宋_GB2312" w:eastAsia="仿宋_GB2312" w:cs="仿宋_GB2312"/>
          <w:color w:val="auto"/>
          <w:sz w:val="32"/>
          <w:szCs w:val="32"/>
          <w:highlight w:val="none"/>
        </w:rPr>
        <w:t>根据预</w:t>
      </w:r>
      <w:bookmarkStart w:id="50" w:name="OLE_LINK13"/>
      <w:r>
        <w:rPr>
          <w:rFonts w:hint="eastAsia" w:ascii="仿宋" w:hAnsi="仿宋" w:eastAsia="仿宋" w:cs="仿宋"/>
          <w:color w:val="auto"/>
          <w:sz w:val="32"/>
          <w:szCs w:val="32"/>
          <w:highlight w:val="none"/>
        </w:rPr>
        <w:t>算绩效管理要求，本部门在</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年度预算编制阶段，组织对</w:t>
      </w:r>
      <w:r>
        <w:rPr>
          <w:rFonts w:hint="eastAsia" w:ascii="仿宋" w:hAnsi="仿宋" w:eastAsia="仿宋" w:cs="仿宋"/>
          <w:color w:val="000000"/>
          <w:sz w:val="32"/>
          <w:szCs w:val="32"/>
          <w:lang w:val="en-US" w:eastAsia="zh-CN"/>
        </w:rPr>
        <w:t>票据工本费</w:t>
      </w:r>
      <w:r>
        <w:rPr>
          <w:rFonts w:hint="eastAsia" w:ascii="仿宋" w:hAnsi="仿宋" w:eastAsia="仿宋" w:cs="仿宋"/>
          <w:color w:val="auto"/>
          <w:sz w:val="32"/>
          <w:szCs w:val="32"/>
          <w:highlight w:val="none"/>
        </w:rPr>
        <w:t>等</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个项目开展了预算事前绩效评估，对</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个项目编制了绩效目标，预算执行过程中，选取</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个项目开展绩效监控。</w:t>
      </w:r>
    </w:p>
    <w:bookmarkEnd w:id="50"/>
    <w:p w14:paraId="2295F453">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w:t>
      </w:r>
      <w:r>
        <w:rPr>
          <w:rFonts w:hint="eastAsia" w:ascii="仿宋_GB2312" w:hAnsi="仿宋_GB2312"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val="en-US" w:eastAsia="zh-CN"/>
        </w:rPr>
        <w:t>1个</w:t>
      </w:r>
      <w:r>
        <w:rPr>
          <w:rFonts w:hint="eastAsia" w:ascii="仿宋_GB2312" w:hAnsi="仿宋_GB2312" w:eastAsia="仿宋_GB2312" w:cs="仿宋_GB2312"/>
          <w:color w:val="auto"/>
          <w:sz w:val="32"/>
          <w:szCs w:val="32"/>
          <w:highlight w:val="none"/>
        </w:rPr>
        <w:t>部门整体（含部门预算项目）绩效自</w:t>
      </w:r>
      <w:bookmarkStart w:id="51" w:name="OLE_LINK1"/>
      <w:r>
        <w:rPr>
          <w:rFonts w:hint="eastAsia" w:ascii="仿宋_GB2312" w:hAnsi="仿宋_GB2312" w:eastAsia="仿宋_GB2312" w:cs="仿宋_GB2312"/>
          <w:color w:val="auto"/>
          <w:sz w:val="32"/>
          <w:szCs w:val="32"/>
          <w:highlight w:val="none"/>
        </w:rPr>
        <w:t>评报告、</w:t>
      </w:r>
      <w:r>
        <w:rPr>
          <w:rFonts w:hint="eastAsia" w:ascii="仿宋_GB2312" w:hAnsi="Calibri" w:eastAsia="仿宋_GB2312" w:cs="仿宋"/>
          <w:color w:val="auto"/>
          <w:kern w:val="0"/>
          <w:sz w:val="32"/>
          <w:szCs w:val="32"/>
          <w:highlight w:val="none"/>
          <w:lang w:val="en-US" w:eastAsia="zh-CN" w:bidi="ar-SA"/>
        </w:rPr>
        <w:t>票据工本费</w:t>
      </w:r>
      <w:r>
        <w:rPr>
          <w:rFonts w:hint="eastAsia" w:ascii="仿宋_GB2312" w:hAnsi="仿宋_GB2312" w:eastAsia="仿宋_GB2312" w:cs="仿宋_GB2312"/>
          <w:color w:val="auto"/>
          <w:sz w:val="32"/>
          <w:szCs w:val="32"/>
          <w:highlight w:val="none"/>
        </w:rPr>
        <w:t>等专项预算</w:t>
      </w:r>
      <w:bookmarkEnd w:id="51"/>
      <w:r>
        <w:rPr>
          <w:rFonts w:hint="eastAsia" w:ascii="仿宋_GB2312" w:hAnsi="仿宋_GB2312" w:eastAsia="仿宋_GB2312" w:cs="仿宋_GB2312"/>
          <w:color w:val="auto"/>
          <w:sz w:val="32"/>
          <w:szCs w:val="32"/>
          <w:highlight w:val="none"/>
        </w:rPr>
        <w:t>项目绩效自评报告，其中，</w:t>
      </w:r>
      <w:r>
        <w:rPr>
          <w:rFonts w:hint="eastAsia" w:ascii="仿宋_GB2312" w:hAnsi="仿宋_GB2312" w:eastAsia="仿宋_GB2312" w:cs="仿宋_GB2312"/>
          <w:color w:val="auto"/>
          <w:sz w:val="32"/>
          <w:szCs w:val="32"/>
          <w:highlight w:val="none"/>
          <w:lang w:val="en-US" w:eastAsia="zh-CN"/>
        </w:rPr>
        <w:t>财政局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sz w:val="32"/>
          <w:szCs w:val="32"/>
        </w:rPr>
        <w:t>从评价情况来看</w:t>
      </w:r>
      <w:r>
        <w:rPr>
          <w:rFonts w:hint="eastAsia" w:ascii="仿宋" w:hAnsi="仿宋" w:eastAsia="仿宋" w:cs="仿宋"/>
          <w:sz w:val="32"/>
          <w:szCs w:val="32"/>
          <w:lang w:val="en-US" w:eastAsia="zh-CN"/>
        </w:rPr>
        <w:t>我单位所有收入和支出均纳入部门预算管理,预算绩效管理总体较好</w:t>
      </w:r>
      <w:r>
        <w:rPr>
          <w:rFonts w:hint="eastAsia" w:ascii="仿宋_GB2312" w:hAnsi="仿宋_GB2312" w:eastAsia="仿宋_GB2312" w:cs="仿宋_GB2312"/>
          <w:sz w:val="32"/>
          <w:szCs w:val="32"/>
        </w:rPr>
        <w:t>。</w:t>
      </w:r>
      <w:r>
        <w:rPr>
          <w:rFonts w:hint="eastAsia" w:ascii="仿宋_GB2312" w:hAnsi="Calibri" w:eastAsia="仿宋_GB2312" w:cs="仿宋"/>
          <w:color w:val="auto"/>
          <w:kern w:val="0"/>
          <w:sz w:val="32"/>
          <w:szCs w:val="32"/>
          <w:highlight w:val="none"/>
          <w:lang w:val="en-US" w:eastAsia="zh-CN" w:bidi="ar-SA"/>
        </w:rPr>
        <w:t>票据工本费预算项目支出</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w:t>
      </w:r>
      <w:r>
        <w:rPr>
          <w:rFonts w:hint="eastAsia" w:eastAsia="仿宋_GB2312"/>
          <w:color w:val="000000"/>
          <w:sz w:val="32"/>
          <w:szCs w:val="32"/>
          <w:highlight w:val="none"/>
        </w:rPr>
        <w:t>通过项目实施，加强政府非税收入征收管理和单位财务监督，维护国家财经秩序。</w:t>
      </w:r>
      <w:r>
        <w:rPr>
          <w:rFonts w:hint="eastAsia" w:ascii="仿宋_GB2312" w:hAnsi="Calibri" w:eastAsia="仿宋_GB2312" w:cs="仿宋"/>
          <w:color w:val="auto"/>
          <w:kern w:val="0"/>
          <w:sz w:val="32"/>
          <w:szCs w:val="32"/>
          <w:highlight w:val="none"/>
          <w:lang w:val="en-US" w:eastAsia="zh-CN" w:bidi="ar-SA"/>
        </w:rPr>
        <w:t>扶贫小额信贷贴息资金支出</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分，</w:t>
      </w:r>
      <w:r>
        <w:rPr>
          <w:rFonts w:hint="eastAsia" w:eastAsia="仿宋_GB2312"/>
          <w:color w:val="000000"/>
          <w:sz w:val="32"/>
          <w:szCs w:val="32"/>
          <w:highlight w:val="none"/>
        </w:rPr>
        <w:t>通过项目实施，</w:t>
      </w:r>
      <w:r>
        <w:rPr>
          <w:rFonts w:hint="eastAsia" w:ascii="仿宋_GB2312" w:hAnsi="Calibri" w:eastAsia="仿宋_GB2312" w:cs="仿宋"/>
          <w:color w:val="auto"/>
          <w:kern w:val="0"/>
          <w:sz w:val="32"/>
          <w:szCs w:val="32"/>
          <w:highlight w:val="none"/>
          <w:lang w:val="en-US" w:eastAsia="zh-CN" w:bidi="ar-SA"/>
        </w:rPr>
        <w:t>发挥了巩固拓展脱贫攻坚成果，防止脱贫人口返贫的重要作用，具有广泛的社会效益。金融服务工作经费项目绩效自评得分98分，</w:t>
      </w:r>
      <w:r>
        <w:rPr>
          <w:rStyle w:val="37"/>
          <w:rFonts w:hint="eastAsia" w:cs="Times New Roman"/>
          <w:b w:val="0"/>
          <w:bCs w:val="0"/>
          <w:i w:val="0"/>
          <w:caps w:val="0"/>
          <w:spacing w:val="0"/>
          <w:w w:val="100"/>
          <w:kern w:val="2"/>
          <w:sz w:val="32"/>
          <w:szCs w:val="32"/>
          <w:highlight w:val="none"/>
          <w:lang w:val="en-US" w:eastAsia="zh-CN" w:bidi="ar-SA"/>
        </w:rPr>
        <w:t>金融工作经费</w:t>
      </w:r>
      <w:r>
        <w:rPr>
          <w:rStyle w:val="37"/>
          <w:rFonts w:hint="eastAsia" w:ascii="Times New Roman" w:hAnsi="Times New Roman" w:eastAsia="仿宋_GB2312" w:cs="Times New Roman"/>
          <w:b w:val="0"/>
          <w:bCs w:val="0"/>
          <w:i w:val="0"/>
          <w:caps w:val="0"/>
          <w:spacing w:val="0"/>
          <w:w w:val="100"/>
          <w:kern w:val="2"/>
          <w:sz w:val="32"/>
          <w:szCs w:val="32"/>
          <w:highlight w:val="none"/>
          <w:lang w:val="en-US" w:eastAsia="zh-CN" w:bidi="ar-SA"/>
        </w:rPr>
        <w:t>是</w:t>
      </w:r>
      <w:r>
        <w:rPr>
          <w:rStyle w:val="37"/>
          <w:rFonts w:hint="eastAsia" w:cs="Times New Roman"/>
          <w:b w:val="0"/>
          <w:bCs w:val="0"/>
          <w:i w:val="0"/>
          <w:caps w:val="0"/>
          <w:spacing w:val="0"/>
          <w:w w:val="100"/>
          <w:kern w:val="2"/>
          <w:sz w:val="32"/>
          <w:szCs w:val="32"/>
          <w:highlight w:val="none"/>
          <w:lang w:val="en-US" w:eastAsia="zh-CN" w:bidi="ar-SA"/>
        </w:rPr>
        <w:t>保障金融服务中心正常运转，维持全年金融工作开展及目标任务完成的</w:t>
      </w:r>
      <w:r>
        <w:rPr>
          <w:rStyle w:val="37"/>
          <w:rFonts w:hint="eastAsia" w:ascii="Times New Roman" w:hAnsi="Times New Roman" w:eastAsia="仿宋_GB2312" w:cs="Times New Roman"/>
          <w:b w:val="0"/>
          <w:bCs w:val="0"/>
          <w:i w:val="0"/>
          <w:caps w:val="0"/>
          <w:spacing w:val="0"/>
          <w:w w:val="100"/>
          <w:kern w:val="2"/>
          <w:sz w:val="32"/>
          <w:szCs w:val="32"/>
          <w:highlight w:val="none"/>
          <w:lang w:val="en-US" w:eastAsia="zh-CN" w:bidi="ar-SA"/>
        </w:rPr>
        <w:t>重要</w:t>
      </w:r>
      <w:r>
        <w:rPr>
          <w:rStyle w:val="37"/>
          <w:rFonts w:hint="eastAsia" w:cs="Times New Roman"/>
          <w:b w:val="0"/>
          <w:bCs w:val="0"/>
          <w:i w:val="0"/>
          <w:caps w:val="0"/>
          <w:spacing w:val="0"/>
          <w:w w:val="100"/>
          <w:kern w:val="2"/>
          <w:sz w:val="32"/>
          <w:szCs w:val="32"/>
          <w:highlight w:val="none"/>
          <w:lang w:val="en-US" w:eastAsia="zh-CN" w:bidi="ar-SA"/>
        </w:rPr>
        <w:t>工作资金</w:t>
      </w:r>
      <w:r>
        <w:rPr>
          <w:rStyle w:val="37"/>
          <w:rFonts w:hint="eastAsia" w:ascii="Times New Roman" w:hAnsi="Times New Roman" w:eastAsia="仿宋_GB2312" w:cs="Times New Roman"/>
          <w:b w:val="0"/>
          <w:bCs w:val="0"/>
          <w:i w:val="0"/>
          <w:caps w:val="0"/>
          <w:spacing w:val="0"/>
          <w:w w:val="100"/>
          <w:kern w:val="2"/>
          <w:sz w:val="32"/>
          <w:szCs w:val="32"/>
          <w:highlight w:val="none"/>
          <w:lang w:val="en-US" w:eastAsia="zh-CN" w:bidi="ar-SA"/>
        </w:rPr>
        <w:t>，</w:t>
      </w:r>
      <w:r>
        <w:rPr>
          <w:rStyle w:val="37"/>
          <w:rFonts w:hint="eastAsia" w:cs="Times New Roman"/>
          <w:b w:val="0"/>
          <w:bCs w:val="0"/>
          <w:i w:val="0"/>
          <w:caps w:val="0"/>
          <w:spacing w:val="0"/>
          <w:w w:val="100"/>
          <w:kern w:val="2"/>
          <w:sz w:val="32"/>
          <w:szCs w:val="32"/>
          <w:highlight w:val="none"/>
          <w:lang w:val="en-US" w:eastAsia="zh-CN" w:bidi="ar-SA"/>
        </w:rPr>
        <w:t>其中维护金融市场稳定及防范非法集资、扫黑除恶宣传工作的开展</w:t>
      </w:r>
      <w:r>
        <w:rPr>
          <w:rStyle w:val="37"/>
          <w:rFonts w:hint="eastAsia" w:ascii="Times New Roman" w:hAnsi="Times New Roman" w:eastAsia="仿宋_GB2312" w:cs="Times New Roman"/>
          <w:b w:val="0"/>
          <w:bCs w:val="0"/>
          <w:i w:val="0"/>
          <w:caps w:val="0"/>
          <w:spacing w:val="0"/>
          <w:w w:val="100"/>
          <w:kern w:val="2"/>
          <w:sz w:val="32"/>
          <w:szCs w:val="32"/>
          <w:highlight w:val="none"/>
          <w:lang w:val="en-US" w:eastAsia="zh-CN" w:bidi="ar-SA"/>
        </w:rPr>
        <w:t>具有广泛的</w:t>
      </w:r>
      <w:r>
        <w:rPr>
          <w:rStyle w:val="37"/>
          <w:rFonts w:hint="eastAsia" w:cs="Times New Roman"/>
          <w:b w:val="0"/>
          <w:bCs w:val="0"/>
          <w:i w:val="0"/>
          <w:caps w:val="0"/>
          <w:spacing w:val="0"/>
          <w:w w:val="100"/>
          <w:kern w:val="2"/>
          <w:sz w:val="32"/>
          <w:szCs w:val="32"/>
          <w:highlight w:val="none"/>
          <w:lang w:val="en-US" w:eastAsia="zh-CN" w:bidi="ar-SA"/>
        </w:rPr>
        <w:t>经济效益、</w:t>
      </w:r>
      <w:r>
        <w:rPr>
          <w:rStyle w:val="37"/>
          <w:rFonts w:hint="eastAsia" w:ascii="Times New Roman" w:hAnsi="Times New Roman" w:eastAsia="仿宋_GB2312" w:cs="Times New Roman"/>
          <w:b w:val="0"/>
          <w:bCs w:val="0"/>
          <w:i w:val="0"/>
          <w:caps w:val="0"/>
          <w:spacing w:val="0"/>
          <w:w w:val="100"/>
          <w:kern w:val="2"/>
          <w:sz w:val="32"/>
          <w:szCs w:val="32"/>
          <w:highlight w:val="none"/>
          <w:lang w:val="en-US" w:eastAsia="zh-CN" w:bidi="ar-SA"/>
        </w:rPr>
        <w:t>社会效益</w:t>
      </w:r>
      <w:r>
        <w:rPr>
          <w:rStyle w:val="37"/>
          <w:rFonts w:hint="eastAsia" w:cs="Times New Roman"/>
          <w:b w:val="0"/>
          <w:bCs w:val="0"/>
          <w:i w:val="0"/>
          <w:caps w:val="0"/>
          <w:spacing w:val="0"/>
          <w:w w:val="100"/>
          <w:kern w:val="2"/>
          <w:sz w:val="32"/>
          <w:szCs w:val="32"/>
          <w:highlight w:val="none"/>
          <w:lang w:val="en-US" w:eastAsia="zh-CN" w:bidi="ar-SA"/>
        </w:rPr>
        <w:t>及可持续性影响</w:t>
      </w:r>
      <w:r>
        <w:rPr>
          <w:rStyle w:val="37"/>
          <w:rFonts w:hint="eastAsia" w:ascii="Times New Roman" w:hAnsi="Times New Roman" w:eastAsia="仿宋_GB2312" w:cs="Times New Roman"/>
          <w:b w:val="0"/>
          <w:bCs w:val="0"/>
          <w:i w:val="0"/>
          <w:caps w:val="0"/>
          <w:spacing w:val="0"/>
          <w:w w:val="100"/>
          <w:kern w:val="2"/>
          <w:sz w:val="32"/>
          <w:szCs w:val="32"/>
          <w:highlight w:val="none"/>
          <w:lang w:val="en-US" w:eastAsia="zh-CN" w:bidi="ar-SA"/>
        </w:rPr>
        <w:t>。</w:t>
      </w:r>
      <w:r>
        <w:rPr>
          <w:rFonts w:hint="eastAsia" w:ascii="仿宋_GB2312" w:hAnsi="仿宋_GB2312" w:eastAsia="仿宋_GB2312" w:cs="仿宋_GB2312"/>
          <w:sz w:val="32"/>
          <w:szCs w:val="32"/>
          <w:highlight w:val="none"/>
        </w:rPr>
        <w:t>通过</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rPr>
        <w:t>项目实施，保障</w:t>
      </w:r>
      <w:r>
        <w:rPr>
          <w:rFonts w:hint="eastAsia" w:ascii="仿宋_GB2312" w:hAnsi="仿宋_GB2312" w:eastAsia="仿宋_GB2312" w:cs="仿宋_GB2312"/>
          <w:sz w:val="32"/>
          <w:szCs w:val="32"/>
          <w:highlight w:val="none"/>
          <w:lang w:val="en-US" w:eastAsia="zh-CN"/>
        </w:rPr>
        <w:t>了我区财政系统正常运行，提高部门财政工作效率。</w:t>
      </w:r>
      <w:r>
        <w:rPr>
          <w:rFonts w:hint="eastAsia" w:ascii="仿宋_GB2312" w:hAnsi="仿宋_GB2312" w:eastAsia="仿宋_GB2312" w:cs="仿宋_GB2312"/>
          <w:color w:val="auto"/>
          <w:sz w:val="32"/>
          <w:szCs w:val="32"/>
          <w:highlight w:val="none"/>
        </w:rPr>
        <w:t>绩效自评报告详见附件。</w:t>
      </w:r>
    </w:p>
    <w:bookmarkEnd w:id="49"/>
    <w:p w14:paraId="6E24C339">
      <w:pPr>
        <w:numPr>
          <w:ilvl w:val="0"/>
          <w:numId w:val="5"/>
        </w:numPr>
        <w:spacing w:line="600" w:lineRule="exact"/>
        <w:ind w:firstLine="660" w:firstLineChars="150"/>
        <w:jc w:val="center"/>
        <w:outlineLvl w:val="0"/>
        <w:rPr>
          <w:rStyle w:val="30"/>
          <w:rFonts w:ascii="黑体" w:hAnsi="黑体" w:eastAsia="黑体"/>
          <w:b w:val="0"/>
          <w:color w:val="auto"/>
          <w:highlight w:val="none"/>
        </w:rPr>
      </w:pPr>
      <w:bookmarkStart w:id="52" w:name="_Toc15377225"/>
      <w:bookmarkStart w:id="53" w:name="_Toc15396613"/>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52"/>
      <w:bookmarkEnd w:id="53"/>
    </w:p>
    <w:p w14:paraId="70F462E9">
      <w:pPr>
        <w:spacing w:line="600" w:lineRule="exact"/>
        <w:jc w:val="left"/>
        <w:rPr>
          <w:rFonts w:ascii="宋体"/>
          <w:b/>
          <w:color w:val="auto"/>
          <w:sz w:val="44"/>
          <w:szCs w:val="44"/>
          <w:highlight w:val="none"/>
        </w:rPr>
      </w:pPr>
    </w:p>
    <w:p w14:paraId="386075FB">
      <w:pPr>
        <w:pStyle w:val="28"/>
        <w:spacing w:line="560" w:lineRule="exact"/>
        <w:ind w:firstLine="640" w:firstLineChars="200"/>
        <w:rPr>
          <w:rFonts w:ascii="仿宋_GB2312" w:eastAsia="仿宋_GB2312"/>
          <w:color w:val="auto"/>
          <w:sz w:val="32"/>
          <w:szCs w:val="32"/>
          <w:highlight w:val="none"/>
        </w:rPr>
      </w:pPr>
      <w:bookmarkStart w:id="54" w:name="_Toc15396614"/>
      <w:bookmarkStart w:id="55"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6552CF76">
      <w:pPr>
        <w:pStyle w:val="28"/>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6988C648">
      <w:pPr>
        <w:pStyle w:val="28"/>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387477CC">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14:paraId="75949F71">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4E6BADC1">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5E65F368">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3005ABB5">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654A64E2">
      <w:pPr>
        <w:pStyle w:val="28"/>
        <w:spacing w:line="56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 xml:space="preserve"> 一般公共服务（</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）财政事务（</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）行政运行（</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反映行政单位（包括实行公务员管理的事业单位）的基本支出。</w:t>
      </w:r>
    </w:p>
    <w:p w14:paraId="69206C61">
      <w:pPr>
        <w:pStyle w:val="28"/>
        <w:spacing w:line="56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一般公共服务（</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）财政事务（</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）一般行政管理事务（</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反映行政单位（包括实行公务员管理的事业单位）未单独设置项级科目的其他项目支出。</w:t>
      </w:r>
    </w:p>
    <w:p w14:paraId="489E13FC">
      <w:pPr>
        <w:pStyle w:val="28"/>
        <w:spacing w:line="56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一般公共服务（</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）财政事务（</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）事业运行（</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反映事业单位的基本支出，不包括行政单位（包括实行公务员管理的事业单位）后勤服务中心、医务室等附属事业单位。</w:t>
      </w:r>
    </w:p>
    <w:p w14:paraId="248AAE05">
      <w:pPr>
        <w:pStyle w:val="28"/>
        <w:spacing w:line="56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）行政事业单位养老支出（</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）行政单位离退休（</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反映行政单位（包括实行公务员管理的事业单位）开支的离退休经费。</w:t>
      </w:r>
    </w:p>
    <w:p w14:paraId="529B6D70">
      <w:pPr>
        <w:pStyle w:val="28"/>
        <w:spacing w:line="56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）行政事业单位养老支出（</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）机关事业单位基本养老保险缴费支出（</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反映机关事业单位实施养老保险制度由单位缴纳的基本养老保险费支出。</w:t>
      </w:r>
    </w:p>
    <w:p w14:paraId="1658F91F">
      <w:pPr>
        <w:pStyle w:val="28"/>
        <w:spacing w:line="560" w:lineRule="exact"/>
        <w:ind w:firstLine="640" w:firstLineChars="200"/>
        <w:rPr>
          <w:rFonts w:hint="default" w:ascii="仿宋_GB2312" w:eastAsia="仿宋_GB2312"/>
          <w:color w:val="auto"/>
          <w:sz w:val="32"/>
          <w:szCs w:val="32"/>
          <w:highlight w:val="none"/>
          <w:lang w:val="en-US"/>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）行政事业单位养老支出（</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）机关事业单位职业年金缴费支出（</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反映机关事业单位实施养老保险制度由单位实际缴纳的职业年金支出。</w:t>
      </w:r>
    </w:p>
    <w:p w14:paraId="25D0A406">
      <w:pPr>
        <w:pStyle w:val="28"/>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）残疾人事业（</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）残疾人就业（</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反映残疾人联合会用于残疾人就业方面的支出。</w:t>
      </w:r>
    </w:p>
    <w:p w14:paraId="459A5429">
      <w:pPr>
        <w:pStyle w:val="28"/>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社会保障和就业支出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w:t>
      </w:r>
      <w:r>
        <w:rPr>
          <w:rFonts w:hint="eastAsia" w:ascii="仿宋_GB2312" w:eastAsia="仿宋_GB2312"/>
          <w:sz w:val="32"/>
          <w:szCs w:val="32"/>
        </w:rPr>
        <w:t>其他社会保障和就业支出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w:t>
      </w:r>
      <w:r>
        <w:rPr>
          <w:rFonts w:hint="eastAsia" w:ascii="仿宋_GB2312" w:eastAsia="仿宋_GB2312"/>
          <w:sz w:val="32"/>
          <w:szCs w:val="32"/>
        </w:rPr>
        <w:t>其他社会保障和就业支出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sz w:val="32"/>
          <w:szCs w:val="32"/>
        </w:rPr>
        <w:t>: 指反映除上述项目以外其他用于社会保障和就业方面的支出。</w:t>
      </w:r>
    </w:p>
    <w:p w14:paraId="3259FA5A">
      <w:pPr>
        <w:pStyle w:val="28"/>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17.卫生健康</w:t>
      </w:r>
      <w:r>
        <w:rPr>
          <w:rFonts w:hint="eastAsia" w:ascii="仿宋_GB2312" w:eastAsia="仿宋_GB2312"/>
          <w:sz w:val="32"/>
          <w:szCs w:val="32"/>
        </w:rPr>
        <w:t>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w:t>
      </w:r>
      <w:r>
        <w:rPr>
          <w:rFonts w:hint="eastAsia" w:ascii="仿宋_GB2312" w:eastAsia="仿宋_GB2312"/>
          <w:sz w:val="32"/>
          <w:szCs w:val="32"/>
        </w:rPr>
        <w:t>行政事业单位医疗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w:t>
      </w:r>
      <w:r>
        <w:rPr>
          <w:rFonts w:hint="eastAsia" w:ascii="仿宋_GB2312" w:eastAsia="仿宋_GB2312"/>
          <w:sz w:val="32"/>
          <w:szCs w:val="32"/>
        </w:rPr>
        <w:t>行政单位医疗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sz w:val="32"/>
          <w:szCs w:val="32"/>
        </w:rPr>
        <w:t>:指反映财政部门集中安排的行政单位基本医疗保险缴费经费，未参加医疗保险的行政单位的公费医疗经费，按国家规定享受离休人员、红军老战士待遇人员的医疗经费。</w:t>
      </w:r>
    </w:p>
    <w:p w14:paraId="282A3FF9">
      <w:pPr>
        <w:pStyle w:val="28"/>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18.卫生健康</w:t>
      </w:r>
      <w:r>
        <w:rPr>
          <w:rFonts w:hint="eastAsia" w:ascii="仿宋_GB2312" w:eastAsia="仿宋_GB2312"/>
          <w:sz w:val="32"/>
          <w:szCs w:val="32"/>
        </w:rPr>
        <w:t>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w:t>
      </w:r>
      <w:r>
        <w:rPr>
          <w:rFonts w:hint="eastAsia" w:ascii="仿宋_GB2312" w:eastAsia="仿宋_GB2312"/>
          <w:sz w:val="32"/>
          <w:szCs w:val="32"/>
        </w:rPr>
        <w:t>行政事业单位医疗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w:t>
      </w:r>
      <w:r>
        <w:rPr>
          <w:rFonts w:hint="eastAsia" w:ascii="仿宋_GB2312" w:eastAsia="仿宋_GB2312"/>
          <w:sz w:val="32"/>
          <w:szCs w:val="32"/>
        </w:rPr>
        <w:t>事业单位医疗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sz w:val="32"/>
          <w:szCs w:val="32"/>
        </w:rPr>
        <w:t>:指反映财政部门集中安排的事业单位基本医疗保险缴费经费，未参加医疗保险的事业单位的公费医疗经费，按国家规定享受离休人员待遇的医疗经费。</w:t>
      </w:r>
    </w:p>
    <w:p w14:paraId="6F22D19E">
      <w:pPr>
        <w:pStyle w:val="28"/>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19.卫生健康</w:t>
      </w:r>
      <w:r>
        <w:rPr>
          <w:rFonts w:hint="eastAsia" w:ascii="仿宋_GB2312" w:eastAsia="仿宋_GB2312"/>
          <w:sz w:val="32"/>
          <w:szCs w:val="32"/>
        </w:rPr>
        <w:t>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w:t>
      </w:r>
      <w:r>
        <w:rPr>
          <w:rFonts w:hint="eastAsia" w:ascii="仿宋_GB2312" w:eastAsia="仿宋_GB2312"/>
          <w:sz w:val="32"/>
          <w:szCs w:val="32"/>
        </w:rPr>
        <w:t>行政事业单位医疗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w:t>
      </w:r>
      <w:r>
        <w:rPr>
          <w:rFonts w:hint="eastAsia" w:ascii="仿宋_GB2312" w:eastAsia="仿宋_GB2312"/>
          <w:sz w:val="32"/>
          <w:szCs w:val="32"/>
        </w:rPr>
        <w:t>公务员医疗补助</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sz w:val="32"/>
          <w:szCs w:val="32"/>
        </w:rPr>
        <w:t>:指反映财政部门集中安排的公务员医疗补助经费。</w:t>
      </w:r>
    </w:p>
    <w:p w14:paraId="2D8DBA58">
      <w:pPr>
        <w:pStyle w:val="28"/>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w:t>
      </w:r>
      <w:r>
        <w:rPr>
          <w:rFonts w:hint="eastAsia" w:ascii="仿宋_GB2312" w:eastAsia="仿宋_GB2312"/>
          <w:sz w:val="32"/>
          <w:szCs w:val="32"/>
          <w:lang w:val="en-US" w:eastAsia="zh-CN"/>
        </w:rPr>
        <w:t>巩固脱贫衔接乡村振兴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w:t>
      </w:r>
      <w:r>
        <w:rPr>
          <w:rFonts w:hint="eastAsia" w:ascii="仿宋_GB2312" w:eastAsia="仿宋_GB2312"/>
          <w:sz w:val="32"/>
          <w:szCs w:val="32"/>
          <w:lang w:val="en-US" w:eastAsia="zh-CN"/>
        </w:rPr>
        <w:t>其他巩固脱贫衔接乡村振兴支出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sz w:val="32"/>
          <w:szCs w:val="32"/>
          <w:lang w:val="en-US" w:eastAsia="zh-CN"/>
        </w:rPr>
        <w:t>：反映除上述项目以外其他用于巩固拓展脱贫攻坚成果同乡村振兴有效衔接方面的支出。</w:t>
      </w:r>
    </w:p>
    <w:p w14:paraId="009AED05">
      <w:pPr>
        <w:pStyle w:val="28"/>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21.</w:t>
      </w:r>
      <w:r>
        <w:rPr>
          <w:rFonts w:hint="eastAsia" w:ascii="仿宋_GB2312" w:eastAsia="仿宋_GB2312"/>
          <w:sz w:val="32"/>
          <w:szCs w:val="32"/>
        </w:rPr>
        <w:t>住房保障支出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类</w:t>
      </w:r>
      <w:r>
        <w:rPr>
          <w:rFonts w:hint="eastAsia" w:ascii="仿宋_GB2312" w:eastAsia="仿宋_GB2312"/>
          <w:color w:val="auto"/>
          <w:sz w:val="32"/>
          <w:szCs w:val="32"/>
          <w:highlight w:val="none"/>
        </w:rPr>
        <w:t>）</w:t>
      </w:r>
      <w:r>
        <w:rPr>
          <w:rFonts w:hint="eastAsia" w:ascii="仿宋_GB2312" w:eastAsia="仿宋_GB2312"/>
          <w:sz w:val="32"/>
          <w:szCs w:val="32"/>
        </w:rPr>
        <w:t>住房改革支出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w:t>
      </w:r>
      <w:r>
        <w:rPr>
          <w:rFonts w:hint="eastAsia" w:ascii="仿宋_GB2312" w:eastAsia="仿宋_GB2312"/>
          <w:sz w:val="32"/>
          <w:szCs w:val="32"/>
        </w:rPr>
        <w:t>住房公积金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rPr>
        <w:t>）</w:t>
      </w:r>
      <w:r>
        <w:rPr>
          <w:rFonts w:hint="eastAsia" w:ascii="仿宋_GB2312" w:eastAsia="仿宋_GB2312"/>
          <w:sz w:val="32"/>
          <w:szCs w:val="32"/>
        </w:rPr>
        <w:t>:指反映行政事业单位按人力资源和社会保障部、财政部规定的基本工资和津贴补贴以及规定比例为职工缴纳的住房公积金。</w:t>
      </w:r>
    </w:p>
    <w:p w14:paraId="39AE2129">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1A5E7B1A">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4FFB3E17">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1AFD6E76">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7455322">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F59E81E">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14:paraId="4AC2D268">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4C4BDFBC">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06D2BC63">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F0D0484">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CD083AE">
      <w:pPr>
        <w:spacing w:line="600" w:lineRule="exact"/>
        <w:jc w:val="center"/>
        <w:outlineLvl w:val="0"/>
        <w:rPr>
          <w:rFonts w:hint="eastAsia" w:ascii="黑体" w:hAnsi="黑体" w:eastAsia="黑体"/>
          <w:color w:val="auto"/>
          <w:sz w:val="44"/>
          <w:szCs w:val="44"/>
          <w:highlight w:val="red"/>
        </w:rPr>
      </w:pPr>
    </w:p>
    <w:p w14:paraId="0B2DFB11">
      <w:pPr>
        <w:spacing w:line="600" w:lineRule="exact"/>
        <w:jc w:val="center"/>
        <w:outlineLvl w:val="0"/>
        <w:rPr>
          <w:rFonts w:hint="eastAsia" w:ascii="黑体" w:hAnsi="黑体" w:eastAsia="黑体"/>
          <w:color w:val="auto"/>
          <w:sz w:val="44"/>
          <w:szCs w:val="44"/>
          <w:highlight w:val="red"/>
        </w:rPr>
      </w:pPr>
    </w:p>
    <w:p w14:paraId="5942A5A0">
      <w:pPr>
        <w:spacing w:line="600" w:lineRule="exact"/>
        <w:jc w:val="center"/>
        <w:outlineLvl w:val="0"/>
        <w:rPr>
          <w:rFonts w:hint="eastAsia" w:ascii="黑体" w:hAnsi="黑体" w:eastAsia="黑体"/>
          <w:color w:val="auto"/>
          <w:sz w:val="44"/>
          <w:szCs w:val="44"/>
          <w:highlight w:val="red"/>
        </w:rPr>
      </w:pPr>
    </w:p>
    <w:p w14:paraId="0B402B68">
      <w:pPr>
        <w:spacing w:line="600" w:lineRule="exact"/>
        <w:jc w:val="center"/>
        <w:outlineLvl w:val="0"/>
        <w:rPr>
          <w:rStyle w:val="30"/>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 xml:space="preserve">四部分 </w:t>
      </w:r>
      <w:bookmarkEnd w:id="54"/>
    </w:p>
    <w:p w14:paraId="1C7B845C">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14:paraId="27F59E53">
      <w:pPr>
        <w:jc w:val="center"/>
        <w:rPr>
          <w:rFonts w:hint="eastAsia" w:eastAsia="方正小标宋简体" w:cs="方正小标宋简体"/>
          <w:sz w:val="44"/>
          <w:szCs w:val="44"/>
          <w:shd w:val="clear" w:color="auto" w:fill="FFFFFF"/>
          <w:lang w:val="en-US" w:eastAsia="zh-CN"/>
        </w:rPr>
      </w:pPr>
      <w:r>
        <w:rPr>
          <w:rFonts w:hint="eastAsia" w:eastAsia="方正小标宋简体" w:cs="方正小标宋简体"/>
          <w:sz w:val="44"/>
          <w:szCs w:val="44"/>
          <w:shd w:val="clear" w:color="auto" w:fill="FFFFFF"/>
          <w:lang w:val="en-US" w:eastAsia="zh-CN"/>
        </w:rPr>
        <w:t>遂宁市船山区财政局</w:t>
      </w:r>
    </w:p>
    <w:p w14:paraId="090EC272">
      <w:pPr>
        <w:jc w:val="center"/>
        <w:rPr>
          <w:rFonts w:hint="eastAsia" w:eastAsia="方正小标宋简体" w:cs="方正小标宋简体"/>
          <w:sz w:val="44"/>
          <w:szCs w:val="44"/>
          <w:shd w:val="clear" w:color="auto" w:fill="FFFFFF"/>
          <w:lang w:val="en-US" w:eastAsia="zh-CN"/>
        </w:rPr>
      </w:pPr>
      <w:r>
        <w:rPr>
          <w:rFonts w:hint="eastAsia" w:eastAsia="方正小标宋简体" w:cs="方正小标宋简体"/>
          <w:sz w:val="44"/>
          <w:szCs w:val="44"/>
          <w:shd w:val="clear" w:color="auto" w:fill="FFFFFF"/>
          <w:lang w:val="en-US" w:eastAsia="zh-CN"/>
        </w:rPr>
        <w:t>关于2023年区级部门</w:t>
      </w:r>
      <w:r>
        <w:rPr>
          <w:rFonts w:hint="eastAsia" w:eastAsia="方正小标宋简体" w:cs="方正小标宋简体"/>
          <w:sz w:val="44"/>
          <w:szCs w:val="44"/>
          <w:shd w:val="clear" w:color="auto" w:fill="FFFFFF"/>
        </w:rPr>
        <w:t>整体支出绩效</w:t>
      </w:r>
      <w:r>
        <w:rPr>
          <w:rFonts w:hint="eastAsia" w:eastAsia="方正小标宋简体" w:cs="方正小标宋简体"/>
          <w:sz w:val="44"/>
          <w:szCs w:val="44"/>
          <w:shd w:val="clear" w:color="auto" w:fill="FFFFFF"/>
          <w:lang w:val="en-US" w:eastAsia="zh-CN"/>
        </w:rPr>
        <w:t>情况</w:t>
      </w:r>
    </w:p>
    <w:p w14:paraId="07E5BAAA">
      <w:pPr>
        <w:jc w:val="center"/>
        <w:rPr>
          <w:rFonts w:hint="eastAsia" w:eastAsia="方正小标宋简体"/>
          <w:sz w:val="44"/>
          <w:szCs w:val="44"/>
          <w:shd w:val="clear" w:color="auto" w:fill="FFFFFF"/>
          <w:lang w:eastAsia="zh-CN"/>
        </w:rPr>
      </w:pPr>
      <w:r>
        <w:rPr>
          <w:rFonts w:hint="eastAsia" w:eastAsia="方正小标宋简体" w:cs="方正小标宋简体"/>
          <w:sz w:val="44"/>
          <w:szCs w:val="44"/>
          <w:shd w:val="clear" w:color="auto" w:fill="FFFFFF"/>
        </w:rPr>
        <w:t>报</w:t>
      </w:r>
      <w:r>
        <w:rPr>
          <w:rFonts w:hint="eastAsia" w:eastAsia="方正小标宋简体" w:cs="方正小标宋简体"/>
          <w:sz w:val="44"/>
          <w:szCs w:val="44"/>
          <w:shd w:val="clear" w:color="auto" w:fill="FFFFFF"/>
          <w:lang w:val="en-US" w:eastAsia="zh-CN"/>
        </w:rPr>
        <w:t xml:space="preserve">  </w:t>
      </w:r>
      <w:r>
        <w:rPr>
          <w:rFonts w:hint="eastAsia" w:eastAsia="方正小标宋简体" w:cs="方正小标宋简体"/>
          <w:sz w:val="44"/>
          <w:szCs w:val="44"/>
          <w:shd w:val="clear" w:color="auto" w:fill="FFFFFF"/>
        </w:rPr>
        <w:t>告</w:t>
      </w:r>
    </w:p>
    <w:p w14:paraId="2FEA62D3">
      <w:pPr>
        <w:adjustRightInd w:val="0"/>
        <w:snapToGrid w:val="0"/>
        <w:spacing w:line="540" w:lineRule="exact"/>
        <w:ind w:firstLine="720"/>
        <w:jc w:val="left"/>
        <w:rPr>
          <w:rFonts w:eastAsia="黑体"/>
          <w:color w:val="000000"/>
          <w:kern w:val="0"/>
          <w:sz w:val="24"/>
          <w:shd w:val="clear" w:color="auto" w:fill="FFFFFF"/>
        </w:rPr>
      </w:pPr>
    </w:p>
    <w:p w14:paraId="7D83674E">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en-US" w:eastAsia="zh-CN" w:bidi="ar-SA"/>
        </w:rPr>
        <w:t>一、</w:t>
      </w:r>
      <w:r>
        <w:rPr>
          <w:rFonts w:hint="eastAsia" w:ascii="仿宋_GB2312" w:hAnsi="Calibri" w:eastAsia="仿宋_GB2312" w:cs="仿宋"/>
          <w:color w:val="auto"/>
          <w:kern w:val="0"/>
          <w:sz w:val="32"/>
          <w:szCs w:val="32"/>
          <w:highlight w:val="none"/>
          <w:lang w:val="zh-CN" w:eastAsia="zh-CN" w:bidi="ar-SA"/>
        </w:rPr>
        <w:t>部门（单位）概况</w:t>
      </w:r>
    </w:p>
    <w:p w14:paraId="08B12995">
      <w:pPr>
        <w:ind w:firstLine="800" w:firstLineChars="250"/>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（一）机构组成。</w:t>
      </w:r>
    </w:p>
    <w:p w14:paraId="3E2ED4C5">
      <w:pPr>
        <w:ind w:firstLine="800" w:firstLineChars="25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船山区财政局下属二级预算单位1个，其中行政单位0个，参照公务员法管理的事业单位0个，其他事业单位1个（船山区金融服务中心）。</w:t>
      </w:r>
    </w:p>
    <w:p w14:paraId="3B95C2BA">
      <w:pPr>
        <w:widowControl/>
        <w:numPr>
          <w:ilvl w:val="0"/>
          <w:numId w:val="6"/>
        </w:numPr>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机构职能。</w:t>
      </w:r>
    </w:p>
    <w:p w14:paraId="5A4C9030">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区财政局贯彻落实党中央和省委、市委、区委关于财政金融工作的方针政策和决策部署，在履行职责过程中坚持和加强党对财政金融工作的集中统一领导。主要职责是：</w:t>
      </w:r>
    </w:p>
    <w:p w14:paraId="7B313E9D">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1.拟</w:t>
      </w:r>
      <w:r>
        <w:rPr>
          <w:rFonts w:hint="eastAsia" w:hAnsi="Calibri" w:cs="仿宋"/>
          <w:color w:val="auto"/>
          <w:kern w:val="0"/>
          <w:sz w:val="32"/>
          <w:szCs w:val="32"/>
          <w:highlight w:val="none"/>
          <w:lang w:val="en-US" w:eastAsia="zh-CN" w:bidi="ar-SA"/>
        </w:rPr>
        <w:t>定</w:t>
      </w:r>
      <w:r>
        <w:rPr>
          <w:rFonts w:hint="eastAsia" w:ascii="仿宋_GB2312" w:hAnsi="Calibri" w:eastAsia="仿宋_GB2312" w:cs="仿宋"/>
          <w:color w:val="auto"/>
          <w:kern w:val="0"/>
          <w:sz w:val="32"/>
          <w:szCs w:val="32"/>
          <w:highlight w:val="none"/>
          <w:lang w:val="en-US" w:eastAsia="zh-CN" w:bidi="ar-SA"/>
        </w:rPr>
        <w:t>全区财税发展规划、政策和改革方案并组织实施。分析预测宏观经济形势，参与制定宏观经济政策，提出运用财税政策实施宏观调控和综合平衡社会财力的建议。拟订区和乡镇街道及园区、政府与企业的分配政策，完善鼓励公益事业发展的财税政策。</w:t>
      </w:r>
    </w:p>
    <w:p w14:paraId="6D6D5367">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贯彻执行财政、税收、财务、会计管理的法律、法规和规章。负责组织起草地方财税实施办法和管理制度并组织实施。研究我区经济社会中的财税重大问题，围绕区委区政府中心工作提出改进和完善政府管理、提高财政资金使用效益的建议。</w:t>
      </w:r>
    </w:p>
    <w:p w14:paraId="2AD89285">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3.负责管理各项财政收支。编制年度区级预决算草案并组织执行。组织制定经费开支标准、定额，审核批复部门（单位）年度预决算，完善转移支付制度。受区政府委托，向区人民代表大会报告全区和区本级预算及其执行情况，向区人大常委会报告决算。负责政府投资基金区级财政出资的资产管理。负责组织全区预决算公开。指导街道乡镇财政管理工作。</w:t>
      </w:r>
    </w:p>
    <w:p w14:paraId="5A41D7DD">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4.按照管理权限负责政府非税收入管理。负责政府性基金管理，按规定管理行政事业性收费。管理财政票据。按规定管理彩票资金。负责管辖权限内的税收政策及税收调整方案的制定并组织实施，按照管理权限管理全区税政事项，承办上级要求区一级承担的税政工作。</w:t>
      </w:r>
    </w:p>
    <w:p w14:paraId="68FCEC21">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5.组织实施全区国库管理和国库集中收付制度，指导和监督国库业务，开展国库现金管理工作。贯彻执行政府财务报告编制办法并组织实施。负责制定政府采购制度并监督管理。</w:t>
      </w:r>
    </w:p>
    <w:p w14:paraId="16436CB1">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6.贯彻执行地方政府债务管理制度和政策，制定具体管理办法，统一管理政府性债务，防范化解财政风险。按规定管理外国政府和国际金融机构贷（赠）款项目的有关业务。</w:t>
      </w:r>
    </w:p>
    <w:p w14:paraId="61796C93">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7.牵头编制全区国有资产管理情况报告。根据区政府授权，集中统一履行区本级国有金融资本出资人职责。制定区级国有金融资本管理制度。拟</w:t>
      </w:r>
      <w:r>
        <w:rPr>
          <w:rFonts w:hint="eastAsia" w:hAnsi="Calibri" w:cs="仿宋"/>
          <w:color w:val="auto"/>
          <w:kern w:val="0"/>
          <w:sz w:val="32"/>
          <w:szCs w:val="32"/>
          <w:highlight w:val="none"/>
          <w:lang w:val="en-US" w:eastAsia="zh-CN" w:bidi="ar-SA"/>
        </w:rPr>
        <w:t>定</w:t>
      </w:r>
      <w:r>
        <w:rPr>
          <w:rFonts w:hint="eastAsia" w:ascii="仿宋_GB2312" w:hAnsi="Calibri" w:eastAsia="仿宋_GB2312" w:cs="仿宋"/>
          <w:color w:val="auto"/>
          <w:kern w:val="0"/>
          <w:sz w:val="32"/>
          <w:szCs w:val="32"/>
          <w:highlight w:val="none"/>
          <w:lang w:val="en-US" w:eastAsia="zh-CN" w:bidi="ar-SA"/>
        </w:rPr>
        <w:t>全区行政事业单位国有资产管理制度并组织实施，制定需要全区统一规定的开支标准和支出政策。</w:t>
      </w:r>
    </w:p>
    <w:p w14:paraId="6E4DE50F">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8.负责审核并汇总编制全区国有资本经营预决算草案，制定国有资本经营预算的制度和办法，收取区本级企业国有资本收益。</w:t>
      </w:r>
      <w:bookmarkStart w:id="81" w:name="_GoBack"/>
      <w:bookmarkEnd w:id="81"/>
      <w:r>
        <w:rPr>
          <w:rFonts w:hint="eastAsia" w:ascii="仿宋_GB2312" w:hAnsi="Calibri" w:eastAsia="仿宋_GB2312" w:cs="仿宋"/>
          <w:color w:val="auto"/>
          <w:kern w:val="0"/>
          <w:sz w:val="32"/>
          <w:szCs w:val="32"/>
          <w:highlight w:val="none"/>
          <w:lang w:val="en-US" w:eastAsia="zh-CN" w:bidi="ar-SA"/>
        </w:rPr>
        <w:t>组织实施企业财务制度，负责财政预算内行政事业单位和社会团体的非贸易和财政预算内的国际收支管理。</w:t>
      </w:r>
    </w:p>
    <w:p w14:paraId="506DB4F4">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9.负责审核并汇总编制全区社会保险基本预决算草案，会同有关部门拟定有关资金（基金）财务管理制度，承担社会保险基金财政监管工作。</w:t>
      </w:r>
    </w:p>
    <w:p w14:paraId="49C2A53F">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10.负责办理和监督区本级财政性的经济发展支出、区本级政府性投资项目的财政拨款，负责投资评审管理工作，参与拟订区级基建投资有关政策，制定基建财务管理制度。</w:t>
      </w:r>
    </w:p>
    <w:p w14:paraId="1242CCE5">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11.负责全区涉及外国政府和国际金融机构贷（赠）款项目的有关业务，参与财经领域的国际交流与合作。</w:t>
      </w:r>
    </w:p>
    <w:p w14:paraId="45CFE4E3">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12.负责管理全区会计工作，监督和规范会计行为，组织实施国家统一的会计制度，指导和监督注册会计师和会计师事务所的相关业务，指导和管理社会审计，依法管理资产评估有关工作。</w:t>
      </w:r>
    </w:p>
    <w:p w14:paraId="44823E1A">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13.负责监督检查系统内财税法规、政策的执行情况，反映财政收支管理中的重大问题，依法查处违反财经法纪的行为。</w:t>
      </w:r>
    </w:p>
    <w:p w14:paraId="77C55CFC">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14.全面实施预算绩效管理，将政府收支预算、部门预算的项目全面纳入绩效管理，构建全方位、全过程、全覆盖的预算绩效管理体系，实现预算和绩效管理一体化。</w:t>
      </w:r>
    </w:p>
    <w:p w14:paraId="2A488426">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15.会同有关部门根据全市金融业发展规划，拟定我区金融政策措施。协调推进全区金融业服务实体经济、防控金融风险、深化金融改革。推动地方政府与金融机构合作。加强金融对外合作交流。会同有关部门推进地方金融业规范发展，培育、壮大地方法人金融机构，引进区外金融机构，促进地方金融机构合理布局和金融资源优化配置。会同相关部门推进全区企业直接融资工作。</w:t>
      </w:r>
    </w:p>
    <w:p w14:paraId="321A0400">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16.配合全区企业上市改制工作，配合企业上市培育和上市协调工作。配合指导上市公司规范运作、并购重组。会同有关部门推动企业发行各种债券、开展资产证券化等工作（境外融资除外），推进多渠道直接融资。</w:t>
      </w:r>
    </w:p>
    <w:p w14:paraId="26F6CEE3">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17.会同有关部门推动全区地方金融要素市场建设，积极推进与多层次资本市场有效对接。配合中</w:t>
      </w:r>
      <w:r>
        <w:rPr>
          <w:rFonts w:hint="eastAsia" w:hAnsi="Calibri" w:cs="仿宋"/>
          <w:color w:val="auto"/>
          <w:kern w:val="0"/>
          <w:sz w:val="32"/>
          <w:szCs w:val="32"/>
          <w:highlight w:val="none"/>
          <w:lang w:val="en-US" w:eastAsia="zh-CN" w:bidi="ar-SA"/>
        </w:rPr>
        <w:t>央</w:t>
      </w:r>
      <w:r>
        <w:rPr>
          <w:rFonts w:hint="eastAsia" w:ascii="仿宋_GB2312" w:hAnsi="Calibri" w:eastAsia="仿宋_GB2312" w:cs="仿宋"/>
          <w:color w:val="auto"/>
          <w:kern w:val="0"/>
          <w:sz w:val="32"/>
          <w:szCs w:val="32"/>
          <w:highlight w:val="none"/>
          <w:lang w:val="en-US" w:eastAsia="zh-CN" w:bidi="ar-SA"/>
        </w:rPr>
        <w:t>、省金融管理部门驻遂机构，以及市地方金融监管部门开展金融监管相关工作，共享地方金融监管指标数据和金融业务发展情况，为中</w:t>
      </w:r>
      <w:r>
        <w:rPr>
          <w:rFonts w:hint="eastAsia" w:hAnsi="Calibri" w:cs="仿宋"/>
          <w:color w:val="auto"/>
          <w:kern w:val="0"/>
          <w:sz w:val="32"/>
          <w:szCs w:val="32"/>
          <w:highlight w:val="none"/>
          <w:lang w:val="en-US" w:eastAsia="zh-CN" w:bidi="ar-SA"/>
        </w:rPr>
        <w:t>央</w:t>
      </w:r>
      <w:r>
        <w:rPr>
          <w:rFonts w:hint="eastAsia" w:ascii="仿宋_GB2312" w:hAnsi="Calibri" w:eastAsia="仿宋_GB2312" w:cs="仿宋"/>
          <w:color w:val="auto"/>
          <w:kern w:val="0"/>
          <w:sz w:val="32"/>
          <w:szCs w:val="32"/>
          <w:highlight w:val="none"/>
          <w:lang w:val="en-US" w:eastAsia="zh-CN" w:bidi="ar-SA"/>
        </w:rPr>
        <w:t>、省金融管理部门、金融机构提供服务，协调解决地方金融业改革发展中的有关问题。</w:t>
      </w:r>
    </w:p>
    <w:p w14:paraId="6C46D66B">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18.协调各类金融机构为全区经济社会发展服务，参与政府重大项目融资对接、协调服务。引导金融机构创新服务产品，扩大服务范围，延伸服务领域，提升服务效率。按照中</w:t>
      </w:r>
      <w:r>
        <w:rPr>
          <w:rFonts w:hint="eastAsia" w:hAnsi="Calibri" w:cs="仿宋"/>
          <w:color w:val="auto"/>
          <w:kern w:val="0"/>
          <w:sz w:val="32"/>
          <w:szCs w:val="32"/>
          <w:highlight w:val="none"/>
          <w:lang w:val="en-US" w:eastAsia="zh-CN" w:bidi="ar-SA"/>
        </w:rPr>
        <w:t>央</w:t>
      </w:r>
      <w:r>
        <w:rPr>
          <w:rFonts w:hint="eastAsia" w:ascii="仿宋_GB2312" w:hAnsi="Calibri" w:eastAsia="仿宋_GB2312" w:cs="仿宋"/>
          <w:color w:val="auto"/>
          <w:kern w:val="0"/>
          <w:sz w:val="32"/>
          <w:szCs w:val="32"/>
          <w:highlight w:val="none"/>
          <w:lang w:val="en-US" w:eastAsia="zh-CN" w:bidi="ar-SA"/>
        </w:rPr>
        <w:t>、省、市有关规定，配合市地方金融监管部门，监管全区小额贷款公司、融资担保公司、典当行。</w:t>
      </w:r>
    </w:p>
    <w:p w14:paraId="6FFA219F">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19.配合省、市地方金融监管局对开展信用互助的农民专业合作社进行风险监测与行为监管。按照中</w:t>
      </w:r>
      <w:r>
        <w:rPr>
          <w:rFonts w:hint="eastAsia" w:hAnsi="Calibri" w:cs="仿宋"/>
          <w:color w:val="auto"/>
          <w:kern w:val="0"/>
          <w:sz w:val="32"/>
          <w:szCs w:val="32"/>
          <w:highlight w:val="none"/>
          <w:lang w:val="en-US" w:eastAsia="zh-CN" w:bidi="ar-SA"/>
        </w:rPr>
        <w:t>央</w:t>
      </w:r>
      <w:r>
        <w:rPr>
          <w:rFonts w:hint="eastAsia" w:ascii="仿宋_GB2312" w:hAnsi="Calibri" w:eastAsia="仿宋_GB2312" w:cs="仿宋"/>
          <w:color w:val="auto"/>
          <w:kern w:val="0"/>
          <w:sz w:val="32"/>
          <w:szCs w:val="32"/>
          <w:highlight w:val="none"/>
          <w:lang w:val="en-US" w:eastAsia="zh-CN" w:bidi="ar-SA"/>
        </w:rPr>
        <w:t>、省、市有关规定，负责地方金融机构和金融中介机构的行业管理和服务，促进金融中介服务业发展。维护地方金融秩序。配合有关部门防范、化解和处置地方金融风险。</w:t>
      </w:r>
    </w:p>
    <w:p w14:paraId="186EF4FF">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20.负责职责范围内的安全生产和职业健康、消防安全、生态环境保护、审批服务便民化等工作。</w:t>
      </w:r>
    </w:p>
    <w:p w14:paraId="03EEBB27">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21.承担区政府公布的相关行政权力事项。</w:t>
      </w:r>
    </w:p>
    <w:p w14:paraId="3DCC2ABB">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22.完成区委和区政府交办的其他任务。</w:t>
      </w:r>
    </w:p>
    <w:p w14:paraId="09BBC9CE">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23.职能转变。</w:t>
      </w:r>
    </w:p>
    <w:p w14:paraId="621482CE">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完善宏观调控体系，创新调控方式，构建发展规划、财政、金融等政策协调和工作协同机制，强化经济监测预测预警能力，建立健全重大问题研究和政策储备工作机制，增强宏观调控前瞻性、针对性、协同性。</w:t>
      </w:r>
    </w:p>
    <w:p w14:paraId="64BC625B">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深化财税体制改革。加快建立现代财政制度，推进财政事权和支出责任划分改革，建立权责清晰、财力协调、区域均衡的区和园区、乡镇街道财政关系。完善转移支付制度，优化转移支付分类，规范转移支付项目，增强统筹能力。逐步统一预算分配，全面实施绩效管理，建立全面规范透明、标准科学、约束有力的预算制度。全面推行政府性基金和行政事业性收费清单管理，完善监督制度。深化税收制度改革，形成税法统一、税负公平、调节有度的税收制度体系。</w:t>
      </w:r>
    </w:p>
    <w:p w14:paraId="55CBC24D">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防范化解地方政府债务风险。规范举债融资机制，构建“闭环”管理体系，严控法定限额内债务风险，着力防控隐性债务风险，牢牢守住不发生系统性风险的底线。</w:t>
      </w:r>
    </w:p>
    <w:p w14:paraId="633FDD41">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在坚持金融管理主要是中央事权的前提下，按照中央统一规则，落实属地管理，加强对地方金融的监督管理，落实好服务实体经济、防控金融风险、深化金融改革三项任务。加强重点领域和薄弱环节金融服务，提高金融体系抵御风险能力，确保地方金融安全高效稳健运行。</w:t>
      </w:r>
    </w:p>
    <w:p w14:paraId="2AD96E76">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24.有关职责分工。</w:t>
      </w:r>
    </w:p>
    <w:p w14:paraId="76B794C1">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税政管理的职责分工。区财政局负责在授权范围内对税收行政规章、税收政策进行解释，国家税务总局遂宁市船山区税务局（简称区税务局）对执行过程中的征管和一般性税收问题进行解释。</w:t>
      </w:r>
    </w:p>
    <w:p w14:paraId="5DE27E1B">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非税收入管理的职责分工。区财政局负责制定和组织实施非税收入国库集中收缴制度，负责非税收入账户、收缴方式、退付退库等管理。区税务局等部门按照非税收入国库集中收缴等有关规定，负责做好非税收入申报征收、会统核算、缴费检查、欠费追缴和违法处罚等工作，有关非税收入项目收缴信息与区财政局及时共享。</w:t>
      </w:r>
    </w:p>
    <w:p w14:paraId="335B5623">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区级行政事业单位国有资产管理的职责分工。区财政局负责制定全区行政事业单位国有资产管理制度，并负责组织实施和监督检查。区政府办公室负责区级行政事业单位的国有资产管理，承担产权界定、清查登记、资产处置工作，制定区级行政事业单位国有资产管理具体制度和办法并组织实施。区级行政事业单位按规定负责所属事业单位及派出机构的国有资产管理。</w:t>
      </w:r>
    </w:p>
    <w:p w14:paraId="42D1BEE6">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知识产权交易的职责分工。区市场监督管理局负责贯彻执行知识产权规范交易的政策。区财政局配合省地方金融监管局监管知识产权交易场所。</w:t>
      </w:r>
    </w:p>
    <w:p w14:paraId="60DC24B2">
      <w:pPr>
        <w:pStyle w:val="5"/>
        <w:adjustRightInd w:val="0"/>
        <w:snapToGrid w:val="0"/>
        <w:spacing w:before="93" w:line="600" w:lineRule="exact"/>
        <w:ind w:firstLine="672" w:firstLineChars="210"/>
        <w:outlineLvl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区直公务用车管理的职责分工。区财政局负责执法执勤用车和特种专业技术用车管理。区政府办公室负责其他公务用车管理。</w:t>
      </w:r>
    </w:p>
    <w:p w14:paraId="2BD39097">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（三）人员概况。</w:t>
      </w:r>
    </w:p>
    <w:p w14:paraId="04B2333E">
      <w:pPr>
        <w:pStyle w:val="19"/>
        <w:jc w:val="both"/>
        <w:rPr>
          <w:rFonts w:hint="default"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 xml:space="preserve">     截至2023年底，船山区财政局（含金融服务中心）在职共76人，其中行政人员29人（含参照公务员管理人员8人），事业人员47人，均为财政拨款开支人员。</w:t>
      </w:r>
    </w:p>
    <w:p w14:paraId="7350AEA4">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二、部门财政资金收支情况</w:t>
      </w:r>
    </w:p>
    <w:p w14:paraId="3BBF7CC4">
      <w:pPr>
        <w:snapToGrid w:val="0"/>
        <w:spacing w:line="520" w:lineRule="exact"/>
        <w:ind w:firstLine="640" w:firstLineChars="200"/>
        <w:outlineLvl w:val="9"/>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（一）部门财政资金收入情况。</w:t>
      </w:r>
    </w:p>
    <w:p w14:paraId="1ED5DB9B">
      <w:pPr>
        <w:snapToGrid w:val="0"/>
        <w:spacing w:line="520" w:lineRule="exact"/>
        <w:ind w:firstLine="640" w:firstLineChars="200"/>
        <w:outlineLvl w:val="9"/>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2023年共完成收入2050.8万元，其中：一般公共预算拨款收入2049.02万元，占比99.9%。政府性基金预算财政拨款收入0万元，占0%；上级补助收入0万元，占0%；事业收入0万元，占0%；经营收入0万元，占0%；附属单位上缴收入0万元，占0%；其他收入1.79万元，占0.1%。</w:t>
      </w:r>
    </w:p>
    <w:p w14:paraId="53E12E58">
      <w:pPr>
        <w:widowControl/>
        <w:numPr>
          <w:ilvl w:val="0"/>
          <w:numId w:val="0"/>
        </w:numPr>
        <w:adjustRightInd w:val="0"/>
        <w:snapToGrid w:val="0"/>
        <w:spacing w:line="580" w:lineRule="exact"/>
        <w:ind w:left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w:t>
      </w:r>
      <w:r>
        <w:rPr>
          <w:rFonts w:hint="eastAsia" w:ascii="仿宋_GB2312" w:hAnsi="Calibri" w:eastAsia="仿宋_GB2312" w:cs="仿宋"/>
          <w:color w:val="auto"/>
          <w:kern w:val="0"/>
          <w:sz w:val="32"/>
          <w:szCs w:val="32"/>
          <w:highlight w:val="none"/>
          <w:lang w:val="en-US" w:eastAsia="zh-CN" w:bidi="ar-SA"/>
        </w:rPr>
        <w:t>二</w:t>
      </w:r>
      <w:r>
        <w:rPr>
          <w:rFonts w:hint="eastAsia" w:ascii="仿宋_GB2312" w:hAnsi="Calibri" w:eastAsia="仿宋_GB2312" w:cs="仿宋"/>
          <w:color w:val="auto"/>
          <w:kern w:val="0"/>
          <w:sz w:val="32"/>
          <w:szCs w:val="32"/>
          <w:highlight w:val="none"/>
          <w:lang w:val="zh-CN" w:eastAsia="zh-CN" w:bidi="ar-SA"/>
        </w:rPr>
        <w:t>）部门财政资金支出情况。</w:t>
      </w:r>
    </w:p>
    <w:p w14:paraId="019F4A7C">
      <w:pPr>
        <w:numPr>
          <w:ilvl w:val="0"/>
          <w:numId w:val="0"/>
        </w:numPr>
        <w:snapToGrid w:val="0"/>
        <w:spacing w:line="520" w:lineRule="exact"/>
        <w:ind w:firstLine="640" w:firstLineChars="200"/>
        <w:outlineLvl w:val="9"/>
        <w:rPr>
          <w:rFonts w:hint="default"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2023年本年支出合计2049.02万元，其中：基本支出1551.66万元，占75.73%；项目支出497.36元，占24.27%；上缴上级支出0万元，占0%；经营支出0万元，占0%；对附属单位补助支出0万元，占0%。</w:t>
      </w:r>
    </w:p>
    <w:p w14:paraId="58A171B9">
      <w:pPr>
        <w:widowControl/>
        <w:numPr>
          <w:ilvl w:val="0"/>
          <w:numId w:val="7"/>
        </w:numPr>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部门整体预算绩效管理情况</w:t>
      </w:r>
    </w:p>
    <w:p w14:paraId="2F790566">
      <w:pPr>
        <w:widowControl/>
        <w:numPr>
          <w:ilvl w:val="0"/>
          <w:numId w:val="0"/>
        </w:numPr>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（一）部门预算管理。</w:t>
      </w:r>
    </w:p>
    <w:p w14:paraId="5CA5EC7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为了建立健全我单位预算管理体制,强化预算的分配和监督职能,维护预算的严肃性,保证资金的合理使用和人大常委会机关的正常运行,</w:t>
      </w:r>
      <w:bookmarkStart w:id="56" w:name="OLE_LINK11"/>
      <w:r>
        <w:rPr>
          <w:rFonts w:hint="eastAsia" w:ascii="仿宋" w:hAnsi="仿宋" w:eastAsia="仿宋" w:cs="仿宋"/>
          <w:sz w:val="32"/>
          <w:szCs w:val="32"/>
          <w:lang w:val="en-US" w:eastAsia="zh-CN"/>
        </w:rPr>
        <w:t>根据《中华人民共和国预算法》《中华人民共和国会计法》等有</w:t>
      </w:r>
      <w:bookmarkStart w:id="57" w:name="OLE_LINK12"/>
      <w:r>
        <w:rPr>
          <w:rFonts w:hint="eastAsia" w:ascii="仿宋" w:hAnsi="仿宋" w:eastAsia="仿宋" w:cs="仿宋"/>
          <w:sz w:val="32"/>
          <w:szCs w:val="32"/>
          <w:lang w:val="en-US" w:eastAsia="zh-CN"/>
        </w:rPr>
        <w:t>关规定,制定了《预算管理制度》,明确由财务人员编制,分管领导、</w:t>
      </w:r>
      <w:bookmarkEnd w:id="57"/>
      <w:r>
        <w:rPr>
          <w:rFonts w:hint="eastAsia" w:ascii="仿宋" w:hAnsi="仿宋" w:eastAsia="仿宋" w:cs="仿宋"/>
          <w:sz w:val="32"/>
          <w:szCs w:val="32"/>
          <w:lang w:val="en-US" w:eastAsia="zh-CN"/>
        </w:rPr>
        <w:t>主要领导审核的流程。同时,</w:t>
      </w:r>
      <w:r>
        <w:rPr>
          <w:rFonts w:hint="eastAsia" w:ascii="仿宋_GB2312" w:hAnsi="仿宋_GB2312" w:eastAsia="仿宋_GB2312" w:cs="仿宋_GB2312"/>
          <w:color w:val="auto"/>
          <w:sz w:val="32"/>
          <w:szCs w:val="32"/>
          <w:highlight w:val="none"/>
        </w:rPr>
        <w:t>根据预算</w:t>
      </w:r>
      <w:bookmarkStart w:id="58" w:name="OLE_LINK3"/>
      <w:r>
        <w:rPr>
          <w:rFonts w:hint="eastAsia" w:ascii="仿宋_GB2312" w:hAnsi="仿宋_GB2312" w:eastAsia="仿宋_GB2312" w:cs="仿宋_GB2312"/>
          <w:color w:val="auto"/>
          <w:sz w:val="32"/>
          <w:szCs w:val="32"/>
          <w:highlight w:val="none"/>
        </w:rPr>
        <w:t>绩效管理要求，</w:t>
      </w:r>
      <w:bookmarkEnd w:id="58"/>
      <w:r>
        <w:rPr>
          <w:rFonts w:hint="eastAsia" w:ascii="仿宋_GB2312" w:hAnsi="仿宋_GB2312" w:eastAsia="仿宋_GB2312" w:cs="仿宋_GB2312"/>
          <w:color w:val="auto"/>
          <w:sz w:val="32"/>
          <w:szCs w:val="32"/>
          <w:highlight w:val="none"/>
        </w:rPr>
        <w:t>本</w:t>
      </w:r>
      <w:bookmarkEnd w:id="56"/>
      <w:r>
        <w:rPr>
          <w:rFonts w:hint="eastAsia" w:ascii="仿宋_GB2312" w:hAnsi="仿宋_GB2312" w:eastAsia="仿宋_GB2312" w:cs="仿宋_GB2312"/>
          <w:color w:val="auto"/>
          <w:sz w:val="32"/>
          <w:szCs w:val="32"/>
          <w:highlight w:val="none"/>
        </w:rPr>
        <w:t>部门在</w:t>
      </w:r>
      <w:r>
        <w:rPr>
          <w:rFonts w:hint="eastAsia" w:ascii="仿宋_GB2312" w:hAnsi="仿宋_GB2312"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票据工本费</w:t>
      </w:r>
      <w:r>
        <w:rPr>
          <w:rFonts w:hint="eastAsia" w:ascii="仿宋_GB2312" w:hAnsi="仿宋_GB2312" w:eastAsia="仿宋_GB2312" w:cs="仿宋_GB2312"/>
          <w:color w:val="auto"/>
          <w:sz w:val="32"/>
          <w:szCs w:val="32"/>
          <w:highlight w:val="none"/>
        </w:rPr>
        <w:t>等项目开展了预算事前绩效评估</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对绩效指标细化量化，此项分值10分，得分10分；编制准确、完成情况良好，此项分值10分，得分10分；年初预算编制科学准确，此项分值10分，得分10分；在预算执行过程中，对部门公用经费及非定额公用支出（如办公费、印刷费等）控制情况良好，偏差度6.12%，此项分值10分，得分10分；在动态调整方面，年初结转和结余无注销额，此项分值10分，得分10分；在预算执行中，6、9、11月执行进度分别达到47.93%、73.1%、89.69%，预算执行情况良好，此项分值10分，得分10分。在完成结果方面，12月预算执行进度95.41%，此项分值10分，得分9分。</w:t>
      </w:r>
    </w:p>
    <w:p w14:paraId="1D04FA8A">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（二）结果应用情况。</w:t>
      </w:r>
    </w:p>
    <w:p w14:paraId="5D1345B6">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rPr>
        <w:t>部门绩效目标按要求</w:t>
      </w:r>
      <w:r>
        <w:rPr>
          <w:rFonts w:hint="eastAsia" w:ascii="仿宋" w:hAnsi="仿宋" w:eastAsia="仿宋" w:cs="仿宋"/>
          <w:color w:val="000000"/>
          <w:kern w:val="0"/>
          <w:sz w:val="32"/>
          <w:szCs w:val="32"/>
          <w:shd w:val="clear" w:color="auto" w:fill="FFFFFF"/>
          <w:lang w:val="en-US" w:eastAsia="zh-CN"/>
        </w:rPr>
        <w:t>随同预算、决算进行信息</w:t>
      </w:r>
      <w:r>
        <w:rPr>
          <w:rFonts w:hint="eastAsia" w:ascii="仿宋" w:hAnsi="仿宋" w:eastAsia="仿宋" w:cs="仿宋"/>
          <w:color w:val="000000"/>
          <w:kern w:val="0"/>
          <w:sz w:val="32"/>
          <w:szCs w:val="32"/>
          <w:shd w:val="clear" w:color="auto" w:fill="FFFFFF"/>
          <w:lang w:val="zh-CN"/>
        </w:rPr>
        <w:t>公开，</w:t>
      </w:r>
      <w:r>
        <w:rPr>
          <w:rFonts w:hint="eastAsia" w:ascii="仿宋" w:hAnsi="仿宋" w:eastAsia="仿宋" w:cs="仿宋"/>
          <w:color w:val="auto"/>
          <w:sz w:val="32"/>
          <w:szCs w:val="32"/>
          <w:highlight w:val="none"/>
          <w:lang w:val="en-US" w:eastAsia="zh-CN"/>
        </w:rPr>
        <w:t>此项分值6分，</w:t>
      </w:r>
      <w:r>
        <w:rPr>
          <w:rFonts w:hint="eastAsia" w:ascii="仿宋" w:hAnsi="仿宋" w:eastAsia="仿宋" w:cs="仿宋"/>
          <w:color w:val="000000"/>
          <w:kern w:val="0"/>
          <w:sz w:val="32"/>
          <w:szCs w:val="32"/>
          <w:shd w:val="clear" w:color="auto" w:fill="FFFFFF"/>
          <w:lang w:val="en-US" w:eastAsia="zh-CN"/>
        </w:rPr>
        <w:t>得分6分；根据</w:t>
      </w:r>
      <w:r>
        <w:rPr>
          <w:rFonts w:hint="eastAsia" w:ascii="仿宋" w:hAnsi="仿宋" w:eastAsia="仿宋" w:cs="仿宋"/>
          <w:color w:val="000000"/>
          <w:kern w:val="0"/>
          <w:sz w:val="32"/>
          <w:szCs w:val="32"/>
          <w:shd w:val="clear" w:color="auto" w:fill="FFFFFF"/>
          <w:lang w:val="zh-CN"/>
        </w:rPr>
        <w:t>绩效管理结果整改</w:t>
      </w:r>
      <w:r>
        <w:rPr>
          <w:rFonts w:hint="eastAsia" w:ascii="仿宋" w:hAnsi="仿宋" w:eastAsia="仿宋" w:cs="仿宋"/>
          <w:color w:val="000000"/>
          <w:kern w:val="0"/>
          <w:sz w:val="32"/>
          <w:szCs w:val="32"/>
          <w:shd w:val="clear" w:color="auto" w:fill="FFFFFF"/>
          <w:lang w:val="en-US" w:eastAsia="zh-CN"/>
        </w:rPr>
        <w:t>情况，清理</w:t>
      </w:r>
      <w:r>
        <w:rPr>
          <w:rFonts w:hint="eastAsia" w:ascii="仿宋" w:hAnsi="仿宋" w:eastAsia="仿宋" w:cs="仿宋"/>
          <w:color w:val="000000"/>
          <w:kern w:val="0"/>
          <w:sz w:val="32"/>
          <w:szCs w:val="32"/>
          <w:shd w:val="clear" w:color="auto" w:fill="FFFFFF"/>
          <w:lang w:val="zh-CN"/>
        </w:rPr>
        <w:t>问题，完善政策，</w:t>
      </w:r>
      <w:r>
        <w:rPr>
          <w:rFonts w:hint="eastAsia" w:ascii="仿宋" w:hAnsi="仿宋" w:eastAsia="仿宋" w:cs="仿宋"/>
          <w:color w:val="000000"/>
          <w:kern w:val="0"/>
          <w:sz w:val="32"/>
          <w:szCs w:val="32"/>
          <w:shd w:val="clear" w:color="auto" w:fill="FFFFFF"/>
          <w:lang w:val="en-US" w:eastAsia="zh-CN"/>
        </w:rPr>
        <w:t>不断改进绩效评价管理方法</w:t>
      </w:r>
      <w:r>
        <w:rPr>
          <w:rFonts w:hint="eastAsia" w:ascii="仿宋" w:hAnsi="仿宋" w:eastAsia="仿宋" w:cs="仿宋"/>
          <w:color w:val="00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lang w:val="en-US" w:eastAsia="zh-CN"/>
        </w:rPr>
        <w:t>按照财政部门要求，及时反馈绩效评价结果应用情况，</w:t>
      </w:r>
      <w:r>
        <w:rPr>
          <w:rFonts w:hint="eastAsia" w:ascii="仿宋" w:hAnsi="仿宋" w:eastAsia="仿宋" w:cs="仿宋"/>
          <w:color w:val="auto"/>
          <w:sz w:val="32"/>
          <w:szCs w:val="32"/>
          <w:highlight w:val="none"/>
          <w:lang w:val="en-US" w:eastAsia="zh-CN"/>
        </w:rPr>
        <w:t>此项分值4分，</w:t>
      </w:r>
      <w:r>
        <w:rPr>
          <w:rFonts w:hint="eastAsia" w:ascii="仿宋" w:hAnsi="仿宋" w:eastAsia="仿宋" w:cs="仿宋"/>
          <w:color w:val="000000"/>
          <w:kern w:val="0"/>
          <w:sz w:val="32"/>
          <w:szCs w:val="32"/>
          <w:shd w:val="clear" w:color="auto" w:fill="FFFFFF"/>
          <w:lang w:val="en-US" w:eastAsia="zh-CN"/>
        </w:rPr>
        <w:t>得分4分。</w:t>
      </w:r>
    </w:p>
    <w:p w14:paraId="30A28006">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四、评价结论及建议</w:t>
      </w:r>
    </w:p>
    <w:p w14:paraId="45858960">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（一）评价结论。</w:t>
      </w:r>
    </w:p>
    <w:p w14:paraId="39A8274B">
      <w:pPr>
        <w:widowControl/>
        <w:adjustRightInd w:val="0"/>
        <w:snapToGrid w:val="0"/>
        <w:spacing w:line="580" w:lineRule="exact"/>
        <w:ind w:firstLine="640" w:firstLineChars="200"/>
        <w:contextualSpacing/>
        <w:jc w:val="left"/>
        <w:rPr>
          <w:rFonts w:hint="eastAsia" w:ascii="仿宋" w:hAnsi="仿宋" w:eastAsia="仿宋" w:cs="仿宋"/>
          <w:color w:val="auto"/>
          <w:kern w:val="0"/>
          <w:sz w:val="32"/>
          <w:szCs w:val="32"/>
          <w:highlight w:val="none"/>
          <w:shd w:val="clear" w:color="auto" w:fill="FFFFFF"/>
          <w:lang w:val="en-US" w:eastAsia="zh-CN"/>
        </w:rPr>
      </w:pPr>
      <w:r>
        <w:rPr>
          <w:rFonts w:hint="eastAsia" w:ascii="仿宋" w:hAnsi="仿宋" w:eastAsia="仿宋" w:cs="仿宋"/>
          <w:color w:val="auto"/>
          <w:kern w:val="0"/>
          <w:sz w:val="32"/>
          <w:szCs w:val="32"/>
          <w:highlight w:val="none"/>
          <w:shd w:val="clear" w:color="auto" w:fill="FFFFFF"/>
          <w:lang w:val="en-US" w:eastAsia="zh-CN"/>
        </w:rPr>
        <w:t>我单位部门整体绩效评价得分89分。</w:t>
      </w:r>
    </w:p>
    <w:p w14:paraId="1443D25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（二）存在问题。</w:t>
      </w:r>
    </w:p>
    <w:p w14:paraId="0215BD0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bookmarkStart w:id="59" w:name="OLE_LINK2"/>
      <w:r>
        <w:rPr>
          <w:rFonts w:hint="eastAsia" w:ascii="仿宋" w:hAnsi="仿宋" w:eastAsia="仿宋" w:cs="仿宋"/>
          <w:sz w:val="32"/>
          <w:szCs w:val="32"/>
          <w:lang w:val="en-US" w:eastAsia="zh-CN"/>
        </w:rPr>
        <w:t>需要进一步提高预算编制精确度。</w:t>
      </w:r>
      <w:bookmarkEnd w:id="59"/>
    </w:p>
    <w:p w14:paraId="4AA8A10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（三）改进建议。</w:t>
      </w:r>
    </w:p>
    <w:p w14:paraId="20939F5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加强对预算绩效评价的高度重视,把预算绩效管理工作纳入年度工作目标。二是严格遵循先有预算、后有支出的原则,确保从预算制定、执行到决算的良性互动和循环,严肃预算管理。三是加强财务管理,监督项目支出经费合理、规范、及时支出。不断补充绩效目标内容,完善项目管理办法,切实提高项目管理水平,提高财政资金使用效益。</w:t>
      </w:r>
    </w:p>
    <w:p w14:paraId="1D3C02AE">
      <w:pPr>
        <w:pStyle w:val="5"/>
        <w:rPr>
          <w:rFonts w:hint="eastAsia" w:ascii="仿宋_GB2312" w:hAnsi="Calibri" w:eastAsia="仿宋_GB2312" w:cs="仿宋"/>
          <w:color w:val="auto"/>
          <w:kern w:val="0"/>
          <w:sz w:val="32"/>
          <w:szCs w:val="32"/>
          <w:highlight w:val="none"/>
          <w:lang w:val="zh-CN" w:eastAsia="zh-CN" w:bidi="ar-SA"/>
        </w:rPr>
      </w:pPr>
    </w:p>
    <w:p w14:paraId="3F0F7D66">
      <w:pPr>
        <w:pStyle w:val="5"/>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zh-CN" w:eastAsia="zh-CN" w:bidi="ar-SA"/>
        </w:rPr>
        <w:t>附件</w:t>
      </w:r>
      <w:r>
        <w:rPr>
          <w:rFonts w:hint="eastAsia" w:ascii="仿宋_GB2312" w:hAnsi="Calibri" w:eastAsia="仿宋_GB2312" w:cs="仿宋"/>
          <w:color w:val="auto"/>
          <w:kern w:val="0"/>
          <w:sz w:val="32"/>
          <w:szCs w:val="32"/>
          <w:highlight w:val="none"/>
          <w:lang w:val="en-US" w:eastAsia="zh-CN" w:bidi="ar-SA"/>
        </w:rPr>
        <w:t>2</w:t>
      </w:r>
    </w:p>
    <w:p w14:paraId="55AC6A4C">
      <w:pPr>
        <w:snapToGrid w:val="0"/>
        <w:spacing w:line="600" w:lineRule="exact"/>
        <w:jc w:val="center"/>
        <w:rPr>
          <w:rFonts w:hint="eastAsia" w:ascii="仿宋_GB2312" w:hAnsi="Calibri" w:eastAsia="仿宋_GB2312" w:cs="仿宋"/>
          <w:color w:val="auto"/>
          <w:kern w:val="0"/>
          <w:sz w:val="44"/>
          <w:szCs w:val="44"/>
          <w:highlight w:val="none"/>
          <w:lang w:val="en-US" w:eastAsia="zh-CN" w:bidi="ar-SA"/>
        </w:rPr>
      </w:pPr>
      <w:bookmarkStart w:id="60" w:name="OLE_LINK8"/>
      <w:bookmarkStart w:id="61" w:name="OLE_LINK5"/>
      <w:bookmarkStart w:id="62" w:name="_Toc15396618"/>
      <w:r>
        <w:rPr>
          <w:rFonts w:hint="eastAsia" w:ascii="仿宋_GB2312" w:hAnsi="Calibri" w:eastAsia="仿宋_GB2312" w:cs="仿宋"/>
          <w:color w:val="auto"/>
          <w:kern w:val="0"/>
          <w:sz w:val="44"/>
          <w:szCs w:val="44"/>
          <w:highlight w:val="none"/>
          <w:lang w:val="en-US" w:eastAsia="zh-CN" w:bidi="ar-SA"/>
        </w:rPr>
        <w:t>2023年扶贫小额信贷贴息项目</w:t>
      </w:r>
      <w:bookmarkEnd w:id="60"/>
      <w:bookmarkStart w:id="63" w:name="OLE_LINK4"/>
      <w:r>
        <w:rPr>
          <w:rFonts w:hint="eastAsia" w:ascii="仿宋_GB2312" w:hAnsi="Calibri" w:eastAsia="仿宋_GB2312" w:cs="仿宋"/>
          <w:color w:val="auto"/>
          <w:kern w:val="0"/>
          <w:sz w:val="44"/>
          <w:szCs w:val="44"/>
          <w:highlight w:val="none"/>
          <w:lang w:val="en-US" w:eastAsia="zh-CN" w:bidi="ar-SA"/>
        </w:rPr>
        <w:t>支出绩效</w:t>
      </w:r>
    </w:p>
    <w:p w14:paraId="390D9C9D">
      <w:pPr>
        <w:snapToGrid w:val="0"/>
        <w:spacing w:line="600" w:lineRule="exact"/>
        <w:jc w:val="center"/>
        <w:rPr>
          <w:rFonts w:hint="eastAsia" w:ascii="仿宋_GB2312" w:hAnsi="Calibri" w:eastAsia="仿宋_GB2312" w:cs="仿宋"/>
          <w:color w:val="auto"/>
          <w:kern w:val="0"/>
          <w:sz w:val="44"/>
          <w:szCs w:val="44"/>
          <w:highlight w:val="none"/>
          <w:lang w:val="en-US" w:eastAsia="zh-CN" w:bidi="ar-SA"/>
        </w:rPr>
      </w:pPr>
      <w:r>
        <w:rPr>
          <w:rFonts w:hint="eastAsia" w:ascii="仿宋_GB2312" w:hAnsi="Calibri" w:eastAsia="仿宋_GB2312" w:cs="仿宋"/>
          <w:color w:val="auto"/>
          <w:kern w:val="0"/>
          <w:sz w:val="44"/>
          <w:szCs w:val="44"/>
          <w:highlight w:val="none"/>
          <w:lang w:val="en-US" w:eastAsia="zh-CN" w:bidi="ar-SA"/>
        </w:rPr>
        <w:t>自评报告</w:t>
      </w:r>
    </w:p>
    <w:bookmarkEnd w:id="61"/>
    <w:bookmarkEnd w:id="63"/>
    <w:p w14:paraId="1DB93209">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40" w:lineRule="exact"/>
        <w:ind w:firstLine="640" w:firstLineChars="200"/>
        <w:jc w:val="left"/>
        <w:textAlignment w:val="auto"/>
        <w:rPr>
          <w:rFonts w:hint="eastAsia" w:ascii="仿宋" w:hAnsi="仿宋" w:eastAsia="仿宋" w:cs="仿宋"/>
          <w:sz w:val="32"/>
          <w:szCs w:val="32"/>
        </w:rPr>
      </w:pPr>
      <w:bookmarkStart w:id="64" w:name="OLE_LINK9"/>
      <w:r>
        <w:rPr>
          <w:rFonts w:hint="eastAsia" w:ascii="仿宋" w:hAnsi="仿宋" w:eastAsia="仿宋" w:cs="仿宋"/>
          <w:sz w:val="32"/>
          <w:szCs w:val="32"/>
          <w:lang w:val="en-US" w:eastAsia="zh-CN"/>
        </w:rPr>
        <w:t>一、</w:t>
      </w:r>
      <w:r>
        <w:rPr>
          <w:rFonts w:hint="eastAsia" w:ascii="仿宋" w:hAnsi="仿宋" w:eastAsia="仿宋" w:cs="仿宋"/>
          <w:sz w:val="32"/>
          <w:szCs w:val="32"/>
        </w:rPr>
        <w:t>基本情况</w:t>
      </w:r>
    </w:p>
    <w:p w14:paraId="4A7BEC16">
      <w:pPr>
        <w:keepNext w:val="0"/>
        <w:keepLines w:val="0"/>
        <w:pageBreakBefore w:val="0"/>
        <w:widowControl w:val="0"/>
        <w:numPr>
          <w:ilvl w:val="0"/>
          <w:numId w:val="8"/>
        </w:numPr>
        <w:kinsoku/>
        <w:wordWrap/>
        <w:overflowPunct/>
        <w:topLinePunct w:val="0"/>
        <w:autoSpaceDE/>
        <w:autoSpaceDN/>
        <w:bidi w:val="0"/>
        <w:adjustRightInd/>
        <w:snapToGrid/>
        <w:spacing w:line="640" w:lineRule="exact"/>
        <w:ind w:firstLine="64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项目概况</w:t>
      </w:r>
    </w:p>
    <w:p w14:paraId="00551C56">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年扶贫小额信贷贴息主要是对船山区202</w:t>
      </w:r>
      <w:r>
        <w:rPr>
          <w:rFonts w:hint="eastAsia" w:ascii="仿宋" w:hAnsi="仿宋" w:eastAsia="仿宋" w:cs="仿宋"/>
          <w:sz w:val="32"/>
          <w:szCs w:val="32"/>
          <w:lang w:val="en-US" w:eastAsia="zh-CN"/>
        </w:rPr>
        <w:t>3</w:t>
      </w:r>
      <w:r>
        <w:rPr>
          <w:rFonts w:hint="eastAsia" w:ascii="仿宋" w:hAnsi="仿宋" w:eastAsia="仿宋" w:cs="仿宋"/>
          <w:sz w:val="32"/>
          <w:szCs w:val="32"/>
        </w:rPr>
        <w:t>年期间建档立卡脱贫户小额信贷发放金额不超过5万元，期限不超过3年，利率在5%以下的利息部分进行补贴，帮助农户发展种养殖业及生产经营。</w:t>
      </w:r>
    </w:p>
    <w:p w14:paraId="6E4C47AE">
      <w:pPr>
        <w:keepNext w:val="0"/>
        <w:keepLines w:val="0"/>
        <w:pageBreakBefore w:val="0"/>
        <w:widowControl w:val="0"/>
        <w:numPr>
          <w:ilvl w:val="0"/>
          <w:numId w:val="8"/>
        </w:numPr>
        <w:kinsoku/>
        <w:wordWrap/>
        <w:overflowPunct/>
        <w:topLinePunct w:val="0"/>
        <w:autoSpaceDE/>
        <w:autoSpaceDN/>
        <w:bidi w:val="0"/>
        <w:adjustRightInd/>
        <w:snapToGrid/>
        <w:spacing w:line="640" w:lineRule="exact"/>
        <w:ind w:firstLine="64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项目实施情况</w:t>
      </w:r>
    </w:p>
    <w:p w14:paraId="324D2065">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本项目支出均按照有关规章制度和项目实施完成情况进行支付。</w:t>
      </w:r>
    </w:p>
    <w:p w14:paraId="0D3F504F">
      <w:pPr>
        <w:keepNext w:val="0"/>
        <w:keepLines w:val="0"/>
        <w:pageBreakBefore w:val="0"/>
        <w:widowControl w:val="0"/>
        <w:numPr>
          <w:ilvl w:val="0"/>
          <w:numId w:val="8"/>
        </w:numPr>
        <w:kinsoku/>
        <w:wordWrap/>
        <w:overflowPunct/>
        <w:topLinePunct w:val="0"/>
        <w:autoSpaceDE/>
        <w:autoSpaceDN/>
        <w:bidi w:val="0"/>
        <w:adjustRightInd/>
        <w:snapToGrid/>
        <w:spacing w:line="640" w:lineRule="exact"/>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资金投入使用情况</w:t>
      </w:r>
    </w:p>
    <w:p w14:paraId="635814D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Style w:val="37"/>
          <w:rFonts w:hint="eastAsia" w:ascii="仿宋" w:hAnsi="仿宋" w:eastAsia="仿宋" w:cs="仿宋"/>
          <w:b w:val="0"/>
          <w:bCs w:val="0"/>
          <w:i w:val="0"/>
          <w:caps w:val="0"/>
          <w:spacing w:val="0"/>
          <w:w w:val="100"/>
          <w:kern w:val="2"/>
          <w:sz w:val="32"/>
          <w:szCs w:val="32"/>
          <w:lang w:val="en-US" w:eastAsia="zh-CN" w:bidi="ar-SA"/>
        </w:rPr>
      </w:pPr>
      <w:r>
        <w:rPr>
          <w:rStyle w:val="37"/>
          <w:rFonts w:hint="eastAsia" w:ascii="仿宋" w:hAnsi="仿宋" w:eastAsia="仿宋" w:cs="仿宋"/>
          <w:b w:val="0"/>
          <w:bCs w:val="0"/>
          <w:i w:val="0"/>
          <w:caps w:val="0"/>
          <w:spacing w:val="0"/>
          <w:w w:val="100"/>
          <w:kern w:val="2"/>
          <w:sz w:val="32"/>
          <w:szCs w:val="32"/>
          <w:lang w:val="en-US" w:eastAsia="zh-CN" w:bidi="ar-SA"/>
        </w:rPr>
        <w:t>年初预算数为10万元，</w:t>
      </w:r>
      <w:bookmarkStart w:id="65" w:name="OLE_LINK6"/>
      <w:r>
        <w:rPr>
          <w:rStyle w:val="37"/>
          <w:rFonts w:hint="eastAsia" w:ascii="仿宋" w:hAnsi="仿宋" w:eastAsia="仿宋" w:cs="仿宋"/>
          <w:b w:val="0"/>
          <w:bCs w:val="0"/>
          <w:i w:val="0"/>
          <w:caps w:val="0"/>
          <w:spacing w:val="0"/>
          <w:w w:val="100"/>
          <w:kern w:val="2"/>
          <w:sz w:val="32"/>
          <w:szCs w:val="32"/>
          <w:lang w:val="en-US" w:eastAsia="zh-CN" w:bidi="ar-SA"/>
        </w:rPr>
        <w:t>1-12</w:t>
      </w:r>
      <w:bookmarkEnd w:id="65"/>
      <w:r>
        <w:rPr>
          <w:rStyle w:val="37"/>
          <w:rFonts w:hint="eastAsia" w:ascii="仿宋" w:hAnsi="仿宋" w:eastAsia="仿宋" w:cs="仿宋"/>
          <w:b w:val="0"/>
          <w:bCs w:val="0"/>
          <w:i w:val="0"/>
          <w:caps w:val="0"/>
          <w:spacing w:val="0"/>
          <w:w w:val="100"/>
          <w:kern w:val="2"/>
          <w:sz w:val="32"/>
          <w:szCs w:val="32"/>
          <w:lang w:val="en-US" w:eastAsia="zh-CN" w:bidi="ar-SA"/>
        </w:rPr>
        <w:t>月使用10万元，主要用于：区内所有建档立卡贫困户脱贫人口小额信贷利息应贴尽贴。扶贫小额信贷贴息资金于2023年4月23日向承贷银行遂宁农商行船山支行一次性拨付到账，拨付率为100%。</w:t>
      </w:r>
    </w:p>
    <w:p w14:paraId="5DBAC95C">
      <w:pPr>
        <w:keepNext w:val="0"/>
        <w:keepLines w:val="0"/>
        <w:pageBreakBefore w:val="0"/>
        <w:widowControl w:val="0"/>
        <w:numPr>
          <w:ilvl w:val="0"/>
          <w:numId w:val="8"/>
        </w:numPr>
        <w:kinsoku/>
        <w:wordWrap/>
        <w:overflowPunct/>
        <w:topLinePunct w:val="0"/>
        <w:autoSpaceDE/>
        <w:autoSpaceDN/>
        <w:bidi w:val="0"/>
        <w:adjustRightInd/>
        <w:snapToGrid/>
        <w:spacing w:line="640" w:lineRule="exact"/>
        <w:ind w:left="0" w:leftChars="0" w:firstLine="640" w:firstLineChars="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项目绩效目标</w:t>
      </w:r>
    </w:p>
    <w:p w14:paraId="056339A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Style w:val="37"/>
          <w:rFonts w:hint="eastAsia" w:ascii="仿宋" w:hAnsi="仿宋" w:eastAsia="仿宋" w:cs="仿宋"/>
          <w:b w:val="0"/>
          <w:bCs w:val="0"/>
          <w:i w:val="0"/>
          <w:caps w:val="0"/>
          <w:spacing w:val="0"/>
          <w:w w:val="100"/>
          <w:kern w:val="2"/>
          <w:sz w:val="32"/>
          <w:szCs w:val="32"/>
          <w:lang w:val="en-US" w:eastAsia="zh-CN" w:bidi="ar-SA"/>
        </w:rPr>
      </w:pPr>
      <w:r>
        <w:rPr>
          <w:rStyle w:val="37"/>
          <w:rFonts w:hint="eastAsia" w:ascii="仿宋" w:hAnsi="仿宋" w:eastAsia="仿宋" w:cs="仿宋"/>
          <w:b w:val="0"/>
          <w:bCs w:val="0"/>
          <w:i w:val="0"/>
          <w:caps w:val="0"/>
          <w:spacing w:val="0"/>
          <w:w w:val="100"/>
          <w:kern w:val="2"/>
          <w:sz w:val="32"/>
          <w:szCs w:val="32"/>
          <w:lang w:val="en-US" w:eastAsia="zh-CN" w:bidi="ar-SA"/>
        </w:rPr>
        <w:t>本项目实际总体绩效目标为完成年度预算10万元，资金使用率100%，完成年初预算的100%。</w:t>
      </w:r>
    </w:p>
    <w:p w14:paraId="345809B9">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二、评价工作开展情况</w:t>
      </w:r>
    </w:p>
    <w:p w14:paraId="15EBEAD5">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是组织相关股室人员认真学习绩效管理评价文件。二是科学制定方案，评价开展前根据财政部门要求拟定了工作方案，对评价工作进行任务分工。为保障本次绩效评价工作顺利完成，由区金融服务中心主任鲍龙任组长，项目相关股室组成评价组，对涉及项目进行分类评价。三是加强沟通协调，接到绩效评价工作任务后，及时将项目分解到相关股室，由相关股室结合项目实施情况收集项目信息并填报绩效自评表，由股室负责人对项目绩效进行评定并由组长最终审定。</w:t>
      </w:r>
    </w:p>
    <w:p w14:paraId="5F400FD7">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三、综合评价结论</w:t>
      </w:r>
    </w:p>
    <w:p w14:paraId="2441C90E">
      <w:pPr>
        <w:keepNext w:val="0"/>
        <w:keepLines w:val="0"/>
        <w:pageBreakBefore w:val="0"/>
        <w:widowControl w:val="0"/>
        <w:kinsoku/>
        <w:wordWrap/>
        <w:overflowPunct/>
        <w:topLinePunct w:val="0"/>
        <w:autoSpaceDE/>
        <w:autoSpaceDN/>
        <w:bidi w:val="0"/>
        <w:adjustRightInd/>
        <w:snapToGrid w:val="0"/>
        <w:spacing w:line="640" w:lineRule="exact"/>
        <w:ind w:firstLine="643" w:firstLineChars="200"/>
        <w:jc w:val="both"/>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2023年扶贫小额信贷贴息项目支出绩效评价自评表</w:t>
      </w:r>
    </w:p>
    <w:tbl>
      <w:tblPr>
        <w:tblStyle w:val="15"/>
        <w:tblpPr w:leftFromText="180" w:rightFromText="180" w:vertAnchor="text" w:horzAnchor="page" w:tblpX="1698" w:tblpY="3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1341"/>
        <w:gridCol w:w="1416"/>
        <w:gridCol w:w="1065"/>
        <w:gridCol w:w="1022"/>
        <w:gridCol w:w="1323"/>
      </w:tblGrid>
      <w:tr w14:paraId="6979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112" w:type="dxa"/>
            <w:gridSpan w:val="3"/>
            <w:noWrap w:val="0"/>
            <w:vAlign w:val="top"/>
          </w:tcPr>
          <w:p w14:paraId="0F0CF2AC">
            <w:pPr>
              <w:snapToGrid w:val="0"/>
              <w:spacing w:line="600" w:lineRule="exact"/>
              <w:jc w:val="center"/>
              <w:rPr>
                <w:rFonts w:hint="eastAsia" w:ascii="仿宋" w:hAnsi="仿宋" w:eastAsia="仿宋" w:cs="仿宋"/>
                <w:b/>
                <w:bCs w:val="0"/>
                <w:sz w:val="32"/>
                <w:szCs w:val="32"/>
                <w:vertAlign w:val="baseline"/>
                <w:lang w:eastAsia="zh-CN"/>
              </w:rPr>
            </w:pPr>
            <w:r>
              <w:rPr>
                <w:rFonts w:hint="eastAsia" w:ascii="仿宋" w:hAnsi="仿宋" w:eastAsia="仿宋" w:cs="仿宋"/>
                <w:b/>
                <w:bCs w:val="0"/>
                <w:sz w:val="32"/>
                <w:szCs w:val="32"/>
                <w:lang w:val="en-US" w:eastAsia="zh-CN"/>
              </w:rPr>
              <w:t>分层分类指标</w:t>
            </w:r>
          </w:p>
        </w:tc>
        <w:tc>
          <w:tcPr>
            <w:tcW w:w="1065" w:type="dxa"/>
            <w:vMerge w:val="restart"/>
            <w:noWrap w:val="0"/>
            <w:vAlign w:val="top"/>
          </w:tcPr>
          <w:p w14:paraId="3463EF60">
            <w:pPr>
              <w:snapToGrid w:val="0"/>
              <w:spacing w:line="600" w:lineRule="exact"/>
              <w:jc w:val="center"/>
              <w:rPr>
                <w:rFonts w:hint="eastAsia" w:ascii="仿宋" w:hAnsi="仿宋" w:eastAsia="仿宋" w:cs="仿宋"/>
                <w:b/>
                <w:bCs w:val="0"/>
                <w:sz w:val="32"/>
                <w:szCs w:val="32"/>
                <w:lang w:val="en-US" w:eastAsia="zh-CN"/>
              </w:rPr>
            </w:pPr>
          </w:p>
          <w:p w14:paraId="1562486A">
            <w:pPr>
              <w:snapToGrid w:val="0"/>
              <w:spacing w:line="600" w:lineRule="exact"/>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目标值</w:t>
            </w:r>
          </w:p>
        </w:tc>
        <w:tc>
          <w:tcPr>
            <w:tcW w:w="1022" w:type="dxa"/>
            <w:vMerge w:val="restart"/>
            <w:noWrap w:val="0"/>
            <w:vAlign w:val="top"/>
          </w:tcPr>
          <w:p w14:paraId="4E7C3ADB">
            <w:pPr>
              <w:snapToGrid w:val="0"/>
              <w:spacing w:line="600" w:lineRule="exact"/>
              <w:jc w:val="center"/>
              <w:rPr>
                <w:rFonts w:hint="eastAsia" w:ascii="仿宋" w:hAnsi="仿宋" w:eastAsia="仿宋" w:cs="仿宋"/>
                <w:b/>
                <w:bCs w:val="0"/>
                <w:sz w:val="32"/>
                <w:szCs w:val="32"/>
                <w:lang w:val="en-US" w:eastAsia="zh-CN"/>
              </w:rPr>
            </w:pPr>
          </w:p>
          <w:p w14:paraId="0D081E79">
            <w:pPr>
              <w:snapToGrid w:val="0"/>
              <w:spacing w:line="600" w:lineRule="exact"/>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分值</w:t>
            </w:r>
          </w:p>
        </w:tc>
        <w:tc>
          <w:tcPr>
            <w:tcW w:w="1323" w:type="dxa"/>
            <w:vMerge w:val="restart"/>
            <w:noWrap w:val="0"/>
            <w:vAlign w:val="top"/>
          </w:tcPr>
          <w:p w14:paraId="54041F11">
            <w:pPr>
              <w:snapToGrid w:val="0"/>
              <w:spacing w:line="600" w:lineRule="exact"/>
              <w:jc w:val="center"/>
              <w:rPr>
                <w:rFonts w:hint="eastAsia" w:ascii="仿宋" w:hAnsi="仿宋" w:eastAsia="仿宋" w:cs="仿宋"/>
                <w:b/>
                <w:bCs w:val="0"/>
                <w:sz w:val="32"/>
                <w:szCs w:val="32"/>
                <w:lang w:val="en-US" w:eastAsia="zh-CN"/>
              </w:rPr>
            </w:pPr>
          </w:p>
          <w:p w14:paraId="78953E0B">
            <w:pPr>
              <w:snapToGrid w:val="0"/>
              <w:spacing w:line="600" w:lineRule="exact"/>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自评得分</w:t>
            </w:r>
          </w:p>
        </w:tc>
      </w:tr>
      <w:tr w14:paraId="1FEB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355" w:type="dxa"/>
            <w:noWrap w:val="0"/>
            <w:vAlign w:val="top"/>
          </w:tcPr>
          <w:p w14:paraId="0519F9E3">
            <w:pPr>
              <w:snapToGrid w:val="0"/>
              <w:spacing w:line="240" w:lineRule="auto"/>
              <w:jc w:val="center"/>
              <w:rPr>
                <w:rFonts w:hint="eastAsia" w:ascii="仿宋" w:hAnsi="仿宋" w:eastAsia="仿宋" w:cs="仿宋"/>
                <w:b/>
                <w:bCs w:val="0"/>
                <w:sz w:val="32"/>
                <w:szCs w:val="32"/>
                <w:lang w:val="en-US" w:eastAsia="zh-CN"/>
              </w:rPr>
            </w:pPr>
          </w:p>
          <w:p w14:paraId="441589AB">
            <w:pPr>
              <w:snapToGrid w:val="0"/>
              <w:spacing w:line="240" w:lineRule="auto"/>
              <w:jc w:val="center"/>
              <w:rPr>
                <w:rFonts w:hint="eastAsia" w:ascii="仿宋" w:hAnsi="仿宋" w:eastAsia="仿宋" w:cs="仿宋"/>
                <w:b/>
                <w:bCs w:val="0"/>
                <w:sz w:val="32"/>
                <w:szCs w:val="32"/>
                <w:vertAlign w:val="baseline"/>
                <w:lang w:eastAsia="zh-CN"/>
              </w:rPr>
            </w:pPr>
            <w:r>
              <w:rPr>
                <w:rFonts w:hint="eastAsia" w:ascii="仿宋" w:hAnsi="仿宋" w:eastAsia="仿宋" w:cs="仿宋"/>
                <w:b/>
                <w:bCs w:val="0"/>
                <w:sz w:val="32"/>
                <w:szCs w:val="32"/>
                <w:lang w:val="en-US" w:eastAsia="zh-CN"/>
              </w:rPr>
              <w:t>分层指标</w:t>
            </w:r>
          </w:p>
        </w:tc>
        <w:tc>
          <w:tcPr>
            <w:tcW w:w="1341" w:type="dxa"/>
            <w:noWrap w:val="0"/>
            <w:vAlign w:val="top"/>
          </w:tcPr>
          <w:p w14:paraId="088F4AC0">
            <w:pPr>
              <w:snapToGrid w:val="0"/>
              <w:spacing w:line="240" w:lineRule="auto"/>
              <w:jc w:val="center"/>
              <w:rPr>
                <w:rFonts w:hint="eastAsia" w:ascii="仿宋" w:hAnsi="仿宋" w:eastAsia="仿宋" w:cs="仿宋"/>
                <w:b/>
                <w:bCs w:val="0"/>
                <w:sz w:val="32"/>
                <w:szCs w:val="32"/>
                <w:lang w:val="en-US" w:eastAsia="zh-CN"/>
              </w:rPr>
            </w:pPr>
          </w:p>
          <w:p w14:paraId="497278A4">
            <w:pPr>
              <w:snapToGrid w:val="0"/>
              <w:spacing w:line="240" w:lineRule="auto"/>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一级指标</w:t>
            </w:r>
          </w:p>
        </w:tc>
        <w:tc>
          <w:tcPr>
            <w:tcW w:w="1416" w:type="dxa"/>
            <w:noWrap w:val="0"/>
            <w:vAlign w:val="top"/>
          </w:tcPr>
          <w:p w14:paraId="780C4369">
            <w:pPr>
              <w:snapToGrid w:val="0"/>
              <w:spacing w:line="240" w:lineRule="auto"/>
              <w:jc w:val="center"/>
              <w:rPr>
                <w:rFonts w:hint="eastAsia" w:ascii="仿宋" w:hAnsi="仿宋" w:eastAsia="仿宋" w:cs="仿宋"/>
                <w:b/>
                <w:bCs w:val="0"/>
                <w:sz w:val="32"/>
                <w:szCs w:val="32"/>
                <w:lang w:val="en-US" w:eastAsia="zh-CN"/>
              </w:rPr>
            </w:pPr>
          </w:p>
          <w:p w14:paraId="7BF3D164">
            <w:pPr>
              <w:snapToGrid w:val="0"/>
              <w:spacing w:line="240" w:lineRule="auto"/>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二级指标</w:t>
            </w:r>
          </w:p>
        </w:tc>
        <w:tc>
          <w:tcPr>
            <w:tcW w:w="1065" w:type="dxa"/>
            <w:vMerge w:val="continue"/>
            <w:noWrap w:val="0"/>
            <w:vAlign w:val="top"/>
          </w:tcPr>
          <w:p w14:paraId="7BF70837">
            <w:pPr>
              <w:snapToGrid w:val="0"/>
              <w:spacing w:line="600" w:lineRule="exact"/>
              <w:rPr>
                <w:rFonts w:hint="eastAsia" w:ascii="仿宋" w:hAnsi="仿宋" w:eastAsia="仿宋" w:cs="仿宋"/>
                <w:bCs/>
                <w:sz w:val="32"/>
                <w:szCs w:val="32"/>
                <w:vertAlign w:val="baseline"/>
              </w:rPr>
            </w:pPr>
          </w:p>
        </w:tc>
        <w:tc>
          <w:tcPr>
            <w:tcW w:w="1022" w:type="dxa"/>
            <w:vMerge w:val="continue"/>
            <w:noWrap w:val="0"/>
            <w:vAlign w:val="top"/>
          </w:tcPr>
          <w:p w14:paraId="1D4B4FB5">
            <w:pPr>
              <w:snapToGrid w:val="0"/>
              <w:spacing w:line="600" w:lineRule="exact"/>
              <w:rPr>
                <w:rFonts w:hint="eastAsia" w:ascii="仿宋" w:hAnsi="仿宋" w:eastAsia="仿宋" w:cs="仿宋"/>
                <w:bCs/>
                <w:sz w:val="32"/>
                <w:szCs w:val="32"/>
                <w:vertAlign w:val="baseline"/>
              </w:rPr>
            </w:pPr>
          </w:p>
        </w:tc>
        <w:tc>
          <w:tcPr>
            <w:tcW w:w="1323" w:type="dxa"/>
            <w:vMerge w:val="continue"/>
            <w:noWrap w:val="0"/>
            <w:vAlign w:val="top"/>
          </w:tcPr>
          <w:p w14:paraId="6F52E2AE">
            <w:pPr>
              <w:snapToGrid w:val="0"/>
              <w:spacing w:line="600" w:lineRule="exact"/>
              <w:rPr>
                <w:rFonts w:hint="eastAsia" w:ascii="仿宋" w:hAnsi="仿宋" w:eastAsia="仿宋" w:cs="仿宋"/>
                <w:bCs/>
                <w:sz w:val="32"/>
                <w:szCs w:val="32"/>
                <w:vertAlign w:val="baseline"/>
              </w:rPr>
            </w:pPr>
          </w:p>
        </w:tc>
      </w:tr>
      <w:tr w14:paraId="156F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55" w:type="dxa"/>
            <w:vMerge w:val="restart"/>
            <w:noWrap w:val="0"/>
            <w:vAlign w:val="top"/>
          </w:tcPr>
          <w:p w14:paraId="0EC7C476">
            <w:pPr>
              <w:snapToGrid w:val="0"/>
              <w:spacing w:line="600" w:lineRule="exact"/>
              <w:rPr>
                <w:rFonts w:hint="eastAsia" w:ascii="仿宋" w:hAnsi="仿宋" w:eastAsia="仿宋" w:cs="仿宋"/>
                <w:bCs/>
                <w:sz w:val="32"/>
                <w:szCs w:val="32"/>
                <w:lang w:val="en-US" w:eastAsia="zh-CN"/>
              </w:rPr>
            </w:pPr>
          </w:p>
          <w:p w14:paraId="3C0A4063">
            <w:pPr>
              <w:snapToGrid w:val="0"/>
              <w:spacing w:line="600" w:lineRule="exact"/>
              <w:rPr>
                <w:rFonts w:hint="eastAsia" w:ascii="仿宋" w:hAnsi="仿宋" w:eastAsia="仿宋" w:cs="仿宋"/>
                <w:bCs/>
                <w:sz w:val="32"/>
                <w:szCs w:val="32"/>
                <w:lang w:val="en-US" w:eastAsia="zh-CN"/>
              </w:rPr>
            </w:pPr>
          </w:p>
          <w:p w14:paraId="0E6F9C29">
            <w:pPr>
              <w:snapToGrid w:val="0"/>
              <w:spacing w:line="600" w:lineRule="exact"/>
              <w:rPr>
                <w:rFonts w:hint="eastAsia" w:ascii="仿宋" w:hAnsi="仿宋" w:eastAsia="仿宋" w:cs="仿宋"/>
                <w:bCs/>
                <w:sz w:val="32"/>
                <w:szCs w:val="32"/>
                <w:lang w:val="en-US" w:eastAsia="zh-CN"/>
              </w:rPr>
            </w:pPr>
          </w:p>
          <w:p w14:paraId="2C19F178">
            <w:pPr>
              <w:snapToGrid w:val="0"/>
              <w:spacing w:line="600" w:lineRule="exact"/>
              <w:rPr>
                <w:rFonts w:hint="eastAsia" w:ascii="仿宋" w:hAnsi="仿宋" w:eastAsia="仿宋" w:cs="仿宋"/>
                <w:bCs/>
                <w:sz w:val="32"/>
                <w:szCs w:val="32"/>
                <w:vertAlign w:val="baseline"/>
                <w:lang w:val="en-US" w:eastAsia="zh-CN"/>
              </w:rPr>
            </w:pPr>
            <w:r>
              <w:rPr>
                <w:rFonts w:hint="eastAsia" w:ascii="仿宋" w:hAnsi="仿宋" w:eastAsia="仿宋" w:cs="仿宋"/>
                <w:b/>
                <w:bCs w:val="0"/>
                <w:sz w:val="32"/>
                <w:szCs w:val="32"/>
                <w:lang w:val="en-US" w:eastAsia="zh-CN"/>
              </w:rPr>
              <w:t>通用指标（20分）</w:t>
            </w:r>
          </w:p>
        </w:tc>
        <w:tc>
          <w:tcPr>
            <w:tcW w:w="1341" w:type="dxa"/>
            <w:vMerge w:val="restart"/>
            <w:noWrap w:val="0"/>
            <w:vAlign w:val="top"/>
          </w:tcPr>
          <w:p w14:paraId="3EF5507A">
            <w:pPr>
              <w:snapToGrid w:val="0"/>
              <w:spacing w:line="600" w:lineRule="exact"/>
              <w:rPr>
                <w:rFonts w:hint="eastAsia" w:ascii="仿宋" w:hAnsi="仿宋" w:eastAsia="仿宋" w:cs="仿宋"/>
                <w:b/>
                <w:bCs w:val="0"/>
                <w:sz w:val="32"/>
                <w:szCs w:val="32"/>
                <w:lang w:val="en-US" w:eastAsia="zh-CN"/>
              </w:rPr>
            </w:pPr>
          </w:p>
          <w:p w14:paraId="5A223DF1">
            <w:pPr>
              <w:snapToGrid w:val="0"/>
              <w:spacing w:line="600" w:lineRule="exact"/>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项目决策</w:t>
            </w:r>
          </w:p>
        </w:tc>
        <w:tc>
          <w:tcPr>
            <w:tcW w:w="1416" w:type="dxa"/>
            <w:noWrap w:val="0"/>
            <w:vAlign w:val="top"/>
          </w:tcPr>
          <w:p w14:paraId="531EA37D">
            <w:pPr>
              <w:snapToGrid w:val="0"/>
              <w:spacing w:line="600" w:lineRule="exact"/>
              <w:jc w:val="center"/>
              <w:rPr>
                <w:rFonts w:hint="eastAsia" w:ascii="仿宋" w:hAnsi="仿宋" w:eastAsia="仿宋" w:cs="仿宋"/>
                <w:bCs/>
                <w:sz w:val="32"/>
                <w:szCs w:val="32"/>
                <w:vertAlign w:val="baseline"/>
                <w:lang w:eastAsia="zh-CN"/>
              </w:rPr>
            </w:pPr>
            <w:r>
              <w:rPr>
                <w:rFonts w:hint="eastAsia" w:ascii="仿宋" w:hAnsi="仿宋" w:eastAsia="仿宋" w:cs="仿宋"/>
                <w:bCs/>
                <w:sz w:val="32"/>
                <w:szCs w:val="32"/>
                <w:lang w:val="en-US" w:eastAsia="zh-CN"/>
              </w:rPr>
              <w:t>程序严密</w:t>
            </w:r>
          </w:p>
        </w:tc>
        <w:tc>
          <w:tcPr>
            <w:tcW w:w="1065" w:type="dxa"/>
            <w:noWrap w:val="0"/>
            <w:vAlign w:val="top"/>
          </w:tcPr>
          <w:p w14:paraId="725C7E79">
            <w:pPr>
              <w:snapToGrid w:val="0"/>
              <w:spacing w:line="600" w:lineRule="exact"/>
              <w:jc w:val="center"/>
              <w:rPr>
                <w:rFonts w:hint="eastAsia" w:ascii="仿宋" w:hAnsi="仿宋" w:eastAsia="仿宋" w:cs="仿宋"/>
                <w:bCs/>
                <w:sz w:val="32"/>
                <w:szCs w:val="32"/>
                <w:vertAlign w:val="baseline"/>
                <w:lang w:eastAsia="zh-CN"/>
              </w:rPr>
            </w:pPr>
            <w:r>
              <w:rPr>
                <w:rFonts w:hint="eastAsia" w:ascii="仿宋" w:hAnsi="仿宋" w:eastAsia="仿宋" w:cs="仿宋"/>
                <w:bCs/>
                <w:sz w:val="32"/>
                <w:szCs w:val="32"/>
                <w:lang w:val="en-US" w:eastAsia="zh-CN"/>
              </w:rPr>
              <w:t>严密</w:t>
            </w:r>
          </w:p>
        </w:tc>
        <w:tc>
          <w:tcPr>
            <w:tcW w:w="1022" w:type="dxa"/>
            <w:noWrap w:val="0"/>
            <w:vAlign w:val="top"/>
          </w:tcPr>
          <w:p w14:paraId="531B168E">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w:t>
            </w:r>
          </w:p>
        </w:tc>
        <w:tc>
          <w:tcPr>
            <w:tcW w:w="1323" w:type="dxa"/>
            <w:noWrap w:val="0"/>
            <w:vAlign w:val="top"/>
          </w:tcPr>
          <w:p w14:paraId="056F2C5D">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w:t>
            </w:r>
          </w:p>
        </w:tc>
      </w:tr>
      <w:tr w14:paraId="65FF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55" w:type="dxa"/>
            <w:vMerge w:val="continue"/>
            <w:noWrap w:val="0"/>
            <w:vAlign w:val="top"/>
          </w:tcPr>
          <w:p w14:paraId="0812B693">
            <w:pPr>
              <w:snapToGrid w:val="0"/>
              <w:spacing w:line="600" w:lineRule="exact"/>
              <w:rPr>
                <w:rFonts w:hint="eastAsia" w:ascii="仿宋" w:hAnsi="仿宋" w:eastAsia="仿宋" w:cs="仿宋"/>
                <w:sz w:val="32"/>
                <w:szCs w:val="32"/>
              </w:rPr>
            </w:pPr>
          </w:p>
        </w:tc>
        <w:tc>
          <w:tcPr>
            <w:tcW w:w="1341" w:type="dxa"/>
            <w:vMerge w:val="continue"/>
            <w:noWrap w:val="0"/>
            <w:vAlign w:val="top"/>
          </w:tcPr>
          <w:p w14:paraId="1E2E26DE">
            <w:pPr>
              <w:snapToGrid w:val="0"/>
              <w:spacing w:line="600" w:lineRule="exact"/>
              <w:rPr>
                <w:rFonts w:hint="eastAsia" w:ascii="仿宋" w:hAnsi="仿宋" w:eastAsia="仿宋" w:cs="仿宋"/>
                <w:b/>
                <w:bCs w:val="0"/>
                <w:sz w:val="32"/>
                <w:szCs w:val="32"/>
              </w:rPr>
            </w:pPr>
          </w:p>
        </w:tc>
        <w:tc>
          <w:tcPr>
            <w:tcW w:w="1416" w:type="dxa"/>
            <w:noWrap w:val="0"/>
            <w:vAlign w:val="top"/>
          </w:tcPr>
          <w:p w14:paraId="08E840C8">
            <w:pPr>
              <w:snapToGrid w:val="0"/>
              <w:spacing w:line="600" w:lineRule="exact"/>
              <w:jc w:val="center"/>
              <w:rPr>
                <w:rFonts w:hint="eastAsia" w:ascii="仿宋" w:hAnsi="仿宋" w:eastAsia="仿宋" w:cs="仿宋"/>
                <w:bCs/>
                <w:sz w:val="32"/>
                <w:szCs w:val="32"/>
                <w:vertAlign w:val="baseline"/>
                <w:lang w:eastAsia="zh-CN"/>
              </w:rPr>
            </w:pPr>
            <w:r>
              <w:rPr>
                <w:rFonts w:hint="eastAsia" w:ascii="仿宋" w:hAnsi="仿宋" w:eastAsia="仿宋" w:cs="仿宋"/>
                <w:bCs/>
                <w:sz w:val="32"/>
                <w:szCs w:val="32"/>
                <w:lang w:val="en-US" w:eastAsia="zh-CN"/>
              </w:rPr>
              <w:t>规划合理</w:t>
            </w:r>
          </w:p>
        </w:tc>
        <w:tc>
          <w:tcPr>
            <w:tcW w:w="1065" w:type="dxa"/>
            <w:noWrap w:val="0"/>
            <w:vAlign w:val="top"/>
          </w:tcPr>
          <w:p w14:paraId="725BA481">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合理</w:t>
            </w:r>
          </w:p>
        </w:tc>
        <w:tc>
          <w:tcPr>
            <w:tcW w:w="1022" w:type="dxa"/>
            <w:noWrap w:val="0"/>
            <w:vAlign w:val="top"/>
          </w:tcPr>
          <w:p w14:paraId="3484B446">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w:t>
            </w:r>
          </w:p>
        </w:tc>
        <w:tc>
          <w:tcPr>
            <w:tcW w:w="1323" w:type="dxa"/>
            <w:noWrap w:val="0"/>
            <w:vAlign w:val="top"/>
          </w:tcPr>
          <w:p w14:paraId="71FF98BE">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w:t>
            </w:r>
          </w:p>
        </w:tc>
      </w:tr>
      <w:tr w14:paraId="756F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55" w:type="dxa"/>
            <w:vMerge w:val="continue"/>
            <w:noWrap w:val="0"/>
            <w:vAlign w:val="top"/>
          </w:tcPr>
          <w:p w14:paraId="7FFC2E42">
            <w:pPr>
              <w:snapToGrid w:val="0"/>
              <w:spacing w:line="600" w:lineRule="exact"/>
              <w:rPr>
                <w:rFonts w:hint="eastAsia" w:ascii="仿宋" w:hAnsi="仿宋" w:eastAsia="仿宋" w:cs="仿宋"/>
                <w:bCs/>
                <w:sz w:val="32"/>
                <w:szCs w:val="32"/>
                <w:vertAlign w:val="baseline"/>
              </w:rPr>
            </w:pPr>
          </w:p>
        </w:tc>
        <w:tc>
          <w:tcPr>
            <w:tcW w:w="1341" w:type="dxa"/>
            <w:vMerge w:val="continue"/>
            <w:noWrap w:val="0"/>
            <w:vAlign w:val="top"/>
          </w:tcPr>
          <w:p w14:paraId="5BEB2508">
            <w:pPr>
              <w:snapToGrid w:val="0"/>
              <w:spacing w:line="600" w:lineRule="exact"/>
              <w:rPr>
                <w:rFonts w:hint="eastAsia" w:ascii="仿宋" w:hAnsi="仿宋" w:eastAsia="仿宋" w:cs="仿宋"/>
                <w:b/>
                <w:bCs w:val="0"/>
                <w:sz w:val="32"/>
                <w:szCs w:val="32"/>
                <w:vertAlign w:val="baseline"/>
              </w:rPr>
            </w:pPr>
          </w:p>
        </w:tc>
        <w:tc>
          <w:tcPr>
            <w:tcW w:w="1416" w:type="dxa"/>
            <w:noWrap w:val="0"/>
            <w:vAlign w:val="top"/>
          </w:tcPr>
          <w:p w14:paraId="1CEB422D">
            <w:pPr>
              <w:snapToGrid w:val="0"/>
              <w:spacing w:line="600" w:lineRule="exact"/>
              <w:jc w:val="center"/>
              <w:rPr>
                <w:rFonts w:hint="eastAsia" w:ascii="仿宋" w:hAnsi="仿宋" w:eastAsia="仿宋" w:cs="仿宋"/>
                <w:bCs/>
                <w:sz w:val="32"/>
                <w:szCs w:val="32"/>
                <w:vertAlign w:val="baseline"/>
                <w:lang w:eastAsia="zh-CN"/>
              </w:rPr>
            </w:pPr>
            <w:r>
              <w:rPr>
                <w:rFonts w:hint="eastAsia" w:ascii="仿宋" w:hAnsi="仿宋" w:eastAsia="仿宋" w:cs="仿宋"/>
                <w:bCs/>
                <w:sz w:val="32"/>
                <w:szCs w:val="32"/>
                <w:lang w:val="en-US" w:eastAsia="zh-CN"/>
              </w:rPr>
              <w:t>结果符合</w:t>
            </w:r>
          </w:p>
        </w:tc>
        <w:tc>
          <w:tcPr>
            <w:tcW w:w="1065" w:type="dxa"/>
            <w:noWrap w:val="0"/>
            <w:vAlign w:val="top"/>
          </w:tcPr>
          <w:p w14:paraId="0D8B2206">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符合</w:t>
            </w:r>
          </w:p>
        </w:tc>
        <w:tc>
          <w:tcPr>
            <w:tcW w:w="1022" w:type="dxa"/>
            <w:noWrap w:val="0"/>
            <w:vAlign w:val="top"/>
          </w:tcPr>
          <w:p w14:paraId="28A019AC">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w:t>
            </w:r>
          </w:p>
        </w:tc>
        <w:tc>
          <w:tcPr>
            <w:tcW w:w="1323" w:type="dxa"/>
            <w:noWrap w:val="0"/>
            <w:vAlign w:val="top"/>
          </w:tcPr>
          <w:p w14:paraId="47A6F970">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w:t>
            </w:r>
          </w:p>
        </w:tc>
      </w:tr>
      <w:tr w14:paraId="64C0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355" w:type="dxa"/>
            <w:vMerge w:val="continue"/>
            <w:noWrap w:val="0"/>
            <w:vAlign w:val="top"/>
          </w:tcPr>
          <w:p w14:paraId="30B7E63E">
            <w:pPr>
              <w:snapToGrid w:val="0"/>
              <w:spacing w:line="600" w:lineRule="exact"/>
              <w:rPr>
                <w:rFonts w:hint="eastAsia" w:ascii="仿宋" w:hAnsi="仿宋" w:eastAsia="仿宋" w:cs="仿宋"/>
                <w:bCs/>
                <w:sz w:val="32"/>
                <w:szCs w:val="32"/>
                <w:vertAlign w:val="baseline"/>
              </w:rPr>
            </w:pPr>
          </w:p>
        </w:tc>
        <w:tc>
          <w:tcPr>
            <w:tcW w:w="1341" w:type="dxa"/>
            <w:vMerge w:val="restart"/>
            <w:noWrap w:val="0"/>
            <w:vAlign w:val="top"/>
          </w:tcPr>
          <w:p w14:paraId="149926E0">
            <w:pPr>
              <w:snapToGrid w:val="0"/>
              <w:spacing w:line="240" w:lineRule="auto"/>
              <w:rPr>
                <w:rFonts w:hint="eastAsia" w:ascii="仿宋" w:hAnsi="仿宋" w:eastAsia="仿宋" w:cs="仿宋"/>
                <w:b/>
                <w:bCs w:val="0"/>
                <w:sz w:val="32"/>
                <w:szCs w:val="32"/>
                <w:lang w:val="en-US" w:eastAsia="zh-CN"/>
              </w:rPr>
            </w:pPr>
          </w:p>
          <w:p w14:paraId="3B68A7DB">
            <w:pPr>
              <w:snapToGrid w:val="0"/>
              <w:spacing w:line="240" w:lineRule="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项目实施</w:t>
            </w:r>
          </w:p>
        </w:tc>
        <w:tc>
          <w:tcPr>
            <w:tcW w:w="1416" w:type="dxa"/>
            <w:noWrap w:val="0"/>
            <w:vAlign w:val="top"/>
          </w:tcPr>
          <w:p w14:paraId="4E9539F9">
            <w:pPr>
              <w:snapToGrid w:val="0"/>
              <w:spacing w:line="600" w:lineRule="exact"/>
              <w:jc w:val="center"/>
              <w:rPr>
                <w:rFonts w:hint="eastAsia" w:ascii="仿宋" w:hAnsi="仿宋" w:eastAsia="仿宋" w:cs="仿宋"/>
                <w:bCs/>
                <w:sz w:val="32"/>
                <w:szCs w:val="32"/>
                <w:vertAlign w:val="baseline"/>
                <w:lang w:eastAsia="zh-CN"/>
              </w:rPr>
            </w:pPr>
            <w:r>
              <w:rPr>
                <w:rFonts w:hint="eastAsia" w:ascii="仿宋" w:hAnsi="仿宋" w:eastAsia="仿宋" w:cs="仿宋"/>
                <w:bCs/>
                <w:sz w:val="32"/>
                <w:szCs w:val="32"/>
                <w:lang w:val="en-US" w:eastAsia="zh-CN"/>
              </w:rPr>
              <w:t>执行有效</w:t>
            </w:r>
          </w:p>
        </w:tc>
        <w:tc>
          <w:tcPr>
            <w:tcW w:w="1065" w:type="dxa"/>
            <w:noWrap w:val="0"/>
            <w:vAlign w:val="top"/>
          </w:tcPr>
          <w:p w14:paraId="45880CF1">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有效</w:t>
            </w:r>
          </w:p>
        </w:tc>
        <w:tc>
          <w:tcPr>
            <w:tcW w:w="1022" w:type="dxa"/>
            <w:noWrap w:val="0"/>
            <w:vAlign w:val="top"/>
          </w:tcPr>
          <w:p w14:paraId="4BAB8B52">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w:t>
            </w:r>
          </w:p>
        </w:tc>
        <w:tc>
          <w:tcPr>
            <w:tcW w:w="1323" w:type="dxa"/>
            <w:noWrap w:val="0"/>
            <w:vAlign w:val="top"/>
          </w:tcPr>
          <w:p w14:paraId="6F3D586C">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w:t>
            </w:r>
          </w:p>
        </w:tc>
      </w:tr>
      <w:tr w14:paraId="7AF5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355" w:type="dxa"/>
            <w:vMerge w:val="continue"/>
            <w:noWrap w:val="0"/>
            <w:vAlign w:val="top"/>
          </w:tcPr>
          <w:p w14:paraId="106E9E51">
            <w:pPr>
              <w:snapToGrid w:val="0"/>
              <w:spacing w:line="600" w:lineRule="exact"/>
              <w:rPr>
                <w:rFonts w:hint="eastAsia" w:ascii="仿宋" w:hAnsi="仿宋" w:eastAsia="仿宋" w:cs="仿宋"/>
                <w:sz w:val="32"/>
                <w:szCs w:val="32"/>
              </w:rPr>
            </w:pPr>
          </w:p>
        </w:tc>
        <w:tc>
          <w:tcPr>
            <w:tcW w:w="1341" w:type="dxa"/>
            <w:vMerge w:val="continue"/>
            <w:noWrap w:val="0"/>
            <w:vAlign w:val="top"/>
          </w:tcPr>
          <w:p w14:paraId="5F9C85D9">
            <w:pPr>
              <w:snapToGrid w:val="0"/>
              <w:spacing w:line="600" w:lineRule="exact"/>
              <w:rPr>
                <w:rFonts w:hint="eastAsia" w:ascii="仿宋" w:hAnsi="仿宋" w:eastAsia="仿宋" w:cs="仿宋"/>
                <w:b/>
                <w:bCs w:val="0"/>
                <w:sz w:val="32"/>
                <w:szCs w:val="32"/>
              </w:rPr>
            </w:pPr>
          </w:p>
        </w:tc>
        <w:tc>
          <w:tcPr>
            <w:tcW w:w="1416" w:type="dxa"/>
            <w:noWrap w:val="0"/>
            <w:vAlign w:val="top"/>
          </w:tcPr>
          <w:p w14:paraId="7B6777C9">
            <w:pPr>
              <w:snapToGrid w:val="0"/>
              <w:spacing w:line="600" w:lineRule="exact"/>
              <w:jc w:val="center"/>
              <w:rPr>
                <w:rFonts w:hint="eastAsia" w:ascii="仿宋" w:hAnsi="仿宋" w:eastAsia="仿宋" w:cs="仿宋"/>
                <w:bCs/>
                <w:sz w:val="32"/>
                <w:szCs w:val="32"/>
                <w:vertAlign w:val="baseline"/>
                <w:lang w:eastAsia="zh-CN"/>
              </w:rPr>
            </w:pPr>
            <w:r>
              <w:rPr>
                <w:rFonts w:hint="eastAsia" w:ascii="仿宋" w:hAnsi="仿宋" w:eastAsia="仿宋" w:cs="仿宋"/>
                <w:bCs/>
                <w:sz w:val="32"/>
                <w:szCs w:val="32"/>
                <w:lang w:val="en-US" w:eastAsia="zh-CN"/>
              </w:rPr>
              <w:t>使用合规</w:t>
            </w:r>
          </w:p>
        </w:tc>
        <w:tc>
          <w:tcPr>
            <w:tcW w:w="1065" w:type="dxa"/>
            <w:noWrap w:val="0"/>
            <w:vAlign w:val="top"/>
          </w:tcPr>
          <w:p w14:paraId="5BBFA3FA">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合规</w:t>
            </w:r>
          </w:p>
        </w:tc>
        <w:tc>
          <w:tcPr>
            <w:tcW w:w="1022" w:type="dxa"/>
            <w:noWrap w:val="0"/>
            <w:vAlign w:val="top"/>
          </w:tcPr>
          <w:p w14:paraId="71DB97CD">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w:t>
            </w:r>
          </w:p>
        </w:tc>
        <w:tc>
          <w:tcPr>
            <w:tcW w:w="1323" w:type="dxa"/>
            <w:noWrap w:val="0"/>
            <w:vAlign w:val="top"/>
          </w:tcPr>
          <w:p w14:paraId="39C76D86">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w:t>
            </w:r>
          </w:p>
        </w:tc>
      </w:tr>
      <w:tr w14:paraId="5429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355" w:type="dxa"/>
            <w:vMerge w:val="continue"/>
            <w:noWrap w:val="0"/>
            <w:vAlign w:val="top"/>
          </w:tcPr>
          <w:p w14:paraId="45E716B3">
            <w:pPr>
              <w:snapToGrid w:val="0"/>
              <w:spacing w:line="600" w:lineRule="exact"/>
              <w:rPr>
                <w:rFonts w:hint="eastAsia" w:ascii="仿宋" w:hAnsi="仿宋" w:eastAsia="仿宋" w:cs="仿宋"/>
                <w:bCs/>
                <w:sz w:val="32"/>
                <w:szCs w:val="32"/>
                <w:vertAlign w:val="baseline"/>
              </w:rPr>
            </w:pPr>
          </w:p>
        </w:tc>
        <w:tc>
          <w:tcPr>
            <w:tcW w:w="1341" w:type="dxa"/>
            <w:vMerge w:val="restart"/>
            <w:noWrap w:val="0"/>
            <w:vAlign w:val="top"/>
          </w:tcPr>
          <w:p w14:paraId="097B2147">
            <w:pPr>
              <w:snapToGrid w:val="0"/>
              <w:spacing w:line="240" w:lineRule="auto"/>
              <w:rPr>
                <w:rFonts w:hint="eastAsia" w:ascii="仿宋" w:hAnsi="仿宋" w:eastAsia="仿宋" w:cs="仿宋"/>
                <w:b/>
                <w:bCs w:val="0"/>
                <w:sz w:val="32"/>
                <w:szCs w:val="32"/>
                <w:lang w:val="en-US" w:eastAsia="zh-CN"/>
              </w:rPr>
            </w:pPr>
          </w:p>
          <w:p w14:paraId="0C7ACC96">
            <w:pPr>
              <w:snapToGrid w:val="0"/>
              <w:spacing w:line="240" w:lineRule="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预算执行</w:t>
            </w:r>
          </w:p>
        </w:tc>
        <w:tc>
          <w:tcPr>
            <w:tcW w:w="1416" w:type="dxa"/>
            <w:noWrap w:val="0"/>
            <w:vAlign w:val="top"/>
          </w:tcPr>
          <w:p w14:paraId="5A1AF9E5">
            <w:pPr>
              <w:snapToGrid w:val="0"/>
              <w:spacing w:line="600" w:lineRule="exact"/>
              <w:jc w:val="center"/>
              <w:rPr>
                <w:rFonts w:hint="eastAsia" w:ascii="仿宋" w:hAnsi="仿宋" w:eastAsia="仿宋" w:cs="仿宋"/>
                <w:bCs/>
                <w:sz w:val="32"/>
                <w:szCs w:val="32"/>
                <w:vertAlign w:val="baseline"/>
                <w:lang w:eastAsia="zh-CN"/>
              </w:rPr>
            </w:pPr>
            <w:r>
              <w:rPr>
                <w:rFonts w:hint="eastAsia" w:ascii="仿宋" w:hAnsi="仿宋" w:eastAsia="仿宋" w:cs="仿宋"/>
                <w:bCs/>
                <w:sz w:val="32"/>
                <w:szCs w:val="32"/>
                <w:lang w:val="en-US" w:eastAsia="zh-CN"/>
              </w:rPr>
              <w:t>预算执行率</w:t>
            </w:r>
          </w:p>
        </w:tc>
        <w:tc>
          <w:tcPr>
            <w:tcW w:w="1065" w:type="dxa"/>
            <w:noWrap w:val="0"/>
            <w:vAlign w:val="top"/>
          </w:tcPr>
          <w:p w14:paraId="5B44BF62">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100%</w:t>
            </w:r>
          </w:p>
        </w:tc>
        <w:tc>
          <w:tcPr>
            <w:tcW w:w="1022" w:type="dxa"/>
            <w:noWrap w:val="0"/>
            <w:vAlign w:val="top"/>
          </w:tcPr>
          <w:p w14:paraId="3FC1786D">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w:t>
            </w:r>
          </w:p>
        </w:tc>
        <w:tc>
          <w:tcPr>
            <w:tcW w:w="1323" w:type="dxa"/>
            <w:noWrap w:val="0"/>
            <w:vAlign w:val="top"/>
          </w:tcPr>
          <w:p w14:paraId="76EA60F2">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w:t>
            </w:r>
          </w:p>
        </w:tc>
      </w:tr>
      <w:tr w14:paraId="1E1E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355" w:type="dxa"/>
            <w:vMerge w:val="continue"/>
            <w:noWrap w:val="0"/>
            <w:vAlign w:val="top"/>
          </w:tcPr>
          <w:p w14:paraId="1034A372">
            <w:pPr>
              <w:snapToGrid w:val="0"/>
              <w:spacing w:line="600" w:lineRule="exact"/>
              <w:rPr>
                <w:rFonts w:hint="eastAsia" w:ascii="仿宋" w:hAnsi="仿宋" w:eastAsia="仿宋" w:cs="仿宋"/>
                <w:sz w:val="32"/>
                <w:szCs w:val="32"/>
              </w:rPr>
            </w:pPr>
          </w:p>
        </w:tc>
        <w:tc>
          <w:tcPr>
            <w:tcW w:w="1341" w:type="dxa"/>
            <w:vMerge w:val="continue"/>
            <w:noWrap w:val="0"/>
            <w:vAlign w:val="top"/>
          </w:tcPr>
          <w:p w14:paraId="2ED363ED">
            <w:pPr>
              <w:snapToGrid w:val="0"/>
              <w:spacing w:line="600" w:lineRule="exact"/>
              <w:rPr>
                <w:rFonts w:hint="eastAsia" w:ascii="仿宋" w:hAnsi="仿宋" w:eastAsia="仿宋" w:cs="仿宋"/>
                <w:b/>
                <w:bCs w:val="0"/>
                <w:sz w:val="32"/>
                <w:szCs w:val="32"/>
              </w:rPr>
            </w:pPr>
          </w:p>
        </w:tc>
        <w:tc>
          <w:tcPr>
            <w:tcW w:w="1416" w:type="dxa"/>
            <w:noWrap w:val="0"/>
            <w:vAlign w:val="top"/>
          </w:tcPr>
          <w:p w14:paraId="433C0758">
            <w:pPr>
              <w:snapToGrid w:val="0"/>
              <w:spacing w:line="600" w:lineRule="exact"/>
              <w:jc w:val="center"/>
              <w:rPr>
                <w:rFonts w:hint="eastAsia" w:ascii="仿宋" w:hAnsi="仿宋" w:eastAsia="仿宋" w:cs="仿宋"/>
                <w:bCs/>
                <w:sz w:val="32"/>
                <w:szCs w:val="32"/>
                <w:vertAlign w:val="baseline"/>
                <w:lang w:eastAsia="zh-CN"/>
              </w:rPr>
            </w:pPr>
            <w:r>
              <w:rPr>
                <w:rFonts w:hint="eastAsia" w:ascii="仿宋" w:hAnsi="仿宋" w:eastAsia="仿宋" w:cs="仿宋"/>
                <w:bCs/>
                <w:sz w:val="32"/>
                <w:szCs w:val="32"/>
                <w:lang w:val="en-US" w:eastAsia="zh-CN"/>
              </w:rPr>
              <w:t>资金使用率</w:t>
            </w:r>
          </w:p>
        </w:tc>
        <w:tc>
          <w:tcPr>
            <w:tcW w:w="1065" w:type="dxa"/>
            <w:noWrap w:val="0"/>
            <w:vAlign w:val="top"/>
          </w:tcPr>
          <w:p w14:paraId="1393AFA4">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100%</w:t>
            </w:r>
          </w:p>
        </w:tc>
        <w:tc>
          <w:tcPr>
            <w:tcW w:w="1022" w:type="dxa"/>
            <w:noWrap w:val="0"/>
            <w:vAlign w:val="top"/>
          </w:tcPr>
          <w:p w14:paraId="1C5E2077">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w:t>
            </w:r>
          </w:p>
        </w:tc>
        <w:tc>
          <w:tcPr>
            <w:tcW w:w="1323" w:type="dxa"/>
            <w:noWrap w:val="0"/>
            <w:vAlign w:val="top"/>
          </w:tcPr>
          <w:p w14:paraId="7B903CCB">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w:t>
            </w:r>
          </w:p>
        </w:tc>
      </w:tr>
      <w:tr w14:paraId="18AD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vMerge w:val="restart"/>
            <w:noWrap w:val="0"/>
            <w:vAlign w:val="top"/>
          </w:tcPr>
          <w:p w14:paraId="3F7283B5">
            <w:pPr>
              <w:snapToGrid w:val="0"/>
              <w:spacing w:line="600" w:lineRule="exact"/>
              <w:rPr>
                <w:rFonts w:hint="eastAsia" w:ascii="仿宋" w:hAnsi="仿宋" w:eastAsia="仿宋" w:cs="仿宋"/>
                <w:bCs/>
                <w:sz w:val="32"/>
                <w:szCs w:val="32"/>
                <w:lang w:val="en-US" w:eastAsia="zh-CN"/>
              </w:rPr>
            </w:pPr>
          </w:p>
          <w:p w14:paraId="67FD31C6">
            <w:pPr>
              <w:snapToGrid w:val="0"/>
              <w:spacing w:line="240" w:lineRule="auto"/>
              <w:rPr>
                <w:rFonts w:hint="eastAsia" w:ascii="仿宋" w:hAnsi="仿宋" w:eastAsia="仿宋" w:cs="仿宋"/>
                <w:bCs/>
                <w:sz w:val="32"/>
                <w:szCs w:val="32"/>
                <w:lang w:val="en-US" w:eastAsia="zh-CN"/>
              </w:rPr>
            </w:pPr>
          </w:p>
          <w:p w14:paraId="74EFC9B0">
            <w:pPr>
              <w:snapToGrid w:val="0"/>
              <w:spacing w:line="240" w:lineRule="auto"/>
              <w:rPr>
                <w:rFonts w:hint="eastAsia" w:ascii="仿宋" w:hAnsi="仿宋" w:eastAsia="仿宋" w:cs="仿宋"/>
                <w:bCs/>
                <w:sz w:val="32"/>
                <w:szCs w:val="32"/>
                <w:vertAlign w:val="baseline"/>
                <w:lang w:val="en-US" w:eastAsia="zh-CN"/>
              </w:rPr>
            </w:pPr>
            <w:r>
              <w:rPr>
                <w:rFonts w:hint="eastAsia" w:ascii="仿宋" w:hAnsi="仿宋" w:eastAsia="仿宋" w:cs="仿宋"/>
                <w:b/>
                <w:bCs w:val="0"/>
                <w:sz w:val="32"/>
                <w:szCs w:val="32"/>
                <w:lang w:val="en-US" w:eastAsia="zh-CN"/>
              </w:rPr>
              <w:t>产出指标（20分）</w:t>
            </w:r>
          </w:p>
        </w:tc>
        <w:tc>
          <w:tcPr>
            <w:tcW w:w="1341" w:type="dxa"/>
            <w:noWrap w:val="0"/>
            <w:vAlign w:val="top"/>
          </w:tcPr>
          <w:p w14:paraId="05D21189">
            <w:pPr>
              <w:snapToGrid w:val="0"/>
              <w:spacing w:line="600" w:lineRule="exact"/>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数量指标</w:t>
            </w:r>
          </w:p>
        </w:tc>
        <w:tc>
          <w:tcPr>
            <w:tcW w:w="1416" w:type="dxa"/>
            <w:noWrap w:val="0"/>
            <w:vAlign w:val="top"/>
          </w:tcPr>
          <w:p w14:paraId="7CC297EE">
            <w:pPr>
              <w:snapToGrid w:val="0"/>
              <w:spacing w:line="600" w:lineRule="exact"/>
              <w:jc w:val="center"/>
              <w:rPr>
                <w:rFonts w:hint="eastAsia" w:ascii="仿宋" w:hAnsi="仿宋" w:eastAsia="仿宋" w:cs="仿宋"/>
                <w:bCs/>
                <w:sz w:val="32"/>
                <w:szCs w:val="32"/>
                <w:vertAlign w:val="baseline"/>
                <w:lang w:eastAsia="zh-CN"/>
              </w:rPr>
            </w:pPr>
            <w:r>
              <w:rPr>
                <w:rFonts w:hint="eastAsia" w:ascii="仿宋" w:hAnsi="仿宋" w:eastAsia="仿宋" w:cs="仿宋"/>
                <w:bCs/>
                <w:sz w:val="32"/>
                <w:szCs w:val="32"/>
                <w:lang w:val="en-US" w:eastAsia="zh-CN"/>
              </w:rPr>
              <w:t>贴息户数</w:t>
            </w:r>
          </w:p>
        </w:tc>
        <w:tc>
          <w:tcPr>
            <w:tcW w:w="1065" w:type="dxa"/>
            <w:noWrap w:val="0"/>
            <w:vAlign w:val="top"/>
          </w:tcPr>
          <w:p w14:paraId="0F9641F8">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≥96户</w:t>
            </w:r>
          </w:p>
        </w:tc>
        <w:tc>
          <w:tcPr>
            <w:tcW w:w="1022" w:type="dxa"/>
            <w:noWrap w:val="0"/>
            <w:vAlign w:val="top"/>
          </w:tcPr>
          <w:p w14:paraId="26CFA6D1">
            <w:pPr>
              <w:snapToGrid w:val="0"/>
              <w:spacing w:line="600" w:lineRule="exact"/>
              <w:jc w:val="center"/>
              <w:rPr>
                <w:rFonts w:hint="eastAsia" w:ascii="仿宋" w:hAnsi="仿宋" w:eastAsia="仿宋" w:cs="仿宋"/>
                <w:bCs/>
                <w:sz w:val="32"/>
                <w:szCs w:val="32"/>
                <w:vertAlign w:val="baseline"/>
                <w:lang w:val="en-US"/>
              </w:rPr>
            </w:pPr>
            <w:r>
              <w:rPr>
                <w:rFonts w:hint="eastAsia" w:ascii="仿宋" w:hAnsi="仿宋" w:eastAsia="仿宋" w:cs="仿宋"/>
                <w:bCs/>
                <w:sz w:val="32"/>
                <w:szCs w:val="32"/>
                <w:lang w:val="en-US" w:eastAsia="zh-CN"/>
              </w:rPr>
              <w:t>5</w:t>
            </w:r>
          </w:p>
        </w:tc>
        <w:tc>
          <w:tcPr>
            <w:tcW w:w="1323" w:type="dxa"/>
            <w:noWrap w:val="0"/>
            <w:vAlign w:val="top"/>
          </w:tcPr>
          <w:p w14:paraId="66334F76">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5</w:t>
            </w:r>
          </w:p>
        </w:tc>
      </w:tr>
      <w:tr w14:paraId="4D3E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vMerge w:val="continue"/>
            <w:noWrap w:val="0"/>
            <w:vAlign w:val="top"/>
          </w:tcPr>
          <w:p w14:paraId="6B7C6134">
            <w:pPr>
              <w:snapToGrid w:val="0"/>
              <w:spacing w:line="600" w:lineRule="exact"/>
              <w:rPr>
                <w:rFonts w:hint="eastAsia" w:ascii="仿宋" w:hAnsi="仿宋" w:eastAsia="仿宋" w:cs="仿宋"/>
                <w:bCs/>
                <w:sz w:val="32"/>
                <w:szCs w:val="32"/>
                <w:vertAlign w:val="baseline"/>
              </w:rPr>
            </w:pPr>
          </w:p>
        </w:tc>
        <w:tc>
          <w:tcPr>
            <w:tcW w:w="1341" w:type="dxa"/>
            <w:noWrap w:val="0"/>
            <w:vAlign w:val="top"/>
          </w:tcPr>
          <w:p w14:paraId="4BC2ABBF">
            <w:pPr>
              <w:snapToGrid w:val="0"/>
              <w:spacing w:line="600" w:lineRule="exact"/>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质量指标</w:t>
            </w:r>
          </w:p>
        </w:tc>
        <w:tc>
          <w:tcPr>
            <w:tcW w:w="1416" w:type="dxa"/>
            <w:noWrap w:val="0"/>
            <w:vAlign w:val="top"/>
          </w:tcPr>
          <w:p w14:paraId="3F3887DA">
            <w:pPr>
              <w:snapToGrid w:val="0"/>
              <w:spacing w:line="600" w:lineRule="exact"/>
              <w:jc w:val="center"/>
              <w:rPr>
                <w:rFonts w:hint="eastAsia" w:ascii="仿宋" w:hAnsi="仿宋" w:eastAsia="仿宋" w:cs="仿宋"/>
                <w:bCs/>
                <w:sz w:val="32"/>
                <w:szCs w:val="32"/>
                <w:vertAlign w:val="baseline"/>
                <w:lang w:eastAsia="zh-CN"/>
              </w:rPr>
            </w:pPr>
            <w:r>
              <w:rPr>
                <w:rFonts w:hint="eastAsia" w:ascii="仿宋" w:hAnsi="仿宋" w:eastAsia="仿宋" w:cs="仿宋"/>
                <w:bCs/>
                <w:sz w:val="32"/>
                <w:szCs w:val="32"/>
                <w:lang w:val="en-US" w:eastAsia="zh-CN"/>
              </w:rPr>
              <w:t>准确率</w:t>
            </w:r>
          </w:p>
        </w:tc>
        <w:tc>
          <w:tcPr>
            <w:tcW w:w="1065" w:type="dxa"/>
            <w:noWrap w:val="0"/>
            <w:vAlign w:val="top"/>
          </w:tcPr>
          <w:p w14:paraId="0B672F01">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100%</w:t>
            </w:r>
          </w:p>
        </w:tc>
        <w:tc>
          <w:tcPr>
            <w:tcW w:w="1022" w:type="dxa"/>
            <w:noWrap w:val="0"/>
            <w:vAlign w:val="top"/>
          </w:tcPr>
          <w:p w14:paraId="138C0B68">
            <w:pPr>
              <w:snapToGrid w:val="0"/>
              <w:spacing w:line="600" w:lineRule="exact"/>
              <w:jc w:val="center"/>
              <w:rPr>
                <w:rFonts w:hint="eastAsia" w:ascii="仿宋" w:hAnsi="仿宋" w:eastAsia="仿宋" w:cs="仿宋"/>
                <w:bCs/>
                <w:sz w:val="32"/>
                <w:szCs w:val="32"/>
                <w:vertAlign w:val="baseline"/>
              </w:rPr>
            </w:pPr>
            <w:r>
              <w:rPr>
                <w:rFonts w:hint="eastAsia" w:ascii="仿宋" w:hAnsi="仿宋" w:eastAsia="仿宋" w:cs="仿宋"/>
                <w:bCs/>
                <w:sz w:val="32"/>
                <w:szCs w:val="32"/>
                <w:lang w:val="en-US" w:eastAsia="zh-CN"/>
              </w:rPr>
              <w:t>5</w:t>
            </w:r>
          </w:p>
        </w:tc>
        <w:tc>
          <w:tcPr>
            <w:tcW w:w="1323" w:type="dxa"/>
            <w:noWrap w:val="0"/>
            <w:vAlign w:val="top"/>
          </w:tcPr>
          <w:p w14:paraId="60968853">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5</w:t>
            </w:r>
          </w:p>
        </w:tc>
      </w:tr>
      <w:tr w14:paraId="758F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vMerge w:val="continue"/>
            <w:noWrap w:val="0"/>
            <w:vAlign w:val="top"/>
          </w:tcPr>
          <w:p w14:paraId="1B3FB77F">
            <w:pPr>
              <w:snapToGrid w:val="0"/>
              <w:spacing w:line="600" w:lineRule="exact"/>
              <w:rPr>
                <w:rFonts w:hint="eastAsia" w:ascii="仿宋" w:hAnsi="仿宋" w:eastAsia="仿宋" w:cs="仿宋"/>
                <w:bCs/>
                <w:sz w:val="32"/>
                <w:szCs w:val="32"/>
                <w:vertAlign w:val="baseline"/>
              </w:rPr>
            </w:pPr>
          </w:p>
        </w:tc>
        <w:tc>
          <w:tcPr>
            <w:tcW w:w="1341" w:type="dxa"/>
            <w:noWrap w:val="0"/>
            <w:vAlign w:val="top"/>
          </w:tcPr>
          <w:p w14:paraId="24B9F5E1">
            <w:pPr>
              <w:snapToGrid w:val="0"/>
              <w:spacing w:line="600" w:lineRule="exact"/>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成本指标</w:t>
            </w:r>
          </w:p>
        </w:tc>
        <w:tc>
          <w:tcPr>
            <w:tcW w:w="1416" w:type="dxa"/>
            <w:noWrap w:val="0"/>
            <w:vAlign w:val="top"/>
          </w:tcPr>
          <w:p w14:paraId="4B077B87">
            <w:pPr>
              <w:snapToGrid w:val="0"/>
              <w:spacing w:line="600" w:lineRule="exact"/>
              <w:jc w:val="center"/>
              <w:rPr>
                <w:rFonts w:hint="eastAsia" w:ascii="仿宋" w:hAnsi="仿宋" w:eastAsia="仿宋" w:cs="仿宋"/>
                <w:bCs/>
                <w:sz w:val="32"/>
                <w:szCs w:val="32"/>
                <w:vertAlign w:val="baseline"/>
                <w:lang w:eastAsia="zh-CN"/>
              </w:rPr>
            </w:pPr>
            <w:r>
              <w:rPr>
                <w:rFonts w:hint="eastAsia" w:ascii="仿宋" w:hAnsi="仿宋" w:eastAsia="仿宋" w:cs="仿宋"/>
                <w:bCs/>
                <w:sz w:val="32"/>
                <w:szCs w:val="32"/>
                <w:lang w:val="en-US" w:eastAsia="zh-CN"/>
              </w:rPr>
              <w:t>贴息成本</w:t>
            </w:r>
          </w:p>
        </w:tc>
        <w:tc>
          <w:tcPr>
            <w:tcW w:w="1065" w:type="dxa"/>
            <w:noWrap w:val="0"/>
            <w:vAlign w:val="top"/>
          </w:tcPr>
          <w:p w14:paraId="492613A1">
            <w:pPr>
              <w:snapToGrid w:val="0"/>
              <w:spacing w:line="240" w:lineRule="auto"/>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≤10万元</w:t>
            </w:r>
          </w:p>
        </w:tc>
        <w:tc>
          <w:tcPr>
            <w:tcW w:w="1022" w:type="dxa"/>
            <w:noWrap w:val="0"/>
            <w:vAlign w:val="top"/>
          </w:tcPr>
          <w:p w14:paraId="7215BF71">
            <w:pPr>
              <w:snapToGrid w:val="0"/>
              <w:spacing w:line="600" w:lineRule="exact"/>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lang w:val="en-US" w:eastAsia="zh-CN"/>
              </w:rPr>
              <w:t>5</w:t>
            </w:r>
          </w:p>
        </w:tc>
        <w:tc>
          <w:tcPr>
            <w:tcW w:w="1323" w:type="dxa"/>
            <w:noWrap w:val="0"/>
            <w:vAlign w:val="top"/>
          </w:tcPr>
          <w:p w14:paraId="15A3FF38">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5</w:t>
            </w:r>
          </w:p>
        </w:tc>
      </w:tr>
      <w:tr w14:paraId="510D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vMerge w:val="continue"/>
            <w:noWrap w:val="0"/>
            <w:vAlign w:val="top"/>
          </w:tcPr>
          <w:p w14:paraId="5C4BFE02">
            <w:pPr>
              <w:snapToGrid w:val="0"/>
              <w:spacing w:line="600" w:lineRule="exact"/>
              <w:rPr>
                <w:rFonts w:hint="eastAsia" w:ascii="仿宋" w:hAnsi="仿宋" w:eastAsia="仿宋" w:cs="仿宋"/>
                <w:bCs/>
                <w:kern w:val="2"/>
                <w:sz w:val="32"/>
                <w:szCs w:val="32"/>
                <w:vertAlign w:val="baseline"/>
                <w:lang w:val="en-US" w:eastAsia="zh-CN" w:bidi="ar-SA"/>
              </w:rPr>
            </w:pPr>
          </w:p>
        </w:tc>
        <w:tc>
          <w:tcPr>
            <w:tcW w:w="1341" w:type="dxa"/>
            <w:noWrap w:val="0"/>
            <w:vAlign w:val="top"/>
          </w:tcPr>
          <w:p w14:paraId="19F47C38">
            <w:pPr>
              <w:snapToGrid w:val="0"/>
              <w:spacing w:line="600" w:lineRule="exact"/>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时效指标</w:t>
            </w:r>
          </w:p>
        </w:tc>
        <w:tc>
          <w:tcPr>
            <w:tcW w:w="1416" w:type="dxa"/>
            <w:noWrap w:val="0"/>
            <w:vAlign w:val="top"/>
          </w:tcPr>
          <w:p w14:paraId="4E511697">
            <w:pPr>
              <w:snapToGrid w:val="0"/>
              <w:spacing w:line="600" w:lineRule="exact"/>
              <w:jc w:val="center"/>
              <w:rPr>
                <w:rFonts w:hint="eastAsia" w:ascii="仿宋" w:hAnsi="仿宋" w:eastAsia="仿宋" w:cs="仿宋"/>
                <w:bCs/>
                <w:sz w:val="32"/>
                <w:szCs w:val="32"/>
                <w:vertAlign w:val="baseline"/>
                <w:lang w:eastAsia="zh-CN"/>
              </w:rPr>
            </w:pPr>
            <w:r>
              <w:rPr>
                <w:rFonts w:hint="eastAsia" w:ascii="仿宋" w:hAnsi="仿宋" w:eastAsia="仿宋" w:cs="仿宋"/>
                <w:bCs/>
                <w:sz w:val="32"/>
                <w:szCs w:val="32"/>
                <w:lang w:val="en-US" w:eastAsia="zh-CN"/>
              </w:rPr>
              <w:t>及时完成率</w:t>
            </w:r>
          </w:p>
        </w:tc>
        <w:tc>
          <w:tcPr>
            <w:tcW w:w="1065" w:type="dxa"/>
            <w:noWrap w:val="0"/>
            <w:vAlign w:val="top"/>
          </w:tcPr>
          <w:p w14:paraId="2D6B5A55">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≥85%</w:t>
            </w:r>
          </w:p>
        </w:tc>
        <w:tc>
          <w:tcPr>
            <w:tcW w:w="1022" w:type="dxa"/>
            <w:noWrap w:val="0"/>
            <w:vAlign w:val="top"/>
          </w:tcPr>
          <w:p w14:paraId="5AB04480">
            <w:pPr>
              <w:snapToGrid w:val="0"/>
              <w:spacing w:line="600" w:lineRule="exact"/>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lang w:val="en-US" w:eastAsia="zh-CN"/>
              </w:rPr>
              <w:t>5</w:t>
            </w:r>
          </w:p>
        </w:tc>
        <w:tc>
          <w:tcPr>
            <w:tcW w:w="1323" w:type="dxa"/>
            <w:noWrap w:val="0"/>
            <w:vAlign w:val="top"/>
          </w:tcPr>
          <w:p w14:paraId="445C6C4B">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w:t>
            </w:r>
          </w:p>
        </w:tc>
      </w:tr>
      <w:tr w14:paraId="196F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355" w:type="dxa"/>
            <w:noWrap w:val="0"/>
            <w:vAlign w:val="top"/>
          </w:tcPr>
          <w:p w14:paraId="56776DE2">
            <w:pPr>
              <w:snapToGrid w:val="0"/>
              <w:spacing w:line="600" w:lineRule="exact"/>
              <w:rPr>
                <w:rFonts w:hint="eastAsia" w:ascii="仿宋" w:hAnsi="仿宋" w:eastAsia="仿宋" w:cs="仿宋"/>
                <w:bCs/>
                <w:kern w:val="2"/>
                <w:sz w:val="32"/>
                <w:szCs w:val="32"/>
                <w:vertAlign w:val="baseline"/>
                <w:lang w:val="en-US" w:eastAsia="zh-CN" w:bidi="ar-SA"/>
              </w:rPr>
            </w:pPr>
            <w:r>
              <w:rPr>
                <w:rFonts w:hint="eastAsia" w:ascii="仿宋" w:hAnsi="仿宋" w:eastAsia="仿宋" w:cs="仿宋"/>
                <w:b/>
                <w:bCs w:val="0"/>
                <w:sz w:val="32"/>
                <w:szCs w:val="32"/>
                <w:lang w:val="en-US" w:eastAsia="zh-CN"/>
              </w:rPr>
              <w:t>效益指标（50分）</w:t>
            </w:r>
          </w:p>
        </w:tc>
        <w:tc>
          <w:tcPr>
            <w:tcW w:w="1341" w:type="dxa"/>
            <w:noWrap w:val="0"/>
            <w:vAlign w:val="top"/>
          </w:tcPr>
          <w:p w14:paraId="1F5AB074">
            <w:pPr>
              <w:snapToGrid w:val="0"/>
              <w:spacing w:line="600" w:lineRule="exact"/>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社会效益</w:t>
            </w:r>
          </w:p>
        </w:tc>
        <w:tc>
          <w:tcPr>
            <w:tcW w:w="1416" w:type="dxa"/>
            <w:noWrap w:val="0"/>
            <w:vAlign w:val="top"/>
          </w:tcPr>
          <w:p w14:paraId="5E13A9BD">
            <w:pPr>
              <w:snapToGrid w:val="0"/>
              <w:spacing w:line="240" w:lineRule="auto"/>
              <w:jc w:val="center"/>
              <w:rPr>
                <w:rFonts w:hint="eastAsia" w:ascii="仿宋" w:hAnsi="仿宋" w:eastAsia="仿宋" w:cs="仿宋"/>
                <w:bCs/>
                <w:sz w:val="32"/>
                <w:szCs w:val="32"/>
                <w:vertAlign w:val="baseline"/>
              </w:rPr>
            </w:pPr>
            <w:r>
              <w:rPr>
                <w:rFonts w:hint="eastAsia" w:ascii="仿宋" w:hAnsi="仿宋" w:eastAsia="仿宋" w:cs="仿宋"/>
                <w:bCs/>
                <w:sz w:val="32"/>
                <w:szCs w:val="32"/>
                <w:vertAlign w:val="baseline"/>
              </w:rPr>
              <w:t>切实巩固</w:t>
            </w:r>
            <w:r>
              <w:rPr>
                <w:rFonts w:hint="eastAsia" w:ascii="仿宋" w:hAnsi="仿宋" w:eastAsia="仿宋" w:cs="仿宋"/>
                <w:bCs/>
                <w:sz w:val="32"/>
                <w:szCs w:val="32"/>
                <w:vertAlign w:val="baseline"/>
                <w:lang w:val="en-US" w:eastAsia="zh-CN"/>
              </w:rPr>
              <w:t>拓展</w:t>
            </w:r>
            <w:r>
              <w:rPr>
                <w:rFonts w:hint="eastAsia" w:ascii="仿宋" w:hAnsi="仿宋" w:eastAsia="仿宋" w:cs="仿宋"/>
                <w:bCs/>
                <w:sz w:val="32"/>
                <w:szCs w:val="32"/>
                <w:vertAlign w:val="baseline"/>
              </w:rPr>
              <w:t>脱贫攻坚成果，防止脱贫人口返贫完成率</w:t>
            </w:r>
          </w:p>
        </w:tc>
        <w:tc>
          <w:tcPr>
            <w:tcW w:w="1065" w:type="dxa"/>
            <w:noWrap w:val="0"/>
            <w:vAlign w:val="top"/>
          </w:tcPr>
          <w:p w14:paraId="24DCBA82">
            <w:pPr>
              <w:snapToGrid w:val="0"/>
              <w:spacing w:line="600" w:lineRule="exact"/>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lang w:val="en-US" w:eastAsia="zh-CN"/>
              </w:rPr>
              <w:t>100%</w:t>
            </w:r>
          </w:p>
        </w:tc>
        <w:tc>
          <w:tcPr>
            <w:tcW w:w="1022" w:type="dxa"/>
            <w:noWrap w:val="0"/>
            <w:vAlign w:val="top"/>
          </w:tcPr>
          <w:p w14:paraId="139BE2B5">
            <w:pPr>
              <w:snapToGrid w:val="0"/>
              <w:spacing w:line="600" w:lineRule="exact"/>
              <w:jc w:val="center"/>
              <w:rPr>
                <w:rFonts w:hint="eastAsia" w:ascii="仿宋" w:hAnsi="仿宋" w:eastAsia="仿宋" w:cs="仿宋"/>
                <w:bCs/>
                <w:sz w:val="32"/>
                <w:szCs w:val="32"/>
                <w:vertAlign w:val="baseline"/>
                <w:lang w:val="en-US"/>
              </w:rPr>
            </w:pPr>
            <w:r>
              <w:rPr>
                <w:rFonts w:hint="eastAsia" w:ascii="仿宋" w:hAnsi="仿宋" w:eastAsia="仿宋" w:cs="仿宋"/>
                <w:bCs/>
                <w:sz w:val="32"/>
                <w:szCs w:val="32"/>
                <w:lang w:val="en-US" w:eastAsia="zh-CN"/>
              </w:rPr>
              <w:t>50</w:t>
            </w:r>
          </w:p>
        </w:tc>
        <w:tc>
          <w:tcPr>
            <w:tcW w:w="1323" w:type="dxa"/>
            <w:noWrap w:val="0"/>
            <w:vAlign w:val="top"/>
          </w:tcPr>
          <w:p w14:paraId="2F955BEB">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50</w:t>
            </w:r>
          </w:p>
        </w:tc>
      </w:tr>
      <w:tr w14:paraId="5CDC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55" w:type="dxa"/>
            <w:noWrap w:val="0"/>
            <w:vAlign w:val="top"/>
          </w:tcPr>
          <w:p w14:paraId="2BE4FB23">
            <w:pPr>
              <w:snapToGrid w:val="0"/>
              <w:spacing w:line="600" w:lineRule="exact"/>
              <w:rPr>
                <w:rFonts w:hint="eastAsia" w:ascii="仿宋" w:hAnsi="仿宋" w:eastAsia="仿宋" w:cs="仿宋"/>
                <w:bCs/>
                <w:kern w:val="2"/>
                <w:sz w:val="32"/>
                <w:szCs w:val="32"/>
                <w:vertAlign w:val="baseline"/>
                <w:lang w:val="en-US" w:eastAsia="zh-CN" w:bidi="ar-SA"/>
              </w:rPr>
            </w:pPr>
            <w:r>
              <w:rPr>
                <w:rFonts w:hint="eastAsia" w:ascii="仿宋" w:hAnsi="仿宋" w:eastAsia="仿宋" w:cs="仿宋"/>
                <w:b/>
                <w:bCs w:val="0"/>
                <w:sz w:val="32"/>
                <w:szCs w:val="32"/>
                <w:lang w:val="en-US" w:eastAsia="zh-CN"/>
              </w:rPr>
              <w:t>满意度（10分）</w:t>
            </w:r>
          </w:p>
        </w:tc>
        <w:tc>
          <w:tcPr>
            <w:tcW w:w="1341" w:type="dxa"/>
            <w:noWrap w:val="0"/>
            <w:vAlign w:val="top"/>
          </w:tcPr>
          <w:p w14:paraId="51A76675">
            <w:pPr>
              <w:snapToGrid w:val="0"/>
              <w:spacing w:line="600" w:lineRule="exact"/>
              <w:rPr>
                <w:rFonts w:hint="eastAsia" w:ascii="仿宋" w:hAnsi="仿宋" w:eastAsia="仿宋" w:cs="仿宋"/>
                <w:b/>
                <w:bCs w:val="0"/>
                <w:sz w:val="32"/>
                <w:szCs w:val="32"/>
                <w:vertAlign w:val="baseline"/>
                <w:lang w:eastAsia="zh-CN"/>
              </w:rPr>
            </w:pPr>
            <w:r>
              <w:rPr>
                <w:rFonts w:hint="eastAsia" w:ascii="仿宋" w:hAnsi="仿宋" w:eastAsia="仿宋" w:cs="仿宋"/>
                <w:b/>
                <w:bCs w:val="0"/>
                <w:sz w:val="32"/>
                <w:szCs w:val="32"/>
                <w:lang w:val="en-US" w:eastAsia="zh-CN"/>
              </w:rPr>
              <w:t>满意度</w:t>
            </w:r>
          </w:p>
        </w:tc>
        <w:tc>
          <w:tcPr>
            <w:tcW w:w="1416" w:type="dxa"/>
            <w:noWrap w:val="0"/>
            <w:vAlign w:val="top"/>
          </w:tcPr>
          <w:p w14:paraId="7898606D">
            <w:pPr>
              <w:snapToGrid w:val="0"/>
              <w:spacing w:line="240" w:lineRule="auto"/>
              <w:jc w:val="left"/>
              <w:rPr>
                <w:rFonts w:hint="eastAsia" w:ascii="仿宋" w:hAnsi="仿宋" w:eastAsia="仿宋" w:cs="仿宋"/>
                <w:bCs/>
                <w:sz w:val="32"/>
                <w:szCs w:val="32"/>
                <w:vertAlign w:val="baseline"/>
              </w:rPr>
            </w:pPr>
            <w:r>
              <w:rPr>
                <w:rFonts w:hint="eastAsia" w:ascii="仿宋" w:hAnsi="仿宋" w:eastAsia="仿宋" w:cs="仿宋"/>
                <w:bCs/>
                <w:sz w:val="32"/>
                <w:szCs w:val="32"/>
                <w:vertAlign w:val="baseline"/>
              </w:rPr>
              <w:t>受益脱贫人口满意度</w:t>
            </w:r>
          </w:p>
        </w:tc>
        <w:tc>
          <w:tcPr>
            <w:tcW w:w="1065" w:type="dxa"/>
            <w:noWrap w:val="0"/>
            <w:vAlign w:val="top"/>
          </w:tcPr>
          <w:p w14:paraId="4636E6C4">
            <w:pPr>
              <w:snapToGrid w:val="0"/>
              <w:spacing w:line="600" w:lineRule="exact"/>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lang w:val="en-US" w:eastAsia="zh-CN"/>
              </w:rPr>
              <w:t>97%</w:t>
            </w:r>
          </w:p>
        </w:tc>
        <w:tc>
          <w:tcPr>
            <w:tcW w:w="1022" w:type="dxa"/>
            <w:noWrap w:val="0"/>
            <w:vAlign w:val="top"/>
          </w:tcPr>
          <w:p w14:paraId="06BD56C2">
            <w:pPr>
              <w:snapToGrid w:val="0"/>
              <w:spacing w:line="600" w:lineRule="exact"/>
              <w:jc w:val="center"/>
              <w:rPr>
                <w:rFonts w:hint="eastAsia" w:ascii="仿宋" w:hAnsi="仿宋" w:eastAsia="仿宋" w:cs="仿宋"/>
                <w:bCs/>
                <w:sz w:val="32"/>
                <w:szCs w:val="32"/>
                <w:vertAlign w:val="baseline"/>
                <w:lang w:val="en-US"/>
              </w:rPr>
            </w:pPr>
            <w:r>
              <w:rPr>
                <w:rFonts w:hint="eastAsia" w:ascii="仿宋" w:hAnsi="仿宋" w:eastAsia="仿宋" w:cs="仿宋"/>
                <w:bCs/>
                <w:sz w:val="32"/>
                <w:szCs w:val="32"/>
                <w:lang w:val="en-US" w:eastAsia="zh-CN"/>
              </w:rPr>
              <w:t>10</w:t>
            </w:r>
          </w:p>
        </w:tc>
        <w:tc>
          <w:tcPr>
            <w:tcW w:w="1323" w:type="dxa"/>
            <w:noWrap w:val="0"/>
            <w:vAlign w:val="top"/>
          </w:tcPr>
          <w:p w14:paraId="3ED604C3">
            <w:pPr>
              <w:snapToGrid w:val="0"/>
              <w:spacing w:line="600" w:lineRule="exact"/>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10</w:t>
            </w:r>
          </w:p>
        </w:tc>
      </w:tr>
      <w:tr w14:paraId="0EAB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177" w:type="dxa"/>
            <w:gridSpan w:val="4"/>
            <w:noWrap w:val="0"/>
            <w:vAlign w:val="top"/>
          </w:tcPr>
          <w:p w14:paraId="35EAA4A2">
            <w:pPr>
              <w:snapToGrid w:val="0"/>
              <w:spacing w:line="600" w:lineRule="exact"/>
              <w:jc w:val="center"/>
              <w:rPr>
                <w:rFonts w:hint="eastAsia" w:ascii="仿宋" w:hAnsi="仿宋" w:eastAsia="仿宋" w:cs="仿宋"/>
                <w:bCs/>
                <w:sz w:val="32"/>
                <w:szCs w:val="32"/>
                <w:vertAlign w:val="baseline"/>
                <w:lang w:eastAsia="zh-CN"/>
              </w:rPr>
            </w:pPr>
            <w:r>
              <w:rPr>
                <w:rFonts w:hint="eastAsia" w:ascii="仿宋" w:hAnsi="仿宋" w:eastAsia="仿宋" w:cs="仿宋"/>
                <w:b/>
                <w:bCs w:val="0"/>
                <w:sz w:val="32"/>
                <w:szCs w:val="32"/>
                <w:lang w:val="en-US" w:eastAsia="zh-CN"/>
              </w:rPr>
              <w:t>合 计</w:t>
            </w:r>
          </w:p>
        </w:tc>
        <w:tc>
          <w:tcPr>
            <w:tcW w:w="1022" w:type="dxa"/>
            <w:noWrap w:val="0"/>
            <w:vAlign w:val="top"/>
          </w:tcPr>
          <w:p w14:paraId="4C8A0F94">
            <w:pPr>
              <w:snapToGrid w:val="0"/>
              <w:spacing w:line="600" w:lineRule="exact"/>
              <w:jc w:val="center"/>
              <w:rPr>
                <w:rFonts w:hint="eastAsia" w:ascii="仿宋" w:hAnsi="仿宋" w:eastAsia="仿宋" w:cs="仿宋"/>
                <w:bCs/>
                <w:sz w:val="32"/>
                <w:szCs w:val="32"/>
                <w:vertAlign w:val="baseline"/>
                <w:lang w:val="en-US" w:eastAsia="zh-CN"/>
              </w:rPr>
            </w:pPr>
            <w:r>
              <w:rPr>
                <w:rFonts w:hint="eastAsia" w:ascii="仿宋" w:hAnsi="仿宋" w:eastAsia="仿宋" w:cs="仿宋"/>
                <w:b/>
                <w:bCs w:val="0"/>
                <w:sz w:val="32"/>
                <w:szCs w:val="32"/>
                <w:lang w:val="en-US" w:eastAsia="zh-CN"/>
              </w:rPr>
              <w:t>100</w:t>
            </w:r>
          </w:p>
        </w:tc>
        <w:tc>
          <w:tcPr>
            <w:tcW w:w="1323" w:type="dxa"/>
            <w:noWrap w:val="0"/>
            <w:vAlign w:val="top"/>
          </w:tcPr>
          <w:p w14:paraId="010B9FA9">
            <w:pPr>
              <w:snapToGrid w:val="0"/>
              <w:spacing w:line="600" w:lineRule="exact"/>
              <w:jc w:val="center"/>
              <w:rPr>
                <w:rFonts w:hint="eastAsia" w:ascii="仿宋" w:hAnsi="仿宋" w:eastAsia="仿宋" w:cs="仿宋"/>
                <w:bCs/>
                <w:sz w:val="32"/>
                <w:szCs w:val="32"/>
                <w:vertAlign w:val="baseline"/>
                <w:lang w:val="en-US" w:eastAsia="zh-CN"/>
              </w:rPr>
            </w:pPr>
            <w:r>
              <w:rPr>
                <w:rFonts w:hint="eastAsia" w:ascii="仿宋" w:hAnsi="仿宋" w:eastAsia="仿宋" w:cs="仿宋"/>
                <w:b/>
                <w:bCs w:val="0"/>
                <w:sz w:val="32"/>
                <w:szCs w:val="32"/>
                <w:lang w:val="en-US" w:eastAsia="zh-CN"/>
              </w:rPr>
              <w:t>99</w:t>
            </w:r>
          </w:p>
        </w:tc>
      </w:tr>
    </w:tbl>
    <w:p w14:paraId="76160E03">
      <w:pPr>
        <w:snapToGrid w:val="0"/>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四、绩效评价分析</w:t>
      </w:r>
    </w:p>
    <w:p w14:paraId="7AABA1E2">
      <w:pPr>
        <w:snapToGrid w:val="0"/>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（一）项目决策情况</w:t>
      </w:r>
    </w:p>
    <w:p w14:paraId="7B9927C6">
      <w:pPr>
        <w:snapToGrid w:val="0"/>
        <w:spacing w:line="600" w:lineRule="exact"/>
        <w:ind w:firstLine="640" w:firstLineChars="200"/>
        <w:rPr>
          <w:rStyle w:val="37"/>
          <w:rFonts w:hint="eastAsia" w:ascii="仿宋" w:hAnsi="仿宋" w:eastAsia="仿宋" w:cs="仿宋"/>
          <w:b w:val="0"/>
          <w:bCs w:val="0"/>
          <w:i w:val="0"/>
          <w:caps w:val="0"/>
          <w:spacing w:val="0"/>
          <w:w w:val="100"/>
          <w:kern w:val="2"/>
          <w:sz w:val="32"/>
          <w:szCs w:val="32"/>
          <w:lang w:val="en-US" w:eastAsia="zh-CN" w:bidi="ar-SA"/>
        </w:rPr>
      </w:pPr>
      <w:r>
        <w:rPr>
          <w:rStyle w:val="37"/>
          <w:rFonts w:hint="eastAsia" w:ascii="仿宋" w:hAnsi="仿宋" w:eastAsia="仿宋" w:cs="仿宋"/>
          <w:b w:val="0"/>
          <w:bCs w:val="0"/>
          <w:i w:val="0"/>
          <w:caps w:val="0"/>
          <w:spacing w:val="0"/>
          <w:w w:val="100"/>
          <w:kern w:val="2"/>
          <w:sz w:val="32"/>
          <w:szCs w:val="32"/>
          <w:lang w:val="en-US" w:eastAsia="zh-CN" w:bidi="ar-SA"/>
        </w:rPr>
        <w:t>中心领导高度重视，根据项目运行方案，细化工作任务，合理配置资源，建立项目控制管理机制，项目实施过程中严格按照项目预算科目及有关政策规定进行支付，规避项目风险，确保了项目较好质量的完成。</w:t>
      </w:r>
    </w:p>
    <w:p w14:paraId="13813C99">
      <w:pPr>
        <w:numPr>
          <w:ilvl w:val="0"/>
          <w:numId w:val="9"/>
        </w:numPr>
        <w:snapToGrid w:val="0"/>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项目管理情况</w:t>
      </w:r>
    </w:p>
    <w:p w14:paraId="2B350B42">
      <w:pPr>
        <w:numPr>
          <w:ilvl w:val="0"/>
          <w:numId w:val="0"/>
        </w:numPr>
        <w:snapToGrid w:val="0"/>
        <w:spacing w:line="600" w:lineRule="exact"/>
        <w:rPr>
          <w:rStyle w:val="37"/>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sz w:val="32"/>
          <w:szCs w:val="32"/>
          <w:lang w:val="en-US" w:eastAsia="zh-CN"/>
        </w:rPr>
        <w:t xml:space="preserve">    </w:t>
      </w:r>
      <w:r>
        <w:rPr>
          <w:rStyle w:val="37"/>
          <w:rFonts w:hint="eastAsia" w:ascii="仿宋" w:hAnsi="仿宋" w:eastAsia="仿宋" w:cs="仿宋"/>
          <w:b w:val="0"/>
          <w:bCs w:val="0"/>
          <w:i w:val="0"/>
          <w:caps w:val="0"/>
          <w:spacing w:val="0"/>
          <w:w w:val="100"/>
          <w:kern w:val="2"/>
          <w:sz w:val="32"/>
          <w:szCs w:val="32"/>
          <w:lang w:val="en-US" w:eastAsia="zh-CN" w:bidi="ar-SA"/>
        </w:rPr>
        <w:t>根据国家相关规定，对项目经费的使用制定了管理办法，不断加强财务管理内控制度，进一步完善经费管理规定。项目业务由业务股室实施，资金支出由办公室统筹协调，不以任何理由虚列、截留、挤占、挪用，资金支出严格按照财务规定执行。</w:t>
      </w:r>
    </w:p>
    <w:p w14:paraId="7D3D76C0">
      <w:pPr>
        <w:numPr>
          <w:ilvl w:val="0"/>
          <w:numId w:val="9"/>
        </w:numPr>
        <w:snapToGrid w:val="0"/>
        <w:spacing w:line="600" w:lineRule="exact"/>
        <w:ind w:left="0" w:leftChars="0" w:firstLine="643" w:firstLineChars="200"/>
        <w:rPr>
          <w:rFonts w:hint="eastAsia" w:ascii="仿宋" w:hAnsi="仿宋" w:eastAsia="仿宋" w:cs="仿宋"/>
          <w:b/>
          <w:sz w:val="32"/>
          <w:szCs w:val="32"/>
        </w:rPr>
      </w:pPr>
      <w:r>
        <w:rPr>
          <w:rFonts w:hint="eastAsia" w:ascii="仿宋" w:hAnsi="仿宋" w:eastAsia="仿宋" w:cs="仿宋"/>
          <w:b/>
          <w:sz w:val="32"/>
          <w:szCs w:val="32"/>
        </w:rPr>
        <w:t>项目产出情况</w:t>
      </w:r>
    </w:p>
    <w:p w14:paraId="63AF6B74">
      <w:pPr>
        <w:numPr>
          <w:ilvl w:val="0"/>
          <w:numId w:val="0"/>
        </w:numPr>
        <w:snapToGrid w:val="0"/>
        <w:spacing w:line="600" w:lineRule="exact"/>
        <w:ind w:firstLine="640" w:firstLineChars="200"/>
        <w:rPr>
          <w:rStyle w:val="37"/>
          <w:rFonts w:hint="eastAsia" w:ascii="仿宋" w:hAnsi="仿宋" w:eastAsia="仿宋" w:cs="仿宋"/>
          <w:b w:val="0"/>
          <w:bCs w:val="0"/>
          <w:i w:val="0"/>
          <w:caps w:val="0"/>
          <w:spacing w:val="0"/>
          <w:w w:val="100"/>
          <w:kern w:val="2"/>
          <w:sz w:val="32"/>
          <w:szCs w:val="32"/>
          <w:lang w:val="en-US" w:eastAsia="zh-CN" w:bidi="ar-SA"/>
        </w:rPr>
      </w:pPr>
      <w:r>
        <w:rPr>
          <w:rStyle w:val="37"/>
          <w:rFonts w:hint="eastAsia" w:ascii="仿宋" w:hAnsi="仿宋" w:eastAsia="仿宋" w:cs="仿宋"/>
          <w:b w:val="0"/>
          <w:bCs w:val="0"/>
          <w:i w:val="0"/>
          <w:caps w:val="0"/>
          <w:spacing w:val="0"/>
          <w:w w:val="100"/>
          <w:kern w:val="2"/>
          <w:sz w:val="32"/>
          <w:szCs w:val="32"/>
          <w:lang w:val="en-US" w:eastAsia="zh-CN" w:bidi="ar-SA"/>
        </w:rPr>
        <w:t>该项目作为我单位经常性业务类项目，对项目所产生的各类经费及时拨付，保障了工作的正常开展。其中数量指标：脱皮人口小额信贷贴息户数计划完成96户实际完成96户，此项满分5分，得5分。质量指标：计划贴息准确率达到100%，实际达到100%，此项满分5分，得5分。成本指标：计划贴息成本控制在15万元以内，实际贴息成本10万元，此项满分5分，得5分。时效指标：计划贴息及时完成率为85%，实际及时完成率84%，此项满分5分，得4分。</w:t>
      </w:r>
    </w:p>
    <w:p w14:paraId="3CA74904">
      <w:pPr>
        <w:numPr>
          <w:ilvl w:val="0"/>
          <w:numId w:val="9"/>
        </w:numPr>
        <w:snapToGrid w:val="0"/>
        <w:spacing w:line="600" w:lineRule="exact"/>
        <w:ind w:left="0" w:leftChars="0" w:firstLine="643" w:firstLineChars="200"/>
        <w:rPr>
          <w:rFonts w:hint="eastAsia" w:ascii="仿宋" w:hAnsi="仿宋" w:eastAsia="仿宋" w:cs="仿宋"/>
          <w:b/>
          <w:sz w:val="32"/>
          <w:szCs w:val="32"/>
        </w:rPr>
      </w:pPr>
      <w:r>
        <w:rPr>
          <w:rFonts w:hint="eastAsia" w:ascii="仿宋" w:hAnsi="仿宋" w:eastAsia="仿宋" w:cs="仿宋"/>
          <w:b/>
          <w:sz w:val="32"/>
          <w:szCs w:val="32"/>
        </w:rPr>
        <w:t>项目效益情况。</w:t>
      </w:r>
    </w:p>
    <w:p w14:paraId="6A5D386C">
      <w:pPr>
        <w:numPr>
          <w:ilvl w:val="0"/>
          <w:numId w:val="0"/>
        </w:numPr>
        <w:snapToGrid w:val="0"/>
        <w:spacing w:line="600" w:lineRule="exact"/>
        <w:ind w:firstLine="640" w:firstLineChars="200"/>
        <w:rPr>
          <w:rStyle w:val="37"/>
          <w:rFonts w:hint="eastAsia" w:ascii="仿宋" w:hAnsi="仿宋" w:eastAsia="仿宋" w:cs="仿宋"/>
          <w:b w:val="0"/>
          <w:bCs w:val="0"/>
          <w:i w:val="0"/>
          <w:caps w:val="0"/>
          <w:spacing w:val="0"/>
          <w:w w:val="100"/>
          <w:kern w:val="2"/>
          <w:sz w:val="32"/>
          <w:szCs w:val="32"/>
          <w:lang w:val="en-US" w:eastAsia="zh-CN" w:bidi="ar-SA"/>
        </w:rPr>
      </w:pPr>
      <w:r>
        <w:rPr>
          <w:rStyle w:val="37"/>
          <w:rFonts w:hint="eastAsia" w:ascii="仿宋" w:hAnsi="仿宋" w:eastAsia="仿宋" w:cs="仿宋"/>
          <w:b w:val="0"/>
          <w:bCs w:val="0"/>
          <w:i w:val="0"/>
          <w:caps w:val="0"/>
          <w:spacing w:val="0"/>
          <w:w w:val="100"/>
          <w:kern w:val="2"/>
          <w:sz w:val="32"/>
          <w:szCs w:val="32"/>
          <w:lang w:val="en-US" w:eastAsia="zh-CN" w:bidi="ar-SA"/>
        </w:rPr>
        <w:t>扶贫小额信贷贴息资金是乡村振兴资金的重要组成部分，发挥了巩固拓展脱贫攻坚成果，防止脱贫人口返贫的重要作用，具有广泛的社会效益。该项指标完成率为100%，满分50分，得50分。</w:t>
      </w:r>
    </w:p>
    <w:p w14:paraId="07841FC6">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五、存在主要问题</w:t>
      </w:r>
    </w:p>
    <w:p w14:paraId="05CF8FEC">
      <w:pPr>
        <w:snapToGrid w:val="0"/>
        <w:spacing w:line="600" w:lineRule="exact"/>
        <w:ind w:firstLine="640" w:firstLineChars="200"/>
        <w:rPr>
          <w:rFonts w:hint="eastAsia" w:ascii="仿宋" w:hAnsi="仿宋" w:eastAsia="仿宋" w:cs="仿宋"/>
          <w:sz w:val="32"/>
          <w:szCs w:val="32"/>
          <w:lang w:val="en-US" w:eastAsia="zh-CN"/>
        </w:rPr>
      </w:pPr>
      <w:r>
        <w:rPr>
          <w:rStyle w:val="37"/>
          <w:rFonts w:hint="eastAsia" w:ascii="仿宋" w:hAnsi="仿宋" w:eastAsia="仿宋" w:cs="仿宋"/>
          <w:b w:val="0"/>
          <w:bCs w:val="0"/>
          <w:i w:val="0"/>
          <w:caps w:val="0"/>
          <w:spacing w:val="0"/>
          <w:w w:val="100"/>
          <w:kern w:val="2"/>
          <w:sz w:val="32"/>
          <w:szCs w:val="32"/>
          <w:lang w:val="en-US" w:eastAsia="zh-CN" w:bidi="ar-SA"/>
        </w:rPr>
        <w:t>扶贫小额信贷贴息资金预算难度较大。原因在于预算时是根据银行年初的存量贷款余额进行2023年度所有贷款的利息预计算，但因2023年提前还款的无法预计，导致实际贷款余额无法精确计算，因此贴息资金预算准确率无法达到100%。</w:t>
      </w:r>
    </w:p>
    <w:p w14:paraId="3A280504">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六、相关措施建议</w:t>
      </w:r>
    </w:p>
    <w:p w14:paraId="29819158">
      <w:pPr>
        <w:numPr>
          <w:ilvl w:val="0"/>
          <w:numId w:val="0"/>
        </w:numPr>
        <w:ind w:firstLine="640" w:firstLineChars="200"/>
        <w:rPr>
          <w:rStyle w:val="37"/>
          <w:rFonts w:hint="eastAsia" w:ascii="仿宋" w:hAnsi="仿宋" w:eastAsia="仿宋" w:cs="仿宋"/>
          <w:b w:val="0"/>
          <w:bCs w:val="0"/>
          <w:i w:val="0"/>
          <w:caps w:val="0"/>
          <w:spacing w:val="0"/>
          <w:w w:val="100"/>
          <w:kern w:val="2"/>
          <w:sz w:val="32"/>
          <w:szCs w:val="32"/>
          <w:lang w:val="en-US" w:eastAsia="zh-CN" w:bidi="ar-SA"/>
        </w:rPr>
      </w:pPr>
      <w:r>
        <w:rPr>
          <w:rStyle w:val="37"/>
          <w:rFonts w:hint="eastAsia" w:ascii="仿宋" w:hAnsi="仿宋" w:eastAsia="仿宋" w:cs="仿宋"/>
          <w:b w:val="0"/>
          <w:bCs w:val="0"/>
          <w:i w:val="0"/>
          <w:caps w:val="0"/>
          <w:spacing w:val="0"/>
          <w:w w:val="100"/>
          <w:kern w:val="2"/>
          <w:sz w:val="32"/>
          <w:szCs w:val="32"/>
          <w:lang w:val="en-US" w:eastAsia="zh-CN" w:bidi="ar-SA"/>
        </w:rPr>
        <w:t>一是加强组织领导，成立由鲍龙主任任组长，李力副主任任副组长，相关股室干部为成员的项目实施财经领导小组，对各个项目的目标、任务、实施、进度及资金拨付使用情况和项目效果进行评估和管理。</w:t>
      </w:r>
    </w:p>
    <w:p w14:paraId="2B62FD04">
      <w:pPr>
        <w:kinsoku w:val="0"/>
        <w:overflowPunct w:val="0"/>
        <w:spacing w:before="12"/>
        <w:ind w:firstLine="640" w:firstLineChars="200"/>
        <w:rPr>
          <w:rStyle w:val="37"/>
          <w:rFonts w:hint="eastAsia" w:ascii="仿宋" w:hAnsi="仿宋" w:eastAsia="仿宋" w:cs="仿宋"/>
          <w:b w:val="0"/>
          <w:bCs w:val="0"/>
          <w:i w:val="0"/>
          <w:caps w:val="0"/>
          <w:spacing w:val="0"/>
          <w:w w:val="100"/>
          <w:kern w:val="2"/>
          <w:sz w:val="32"/>
          <w:szCs w:val="32"/>
          <w:lang w:val="en-US" w:eastAsia="zh-CN" w:bidi="ar-SA"/>
        </w:rPr>
      </w:pPr>
      <w:r>
        <w:rPr>
          <w:rStyle w:val="37"/>
          <w:rFonts w:hint="eastAsia" w:ascii="仿宋" w:hAnsi="仿宋" w:eastAsia="仿宋" w:cs="仿宋"/>
          <w:b w:val="0"/>
          <w:bCs w:val="0"/>
          <w:i w:val="0"/>
          <w:caps w:val="0"/>
          <w:spacing w:val="0"/>
          <w:w w:val="100"/>
          <w:kern w:val="2"/>
          <w:sz w:val="32"/>
          <w:szCs w:val="32"/>
          <w:lang w:val="en-US" w:eastAsia="zh-CN" w:bidi="ar-SA"/>
        </w:rPr>
        <w:t>二是积极对接各乡镇、银行金融机构，提前对建档立卡贫困户情况摸底，尽早掌握动态调整及清退情况，清楚贷款提前还款趋势，用好扶贫小额信贷贴息资金，使项目绩效最大化。</w:t>
      </w:r>
    </w:p>
    <w:bookmarkEnd w:id="64"/>
    <w:p w14:paraId="29A8BC50">
      <w:pPr>
        <w:ind w:firstLine="640" w:firstLineChars="200"/>
        <w:rPr>
          <w:rFonts w:hint="eastAsia" w:ascii="仿宋" w:hAnsi="仿宋" w:eastAsia="仿宋" w:cs="仿宋"/>
          <w:color w:val="auto"/>
          <w:kern w:val="0"/>
          <w:sz w:val="32"/>
          <w:szCs w:val="32"/>
          <w:highlight w:val="none"/>
          <w:lang w:val="en-US" w:eastAsia="zh-CN" w:bidi="ar-SA"/>
        </w:rPr>
      </w:pPr>
    </w:p>
    <w:p w14:paraId="1947B0B8">
      <w:pPr>
        <w:rPr>
          <w:rFonts w:hint="eastAsia" w:ascii="仿宋_GB2312" w:hAnsi="Calibri" w:eastAsia="仿宋_GB2312" w:cs="仿宋"/>
          <w:color w:val="auto"/>
          <w:kern w:val="0"/>
          <w:sz w:val="32"/>
          <w:szCs w:val="32"/>
          <w:highlight w:val="none"/>
          <w:lang w:val="en-US" w:eastAsia="zh-CN" w:bidi="ar-SA"/>
        </w:rPr>
      </w:pPr>
    </w:p>
    <w:p w14:paraId="0261A385">
      <w:pPr>
        <w:snapToGrid w:val="0"/>
        <w:spacing w:line="600" w:lineRule="exact"/>
        <w:jc w:val="center"/>
        <w:rPr>
          <w:rFonts w:hint="eastAsia" w:ascii="仿宋_GB2312" w:hAnsi="Calibri" w:eastAsia="仿宋_GB2312" w:cs="仿宋"/>
          <w:color w:val="auto"/>
          <w:kern w:val="0"/>
          <w:sz w:val="32"/>
          <w:szCs w:val="32"/>
          <w:highlight w:val="none"/>
          <w:lang w:val="en-US" w:eastAsia="zh-CN" w:bidi="ar-SA"/>
        </w:rPr>
      </w:pPr>
    </w:p>
    <w:p w14:paraId="76524DB3">
      <w:pPr>
        <w:snapToGrid w:val="0"/>
        <w:spacing w:line="600" w:lineRule="exact"/>
        <w:jc w:val="center"/>
        <w:rPr>
          <w:rFonts w:hint="eastAsia" w:ascii="仿宋_GB2312" w:hAnsi="Calibri" w:eastAsia="仿宋_GB2312" w:cs="仿宋"/>
          <w:color w:val="auto"/>
          <w:kern w:val="0"/>
          <w:sz w:val="32"/>
          <w:szCs w:val="32"/>
          <w:highlight w:val="none"/>
          <w:lang w:val="en-US" w:eastAsia="zh-CN" w:bidi="ar-SA"/>
        </w:rPr>
      </w:pPr>
    </w:p>
    <w:p w14:paraId="1C04D4DF">
      <w:pPr>
        <w:snapToGrid w:val="0"/>
        <w:spacing w:line="600" w:lineRule="exact"/>
        <w:jc w:val="center"/>
        <w:rPr>
          <w:rFonts w:hint="eastAsia" w:ascii="仿宋_GB2312" w:hAnsi="Calibri" w:eastAsia="仿宋_GB2312" w:cs="仿宋"/>
          <w:color w:val="auto"/>
          <w:kern w:val="0"/>
          <w:sz w:val="32"/>
          <w:szCs w:val="32"/>
          <w:highlight w:val="none"/>
          <w:lang w:val="en-US" w:eastAsia="zh-CN" w:bidi="ar-SA"/>
        </w:rPr>
      </w:pPr>
    </w:p>
    <w:p w14:paraId="1B618B4E">
      <w:pPr>
        <w:snapToGrid w:val="0"/>
        <w:spacing w:line="600" w:lineRule="exact"/>
        <w:jc w:val="center"/>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金融工作经费项目支出绩效自评报告</w:t>
      </w:r>
    </w:p>
    <w:p w14:paraId="412047DD">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4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一、</w:t>
      </w:r>
      <w:r>
        <w:rPr>
          <w:rFonts w:hint="eastAsia" w:ascii="仿宋" w:hAnsi="仿宋" w:eastAsia="仿宋" w:cs="仿宋"/>
          <w:sz w:val="30"/>
          <w:szCs w:val="30"/>
        </w:rPr>
        <w:t>基本情况</w:t>
      </w:r>
    </w:p>
    <w:p w14:paraId="7A29C52C">
      <w:pPr>
        <w:keepNext w:val="0"/>
        <w:keepLines w:val="0"/>
        <w:pageBreakBefore w:val="0"/>
        <w:widowControl w:val="0"/>
        <w:numPr>
          <w:ilvl w:val="0"/>
          <w:numId w:val="8"/>
        </w:numPr>
        <w:kinsoku/>
        <w:wordWrap/>
        <w:overflowPunct/>
        <w:topLinePunct w:val="0"/>
        <w:autoSpaceDE/>
        <w:autoSpaceDN/>
        <w:bidi w:val="0"/>
        <w:adjustRightInd/>
        <w:snapToGrid/>
        <w:spacing w:line="640" w:lineRule="exact"/>
        <w:ind w:firstLine="640"/>
        <w:jc w:val="left"/>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项目概况</w:t>
      </w:r>
    </w:p>
    <w:p w14:paraId="24191F4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eastAsia="zh-CN"/>
        </w:rPr>
        <w:t>金融工作经费</w:t>
      </w:r>
      <w:r>
        <w:rPr>
          <w:rFonts w:hint="eastAsia" w:ascii="仿宋" w:hAnsi="仿宋" w:eastAsia="仿宋" w:cs="仿宋"/>
          <w:sz w:val="30"/>
          <w:szCs w:val="30"/>
        </w:rPr>
        <w:t>主要是</w:t>
      </w:r>
      <w:r>
        <w:rPr>
          <w:rFonts w:hint="eastAsia" w:ascii="仿宋" w:hAnsi="仿宋" w:eastAsia="仿宋" w:cs="仿宋"/>
          <w:sz w:val="30"/>
          <w:szCs w:val="30"/>
          <w:lang w:eastAsia="zh-CN"/>
        </w:rPr>
        <w:t>为协调推进</w:t>
      </w:r>
      <w:r>
        <w:rPr>
          <w:rFonts w:hint="eastAsia" w:ascii="仿宋" w:hAnsi="仿宋" w:eastAsia="仿宋" w:cs="仿宋"/>
          <w:sz w:val="30"/>
          <w:szCs w:val="30"/>
        </w:rPr>
        <w:t>船山区202</w:t>
      </w:r>
      <w:r>
        <w:rPr>
          <w:rFonts w:hint="eastAsia" w:ascii="仿宋" w:hAnsi="仿宋" w:eastAsia="仿宋" w:cs="仿宋"/>
          <w:sz w:val="30"/>
          <w:szCs w:val="30"/>
          <w:lang w:val="en-US" w:eastAsia="zh-CN"/>
        </w:rPr>
        <w:t>3</w:t>
      </w:r>
      <w:r>
        <w:rPr>
          <w:rFonts w:hint="eastAsia" w:ascii="仿宋" w:hAnsi="仿宋" w:eastAsia="仿宋" w:cs="仿宋"/>
          <w:sz w:val="30"/>
          <w:szCs w:val="30"/>
        </w:rPr>
        <w:t>年期间</w:t>
      </w:r>
      <w:r>
        <w:rPr>
          <w:rFonts w:hint="eastAsia" w:ascii="仿宋" w:hAnsi="仿宋" w:eastAsia="仿宋" w:cs="仿宋"/>
          <w:sz w:val="30"/>
          <w:szCs w:val="30"/>
          <w:lang w:eastAsia="zh-CN"/>
        </w:rPr>
        <w:t>金融监管、金融服务、日常运转等工作设立。项目目标为促进辖区金融业创新健康发展，防范化解区域金融风险，维护区域金融稳定</w:t>
      </w:r>
      <w:r>
        <w:rPr>
          <w:rFonts w:hint="eastAsia" w:ascii="仿宋" w:hAnsi="仿宋" w:eastAsia="仿宋" w:cs="仿宋"/>
          <w:sz w:val="30"/>
          <w:szCs w:val="30"/>
        </w:rPr>
        <w:t>。</w:t>
      </w:r>
    </w:p>
    <w:p w14:paraId="7350CFC7">
      <w:pPr>
        <w:keepNext w:val="0"/>
        <w:keepLines w:val="0"/>
        <w:pageBreakBefore w:val="0"/>
        <w:widowControl w:val="0"/>
        <w:numPr>
          <w:ilvl w:val="0"/>
          <w:numId w:val="8"/>
        </w:numPr>
        <w:kinsoku/>
        <w:wordWrap/>
        <w:overflowPunct/>
        <w:topLinePunct w:val="0"/>
        <w:autoSpaceDE/>
        <w:autoSpaceDN/>
        <w:bidi w:val="0"/>
        <w:adjustRightInd/>
        <w:snapToGrid/>
        <w:spacing w:line="640" w:lineRule="exact"/>
        <w:ind w:firstLine="640"/>
        <w:jc w:val="left"/>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项目实施情况</w:t>
      </w:r>
    </w:p>
    <w:p w14:paraId="1CACC486">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本项目支出均按照有关规章制度和项目实施完成情况进行支付。</w:t>
      </w:r>
    </w:p>
    <w:p w14:paraId="66A65BDC">
      <w:pPr>
        <w:keepNext w:val="0"/>
        <w:keepLines w:val="0"/>
        <w:pageBreakBefore w:val="0"/>
        <w:widowControl w:val="0"/>
        <w:numPr>
          <w:ilvl w:val="0"/>
          <w:numId w:val="8"/>
        </w:numPr>
        <w:kinsoku/>
        <w:wordWrap/>
        <w:overflowPunct/>
        <w:topLinePunct w:val="0"/>
        <w:autoSpaceDE/>
        <w:autoSpaceDN/>
        <w:bidi w:val="0"/>
        <w:adjustRightInd/>
        <w:snapToGrid/>
        <w:spacing w:line="640" w:lineRule="exact"/>
        <w:ind w:firstLine="64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资金投入使用情况</w:t>
      </w:r>
    </w:p>
    <w:p w14:paraId="662110F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00" w:firstLineChars="200"/>
        <w:jc w:val="left"/>
        <w:textAlignment w:val="auto"/>
        <w:rPr>
          <w:rStyle w:val="37"/>
          <w:rFonts w:hint="eastAsia" w:ascii="仿宋" w:hAnsi="仿宋" w:eastAsia="仿宋" w:cs="仿宋"/>
          <w:b w:val="0"/>
          <w:bCs w:val="0"/>
          <w:i w:val="0"/>
          <w:caps w:val="0"/>
          <w:spacing w:val="0"/>
          <w:w w:val="100"/>
          <w:kern w:val="2"/>
          <w:sz w:val="30"/>
          <w:szCs w:val="30"/>
          <w:lang w:val="en-US" w:eastAsia="zh-CN" w:bidi="ar-SA"/>
        </w:rPr>
      </w:pPr>
      <w:r>
        <w:rPr>
          <w:rStyle w:val="37"/>
          <w:rFonts w:hint="eastAsia" w:ascii="仿宋" w:hAnsi="仿宋" w:eastAsia="仿宋" w:cs="仿宋"/>
          <w:b w:val="0"/>
          <w:bCs w:val="0"/>
          <w:i w:val="0"/>
          <w:caps w:val="0"/>
          <w:spacing w:val="0"/>
          <w:w w:val="100"/>
          <w:kern w:val="2"/>
          <w:sz w:val="30"/>
          <w:szCs w:val="30"/>
          <w:lang w:val="en-US" w:eastAsia="zh-CN" w:bidi="ar-SA"/>
        </w:rPr>
        <w:t>年初预算数为56810.22元，1-12月使用56810.22元，主要用于：产融对接活动举办、防范非法集资等各类宣传活动、印发各类宣传手册及宣传物料、地方金融工作日常运转等。其中产融对接活动会议室租赁费用5000元，防范非法集资宣传活动、扫黑除恶宣传活动宣传费用28360.38元，产融对接及防非宣传等宣传物料打印装订费用22149.84元，金融报刊杂志征订费用1300元，金融工作经费项目资金于2023年11月全部使用完毕。</w:t>
      </w:r>
    </w:p>
    <w:p w14:paraId="3D1085C3">
      <w:pPr>
        <w:keepNext w:val="0"/>
        <w:keepLines w:val="0"/>
        <w:pageBreakBefore w:val="0"/>
        <w:widowControl w:val="0"/>
        <w:numPr>
          <w:ilvl w:val="0"/>
          <w:numId w:val="8"/>
        </w:numPr>
        <w:kinsoku/>
        <w:wordWrap/>
        <w:overflowPunct/>
        <w:topLinePunct w:val="0"/>
        <w:autoSpaceDE/>
        <w:autoSpaceDN/>
        <w:bidi w:val="0"/>
        <w:adjustRightInd/>
        <w:snapToGrid/>
        <w:spacing w:line="640" w:lineRule="exact"/>
        <w:ind w:left="0" w:leftChars="0" w:firstLine="640" w:firstLineChars="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项目绩效目标</w:t>
      </w:r>
    </w:p>
    <w:p w14:paraId="748048D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00" w:firstLineChars="200"/>
        <w:jc w:val="left"/>
        <w:textAlignment w:val="auto"/>
        <w:rPr>
          <w:rStyle w:val="37"/>
          <w:rFonts w:hint="eastAsia" w:ascii="仿宋" w:hAnsi="仿宋" w:eastAsia="仿宋" w:cs="仿宋"/>
          <w:b w:val="0"/>
          <w:bCs w:val="0"/>
          <w:i w:val="0"/>
          <w:caps w:val="0"/>
          <w:spacing w:val="0"/>
          <w:w w:val="100"/>
          <w:kern w:val="2"/>
          <w:sz w:val="30"/>
          <w:szCs w:val="30"/>
          <w:lang w:val="en-US" w:eastAsia="zh-CN" w:bidi="ar-SA"/>
        </w:rPr>
      </w:pPr>
      <w:r>
        <w:rPr>
          <w:rStyle w:val="37"/>
          <w:rFonts w:hint="eastAsia" w:ascii="仿宋" w:hAnsi="仿宋" w:eastAsia="仿宋" w:cs="仿宋"/>
          <w:b w:val="0"/>
          <w:bCs w:val="0"/>
          <w:i w:val="0"/>
          <w:caps w:val="0"/>
          <w:spacing w:val="0"/>
          <w:w w:val="100"/>
          <w:kern w:val="2"/>
          <w:sz w:val="30"/>
          <w:szCs w:val="30"/>
          <w:lang w:val="en-US" w:eastAsia="zh-CN" w:bidi="ar-SA"/>
        </w:rPr>
        <w:t>本项目实际总体绩效目标为完成年度预算56810.22万元，资金使用率100%，完成年初预算的100%。</w:t>
      </w:r>
    </w:p>
    <w:p w14:paraId="15C7727E">
      <w:pPr>
        <w:keepNext w:val="0"/>
        <w:keepLines w:val="0"/>
        <w:pageBreakBefore w:val="0"/>
        <w:widowControl w:val="0"/>
        <w:kinsoku/>
        <w:wordWrap/>
        <w:overflowPunct/>
        <w:topLinePunct w:val="0"/>
        <w:autoSpaceDE/>
        <w:autoSpaceDN/>
        <w:bidi w:val="0"/>
        <w:adjustRightInd/>
        <w:snapToGrid w:val="0"/>
        <w:spacing w:line="6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二、评价工作开展情况</w:t>
      </w:r>
    </w:p>
    <w:p w14:paraId="60144078">
      <w:pPr>
        <w:keepNext w:val="0"/>
        <w:keepLines w:val="0"/>
        <w:pageBreakBefore w:val="0"/>
        <w:widowControl w:val="0"/>
        <w:kinsoku/>
        <w:wordWrap/>
        <w:overflowPunct/>
        <w:topLinePunct w:val="0"/>
        <w:autoSpaceDE/>
        <w:autoSpaceDN/>
        <w:bidi w:val="0"/>
        <w:adjustRightInd/>
        <w:snapToGrid w:val="0"/>
        <w:spacing w:line="64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一是组织相关股室人员认真学习绩效管理评价文件。二是科学制定方案，评价开展前根据财政部门要求拟定了工作方案，对评价工作进行任务分工。为保障本次绩效评价工作顺利完成，由区金融服务中心主任鲍龙任组长，项目相关股室组成评价组，对涉及项目进行分类评价。三是加强沟通协调，接到绩效评价工作任务后，及时将项目分解到相关股室，由相关股室结合项目实施情况收集项目信息并填报绩效自评表，由股室负责人对项目绩效进行评定并由组长最终审定。</w:t>
      </w:r>
    </w:p>
    <w:p w14:paraId="36754EFE">
      <w:pPr>
        <w:keepNext w:val="0"/>
        <w:keepLines w:val="0"/>
        <w:pageBreakBefore w:val="0"/>
        <w:widowControl w:val="0"/>
        <w:kinsoku/>
        <w:wordWrap/>
        <w:overflowPunct/>
        <w:topLinePunct w:val="0"/>
        <w:autoSpaceDE/>
        <w:autoSpaceDN/>
        <w:bidi w:val="0"/>
        <w:adjustRightInd/>
        <w:snapToGrid w:val="0"/>
        <w:spacing w:line="6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三、综合评价结论</w:t>
      </w:r>
    </w:p>
    <w:p w14:paraId="1E4584EC">
      <w:pPr>
        <w:keepNext w:val="0"/>
        <w:keepLines w:val="0"/>
        <w:pageBreakBefore w:val="0"/>
        <w:widowControl w:val="0"/>
        <w:kinsoku/>
        <w:wordWrap/>
        <w:overflowPunct/>
        <w:topLinePunct w:val="0"/>
        <w:autoSpaceDE/>
        <w:autoSpaceDN/>
        <w:bidi w:val="0"/>
        <w:adjustRightInd/>
        <w:snapToGrid w:val="0"/>
        <w:spacing w:line="640" w:lineRule="exact"/>
        <w:ind w:firstLine="1205" w:firstLineChars="400"/>
        <w:jc w:val="both"/>
        <w:textAlignment w:val="auto"/>
        <w:rPr>
          <w:rFonts w:hint="eastAsia" w:ascii="仿宋" w:hAnsi="仿宋" w:eastAsia="仿宋" w:cs="仿宋"/>
          <w:b/>
          <w:bCs w:val="0"/>
          <w:sz w:val="30"/>
          <w:szCs w:val="30"/>
          <w:lang w:val="en-US" w:eastAsia="zh-CN"/>
        </w:rPr>
      </w:pPr>
      <w:bookmarkStart w:id="66" w:name="OLE_LINK15"/>
      <w:r>
        <w:rPr>
          <w:rFonts w:hint="eastAsia" w:ascii="仿宋" w:hAnsi="仿宋" w:eastAsia="仿宋" w:cs="仿宋"/>
          <w:b/>
          <w:bCs w:val="0"/>
          <w:sz w:val="30"/>
          <w:szCs w:val="30"/>
          <w:lang w:val="en-US" w:eastAsia="zh-CN"/>
        </w:rPr>
        <w:t>2023年金融工作经费支出绩效评价自评表</w:t>
      </w:r>
    </w:p>
    <w:tbl>
      <w:tblPr>
        <w:tblStyle w:val="15"/>
        <w:tblpPr w:leftFromText="180" w:rightFromText="180" w:vertAnchor="text" w:horzAnchor="page" w:tblpX="1698" w:tblpY="331"/>
        <w:tblOverlap w:val="never"/>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1641"/>
        <w:gridCol w:w="1462"/>
        <w:gridCol w:w="1113"/>
        <w:gridCol w:w="750"/>
        <w:gridCol w:w="1450"/>
      </w:tblGrid>
      <w:tr w14:paraId="1CC3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458" w:type="dxa"/>
            <w:gridSpan w:val="3"/>
            <w:noWrap w:val="0"/>
            <w:vAlign w:val="top"/>
          </w:tcPr>
          <w:p w14:paraId="12C09C7B">
            <w:pPr>
              <w:snapToGrid w:val="0"/>
              <w:spacing w:line="600" w:lineRule="exact"/>
              <w:jc w:val="center"/>
              <w:rPr>
                <w:rFonts w:hint="eastAsia" w:ascii="仿宋" w:hAnsi="仿宋" w:eastAsia="仿宋" w:cs="仿宋"/>
                <w:b/>
                <w:bCs w:val="0"/>
                <w:sz w:val="30"/>
                <w:szCs w:val="30"/>
                <w:vertAlign w:val="baseline"/>
                <w:lang w:eastAsia="zh-CN"/>
              </w:rPr>
            </w:pPr>
            <w:bookmarkStart w:id="67" w:name="OLE_LINK7" w:colFirst="1" w:colLast="2"/>
            <w:r>
              <w:rPr>
                <w:rFonts w:hint="eastAsia" w:ascii="仿宋" w:hAnsi="仿宋" w:eastAsia="仿宋" w:cs="仿宋"/>
                <w:b/>
                <w:bCs w:val="0"/>
                <w:sz w:val="30"/>
                <w:szCs w:val="30"/>
                <w:lang w:val="en-US" w:eastAsia="zh-CN"/>
              </w:rPr>
              <w:t>分层分类指标</w:t>
            </w:r>
          </w:p>
        </w:tc>
        <w:tc>
          <w:tcPr>
            <w:tcW w:w="1113" w:type="dxa"/>
            <w:vMerge w:val="restart"/>
            <w:noWrap w:val="0"/>
            <w:vAlign w:val="top"/>
          </w:tcPr>
          <w:p w14:paraId="5FB1FF27">
            <w:pPr>
              <w:snapToGrid w:val="0"/>
              <w:spacing w:line="600" w:lineRule="exact"/>
              <w:jc w:val="center"/>
              <w:rPr>
                <w:rFonts w:hint="eastAsia" w:ascii="仿宋" w:hAnsi="仿宋" w:eastAsia="仿宋" w:cs="仿宋"/>
                <w:b/>
                <w:bCs w:val="0"/>
                <w:sz w:val="30"/>
                <w:szCs w:val="30"/>
                <w:lang w:val="en-US" w:eastAsia="zh-CN"/>
              </w:rPr>
            </w:pPr>
          </w:p>
          <w:p w14:paraId="6AC774F7">
            <w:pPr>
              <w:snapToGrid w:val="0"/>
              <w:spacing w:line="600" w:lineRule="exact"/>
              <w:jc w:val="center"/>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目标值</w:t>
            </w:r>
          </w:p>
        </w:tc>
        <w:tc>
          <w:tcPr>
            <w:tcW w:w="750" w:type="dxa"/>
            <w:vMerge w:val="restart"/>
            <w:noWrap w:val="0"/>
            <w:vAlign w:val="top"/>
          </w:tcPr>
          <w:p w14:paraId="6AE53473">
            <w:pPr>
              <w:snapToGrid w:val="0"/>
              <w:spacing w:line="600" w:lineRule="exact"/>
              <w:jc w:val="center"/>
              <w:rPr>
                <w:rFonts w:hint="eastAsia" w:ascii="仿宋" w:hAnsi="仿宋" w:eastAsia="仿宋" w:cs="仿宋"/>
                <w:b/>
                <w:bCs w:val="0"/>
                <w:sz w:val="30"/>
                <w:szCs w:val="30"/>
                <w:lang w:val="en-US" w:eastAsia="zh-CN"/>
              </w:rPr>
            </w:pPr>
          </w:p>
          <w:p w14:paraId="3DACD7F2">
            <w:pPr>
              <w:snapToGrid w:val="0"/>
              <w:spacing w:line="600" w:lineRule="exact"/>
              <w:jc w:val="center"/>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分值</w:t>
            </w:r>
          </w:p>
        </w:tc>
        <w:tc>
          <w:tcPr>
            <w:tcW w:w="1450" w:type="dxa"/>
            <w:vMerge w:val="restart"/>
            <w:noWrap w:val="0"/>
            <w:vAlign w:val="top"/>
          </w:tcPr>
          <w:p w14:paraId="3230A891">
            <w:pPr>
              <w:snapToGrid w:val="0"/>
              <w:spacing w:line="600" w:lineRule="exact"/>
              <w:jc w:val="center"/>
              <w:rPr>
                <w:rFonts w:hint="eastAsia" w:ascii="仿宋" w:hAnsi="仿宋" w:eastAsia="仿宋" w:cs="仿宋"/>
                <w:b/>
                <w:bCs w:val="0"/>
                <w:sz w:val="30"/>
                <w:szCs w:val="30"/>
                <w:lang w:val="en-US" w:eastAsia="zh-CN"/>
              </w:rPr>
            </w:pPr>
          </w:p>
          <w:p w14:paraId="3E64E384">
            <w:pPr>
              <w:snapToGrid w:val="0"/>
              <w:spacing w:line="600" w:lineRule="exact"/>
              <w:jc w:val="center"/>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自评得分</w:t>
            </w:r>
          </w:p>
        </w:tc>
      </w:tr>
      <w:bookmarkEnd w:id="67"/>
      <w:tr w14:paraId="171F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355" w:type="dxa"/>
            <w:noWrap w:val="0"/>
            <w:vAlign w:val="top"/>
          </w:tcPr>
          <w:p w14:paraId="11084C82">
            <w:pPr>
              <w:snapToGrid w:val="0"/>
              <w:spacing w:line="240" w:lineRule="auto"/>
              <w:jc w:val="center"/>
              <w:rPr>
                <w:rFonts w:hint="eastAsia" w:ascii="仿宋" w:hAnsi="仿宋" w:eastAsia="仿宋" w:cs="仿宋"/>
                <w:b/>
                <w:bCs w:val="0"/>
                <w:sz w:val="30"/>
                <w:szCs w:val="30"/>
                <w:lang w:val="en-US" w:eastAsia="zh-CN"/>
              </w:rPr>
            </w:pPr>
          </w:p>
          <w:p w14:paraId="4291DD0B">
            <w:pPr>
              <w:snapToGrid w:val="0"/>
              <w:spacing w:line="240" w:lineRule="auto"/>
              <w:jc w:val="center"/>
              <w:rPr>
                <w:rFonts w:hint="eastAsia" w:ascii="仿宋" w:hAnsi="仿宋" w:eastAsia="仿宋" w:cs="仿宋"/>
                <w:b/>
                <w:bCs w:val="0"/>
                <w:sz w:val="30"/>
                <w:szCs w:val="30"/>
                <w:vertAlign w:val="baseline"/>
                <w:lang w:eastAsia="zh-CN"/>
              </w:rPr>
            </w:pPr>
            <w:r>
              <w:rPr>
                <w:rFonts w:hint="eastAsia" w:ascii="仿宋" w:hAnsi="仿宋" w:eastAsia="仿宋" w:cs="仿宋"/>
                <w:b/>
                <w:bCs w:val="0"/>
                <w:sz w:val="30"/>
                <w:szCs w:val="30"/>
                <w:lang w:val="en-US" w:eastAsia="zh-CN"/>
              </w:rPr>
              <w:t>分层指标</w:t>
            </w:r>
          </w:p>
        </w:tc>
        <w:tc>
          <w:tcPr>
            <w:tcW w:w="1641" w:type="dxa"/>
            <w:noWrap w:val="0"/>
            <w:vAlign w:val="top"/>
          </w:tcPr>
          <w:p w14:paraId="62E561A1">
            <w:pPr>
              <w:snapToGrid w:val="0"/>
              <w:spacing w:line="240" w:lineRule="auto"/>
              <w:jc w:val="center"/>
              <w:rPr>
                <w:rFonts w:hint="eastAsia" w:ascii="仿宋" w:hAnsi="仿宋" w:eastAsia="仿宋" w:cs="仿宋"/>
                <w:b/>
                <w:bCs w:val="0"/>
                <w:sz w:val="30"/>
                <w:szCs w:val="30"/>
                <w:lang w:val="en-US" w:eastAsia="zh-CN"/>
              </w:rPr>
            </w:pPr>
          </w:p>
          <w:p w14:paraId="68204DBD">
            <w:pPr>
              <w:snapToGrid w:val="0"/>
              <w:spacing w:line="240" w:lineRule="auto"/>
              <w:jc w:val="center"/>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一级指标</w:t>
            </w:r>
          </w:p>
        </w:tc>
        <w:tc>
          <w:tcPr>
            <w:tcW w:w="1462" w:type="dxa"/>
            <w:noWrap w:val="0"/>
            <w:vAlign w:val="top"/>
          </w:tcPr>
          <w:p w14:paraId="55BA7085">
            <w:pPr>
              <w:snapToGrid w:val="0"/>
              <w:spacing w:line="240" w:lineRule="auto"/>
              <w:jc w:val="center"/>
              <w:rPr>
                <w:rFonts w:hint="eastAsia" w:ascii="仿宋" w:hAnsi="仿宋" w:eastAsia="仿宋" w:cs="仿宋"/>
                <w:b/>
                <w:bCs w:val="0"/>
                <w:sz w:val="30"/>
                <w:szCs w:val="30"/>
                <w:lang w:val="en-US" w:eastAsia="zh-CN"/>
              </w:rPr>
            </w:pPr>
          </w:p>
          <w:p w14:paraId="49352D6C">
            <w:pPr>
              <w:snapToGrid w:val="0"/>
              <w:spacing w:line="240" w:lineRule="auto"/>
              <w:jc w:val="center"/>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二级指标</w:t>
            </w:r>
          </w:p>
        </w:tc>
        <w:tc>
          <w:tcPr>
            <w:tcW w:w="1113" w:type="dxa"/>
            <w:vMerge w:val="continue"/>
            <w:noWrap w:val="0"/>
            <w:vAlign w:val="top"/>
          </w:tcPr>
          <w:p w14:paraId="45823D1C">
            <w:pPr>
              <w:snapToGrid w:val="0"/>
              <w:spacing w:line="600" w:lineRule="exact"/>
              <w:rPr>
                <w:rFonts w:hint="eastAsia" w:ascii="仿宋" w:hAnsi="仿宋" w:eastAsia="仿宋" w:cs="仿宋"/>
                <w:bCs/>
                <w:sz w:val="30"/>
                <w:szCs w:val="30"/>
                <w:vertAlign w:val="baseline"/>
              </w:rPr>
            </w:pPr>
          </w:p>
        </w:tc>
        <w:tc>
          <w:tcPr>
            <w:tcW w:w="750" w:type="dxa"/>
            <w:vMerge w:val="continue"/>
            <w:noWrap w:val="0"/>
            <w:vAlign w:val="top"/>
          </w:tcPr>
          <w:p w14:paraId="600C0958">
            <w:pPr>
              <w:snapToGrid w:val="0"/>
              <w:spacing w:line="600" w:lineRule="exact"/>
              <w:rPr>
                <w:rFonts w:hint="eastAsia" w:ascii="仿宋" w:hAnsi="仿宋" w:eastAsia="仿宋" w:cs="仿宋"/>
                <w:bCs/>
                <w:sz w:val="30"/>
                <w:szCs w:val="30"/>
                <w:vertAlign w:val="baseline"/>
              </w:rPr>
            </w:pPr>
          </w:p>
        </w:tc>
        <w:tc>
          <w:tcPr>
            <w:tcW w:w="1450" w:type="dxa"/>
            <w:vMerge w:val="continue"/>
            <w:noWrap w:val="0"/>
            <w:vAlign w:val="top"/>
          </w:tcPr>
          <w:p w14:paraId="1436C3AC">
            <w:pPr>
              <w:snapToGrid w:val="0"/>
              <w:spacing w:line="600" w:lineRule="exact"/>
              <w:rPr>
                <w:rFonts w:hint="eastAsia" w:ascii="仿宋" w:hAnsi="仿宋" w:eastAsia="仿宋" w:cs="仿宋"/>
                <w:bCs/>
                <w:sz w:val="30"/>
                <w:szCs w:val="30"/>
                <w:vertAlign w:val="baseline"/>
              </w:rPr>
            </w:pPr>
          </w:p>
        </w:tc>
      </w:tr>
      <w:tr w14:paraId="5C28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55" w:type="dxa"/>
            <w:vMerge w:val="restart"/>
            <w:noWrap w:val="0"/>
            <w:vAlign w:val="top"/>
          </w:tcPr>
          <w:p w14:paraId="59E3663F">
            <w:pPr>
              <w:snapToGrid w:val="0"/>
              <w:spacing w:line="600" w:lineRule="exact"/>
              <w:rPr>
                <w:rFonts w:hint="eastAsia" w:ascii="仿宋" w:hAnsi="仿宋" w:eastAsia="仿宋" w:cs="仿宋"/>
                <w:bCs/>
                <w:sz w:val="30"/>
                <w:szCs w:val="30"/>
                <w:lang w:val="en-US" w:eastAsia="zh-CN"/>
              </w:rPr>
            </w:pPr>
          </w:p>
          <w:p w14:paraId="12379AAA">
            <w:pPr>
              <w:snapToGrid w:val="0"/>
              <w:spacing w:line="600" w:lineRule="exact"/>
              <w:rPr>
                <w:rFonts w:hint="eastAsia" w:ascii="仿宋" w:hAnsi="仿宋" w:eastAsia="仿宋" w:cs="仿宋"/>
                <w:bCs/>
                <w:sz w:val="30"/>
                <w:szCs w:val="30"/>
                <w:lang w:val="en-US" w:eastAsia="zh-CN"/>
              </w:rPr>
            </w:pPr>
          </w:p>
          <w:p w14:paraId="6A46DED9">
            <w:pPr>
              <w:snapToGrid w:val="0"/>
              <w:spacing w:line="600" w:lineRule="exact"/>
              <w:rPr>
                <w:rFonts w:hint="eastAsia" w:ascii="仿宋" w:hAnsi="仿宋" w:eastAsia="仿宋" w:cs="仿宋"/>
                <w:bCs/>
                <w:sz w:val="30"/>
                <w:szCs w:val="30"/>
                <w:lang w:val="en-US" w:eastAsia="zh-CN"/>
              </w:rPr>
            </w:pPr>
          </w:p>
          <w:p w14:paraId="16946E42">
            <w:pPr>
              <w:snapToGrid w:val="0"/>
              <w:spacing w:line="600" w:lineRule="exact"/>
              <w:rPr>
                <w:rFonts w:hint="eastAsia" w:ascii="仿宋" w:hAnsi="仿宋" w:eastAsia="仿宋" w:cs="仿宋"/>
                <w:bCs/>
                <w:sz w:val="30"/>
                <w:szCs w:val="30"/>
                <w:vertAlign w:val="baseline"/>
                <w:lang w:val="en-US" w:eastAsia="zh-CN"/>
              </w:rPr>
            </w:pPr>
            <w:r>
              <w:rPr>
                <w:rFonts w:hint="eastAsia" w:ascii="仿宋" w:hAnsi="仿宋" w:eastAsia="仿宋" w:cs="仿宋"/>
                <w:b/>
                <w:bCs w:val="0"/>
                <w:sz w:val="30"/>
                <w:szCs w:val="30"/>
                <w:lang w:val="en-US" w:eastAsia="zh-CN"/>
              </w:rPr>
              <w:t>通用指标（20分）</w:t>
            </w:r>
          </w:p>
        </w:tc>
        <w:tc>
          <w:tcPr>
            <w:tcW w:w="1641" w:type="dxa"/>
            <w:vMerge w:val="restart"/>
            <w:noWrap w:val="0"/>
            <w:vAlign w:val="top"/>
          </w:tcPr>
          <w:p w14:paraId="7CBD187F">
            <w:pPr>
              <w:snapToGrid w:val="0"/>
              <w:spacing w:line="600" w:lineRule="exact"/>
              <w:rPr>
                <w:rFonts w:hint="eastAsia" w:ascii="仿宋" w:hAnsi="仿宋" w:eastAsia="仿宋" w:cs="仿宋"/>
                <w:b/>
                <w:bCs w:val="0"/>
                <w:sz w:val="30"/>
                <w:szCs w:val="30"/>
                <w:lang w:val="en-US" w:eastAsia="zh-CN"/>
              </w:rPr>
            </w:pPr>
          </w:p>
          <w:p w14:paraId="4724ED88">
            <w:pPr>
              <w:snapToGrid w:val="0"/>
              <w:spacing w:line="600" w:lineRule="exact"/>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项目决策</w:t>
            </w:r>
          </w:p>
        </w:tc>
        <w:tc>
          <w:tcPr>
            <w:tcW w:w="1462" w:type="dxa"/>
            <w:noWrap w:val="0"/>
            <w:vAlign w:val="top"/>
          </w:tcPr>
          <w:p w14:paraId="78D3FB1C">
            <w:pPr>
              <w:snapToGrid w:val="0"/>
              <w:spacing w:line="600" w:lineRule="exact"/>
              <w:jc w:val="center"/>
              <w:rPr>
                <w:rFonts w:hint="eastAsia" w:ascii="仿宋" w:hAnsi="仿宋" w:eastAsia="仿宋" w:cs="仿宋"/>
                <w:bCs/>
                <w:sz w:val="30"/>
                <w:szCs w:val="30"/>
                <w:vertAlign w:val="baseline"/>
                <w:lang w:eastAsia="zh-CN"/>
              </w:rPr>
            </w:pPr>
            <w:r>
              <w:rPr>
                <w:rFonts w:hint="eastAsia" w:ascii="仿宋" w:hAnsi="仿宋" w:eastAsia="仿宋" w:cs="仿宋"/>
                <w:bCs/>
                <w:sz w:val="30"/>
                <w:szCs w:val="30"/>
                <w:lang w:val="en-US" w:eastAsia="zh-CN"/>
              </w:rPr>
              <w:t>程序严密</w:t>
            </w:r>
          </w:p>
        </w:tc>
        <w:tc>
          <w:tcPr>
            <w:tcW w:w="1113" w:type="dxa"/>
            <w:noWrap w:val="0"/>
            <w:vAlign w:val="top"/>
          </w:tcPr>
          <w:p w14:paraId="65E0526E">
            <w:pPr>
              <w:snapToGrid w:val="0"/>
              <w:spacing w:line="600" w:lineRule="exact"/>
              <w:jc w:val="center"/>
              <w:rPr>
                <w:rFonts w:hint="eastAsia" w:ascii="仿宋" w:hAnsi="仿宋" w:eastAsia="仿宋" w:cs="仿宋"/>
                <w:bCs/>
                <w:sz w:val="30"/>
                <w:szCs w:val="30"/>
                <w:vertAlign w:val="baseline"/>
                <w:lang w:eastAsia="zh-CN"/>
              </w:rPr>
            </w:pPr>
            <w:r>
              <w:rPr>
                <w:rFonts w:hint="eastAsia" w:ascii="仿宋" w:hAnsi="仿宋" w:eastAsia="仿宋" w:cs="仿宋"/>
                <w:bCs/>
                <w:sz w:val="30"/>
                <w:szCs w:val="30"/>
                <w:lang w:val="en-US" w:eastAsia="zh-CN"/>
              </w:rPr>
              <w:t>严密</w:t>
            </w:r>
          </w:p>
        </w:tc>
        <w:tc>
          <w:tcPr>
            <w:tcW w:w="750" w:type="dxa"/>
            <w:noWrap w:val="0"/>
            <w:vAlign w:val="top"/>
          </w:tcPr>
          <w:p w14:paraId="1CE4FFEB">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w:t>
            </w:r>
          </w:p>
        </w:tc>
        <w:tc>
          <w:tcPr>
            <w:tcW w:w="1450" w:type="dxa"/>
            <w:noWrap w:val="0"/>
            <w:vAlign w:val="top"/>
          </w:tcPr>
          <w:p w14:paraId="6D14FE04">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w:t>
            </w:r>
          </w:p>
        </w:tc>
      </w:tr>
      <w:tr w14:paraId="5814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55" w:type="dxa"/>
            <w:vMerge w:val="continue"/>
            <w:noWrap w:val="0"/>
            <w:vAlign w:val="top"/>
          </w:tcPr>
          <w:p w14:paraId="63338872">
            <w:pPr>
              <w:snapToGrid w:val="0"/>
              <w:spacing w:line="600" w:lineRule="exact"/>
              <w:rPr>
                <w:rFonts w:hint="eastAsia" w:ascii="仿宋" w:hAnsi="仿宋" w:eastAsia="仿宋" w:cs="仿宋"/>
                <w:sz w:val="30"/>
                <w:szCs w:val="30"/>
              </w:rPr>
            </w:pPr>
          </w:p>
        </w:tc>
        <w:tc>
          <w:tcPr>
            <w:tcW w:w="1641" w:type="dxa"/>
            <w:vMerge w:val="continue"/>
            <w:noWrap w:val="0"/>
            <w:vAlign w:val="top"/>
          </w:tcPr>
          <w:p w14:paraId="74B119C2">
            <w:pPr>
              <w:snapToGrid w:val="0"/>
              <w:spacing w:line="600" w:lineRule="exact"/>
              <w:rPr>
                <w:rFonts w:hint="eastAsia" w:ascii="仿宋" w:hAnsi="仿宋" w:eastAsia="仿宋" w:cs="仿宋"/>
                <w:b/>
                <w:bCs w:val="0"/>
                <w:sz w:val="30"/>
                <w:szCs w:val="30"/>
              </w:rPr>
            </w:pPr>
          </w:p>
        </w:tc>
        <w:tc>
          <w:tcPr>
            <w:tcW w:w="1462" w:type="dxa"/>
            <w:noWrap w:val="0"/>
            <w:vAlign w:val="top"/>
          </w:tcPr>
          <w:p w14:paraId="5FED3DBB">
            <w:pPr>
              <w:snapToGrid w:val="0"/>
              <w:spacing w:line="600" w:lineRule="exact"/>
              <w:jc w:val="center"/>
              <w:rPr>
                <w:rFonts w:hint="eastAsia" w:ascii="仿宋" w:hAnsi="仿宋" w:eastAsia="仿宋" w:cs="仿宋"/>
                <w:bCs/>
                <w:sz w:val="30"/>
                <w:szCs w:val="30"/>
                <w:vertAlign w:val="baseline"/>
                <w:lang w:eastAsia="zh-CN"/>
              </w:rPr>
            </w:pPr>
            <w:r>
              <w:rPr>
                <w:rFonts w:hint="eastAsia" w:ascii="仿宋" w:hAnsi="仿宋" w:eastAsia="仿宋" w:cs="仿宋"/>
                <w:bCs/>
                <w:sz w:val="30"/>
                <w:szCs w:val="30"/>
                <w:lang w:val="en-US" w:eastAsia="zh-CN"/>
              </w:rPr>
              <w:t>规划合理</w:t>
            </w:r>
          </w:p>
        </w:tc>
        <w:tc>
          <w:tcPr>
            <w:tcW w:w="1113" w:type="dxa"/>
            <w:noWrap w:val="0"/>
            <w:vAlign w:val="top"/>
          </w:tcPr>
          <w:p w14:paraId="1F3809B5">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合理</w:t>
            </w:r>
          </w:p>
        </w:tc>
        <w:tc>
          <w:tcPr>
            <w:tcW w:w="750" w:type="dxa"/>
            <w:noWrap w:val="0"/>
            <w:vAlign w:val="top"/>
          </w:tcPr>
          <w:p w14:paraId="52529AE6">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w:t>
            </w:r>
          </w:p>
        </w:tc>
        <w:tc>
          <w:tcPr>
            <w:tcW w:w="1450" w:type="dxa"/>
            <w:noWrap w:val="0"/>
            <w:vAlign w:val="top"/>
          </w:tcPr>
          <w:p w14:paraId="390E94D1">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w:t>
            </w:r>
          </w:p>
        </w:tc>
      </w:tr>
      <w:tr w14:paraId="65A9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55" w:type="dxa"/>
            <w:vMerge w:val="continue"/>
            <w:noWrap w:val="0"/>
            <w:vAlign w:val="top"/>
          </w:tcPr>
          <w:p w14:paraId="430C3763">
            <w:pPr>
              <w:snapToGrid w:val="0"/>
              <w:spacing w:line="600" w:lineRule="exact"/>
              <w:rPr>
                <w:rFonts w:hint="eastAsia" w:ascii="仿宋" w:hAnsi="仿宋" w:eastAsia="仿宋" w:cs="仿宋"/>
                <w:bCs/>
                <w:sz w:val="30"/>
                <w:szCs w:val="30"/>
                <w:vertAlign w:val="baseline"/>
              </w:rPr>
            </w:pPr>
          </w:p>
        </w:tc>
        <w:tc>
          <w:tcPr>
            <w:tcW w:w="1641" w:type="dxa"/>
            <w:vMerge w:val="continue"/>
            <w:noWrap w:val="0"/>
            <w:vAlign w:val="top"/>
          </w:tcPr>
          <w:p w14:paraId="10618A82">
            <w:pPr>
              <w:snapToGrid w:val="0"/>
              <w:spacing w:line="600" w:lineRule="exact"/>
              <w:rPr>
                <w:rFonts w:hint="eastAsia" w:ascii="仿宋" w:hAnsi="仿宋" w:eastAsia="仿宋" w:cs="仿宋"/>
                <w:b/>
                <w:bCs w:val="0"/>
                <w:sz w:val="30"/>
                <w:szCs w:val="30"/>
                <w:vertAlign w:val="baseline"/>
              </w:rPr>
            </w:pPr>
          </w:p>
        </w:tc>
        <w:tc>
          <w:tcPr>
            <w:tcW w:w="1462" w:type="dxa"/>
            <w:noWrap w:val="0"/>
            <w:vAlign w:val="top"/>
          </w:tcPr>
          <w:p w14:paraId="7FB8275D">
            <w:pPr>
              <w:snapToGrid w:val="0"/>
              <w:spacing w:line="600" w:lineRule="exact"/>
              <w:jc w:val="center"/>
              <w:rPr>
                <w:rFonts w:hint="eastAsia" w:ascii="仿宋" w:hAnsi="仿宋" w:eastAsia="仿宋" w:cs="仿宋"/>
                <w:bCs/>
                <w:sz w:val="30"/>
                <w:szCs w:val="30"/>
                <w:vertAlign w:val="baseline"/>
                <w:lang w:eastAsia="zh-CN"/>
              </w:rPr>
            </w:pPr>
            <w:r>
              <w:rPr>
                <w:rFonts w:hint="eastAsia" w:ascii="仿宋" w:hAnsi="仿宋" w:eastAsia="仿宋" w:cs="仿宋"/>
                <w:bCs/>
                <w:sz w:val="30"/>
                <w:szCs w:val="30"/>
                <w:lang w:val="en-US" w:eastAsia="zh-CN"/>
              </w:rPr>
              <w:t>结果符合</w:t>
            </w:r>
          </w:p>
        </w:tc>
        <w:tc>
          <w:tcPr>
            <w:tcW w:w="1113" w:type="dxa"/>
            <w:noWrap w:val="0"/>
            <w:vAlign w:val="top"/>
          </w:tcPr>
          <w:p w14:paraId="49779ED3">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符合</w:t>
            </w:r>
          </w:p>
        </w:tc>
        <w:tc>
          <w:tcPr>
            <w:tcW w:w="750" w:type="dxa"/>
            <w:noWrap w:val="0"/>
            <w:vAlign w:val="top"/>
          </w:tcPr>
          <w:p w14:paraId="7820C521">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w:t>
            </w:r>
          </w:p>
        </w:tc>
        <w:tc>
          <w:tcPr>
            <w:tcW w:w="1450" w:type="dxa"/>
            <w:noWrap w:val="0"/>
            <w:vAlign w:val="top"/>
          </w:tcPr>
          <w:p w14:paraId="01C4E857">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w:t>
            </w:r>
          </w:p>
        </w:tc>
      </w:tr>
      <w:tr w14:paraId="24BB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355" w:type="dxa"/>
            <w:vMerge w:val="continue"/>
            <w:noWrap w:val="0"/>
            <w:vAlign w:val="top"/>
          </w:tcPr>
          <w:p w14:paraId="178BF610">
            <w:pPr>
              <w:snapToGrid w:val="0"/>
              <w:spacing w:line="600" w:lineRule="exact"/>
              <w:rPr>
                <w:rFonts w:hint="eastAsia" w:ascii="仿宋" w:hAnsi="仿宋" w:eastAsia="仿宋" w:cs="仿宋"/>
                <w:bCs/>
                <w:sz w:val="30"/>
                <w:szCs w:val="30"/>
                <w:vertAlign w:val="baseline"/>
              </w:rPr>
            </w:pPr>
          </w:p>
        </w:tc>
        <w:tc>
          <w:tcPr>
            <w:tcW w:w="1641" w:type="dxa"/>
            <w:vMerge w:val="restart"/>
            <w:noWrap w:val="0"/>
            <w:vAlign w:val="top"/>
          </w:tcPr>
          <w:p w14:paraId="79D10739">
            <w:pPr>
              <w:snapToGrid w:val="0"/>
              <w:spacing w:line="240" w:lineRule="auto"/>
              <w:rPr>
                <w:rFonts w:hint="eastAsia" w:ascii="仿宋" w:hAnsi="仿宋" w:eastAsia="仿宋" w:cs="仿宋"/>
                <w:b/>
                <w:bCs w:val="0"/>
                <w:sz w:val="30"/>
                <w:szCs w:val="30"/>
                <w:lang w:val="en-US" w:eastAsia="zh-CN"/>
              </w:rPr>
            </w:pPr>
          </w:p>
          <w:p w14:paraId="01D4C912">
            <w:pPr>
              <w:snapToGrid w:val="0"/>
              <w:spacing w:line="240" w:lineRule="auto"/>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项目实施</w:t>
            </w:r>
          </w:p>
        </w:tc>
        <w:tc>
          <w:tcPr>
            <w:tcW w:w="1462" w:type="dxa"/>
            <w:noWrap w:val="0"/>
            <w:vAlign w:val="top"/>
          </w:tcPr>
          <w:p w14:paraId="47BD3AD2">
            <w:pPr>
              <w:snapToGrid w:val="0"/>
              <w:spacing w:line="600" w:lineRule="exact"/>
              <w:jc w:val="center"/>
              <w:rPr>
                <w:rFonts w:hint="eastAsia" w:ascii="仿宋" w:hAnsi="仿宋" w:eastAsia="仿宋" w:cs="仿宋"/>
                <w:bCs/>
                <w:sz w:val="30"/>
                <w:szCs w:val="30"/>
                <w:vertAlign w:val="baseline"/>
                <w:lang w:eastAsia="zh-CN"/>
              </w:rPr>
            </w:pPr>
            <w:r>
              <w:rPr>
                <w:rFonts w:hint="eastAsia" w:ascii="仿宋" w:hAnsi="仿宋" w:eastAsia="仿宋" w:cs="仿宋"/>
                <w:bCs/>
                <w:sz w:val="30"/>
                <w:szCs w:val="30"/>
                <w:lang w:val="en-US" w:eastAsia="zh-CN"/>
              </w:rPr>
              <w:t>执行有效</w:t>
            </w:r>
          </w:p>
        </w:tc>
        <w:tc>
          <w:tcPr>
            <w:tcW w:w="1113" w:type="dxa"/>
            <w:noWrap w:val="0"/>
            <w:vAlign w:val="top"/>
          </w:tcPr>
          <w:p w14:paraId="5A0855AB">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有效</w:t>
            </w:r>
          </w:p>
        </w:tc>
        <w:tc>
          <w:tcPr>
            <w:tcW w:w="750" w:type="dxa"/>
            <w:noWrap w:val="0"/>
            <w:vAlign w:val="top"/>
          </w:tcPr>
          <w:p w14:paraId="61A56D3E">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4</w:t>
            </w:r>
          </w:p>
        </w:tc>
        <w:tc>
          <w:tcPr>
            <w:tcW w:w="1450" w:type="dxa"/>
            <w:noWrap w:val="0"/>
            <w:vAlign w:val="top"/>
          </w:tcPr>
          <w:p w14:paraId="519751BE">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4</w:t>
            </w:r>
          </w:p>
        </w:tc>
      </w:tr>
      <w:tr w14:paraId="0A99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355" w:type="dxa"/>
            <w:vMerge w:val="continue"/>
            <w:noWrap w:val="0"/>
            <w:vAlign w:val="top"/>
          </w:tcPr>
          <w:p w14:paraId="38F748F7">
            <w:pPr>
              <w:snapToGrid w:val="0"/>
              <w:spacing w:line="600" w:lineRule="exact"/>
              <w:rPr>
                <w:rFonts w:hint="eastAsia" w:ascii="仿宋" w:hAnsi="仿宋" w:eastAsia="仿宋" w:cs="仿宋"/>
                <w:sz w:val="30"/>
                <w:szCs w:val="30"/>
              </w:rPr>
            </w:pPr>
          </w:p>
        </w:tc>
        <w:tc>
          <w:tcPr>
            <w:tcW w:w="1641" w:type="dxa"/>
            <w:vMerge w:val="continue"/>
            <w:noWrap w:val="0"/>
            <w:vAlign w:val="top"/>
          </w:tcPr>
          <w:p w14:paraId="0ED8BC6F">
            <w:pPr>
              <w:snapToGrid w:val="0"/>
              <w:spacing w:line="600" w:lineRule="exact"/>
              <w:rPr>
                <w:rFonts w:hint="eastAsia" w:ascii="仿宋" w:hAnsi="仿宋" w:eastAsia="仿宋" w:cs="仿宋"/>
                <w:b/>
                <w:bCs w:val="0"/>
                <w:sz w:val="30"/>
                <w:szCs w:val="30"/>
              </w:rPr>
            </w:pPr>
          </w:p>
        </w:tc>
        <w:tc>
          <w:tcPr>
            <w:tcW w:w="1462" w:type="dxa"/>
            <w:noWrap w:val="0"/>
            <w:vAlign w:val="top"/>
          </w:tcPr>
          <w:p w14:paraId="1B4B6822">
            <w:pPr>
              <w:snapToGrid w:val="0"/>
              <w:spacing w:line="600" w:lineRule="exact"/>
              <w:jc w:val="center"/>
              <w:rPr>
                <w:rFonts w:hint="eastAsia" w:ascii="仿宋" w:hAnsi="仿宋" w:eastAsia="仿宋" w:cs="仿宋"/>
                <w:bCs/>
                <w:sz w:val="30"/>
                <w:szCs w:val="30"/>
                <w:vertAlign w:val="baseline"/>
                <w:lang w:eastAsia="zh-CN"/>
              </w:rPr>
            </w:pPr>
            <w:r>
              <w:rPr>
                <w:rFonts w:hint="eastAsia" w:ascii="仿宋" w:hAnsi="仿宋" w:eastAsia="仿宋" w:cs="仿宋"/>
                <w:bCs/>
                <w:sz w:val="30"/>
                <w:szCs w:val="30"/>
                <w:lang w:val="en-US" w:eastAsia="zh-CN"/>
              </w:rPr>
              <w:t>使用合规</w:t>
            </w:r>
          </w:p>
        </w:tc>
        <w:tc>
          <w:tcPr>
            <w:tcW w:w="1113" w:type="dxa"/>
            <w:noWrap w:val="0"/>
            <w:vAlign w:val="top"/>
          </w:tcPr>
          <w:p w14:paraId="7CBD5D36">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合规</w:t>
            </w:r>
          </w:p>
        </w:tc>
        <w:tc>
          <w:tcPr>
            <w:tcW w:w="750" w:type="dxa"/>
            <w:noWrap w:val="0"/>
            <w:vAlign w:val="top"/>
          </w:tcPr>
          <w:p w14:paraId="49BC44E8">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4</w:t>
            </w:r>
          </w:p>
        </w:tc>
        <w:tc>
          <w:tcPr>
            <w:tcW w:w="1450" w:type="dxa"/>
            <w:noWrap w:val="0"/>
            <w:vAlign w:val="top"/>
          </w:tcPr>
          <w:p w14:paraId="545C8BB3">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4</w:t>
            </w:r>
          </w:p>
        </w:tc>
      </w:tr>
      <w:tr w14:paraId="15C6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355" w:type="dxa"/>
            <w:vMerge w:val="continue"/>
            <w:noWrap w:val="0"/>
            <w:vAlign w:val="top"/>
          </w:tcPr>
          <w:p w14:paraId="40330F96">
            <w:pPr>
              <w:snapToGrid w:val="0"/>
              <w:spacing w:line="600" w:lineRule="exact"/>
              <w:rPr>
                <w:rFonts w:hint="eastAsia" w:ascii="仿宋" w:hAnsi="仿宋" w:eastAsia="仿宋" w:cs="仿宋"/>
                <w:bCs/>
                <w:sz w:val="30"/>
                <w:szCs w:val="30"/>
                <w:vertAlign w:val="baseline"/>
              </w:rPr>
            </w:pPr>
          </w:p>
        </w:tc>
        <w:tc>
          <w:tcPr>
            <w:tcW w:w="1641" w:type="dxa"/>
            <w:vMerge w:val="restart"/>
            <w:noWrap w:val="0"/>
            <w:vAlign w:val="top"/>
          </w:tcPr>
          <w:p w14:paraId="25D013EE">
            <w:pPr>
              <w:snapToGrid w:val="0"/>
              <w:spacing w:line="240" w:lineRule="auto"/>
              <w:rPr>
                <w:rFonts w:hint="eastAsia" w:ascii="仿宋" w:hAnsi="仿宋" w:eastAsia="仿宋" w:cs="仿宋"/>
                <w:b/>
                <w:bCs w:val="0"/>
                <w:sz w:val="30"/>
                <w:szCs w:val="30"/>
                <w:lang w:val="en-US" w:eastAsia="zh-CN"/>
              </w:rPr>
            </w:pPr>
          </w:p>
          <w:p w14:paraId="0620CE4D">
            <w:pPr>
              <w:snapToGrid w:val="0"/>
              <w:spacing w:line="240" w:lineRule="auto"/>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预算执行</w:t>
            </w:r>
          </w:p>
        </w:tc>
        <w:tc>
          <w:tcPr>
            <w:tcW w:w="1462" w:type="dxa"/>
            <w:noWrap w:val="0"/>
            <w:vAlign w:val="top"/>
          </w:tcPr>
          <w:p w14:paraId="7191B139">
            <w:pPr>
              <w:snapToGrid w:val="0"/>
              <w:spacing w:line="600" w:lineRule="exact"/>
              <w:jc w:val="center"/>
              <w:rPr>
                <w:rFonts w:hint="eastAsia" w:ascii="仿宋" w:hAnsi="仿宋" w:eastAsia="仿宋" w:cs="仿宋"/>
                <w:bCs/>
                <w:sz w:val="30"/>
                <w:szCs w:val="30"/>
                <w:vertAlign w:val="baseline"/>
                <w:lang w:eastAsia="zh-CN"/>
              </w:rPr>
            </w:pPr>
            <w:r>
              <w:rPr>
                <w:rFonts w:hint="eastAsia" w:ascii="仿宋" w:hAnsi="仿宋" w:eastAsia="仿宋" w:cs="仿宋"/>
                <w:bCs/>
                <w:sz w:val="30"/>
                <w:szCs w:val="30"/>
                <w:lang w:val="en-US" w:eastAsia="zh-CN"/>
              </w:rPr>
              <w:t>预算执行率</w:t>
            </w:r>
          </w:p>
        </w:tc>
        <w:tc>
          <w:tcPr>
            <w:tcW w:w="1113" w:type="dxa"/>
            <w:noWrap w:val="0"/>
            <w:vAlign w:val="top"/>
          </w:tcPr>
          <w:p w14:paraId="5C8C5758">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100%</w:t>
            </w:r>
          </w:p>
        </w:tc>
        <w:tc>
          <w:tcPr>
            <w:tcW w:w="750" w:type="dxa"/>
            <w:noWrap w:val="0"/>
            <w:vAlign w:val="top"/>
          </w:tcPr>
          <w:p w14:paraId="25BD4EA2">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w:t>
            </w:r>
          </w:p>
        </w:tc>
        <w:tc>
          <w:tcPr>
            <w:tcW w:w="1450" w:type="dxa"/>
            <w:noWrap w:val="0"/>
            <w:vAlign w:val="top"/>
          </w:tcPr>
          <w:p w14:paraId="1B93D932">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w:t>
            </w:r>
          </w:p>
        </w:tc>
      </w:tr>
      <w:tr w14:paraId="0AC7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355" w:type="dxa"/>
            <w:vMerge w:val="continue"/>
            <w:noWrap w:val="0"/>
            <w:vAlign w:val="top"/>
          </w:tcPr>
          <w:p w14:paraId="2C78EC35">
            <w:pPr>
              <w:snapToGrid w:val="0"/>
              <w:spacing w:line="600" w:lineRule="exact"/>
              <w:rPr>
                <w:rFonts w:hint="eastAsia" w:ascii="仿宋" w:hAnsi="仿宋" w:eastAsia="仿宋" w:cs="仿宋"/>
                <w:sz w:val="30"/>
                <w:szCs w:val="30"/>
              </w:rPr>
            </w:pPr>
          </w:p>
        </w:tc>
        <w:tc>
          <w:tcPr>
            <w:tcW w:w="1641" w:type="dxa"/>
            <w:vMerge w:val="continue"/>
            <w:noWrap w:val="0"/>
            <w:vAlign w:val="top"/>
          </w:tcPr>
          <w:p w14:paraId="5D1419E0">
            <w:pPr>
              <w:snapToGrid w:val="0"/>
              <w:spacing w:line="600" w:lineRule="exact"/>
              <w:rPr>
                <w:rFonts w:hint="eastAsia" w:ascii="仿宋" w:hAnsi="仿宋" w:eastAsia="仿宋" w:cs="仿宋"/>
                <w:b/>
                <w:bCs w:val="0"/>
                <w:sz w:val="30"/>
                <w:szCs w:val="30"/>
              </w:rPr>
            </w:pPr>
          </w:p>
        </w:tc>
        <w:tc>
          <w:tcPr>
            <w:tcW w:w="1462" w:type="dxa"/>
            <w:noWrap w:val="0"/>
            <w:vAlign w:val="top"/>
          </w:tcPr>
          <w:p w14:paraId="5AC2F53A">
            <w:pPr>
              <w:snapToGrid w:val="0"/>
              <w:spacing w:line="600" w:lineRule="exact"/>
              <w:jc w:val="center"/>
              <w:rPr>
                <w:rFonts w:hint="eastAsia" w:ascii="仿宋" w:hAnsi="仿宋" w:eastAsia="仿宋" w:cs="仿宋"/>
                <w:bCs/>
                <w:sz w:val="30"/>
                <w:szCs w:val="30"/>
                <w:vertAlign w:val="baseline"/>
                <w:lang w:eastAsia="zh-CN"/>
              </w:rPr>
            </w:pPr>
            <w:r>
              <w:rPr>
                <w:rFonts w:hint="eastAsia" w:ascii="仿宋" w:hAnsi="仿宋" w:eastAsia="仿宋" w:cs="仿宋"/>
                <w:bCs/>
                <w:sz w:val="30"/>
                <w:szCs w:val="30"/>
                <w:lang w:val="en-US" w:eastAsia="zh-CN"/>
              </w:rPr>
              <w:t>资金使用率</w:t>
            </w:r>
          </w:p>
        </w:tc>
        <w:tc>
          <w:tcPr>
            <w:tcW w:w="1113" w:type="dxa"/>
            <w:noWrap w:val="0"/>
            <w:vAlign w:val="top"/>
          </w:tcPr>
          <w:p w14:paraId="64EDC0F5">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100%</w:t>
            </w:r>
          </w:p>
        </w:tc>
        <w:tc>
          <w:tcPr>
            <w:tcW w:w="750" w:type="dxa"/>
            <w:noWrap w:val="0"/>
            <w:vAlign w:val="top"/>
          </w:tcPr>
          <w:p w14:paraId="1BB1CF6E">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w:t>
            </w:r>
          </w:p>
        </w:tc>
        <w:tc>
          <w:tcPr>
            <w:tcW w:w="1450" w:type="dxa"/>
            <w:noWrap w:val="0"/>
            <w:vAlign w:val="top"/>
          </w:tcPr>
          <w:p w14:paraId="556283E7">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w:t>
            </w:r>
          </w:p>
        </w:tc>
      </w:tr>
      <w:tr w14:paraId="144C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vMerge w:val="restart"/>
            <w:noWrap w:val="0"/>
            <w:vAlign w:val="top"/>
          </w:tcPr>
          <w:p w14:paraId="5B2AD04C">
            <w:pPr>
              <w:snapToGrid w:val="0"/>
              <w:spacing w:line="600" w:lineRule="exact"/>
              <w:rPr>
                <w:rFonts w:hint="eastAsia" w:ascii="仿宋" w:hAnsi="仿宋" w:eastAsia="仿宋" w:cs="仿宋"/>
                <w:bCs/>
                <w:sz w:val="30"/>
                <w:szCs w:val="30"/>
                <w:lang w:val="en-US" w:eastAsia="zh-CN"/>
              </w:rPr>
            </w:pPr>
          </w:p>
          <w:p w14:paraId="0F85BD69">
            <w:pPr>
              <w:snapToGrid w:val="0"/>
              <w:spacing w:line="240" w:lineRule="auto"/>
              <w:rPr>
                <w:rFonts w:hint="eastAsia" w:ascii="仿宋" w:hAnsi="仿宋" w:eastAsia="仿宋" w:cs="仿宋"/>
                <w:bCs/>
                <w:sz w:val="30"/>
                <w:szCs w:val="30"/>
                <w:lang w:val="en-US" w:eastAsia="zh-CN"/>
              </w:rPr>
            </w:pPr>
          </w:p>
          <w:p w14:paraId="1F17DE72">
            <w:pPr>
              <w:snapToGrid w:val="0"/>
              <w:spacing w:line="240" w:lineRule="auto"/>
              <w:rPr>
                <w:rFonts w:hint="eastAsia" w:ascii="仿宋" w:hAnsi="仿宋" w:eastAsia="仿宋" w:cs="仿宋"/>
                <w:bCs/>
                <w:sz w:val="30"/>
                <w:szCs w:val="30"/>
                <w:vertAlign w:val="baseline"/>
                <w:lang w:val="en-US" w:eastAsia="zh-CN"/>
              </w:rPr>
            </w:pPr>
            <w:r>
              <w:rPr>
                <w:rFonts w:hint="eastAsia" w:ascii="仿宋" w:hAnsi="仿宋" w:eastAsia="仿宋" w:cs="仿宋"/>
                <w:b/>
                <w:bCs w:val="0"/>
                <w:sz w:val="30"/>
                <w:szCs w:val="30"/>
                <w:lang w:val="en-US" w:eastAsia="zh-CN"/>
              </w:rPr>
              <w:t>产出指标（20分）</w:t>
            </w:r>
          </w:p>
        </w:tc>
        <w:tc>
          <w:tcPr>
            <w:tcW w:w="1641" w:type="dxa"/>
            <w:noWrap w:val="0"/>
            <w:vAlign w:val="top"/>
          </w:tcPr>
          <w:p w14:paraId="267B4374">
            <w:pPr>
              <w:snapToGrid w:val="0"/>
              <w:spacing w:line="600" w:lineRule="exact"/>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数量指标</w:t>
            </w:r>
          </w:p>
        </w:tc>
        <w:tc>
          <w:tcPr>
            <w:tcW w:w="1462" w:type="dxa"/>
            <w:noWrap w:val="0"/>
            <w:vAlign w:val="top"/>
          </w:tcPr>
          <w:p w14:paraId="1136D18A">
            <w:pPr>
              <w:snapToGrid w:val="0"/>
              <w:spacing w:line="600" w:lineRule="exact"/>
              <w:jc w:val="center"/>
              <w:rPr>
                <w:rFonts w:hint="eastAsia" w:ascii="仿宋" w:hAnsi="仿宋" w:eastAsia="仿宋" w:cs="仿宋"/>
                <w:bCs/>
                <w:sz w:val="30"/>
                <w:szCs w:val="30"/>
                <w:vertAlign w:val="baseline"/>
                <w:lang w:eastAsia="zh-CN"/>
              </w:rPr>
            </w:pPr>
            <w:r>
              <w:rPr>
                <w:rFonts w:hint="eastAsia" w:ascii="仿宋" w:hAnsi="仿宋" w:eastAsia="仿宋" w:cs="仿宋"/>
                <w:bCs/>
                <w:sz w:val="30"/>
                <w:szCs w:val="30"/>
                <w:lang w:val="en-US" w:eastAsia="zh-CN"/>
              </w:rPr>
              <w:t>活动次数</w:t>
            </w:r>
          </w:p>
        </w:tc>
        <w:tc>
          <w:tcPr>
            <w:tcW w:w="1113" w:type="dxa"/>
            <w:noWrap w:val="0"/>
            <w:vAlign w:val="top"/>
          </w:tcPr>
          <w:p w14:paraId="69F10EFE">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≥5</w:t>
            </w:r>
          </w:p>
        </w:tc>
        <w:tc>
          <w:tcPr>
            <w:tcW w:w="750" w:type="dxa"/>
            <w:noWrap w:val="0"/>
            <w:vAlign w:val="top"/>
          </w:tcPr>
          <w:p w14:paraId="7F019D89">
            <w:pPr>
              <w:snapToGrid w:val="0"/>
              <w:spacing w:line="600" w:lineRule="exact"/>
              <w:jc w:val="center"/>
              <w:rPr>
                <w:rFonts w:hint="eastAsia" w:ascii="仿宋" w:hAnsi="仿宋" w:eastAsia="仿宋" w:cs="仿宋"/>
                <w:bCs/>
                <w:sz w:val="30"/>
                <w:szCs w:val="30"/>
                <w:vertAlign w:val="baseline"/>
                <w:lang w:val="en-US"/>
              </w:rPr>
            </w:pPr>
            <w:r>
              <w:rPr>
                <w:rFonts w:hint="eastAsia" w:ascii="仿宋" w:hAnsi="仿宋" w:eastAsia="仿宋" w:cs="仿宋"/>
                <w:bCs/>
                <w:sz w:val="30"/>
                <w:szCs w:val="30"/>
                <w:lang w:val="en-US" w:eastAsia="zh-CN"/>
              </w:rPr>
              <w:t>5</w:t>
            </w:r>
          </w:p>
        </w:tc>
        <w:tc>
          <w:tcPr>
            <w:tcW w:w="1450" w:type="dxa"/>
            <w:noWrap w:val="0"/>
            <w:vAlign w:val="top"/>
          </w:tcPr>
          <w:p w14:paraId="31EF9DB7">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5</w:t>
            </w:r>
          </w:p>
        </w:tc>
      </w:tr>
      <w:tr w14:paraId="759E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vMerge w:val="continue"/>
            <w:noWrap w:val="0"/>
            <w:vAlign w:val="top"/>
          </w:tcPr>
          <w:p w14:paraId="593DDE9D">
            <w:pPr>
              <w:snapToGrid w:val="0"/>
              <w:spacing w:line="600" w:lineRule="exact"/>
              <w:rPr>
                <w:rFonts w:hint="eastAsia" w:ascii="仿宋" w:hAnsi="仿宋" w:eastAsia="仿宋" w:cs="仿宋"/>
                <w:bCs/>
                <w:sz w:val="30"/>
                <w:szCs w:val="30"/>
                <w:vertAlign w:val="baseline"/>
              </w:rPr>
            </w:pPr>
          </w:p>
        </w:tc>
        <w:tc>
          <w:tcPr>
            <w:tcW w:w="1641" w:type="dxa"/>
            <w:noWrap w:val="0"/>
            <w:vAlign w:val="top"/>
          </w:tcPr>
          <w:p w14:paraId="56C2BEA1">
            <w:pPr>
              <w:snapToGrid w:val="0"/>
              <w:spacing w:line="600" w:lineRule="exact"/>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质量指标</w:t>
            </w:r>
          </w:p>
        </w:tc>
        <w:tc>
          <w:tcPr>
            <w:tcW w:w="1462" w:type="dxa"/>
            <w:noWrap w:val="0"/>
            <w:vAlign w:val="top"/>
          </w:tcPr>
          <w:p w14:paraId="529E8C9C">
            <w:pPr>
              <w:snapToGrid w:val="0"/>
              <w:spacing w:line="600" w:lineRule="exact"/>
              <w:jc w:val="center"/>
              <w:rPr>
                <w:rFonts w:hint="eastAsia" w:ascii="仿宋" w:hAnsi="仿宋" w:eastAsia="仿宋" w:cs="仿宋"/>
                <w:bCs/>
                <w:sz w:val="30"/>
                <w:szCs w:val="30"/>
                <w:vertAlign w:val="baseline"/>
                <w:lang w:eastAsia="zh-CN"/>
              </w:rPr>
            </w:pPr>
            <w:r>
              <w:rPr>
                <w:rFonts w:hint="eastAsia" w:ascii="仿宋" w:hAnsi="仿宋" w:eastAsia="仿宋" w:cs="仿宋"/>
                <w:bCs/>
                <w:sz w:val="30"/>
                <w:szCs w:val="30"/>
                <w:lang w:val="en-US" w:eastAsia="zh-CN"/>
              </w:rPr>
              <w:t>资金合规性</w:t>
            </w:r>
          </w:p>
        </w:tc>
        <w:tc>
          <w:tcPr>
            <w:tcW w:w="1113" w:type="dxa"/>
            <w:noWrap w:val="0"/>
            <w:vAlign w:val="top"/>
          </w:tcPr>
          <w:p w14:paraId="367AFFBB">
            <w:pPr>
              <w:snapToGrid w:val="0"/>
              <w:spacing w:line="240" w:lineRule="auto"/>
              <w:jc w:val="center"/>
              <w:rPr>
                <w:rFonts w:hint="eastAsia" w:ascii="仿宋" w:hAnsi="仿宋" w:eastAsia="仿宋" w:cs="仿宋"/>
                <w:bCs/>
                <w:sz w:val="30"/>
                <w:szCs w:val="30"/>
                <w:lang w:val="en-US" w:eastAsia="zh-CN"/>
              </w:rPr>
            </w:pPr>
            <w:r>
              <w:rPr>
                <w:rFonts w:hint="eastAsia" w:ascii="仿宋" w:hAnsi="仿宋" w:eastAsia="仿宋" w:cs="仿宋"/>
                <w:bCs/>
                <w:sz w:val="30"/>
                <w:szCs w:val="30"/>
                <w:vertAlign w:val="baseline"/>
                <w:lang w:val="en-US" w:eastAsia="zh-CN"/>
              </w:rPr>
              <w:t>严格遵循相关财政法律法规</w:t>
            </w:r>
          </w:p>
        </w:tc>
        <w:tc>
          <w:tcPr>
            <w:tcW w:w="750" w:type="dxa"/>
            <w:noWrap w:val="0"/>
            <w:vAlign w:val="top"/>
          </w:tcPr>
          <w:p w14:paraId="6CCF8BF2">
            <w:pPr>
              <w:snapToGrid w:val="0"/>
              <w:spacing w:line="600" w:lineRule="exact"/>
              <w:jc w:val="center"/>
              <w:rPr>
                <w:rFonts w:hint="eastAsia" w:ascii="仿宋" w:hAnsi="仿宋" w:eastAsia="仿宋" w:cs="仿宋"/>
                <w:bCs/>
                <w:sz w:val="30"/>
                <w:szCs w:val="30"/>
                <w:vertAlign w:val="baseline"/>
              </w:rPr>
            </w:pPr>
            <w:r>
              <w:rPr>
                <w:rFonts w:hint="eastAsia" w:ascii="仿宋" w:hAnsi="仿宋" w:eastAsia="仿宋" w:cs="仿宋"/>
                <w:bCs/>
                <w:sz w:val="30"/>
                <w:szCs w:val="30"/>
                <w:lang w:val="en-US" w:eastAsia="zh-CN"/>
              </w:rPr>
              <w:t>5</w:t>
            </w:r>
          </w:p>
        </w:tc>
        <w:tc>
          <w:tcPr>
            <w:tcW w:w="1450" w:type="dxa"/>
            <w:noWrap w:val="0"/>
            <w:vAlign w:val="top"/>
          </w:tcPr>
          <w:p w14:paraId="617F9D10">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5</w:t>
            </w:r>
          </w:p>
        </w:tc>
      </w:tr>
      <w:tr w14:paraId="534E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vMerge w:val="continue"/>
            <w:noWrap w:val="0"/>
            <w:vAlign w:val="top"/>
          </w:tcPr>
          <w:p w14:paraId="035E8DE0">
            <w:pPr>
              <w:snapToGrid w:val="0"/>
              <w:spacing w:line="600" w:lineRule="exact"/>
              <w:rPr>
                <w:rFonts w:hint="eastAsia" w:ascii="仿宋" w:hAnsi="仿宋" w:eastAsia="仿宋" w:cs="仿宋"/>
                <w:bCs/>
                <w:sz w:val="30"/>
                <w:szCs w:val="30"/>
                <w:vertAlign w:val="baseline"/>
              </w:rPr>
            </w:pPr>
          </w:p>
        </w:tc>
        <w:tc>
          <w:tcPr>
            <w:tcW w:w="1641" w:type="dxa"/>
            <w:noWrap w:val="0"/>
            <w:vAlign w:val="top"/>
          </w:tcPr>
          <w:p w14:paraId="4F103685">
            <w:pPr>
              <w:snapToGrid w:val="0"/>
              <w:spacing w:line="600" w:lineRule="exact"/>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成本指标</w:t>
            </w:r>
          </w:p>
        </w:tc>
        <w:tc>
          <w:tcPr>
            <w:tcW w:w="1462" w:type="dxa"/>
            <w:noWrap w:val="0"/>
            <w:vAlign w:val="top"/>
          </w:tcPr>
          <w:p w14:paraId="6218A0A6">
            <w:pPr>
              <w:snapToGrid w:val="0"/>
              <w:spacing w:line="600" w:lineRule="exact"/>
              <w:jc w:val="center"/>
              <w:rPr>
                <w:rFonts w:hint="eastAsia" w:ascii="仿宋" w:hAnsi="仿宋" w:eastAsia="仿宋" w:cs="仿宋"/>
                <w:bCs/>
                <w:sz w:val="30"/>
                <w:szCs w:val="30"/>
                <w:vertAlign w:val="baseline"/>
                <w:lang w:eastAsia="zh-CN"/>
              </w:rPr>
            </w:pPr>
            <w:r>
              <w:rPr>
                <w:rFonts w:hint="eastAsia" w:ascii="仿宋" w:hAnsi="仿宋" w:eastAsia="仿宋" w:cs="仿宋"/>
                <w:bCs/>
                <w:sz w:val="30"/>
                <w:szCs w:val="30"/>
                <w:lang w:val="en-US" w:eastAsia="zh-CN"/>
              </w:rPr>
              <w:t>预算控制率</w:t>
            </w:r>
          </w:p>
        </w:tc>
        <w:tc>
          <w:tcPr>
            <w:tcW w:w="1113" w:type="dxa"/>
            <w:noWrap w:val="0"/>
            <w:vAlign w:val="top"/>
          </w:tcPr>
          <w:p w14:paraId="5A4B74CD">
            <w:pPr>
              <w:snapToGrid w:val="0"/>
              <w:spacing w:line="240" w:lineRule="auto"/>
              <w:jc w:val="both"/>
              <w:rPr>
                <w:rFonts w:hint="eastAsia" w:ascii="仿宋" w:hAnsi="仿宋" w:eastAsia="仿宋" w:cs="仿宋"/>
                <w:bCs/>
                <w:sz w:val="30"/>
                <w:szCs w:val="30"/>
                <w:lang w:val="en-US" w:eastAsia="zh-CN"/>
              </w:rPr>
            </w:pPr>
          </w:p>
          <w:p w14:paraId="50018200">
            <w:pPr>
              <w:snapToGrid w:val="0"/>
              <w:spacing w:line="240" w:lineRule="auto"/>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≤100%</w:t>
            </w:r>
          </w:p>
        </w:tc>
        <w:tc>
          <w:tcPr>
            <w:tcW w:w="750" w:type="dxa"/>
            <w:noWrap w:val="0"/>
            <w:vAlign w:val="top"/>
          </w:tcPr>
          <w:p w14:paraId="3DCE78C1">
            <w:pPr>
              <w:snapToGrid w:val="0"/>
              <w:spacing w:line="600" w:lineRule="exact"/>
              <w:jc w:val="center"/>
              <w:rPr>
                <w:rFonts w:hint="eastAsia" w:ascii="仿宋" w:hAnsi="仿宋" w:eastAsia="仿宋" w:cs="仿宋"/>
                <w:bCs/>
                <w:sz w:val="30"/>
                <w:szCs w:val="30"/>
                <w:vertAlign w:val="baseline"/>
                <w:lang w:val="en-US" w:eastAsia="zh-CN"/>
              </w:rPr>
            </w:pPr>
            <w:r>
              <w:rPr>
                <w:rFonts w:hint="eastAsia" w:ascii="仿宋" w:hAnsi="仿宋" w:eastAsia="仿宋" w:cs="仿宋"/>
                <w:bCs/>
                <w:sz w:val="30"/>
                <w:szCs w:val="30"/>
                <w:lang w:val="en-US" w:eastAsia="zh-CN"/>
              </w:rPr>
              <w:t>5</w:t>
            </w:r>
          </w:p>
        </w:tc>
        <w:tc>
          <w:tcPr>
            <w:tcW w:w="1450" w:type="dxa"/>
            <w:noWrap w:val="0"/>
            <w:vAlign w:val="top"/>
          </w:tcPr>
          <w:p w14:paraId="2FD31954">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5</w:t>
            </w:r>
          </w:p>
        </w:tc>
      </w:tr>
      <w:tr w14:paraId="16CD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vMerge w:val="continue"/>
            <w:noWrap w:val="0"/>
            <w:vAlign w:val="top"/>
          </w:tcPr>
          <w:p w14:paraId="7CCD0627">
            <w:pPr>
              <w:snapToGrid w:val="0"/>
              <w:spacing w:line="600" w:lineRule="exact"/>
              <w:rPr>
                <w:rFonts w:hint="eastAsia" w:ascii="仿宋" w:hAnsi="仿宋" w:eastAsia="仿宋" w:cs="仿宋"/>
                <w:bCs/>
                <w:kern w:val="2"/>
                <w:sz w:val="30"/>
                <w:szCs w:val="30"/>
                <w:vertAlign w:val="baseline"/>
                <w:lang w:val="en-US" w:eastAsia="zh-CN" w:bidi="ar-SA"/>
              </w:rPr>
            </w:pPr>
          </w:p>
        </w:tc>
        <w:tc>
          <w:tcPr>
            <w:tcW w:w="1641" w:type="dxa"/>
            <w:noWrap w:val="0"/>
            <w:vAlign w:val="top"/>
          </w:tcPr>
          <w:p w14:paraId="684D7902">
            <w:pPr>
              <w:snapToGrid w:val="0"/>
              <w:spacing w:line="600" w:lineRule="exact"/>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时效指标</w:t>
            </w:r>
          </w:p>
        </w:tc>
        <w:tc>
          <w:tcPr>
            <w:tcW w:w="1462" w:type="dxa"/>
            <w:noWrap w:val="0"/>
            <w:vAlign w:val="top"/>
          </w:tcPr>
          <w:p w14:paraId="3D03FD61">
            <w:pPr>
              <w:snapToGrid w:val="0"/>
              <w:spacing w:line="600" w:lineRule="exact"/>
              <w:jc w:val="center"/>
              <w:rPr>
                <w:rFonts w:hint="eastAsia" w:ascii="仿宋" w:hAnsi="仿宋" w:eastAsia="仿宋" w:cs="仿宋"/>
                <w:bCs/>
                <w:sz w:val="30"/>
                <w:szCs w:val="30"/>
                <w:vertAlign w:val="baseline"/>
                <w:lang w:eastAsia="zh-CN"/>
              </w:rPr>
            </w:pPr>
            <w:r>
              <w:rPr>
                <w:rFonts w:hint="eastAsia" w:ascii="仿宋" w:hAnsi="仿宋" w:eastAsia="仿宋" w:cs="仿宋"/>
                <w:bCs/>
                <w:sz w:val="30"/>
                <w:szCs w:val="30"/>
                <w:lang w:val="en-US" w:eastAsia="zh-CN"/>
              </w:rPr>
              <w:t>预算完成率</w:t>
            </w:r>
          </w:p>
        </w:tc>
        <w:tc>
          <w:tcPr>
            <w:tcW w:w="1113" w:type="dxa"/>
            <w:noWrap w:val="0"/>
            <w:vAlign w:val="top"/>
          </w:tcPr>
          <w:p w14:paraId="6C91837B">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100%</w:t>
            </w:r>
          </w:p>
        </w:tc>
        <w:tc>
          <w:tcPr>
            <w:tcW w:w="750" w:type="dxa"/>
            <w:noWrap w:val="0"/>
            <w:vAlign w:val="top"/>
          </w:tcPr>
          <w:p w14:paraId="2AC3F7E9">
            <w:pPr>
              <w:snapToGrid w:val="0"/>
              <w:spacing w:line="600" w:lineRule="exact"/>
              <w:jc w:val="center"/>
              <w:rPr>
                <w:rFonts w:hint="eastAsia" w:ascii="仿宋" w:hAnsi="仿宋" w:eastAsia="仿宋" w:cs="仿宋"/>
                <w:bCs/>
                <w:sz w:val="30"/>
                <w:szCs w:val="30"/>
                <w:vertAlign w:val="baseline"/>
                <w:lang w:val="en-US" w:eastAsia="zh-CN"/>
              </w:rPr>
            </w:pPr>
            <w:r>
              <w:rPr>
                <w:rFonts w:hint="eastAsia" w:ascii="仿宋" w:hAnsi="仿宋" w:eastAsia="仿宋" w:cs="仿宋"/>
                <w:bCs/>
                <w:sz w:val="30"/>
                <w:szCs w:val="30"/>
                <w:lang w:val="en-US" w:eastAsia="zh-CN"/>
              </w:rPr>
              <w:t>5</w:t>
            </w:r>
          </w:p>
        </w:tc>
        <w:tc>
          <w:tcPr>
            <w:tcW w:w="1450" w:type="dxa"/>
            <w:noWrap w:val="0"/>
            <w:vAlign w:val="top"/>
          </w:tcPr>
          <w:p w14:paraId="0BEA021E">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5</w:t>
            </w:r>
          </w:p>
        </w:tc>
      </w:tr>
      <w:tr w14:paraId="7512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355" w:type="dxa"/>
            <w:vMerge w:val="restart"/>
            <w:noWrap w:val="0"/>
            <w:vAlign w:val="top"/>
          </w:tcPr>
          <w:p w14:paraId="1AD250A5">
            <w:pPr>
              <w:snapToGrid w:val="0"/>
              <w:spacing w:line="600" w:lineRule="exact"/>
              <w:rPr>
                <w:rFonts w:hint="eastAsia" w:ascii="仿宋" w:hAnsi="仿宋" w:eastAsia="仿宋" w:cs="仿宋"/>
                <w:b/>
                <w:bCs w:val="0"/>
                <w:sz w:val="30"/>
                <w:szCs w:val="30"/>
                <w:lang w:val="en-US" w:eastAsia="zh-CN"/>
              </w:rPr>
            </w:pPr>
          </w:p>
          <w:p w14:paraId="5626675C">
            <w:pPr>
              <w:snapToGrid w:val="0"/>
              <w:spacing w:line="600" w:lineRule="exact"/>
              <w:rPr>
                <w:rFonts w:hint="eastAsia" w:ascii="仿宋" w:hAnsi="仿宋" w:eastAsia="仿宋" w:cs="仿宋"/>
                <w:bCs/>
                <w:kern w:val="2"/>
                <w:sz w:val="30"/>
                <w:szCs w:val="30"/>
                <w:vertAlign w:val="baseline"/>
                <w:lang w:val="en-US" w:eastAsia="zh-CN" w:bidi="ar-SA"/>
              </w:rPr>
            </w:pPr>
            <w:r>
              <w:rPr>
                <w:rFonts w:hint="eastAsia" w:ascii="仿宋" w:hAnsi="仿宋" w:eastAsia="仿宋" w:cs="仿宋"/>
                <w:b/>
                <w:bCs w:val="0"/>
                <w:sz w:val="30"/>
                <w:szCs w:val="30"/>
                <w:lang w:val="en-US" w:eastAsia="zh-CN"/>
              </w:rPr>
              <w:t>效益指标（50分）</w:t>
            </w:r>
          </w:p>
        </w:tc>
        <w:tc>
          <w:tcPr>
            <w:tcW w:w="1641" w:type="dxa"/>
            <w:noWrap w:val="0"/>
            <w:vAlign w:val="top"/>
          </w:tcPr>
          <w:p w14:paraId="44EFA753">
            <w:pPr>
              <w:snapToGrid w:val="0"/>
              <w:spacing w:line="600" w:lineRule="exact"/>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经济效益</w:t>
            </w:r>
          </w:p>
        </w:tc>
        <w:tc>
          <w:tcPr>
            <w:tcW w:w="1462" w:type="dxa"/>
            <w:noWrap w:val="0"/>
            <w:vAlign w:val="top"/>
          </w:tcPr>
          <w:p w14:paraId="46146FD9">
            <w:pPr>
              <w:snapToGrid w:val="0"/>
              <w:spacing w:line="240" w:lineRule="auto"/>
              <w:jc w:val="center"/>
              <w:rPr>
                <w:rFonts w:hint="eastAsia" w:ascii="仿宋" w:hAnsi="仿宋" w:eastAsia="仿宋" w:cs="仿宋"/>
                <w:bCs/>
                <w:sz w:val="30"/>
                <w:szCs w:val="30"/>
                <w:vertAlign w:val="baseline"/>
                <w:lang w:eastAsia="zh-CN"/>
              </w:rPr>
            </w:pPr>
          </w:p>
          <w:p w14:paraId="2F9C551D">
            <w:pPr>
              <w:snapToGrid w:val="0"/>
              <w:spacing w:line="240" w:lineRule="auto"/>
              <w:jc w:val="center"/>
              <w:rPr>
                <w:rFonts w:hint="eastAsia" w:ascii="仿宋" w:hAnsi="仿宋" w:eastAsia="仿宋" w:cs="仿宋"/>
                <w:bCs/>
                <w:sz w:val="30"/>
                <w:szCs w:val="30"/>
                <w:vertAlign w:val="baseline"/>
                <w:lang w:eastAsia="zh-CN"/>
              </w:rPr>
            </w:pPr>
            <w:r>
              <w:rPr>
                <w:rFonts w:hint="eastAsia" w:ascii="仿宋" w:hAnsi="仿宋" w:eastAsia="仿宋" w:cs="仿宋"/>
                <w:bCs/>
                <w:sz w:val="30"/>
                <w:szCs w:val="30"/>
                <w:vertAlign w:val="baseline"/>
                <w:lang w:eastAsia="zh-CN"/>
              </w:rPr>
              <w:t>金融市场稳定</w:t>
            </w:r>
          </w:p>
        </w:tc>
        <w:tc>
          <w:tcPr>
            <w:tcW w:w="1113" w:type="dxa"/>
            <w:noWrap w:val="0"/>
            <w:vAlign w:val="top"/>
          </w:tcPr>
          <w:p w14:paraId="7A9D807B">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稳定</w:t>
            </w:r>
          </w:p>
        </w:tc>
        <w:tc>
          <w:tcPr>
            <w:tcW w:w="750" w:type="dxa"/>
            <w:noWrap w:val="0"/>
            <w:vAlign w:val="top"/>
          </w:tcPr>
          <w:p w14:paraId="469ACC18">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20</w:t>
            </w:r>
          </w:p>
        </w:tc>
        <w:tc>
          <w:tcPr>
            <w:tcW w:w="1450" w:type="dxa"/>
            <w:noWrap w:val="0"/>
            <w:vAlign w:val="top"/>
          </w:tcPr>
          <w:p w14:paraId="0D6E7793">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20</w:t>
            </w:r>
          </w:p>
        </w:tc>
      </w:tr>
      <w:tr w14:paraId="351A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355" w:type="dxa"/>
            <w:vMerge w:val="continue"/>
            <w:noWrap w:val="0"/>
            <w:vAlign w:val="top"/>
          </w:tcPr>
          <w:p w14:paraId="064DF2A0">
            <w:pPr>
              <w:snapToGrid w:val="0"/>
              <w:spacing w:line="600" w:lineRule="exact"/>
              <w:rPr>
                <w:rFonts w:hint="eastAsia" w:ascii="仿宋" w:hAnsi="仿宋" w:eastAsia="仿宋" w:cs="仿宋"/>
                <w:bCs/>
                <w:kern w:val="2"/>
                <w:sz w:val="30"/>
                <w:szCs w:val="30"/>
                <w:vertAlign w:val="baseline"/>
                <w:lang w:val="en-US" w:eastAsia="zh-CN" w:bidi="ar-SA"/>
              </w:rPr>
            </w:pPr>
          </w:p>
        </w:tc>
        <w:tc>
          <w:tcPr>
            <w:tcW w:w="1641" w:type="dxa"/>
            <w:noWrap w:val="0"/>
            <w:vAlign w:val="top"/>
          </w:tcPr>
          <w:p w14:paraId="6D863061">
            <w:pPr>
              <w:snapToGrid w:val="0"/>
              <w:spacing w:line="600" w:lineRule="exact"/>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社会效益</w:t>
            </w:r>
          </w:p>
        </w:tc>
        <w:tc>
          <w:tcPr>
            <w:tcW w:w="1462" w:type="dxa"/>
            <w:noWrap w:val="0"/>
            <w:vAlign w:val="top"/>
          </w:tcPr>
          <w:p w14:paraId="11EA028D">
            <w:pPr>
              <w:snapToGrid w:val="0"/>
              <w:spacing w:line="240" w:lineRule="auto"/>
              <w:jc w:val="center"/>
              <w:rPr>
                <w:rFonts w:hint="eastAsia" w:ascii="仿宋" w:hAnsi="仿宋" w:eastAsia="仿宋" w:cs="仿宋"/>
                <w:bCs/>
                <w:sz w:val="30"/>
                <w:szCs w:val="30"/>
                <w:vertAlign w:val="baseline"/>
                <w:lang w:eastAsia="zh-CN"/>
              </w:rPr>
            </w:pPr>
          </w:p>
          <w:p w14:paraId="168B51FB">
            <w:pPr>
              <w:snapToGrid w:val="0"/>
              <w:spacing w:line="240" w:lineRule="auto"/>
              <w:jc w:val="center"/>
              <w:rPr>
                <w:rFonts w:hint="eastAsia" w:ascii="仿宋" w:hAnsi="仿宋" w:eastAsia="仿宋" w:cs="仿宋"/>
                <w:bCs/>
                <w:sz w:val="30"/>
                <w:szCs w:val="30"/>
                <w:vertAlign w:val="baseline"/>
                <w:lang w:eastAsia="zh-CN"/>
              </w:rPr>
            </w:pPr>
            <w:r>
              <w:rPr>
                <w:rFonts w:hint="eastAsia" w:ascii="仿宋" w:hAnsi="仿宋" w:eastAsia="仿宋" w:cs="仿宋"/>
                <w:bCs/>
                <w:sz w:val="30"/>
                <w:szCs w:val="30"/>
                <w:vertAlign w:val="baseline"/>
                <w:lang w:eastAsia="zh-CN"/>
              </w:rPr>
              <w:t>防范非法集资、扫黑除恶工作</w:t>
            </w:r>
          </w:p>
        </w:tc>
        <w:tc>
          <w:tcPr>
            <w:tcW w:w="1113" w:type="dxa"/>
            <w:noWrap w:val="0"/>
            <w:vAlign w:val="top"/>
          </w:tcPr>
          <w:p w14:paraId="34ECB72B">
            <w:pPr>
              <w:snapToGrid w:val="0"/>
              <w:spacing w:line="600" w:lineRule="exact"/>
              <w:jc w:val="center"/>
              <w:rPr>
                <w:rFonts w:hint="eastAsia"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顺利开展</w:t>
            </w:r>
          </w:p>
        </w:tc>
        <w:tc>
          <w:tcPr>
            <w:tcW w:w="750" w:type="dxa"/>
            <w:noWrap w:val="0"/>
            <w:vAlign w:val="top"/>
          </w:tcPr>
          <w:p w14:paraId="2F8ED8EF">
            <w:pPr>
              <w:snapToGrid w:val="0"/>
              <w:spacing w:line="600" w:lineRule="exact"/>
              <w:jc w:val="center"/>
              <w:rPr>
                <w:rFonts w:hint="eastAsia" w:ascii="仿宋" w:hAnsi="仿宋" w:eastAsia="仿宋" w:cs="仿宋"/>
                <w:bCs/>
                <w:sz w:val="30"/>
                <w:szCs w:val="30"/>
                <w:vertAlign w:val="baseline"/>
                <w:lang w:val="en-US"/>
              </w:rPr>
            </w:pPr>
            <w:r>
              <w:rPr>
                <w:rFonts w:hint="eastAsia" w:ascii="仿宋" w:hAnsi="仿宋" w:eastAsia="仿宋" w:cs="仿宋"/>
                <w:bCs/>
                <w:sz w:val="30"/>
                <w:szCs w:val="30"/>
                <w:lang w:val="en-US" w:eastAsia="zh-CN"/>
              </w:rPr>
              <w:t>20</w:t>
            </w:r>
          </w:p>
        </w:tc>
        <w:tc>
          <w:tcPr>
            <w:tcW w:w="1450" w:type="dxa"/>
            <w:noWrap w:val="0"/>
            <w:vAlign w:val="top"/>
          </w:tcPr>
          <w:p w14:paraId="6F8A7567">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20</w:t>
            </w:r>
          </w:p>
        </w:tc>
      </w:tr>
      <w:tr w14:paraId="4B02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55" w:type="dxa"/>
            <w:vMerge w:val="continue"/>
            <w:noWrap w:val="0"/>
            <w:vAlign w:val="top"/>
          </w:tcPr>
          <w:p w14:paraId="5760AA4B">
            <w:pPr>
              <w:snapToGrid w:val="0"/>
              <w:spacing w:line="600" w:lineRule="exact"/>
              <w:rPr>
                <w:rFonts w:hint="eastAsia" w:ascii="仿宋" w:hAnsi="仿宋" w:eastAsia="仿宋" w:cs="仿宋"/>
                <w:b/>
                <w:bCs w:val="0"/>
                <w:sz w:val="30"/>
                <w:szCs w:val="30"/>
                <w:lang w:val="en-US" w:eastAsia="zh-CN"/>
              </w:rPr>
            </w:pPr>
          </w:p>
        </w:tc>
        <w:tc>
          <w:tcPr>
            <w:tcW w:w="1641" w:type="dxa"/>
            <w:noWrap w:val="0"/>
            <w:vAlign w:val="top"/>
          </w:tcPr>
          <w:p w14:paraId="0E0F8A60">
            <w:pPr>
              <w:snapToGrid w:val="0"/>
              <w:spacing w:line="600" w:lineRule="exact"/>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可持续影响</w:t>
            </w:r>
          </w:p>
        </w:tc>
        <w:tc>
          <w:tcPr>
            <w:tcW w:w="1462" w:type="dxa"/>
            <w:noWrap w:val="0"/>
            <w:vAlign w:val="top"/>
          </w:tcPr>
          <w:p w14:paraId="06BD16E9">
            <w:pPr>
              <w:snapToGrid w:val="0"/>
              <w:spacing w:line="240" w:lineRule="auto"/>
              <w:jc w:val="left"/>
              <w:rPr>
                <w:rFonts w:hint="eastAsia" w:ascii="仿宋" w:hAnsi="仿宋" w:eastAsia="仿宋" w:cs="仿宋"/>
                <w:bCs/>
                <w:sz w:val="30"/>
                <w:szCs w:val="30"/>
                <w:vertAlign w:val="baseline"/>
                <w:lang w:eastAsia="zh-CN"/>
              </w:rPr>
            </w:pPr>
            <w:r>
              <w:rPr>
                <w:rFonts w:hint="eastAsia" w:ascii="仿宋" w:hAnsi="仿宋" w:eastAsia="仿宋" w:cs="仿宋"/>
                <w:bCs/>
                <w:sz w:val="30"/>
                <w:szCs w:val="30"/>
                <w:vertAlign w:val="baseline"/>
                <w:lang w:eastAsia="zh-CN"/>
              </w:rPr>
              <w:t>群众对防非及扫黑除恶的线索报送</w:t>
            </w:r>
          </w:p>
        </w:tc>
        <w:tc>
          <w:tcPr>
            <w:tcW w:w="1113" w:type="dxa"/>
            <w:noWrap w:val="0"/>
            <w:vAlign w:val="top"/>
          </w:tcPr>
          <w:p w14:paraId="5E3694AB">
            <w:pPr>
              <w:snapToGrid w:val="0"/>
              <w:spacing w:line="240" w:lineRule="auto"/>
              <w:jc w:val="center"/>
              <w:rPr>
                <w:rFonts w:hint="eastAsia" w:ascii="仿宋" w:hAnsi="仿宋" w:eastAsia="仿宋" w:cs="仿宋"/>
                <w:bCs/>
                <w:sz w:val="30"/>
                <w:szCs w:val="30"/>
                <w:vertAlign w:val="baseline"/>
                <w:lang w:val="en-US" w:eastAsia="zh-CN"/>
              </w:rPr>
            </w:pPr>
          </w:p>
          <w:p w14:paraId="02411FD1">
            <w:pPr>
              <w:snapToGrid w:val="0"/>
              <w:spacing w:line="240" w:lineRule="auto"/>
              <w:jc w:val="center"/>
              <w:rPr>
                <w:rFonts w:hint="eastAsia" w:ascii="仿宋" w:hAnsi="仿宋" w:eastAsia="仿宋" w:cs="仿宋"/>
                <w:bCs/>
                <w:sz w:val="30"/>
                <w:szCs w:val="30"/>
                <w:lang w:val="en-US" w:eastAsia="zh-CN"/>
              </w:rPr>
            </w:pPr>
            <w:r>
              <w:rPr>
                <w:rFonts w:hint="eastAsia" w:ascii="仿宋" w:hAnsi="仿宋" w:eastAsia="仿宋" w:cs="仿宋"/>
                <w:bCs/>
                <w:sz w:val="30"/>
                <w:szCs w:val="30"/>
                <w:vertAlign w:val="baseline"/>
                <w:lang w:val="en-US" w:eastAsia="zh-CN"/>
              </w:rPr>
              <w:t>线索报送积极</w:t>
            </w:r>
          </w:p>
        </w:tc>
        <w:tc>
          <w:tcPr>
            <w:tcW w:w="750" w:type="dxa"/>
            <w:noWrap w:val="0"/>
            <w:vAlign w:val="top"/>
          </w:tcPr>
          <w:p w14:paraId="004D1047">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10</w:t>
            </w:r>
          </w:p>
        </w:tc>
        <w:tc>
          <w:tcPr>
            <w:tcW w:w="1450" w:type="dxa"/>
            <w:noWrap w:val="0"/>
            <w:vAlign w:val="top"/>
          </w:tcPr>
          <w:p w14:paraId="2EEC1F9F">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8</w:t>
            </w:r>
          </w:p>
        </w:tc>
      </w:tr>
      <w:tr w14:paraId="6656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55" w:type="dxa"/>
            <w:noWrap w:val="0"/>
            <w:vAlign w:val="top"/>
          </w:tcPr>
          <w:p w14:paraId="3B043BBC">
            <w:pPr>
              <w:snapToGrid w:val="0"/>
              <w:spacing w:line="600" w:lineRule="exact"/>
              <w:rPr>
                <w:rFonts w:hint="eastAsia" w:ascii="仿宋" w:hAnsi="仿宋" w:eastAsia="仿宋" w:cs="仿宋"/>
                <w:bCs/>
                <w:kern w:val="2"/>
                <w:sz w:val="30"/>
                <w:szCs w:val="30"/>
                <w:vertAlign w:val="baseline"/>
                <w:lang w:val="en-US" w:eastAsia="zh-CN" w:bidi="ar-SA"/>
              </w:rPr>
            </w:pPr>
            <w:r>
              <w:rPr>
                <w:rFonts w:hint="eastAsia" w:ascii="仿宋" w:hAnsi="仿宋" w:eastAsia="仿宋" w:cs="仿宋"/>
                <w:b/>
                <w:bCs w:val="0"/>
                <w:sz w:val="30"/>
                <w:szCs w:val="30"/>
                <w:lang w:val="en-US" w:eastAsia="zh-CN"/>
              </w:rPr>
              <w:t>满意度（10分）</w:t>
            </w:r>
          </w:p>
        </w:tc>
        <w:tc>
          <w:tcPr>
            <w:tcW w:w="1641" w:type="dxa"/>
            <w:noWrap w:val="0"/>
            <w:vAlign w:val="top"/>
          </w:tcPr>
          <w:p w14:paraId="630650A2">
            <w:pPr>
              <w:snapToGrid w:val="0"/>
              <w:spacing w:line="600" w:lineRule="exact"/>
              <w:rPr>
                <w:rFonts w:hint="eastAsia" w:ascii="仿宋" w:hAnsi="仿宋" w:eastAsia="仿宋" w:cs="仿宋"/>
                <w:b/>
                <w:bCs w:val="0"/>
                <w:sz w:val="30"/>
                <w:szCs w:val="30"/>
                <w:vertAlign w:val="baseline"/>
                <w:lang w:eastAsia="zh-CN"/>
              </w:rPr>
            </w:pPr>
            <w:r>
              <w:rPr>
                <w:rFonts w:hint="eastAsia" w:ascii="仿宋" w:hAnsi="仿宋" w:eastAsia="仿宋" w:cs="仿宋"/>
                <w:b/>
                <w:bCs w:val="0"/>
                <w:sz w:val="30"/>
                <w:szCs w:val="30"/>
                <w:lang w:val="en-US" w:eastAsia="zh-CN"/>
              </w:rPr>
              <w:t>满意度</w:t>
            </w:r>
          </w:p>
        </w:tc>
        <w:tc>
          <w:tcPr>
            <w:tcW w:w="1462" w:type="dxa"/>
            <w:noWrap w:val="0"/>
            <w:vAlign w:val="top"/>
          </w:tcPr>
          <w:p w14:paraId="1317FB50">
            <w:pPr>
              <w:snapToGrid w:val="0"/>
              <w:spacing w:line="240" w:lineRule="auto"/>
              <w:jc w:val="left"/>
              <w:rPr>
                <w:rFonts w:hint="eastAsia" w:ascii="仿宋" w:hAnsi="仿宋" w:eastAsia="仿宋" w:cs="仿宋"/>
                <w:bCs/>
                <w:sz w:val="30"/>
                <w:szCs w:val="30"/>
                <w:vertAlign w:val="baseline"/>
                <w:lang w:eastAsia="zh-CN"/>
              </w:rPr>
            </w:pPr>
          </w:p>
          <w:p w14:paraId="0C1652A2">
            <w:pPr>
              <w:snapToGrid w:val="0"/>
              <w:spacing w:line="240" w:lineRule="auto"/>
              <w:ind w:firstLine="300" w:firstLineChars="100"/>
              <w:jc w:val="left"/>
              <w:rPr>
                <w:rFonts w:hint="eastAsia" w:ascii="仿宋" w:hAnsi="仿宋" w:eastAsia="仿宋" w:cs="仿宋"/>
                <w:bCs/>
                <w:sz w:val="30"/>
                <w:szCs w:val="30"/>
                <w:vertAlign w:val="baseline"/>
              </w:rPr>
            </w:pPr>
            <w:r>
              <w:rPr>
                <w:rFonts w:hint="eastAsia" w:ascii="仿宋" w:hAnsi="仿宋" w:eastAsia="仿宋" w:cs="仿宋"/>
                <w:bCs/>
                <w:sz w:val="30"/>
                <w:szCs w:val="30"/>
                <w:vertAlign w:val="baseline"/>
                <w:lang w:eastAsia="zh-CN"/>
              </w:rPr>
              <w:t>群众</w:t>
            </w:r>
            <w:r>
              <w:rPr>
                <w:rFonts w:hint="eastAsia" w:ascii="仿宋" w:hAnsi="仿宋" w:eastAsia="仿宋" w:cs="仿宋"/>
                <w:bCs/>
                <w:sz w:val="30"/>
                <w:szCs w:val="30"/>
                <w:vertAlign w:val="baseline"/>
              </w:rPr>
              <w:t>满意度</w:t>
            </w:r>
          </w:p>
        </w:tc>
        <w:tc>
          <w:tcPr>
            <w:tcW w:w="1113" w:type="dxa"/>
            <w:noWrap w:val="0"/>
            <w:vAlign w:val="top"/>
          </w:tcPr>
          <w:p w14:paraId="33F9DE76">
            <w:pPr>
              <w:snapToGrid w:val="0"/>
              <w:spacing w:line="600" w:lineRule="exact"/>
              <w:jc w:val="center"/>
              <w:rPr>
                <w:rFonts w:hint="eastAsia" w:ascii="仿宋" w:hAnsi="仿宋" w:eastAsia="仿宋" w:cs="仿宋"/>
                <w:bCs/>
                <w:sz w:val="30"/>
                <w:szCs w:val="30"/>
                <w:vertAlign w:val="baseline"/>
                <w:lang w:val="en-US" w:eastAsia="zh-CN"/>
              </w:rPr>
            </w:pPr>
            <w:r>
              <w:rPr>
                <w:rFonts w:hint="eastAsia" w:ascii="仿宋" w:hAnsi="仿宋" w:eastAsia="仿宋" w:cs="仿宋"/>
                <w:bCs/>
                <w:sz w:val="30"/>
                <w:szCs w:val="30"/>
                <w:lang w:val="en-US" w:eastAsia="zh-CN"/>
              </w:rPr>
              <w:t>97%</w:t>
            </w:r>
          </w:p>
        </w:tc>
        <w:tc>
          <w:tcPr>
            <w:tcW w:w="750" w:type="dxa"/>
            <w:noWrap w:val="0"/>
            <w:vAlign w:val="top"/>
          </w:tcPr>
          <w:p w14:paraId="004AA321">
            <w:pPr>
              <w:snapToGrid w:val="0"/>
              <w:spacing w:line="600" w:lineRule="exact"/>
              <w:jc w:val="center"/>
              <w:rPr>
                <w:rFonts w:hint="eastAsia" w:ascii="仿宋" w:hAnsi="仿宋" w:eastAsia="仿宋" w:cs="仿宋"/>
                <w:bCs/>
                <w:sz w:val="30"/>
                <w:szCs w:val="30"/>
                <w:vertAlign w:val="baseline"/>
                <w:lang w:val="en-US"/>
              </w:rPr>
            </w:pPr>
            <w:r>
              <w:rPr>
                <w:rFonts w:hint="eastAsia" w:ascii="仿宋" w:hAnsi="仿宋" w:eastAsia="仿宋" w:cs="仿宋"/>
                <w:bCs/>
                <w:sz w:val="30"/>
                <w:szCs w:val="30"/>
                <w:lang w:val="en-US" w:eastAsia="zh-CN"/>
              </w:rPr>
              <w:t>10</w:t>
            </w:r>
          </w:p>
        </w:tc>
        <w:tc>
          <w:tcPr>
            <w:tcW w:w="1450" w:type="dxa"/>
            <w:noWrap w:val="0"/>
            <w:vAlign w:val="top"/>
          </w:tcPr>
          <w:p w14:paraId="0D894CD5">
            <w:pPr>
              <w:snapToGrid w:val="0"/>
              <w:spacing w:line="600" w:lineRule="exact"/>
              <w:jc w:val="cente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10</w:t>
            </w:r>
          </w:p>
        </w:tc>
      </w:tr>
      <w:tr w14:paraId="5041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571" w:type="dxa"/>
            <w:gridSpan w:val="4"/>
            <w:noWrap w:val="0"/>
            <w:vAlign w:val="top"/>
          </w:tcPr>
          <w:p w14:paraId="0DC4CE15">
            <w:pPr>
              <w:snapToGrid w:val="0"/>
              <w:spacing w:line="600" w:lineRule="exact"/>
              <w:jc w:val="center"/>
              <w:rPr>
                <w:rFonts w:hint="eastAsia" w:ascii="仿宋" w:hAnsi="仿宋" w:eastAsia="仿宋" w:cs="仿宋"/>
                <w:bCs/>
                <w:sz w:val="30"/>
                <w:szCs w:val="30"/>
                <w:vertAlign w:val="baseline"/>
                <w:lang w:eastAsia="zh-CN"/>
              </w:rPr>
            </w:pPr>
            <w:r>
              <w:rPr>
                <w:rFonts w:hint="eastAsia" w:ascii="仿宋" w:hAnsi="仿宋" w:eastAsia="仿宋" w:cs="仿宋"/>
                <w:b/>
                <w:bCs w:val="0"/>
                <w:sz w:val="30"/>
                <w:szCs w:val="30"/>
                <w:lang w:val="en-US" w:eastAsia="zh-CN"/>
              </w:rPr>
              <w:t>合 计</w:t>
            </w:r>
          </w:p>
        </w:tc>
        <w:tc>
          <w:tcPr>
            <w:tcW w:w="750" w:type="dxa"/>
            <w:noWrap w:val="0"/>
            <w:vAlign w:val="top"/>
          </w:tcPr>
          <w:p w14:paraId="42806C0B">
            <w:pPr>
              <w:snapToGrid w:val="0"/>
              <w:spacing w:line="600" w:lineRule="exact"/>
              <w:jc w:val="center"/>
              <w:rPr>
                <w:rFonts w:hint="eastAsia" w:ascii="仿宋" w:hAnsi="仿宋" w:eastAsia="仿宋" w:cs="仿宋"/>
                <w:bCs/>
                <w:sz w:val="30"/>
                <w:szCs w:val="30"/>
                <w:vertAlign w:val="baseline"/>
                <w:lang w:val="en-US" w:eastAsia="zh-CN"/>
              </w:rPr>
            </w:pPr>
            <w:r>
              <w:rPr>
                <w:rFonts w:hint="eastAsia" w:ascii="仿宋" w:hAnsi="仿宋" w:eastAsia="仿宋" w:cs="仿宋"/>
                <w:b/>
                <w:bCs w:val="0"/>
                <w:sz w:val="30"/>
                <w:szCs w:val="30"/>
                <w:lang w:val="en-US" w:eastAsia="zh-CN"/>
              </w:rPr>
              <w:t>100</w:t>
            </w:r>
          </w:p>
        </w:tc>
        <w:tc>
          <w:tcPr>
            <w:tcW w:w="1450" w:type="dxa"/>
            <w:noWrap w:val="0"/>
            <w:vAlign w:val="top"/>
          </w:tcPr>
          <w:p w14:paraId="1F213BBB">
            <w:pPr>
              <w:snapToGrid w:val="0"/>
              <w:spacing w:line="600" w:lineRule="exact"/>
              <w:jc w:val="center"/>
              <w:rPr>
                <w:rFonts w:hint="eastAsia" w:ascii="仿宋" w:hAnsi="仿宋" w:eastAsia="仿宋" w:cs="仿宋"/>
                <w:bCs/>
                <w:sz w:val="30"/>
                <w:szCs w:val="30"/>
                <w:vertAlign w:val="baseline"/>
                <w:lang w:val="en-US" w:eastAsia="zh-CN"/>
              </w:rPr>
            </w:pPr>
            <w:r>
              <w:rPr>
                <w:rFonts w:hint="eastAsia" w:ascii="仿宋" w:hAnsi="仿宋" w:eastAsia="仿宋" w:cs="仿宋"/>
                <w:b/>
                <w:bCs w:val="0"/>
                <w:sz w:val="30"/>
                <w:szCs w:val="30"/>
                <w:lang w:val="en-US" w:eastAsia="zh-CN"/>
              </w:rPr>
              <w:t>98</w:t>
            </w:r>
          </w:p>
        </w:tc>
      </w:tr>
      <w:bookmarkEnd w:id="66"/>
    </w:tbl>
    <w:p w14:paraId="32E3208C">
      <w:pPr>
        <w:snapToGrid w:val="0"/>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四、绩效评价分析</w:t>
      </w:r>
    </w:p>
    <w:p w14:paraId="41D6F263">
      <w:pPr>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（一）项目决策情况</w:t>
      </w:r>
    </w:p>
    <w:p w14:paraId="2F867893">
      <w:pPr>
        <w:snapToGrid w:val="0"/>
        <w:spacing w:line="600" w:lineRule="exact"/>
        <w:ind w:firstLine="600" w:firstLineChars="200"/>
        <w:rPr>
          <w:rStyle w:val="37"/>
          <w:rFonts w:hint="eastAsia" w:ascii="仿宋" w:hAnsi="仿宋" w:eastAsia="仿宋" w:cs="仿宋"/>
          <w:b w:val="0"/>
          <w:bCs w:val="0"/>
          <w:i w:val="0"/>
          <w:caps w:val="0"/>
          <w:spacing w:val="0"/>
          <w:w w:val="100"/>
          <w:kern w:val="2"/>
          <w:sz w:val="30"/>
          <w:szCs w:val="30"/>
          <w:lang w:val="en-US" w:eastAsia="zh-CN" w:bidi="ar-SA"/>
        </w:rPr>
      </w:pPr>
      <w:r>
        <w:rPr>
          <w:rStyle w:val="37"/>
          <w:rFonts w:hint="eastAsia" w:ascii="仿宋" w:hAnsi="仿宋" w:eastAsia="仿宋" w:cs="仿宋"/>
          <w:b w:val="0"/>
          <w:bCs w:val="0"/>
          <w:i w:val="0"/>
          <w:caps w:val="0"/>
          <w:spacing w:val="0"/>
          <w:w w:val="100"/>
          <w:kern w:val="2"/>
          <w:sz w:val="30"/>
          <w:szCs w:val="30"/>
          <w:lang w:val="en-US" w:eastAsia="zh-CN" w:bidi="ar-SA"/>
        </w:rPr>
        <w:t>中心领导高度重视，根据项目运行方案，细化工作任务，合理配置资源，建立项目控制管理机制，项目实施过程中严格按照项目预算科目及有关政策规定进行支付，规避项目风险，确保了项目较好质量的完成。</w:t>
      </w:r>
    </w:p>
    <w:p w14:paraId="62122A01">
      <w:pPr>
        <w:numPr>
          <w:ilvl w:val="0"/>
          <w:numId w:val="9"/>
        </w:numPr>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项目管理情况</w:t>
      </w:r>
    </w:p>
    <w:p w14:paraId="32A99B22">
      <w:pPr>
        <w:numPr>
          <w:ilvl w:val="0"/>
          <w:numId w:val="0"/>
        </w:numPr>
        <w:snapToGrid w:val="0"/>
        <w:spacing w:line="600" w:lineRule="exact"/>
        <w:rPr>
          <w:rStyle w:val="37"/>
          <w:rFonts w:hint="eastAsia" w:ascii="仿宋" w:hAnsi="仿宋" w:eastAsia="仿宋" w:cs="仿宋"/>
          <w:b w:val="0"/>
          <w:bCs w:val="0"/>
          <w:i w:val="0"/>
          <w:caps w:val="0"/>
          <w:spacing w:val="0"/>
          <w:w w:val="100"/>
          <w:kern w:val="2"/>
          <w:sz w:val="30"/>
          <w:szCs w:val="30"/>
          <w:lang w:val="en-US" w:eastAsia="zh-CN" w:bidi="ar-SA"/>
        </w:rPr>
      </w:pPr>
      <w:r>
        <w:rPr>
          <w:rFonts w:hint="eastAsia" w:ascii="仿宋" w:hAnsi="仿宋" w:eastAsia="仿宋" w:cs="仿宋"/>
          <w:b/>
          <w:sz w:val="30"/>
          <w:szCs w:val="30"/>
          <w:lang w:val="en-US" w:eastAsia="zh-CN"/>
        </w:rPr>
        <w:t xml:space="preserve">    </w:t>
      </w:r>
      <w:r>
        <w:rPr>
          <w:rStyle w:val="37"/>
          <w:rFonts w:hint="eastAsia" w:ascii="仿宋" w:hAnsi="仿宋" w:eastAsia="仿宋" w:cs="仿宋"/>
          <w:b w:val="0"/>
          <w:bCs w:val="0"/>
          <w:i w:val="0"/>
          <w:caps w:val="0"/>
          <w:spacing w:val="0"/>
          <w:w w:val="100"/>
          <w:kern w:val="2"/>
          <w:sz w:val="30"/>
          <w:szCs w:val="30"/>
          <w:lang w:val="en-US" w:eastAsia="zh-CN" w:bidi="ar-SA"/>
        </w:rPr>
        <w:t>根据国家相关规定，对项目经费的使用制定了管理办法，不断加强财务管理内控制度，进一步完善经费管理规定。项目业务由业务股室实施，资金支出由办公室统筹协调，不以任何理由虚列、截留、挤占、挪用，资金支出严格按照财务规定执行。</w:t>
      </w:r>
    </w:p>
    <w:p w14:paraId="31B9B873">
      <w:pPr>
        <w:numPr>
          <w:ilvl w:val="0"/>
          <w:numId w:val="9"/>
        </w:numPr>
        <w:snapToGrid w:val="0"/>
        <w:spacing w:line="600" w:lineRule="exact"/>
        <w:ind w:left="0" w:leftChars="0" w:firstLine="602" w:firstLineChars="200"/>
        <w:rPr>
          <w:rFonts w:hint="eastAsia" w:ascii="仿宋" w:hAnsi="仿宋" w:eastAsia="仿宋" w:cs="仿宋"/>
          <w:b/>
          <w:sz w:val="30"/>
          <w:szCs w:val="30"/>
        </w:rPr>
      </w:pPr>
      <w:r>
        <w:rPr>
          <w:rFonts w:hint="eastAsia" w:ascii="仿宋" w:hAnsi="仿宋" w:eastAsia="仿宋" w:cs="仿宋"/>
          <w:b/>
          <w:sz w:val="30"/>
          <w:szCs w:val="30"/>
        </w:rPr>
        <w:t>项目产出情况</w:t>
      </w:r>
    </w:p>
    <w:p w14:paraId="49A11806">
      <w:pPr>
        <w:numPr>
          <w:ilvl w:val="0"/>
          <w:numId w:val="0"/>
        </w:numPr>
        <w:snapToGrid w:val="0"/>
        <w:spacing w:line="600" w:lineRule="exact"/>
        <w:ind w:firstLine="600" w:firstLineChars="200"/>
        <w:rPr>
          <w:rStyle w:val="37"/>
          <w:rFonts w:hint="eastAsia" w:ascii="仿宋" w:hAnsi="仿宋" w:eastAsia="仿宋" w:cs="仿宋"/>
          <w:b w:val="0"/>
          <w:bCs w:val="0"/>
          <w:i w:val="0"/>
          <w:caps w:val="0"/>
          <w:spacing w:val="0"/>
          <w:w w:val="100"/>
          <w:kern w:val="2"/>
          <w:sz w:val="30"/>
          <w:szCs w:val="30"/>
          <w:lang w:val="en-US" w:eastAsia="zh-CN" w:bidi="ar-SA"/>
        </w:rPr>
      </w:pPr>
      <w:r>
        <w:rPr>
          <w:rStyle w:val="37"/>
          <w:rFonts w:hint="eastAsia" w:ascii="仿宋" w:hAnsi="仿宋" w:eastAsia="仿宋" w:cs="仿宋"/>
          <w:b w:val="0"/>
          <w:bCs w:val="0"/>
          <w:i w:val="0"/>
          <w:caps w:val="0"/>
          <w:spacing w:val="0"/>
          <w:w w:val="100"/>
          <w:kern w:val="2"/>
          <w:sz w:val="30"/>
          <w:szCs w:val="30"/>
          <w:lang w:val="en-US" w:eastAsia="zh-CN" w:bidi="ar-SA"/>
        </w:rPr>
        <w:t>该项目作为中心经常性业务类项目，对项目所产生的各类经费及时拨付，保障了工作的正常开展。其中数量指标：产融对接活动、扫黑除恶及防范非法集资宣传活动等计划完成5次实际完成5次，此项满分5分，得5分。质量指标：资金使用严格遵循相关财政法律法规，此项满分5分，得5分。成本指标：预算控制率在100%以内，实际完成100%，此项满分5分，得5分。时效指标：计划预算完成率为100%，实际完成率100%，此项满分5分，得5分。</w:t>
      </w:r>
    </w:p>
    <w:p w14:paraId="317EDC37">
      <w:pPr>
        <w:numPr>
          <w:ilvl w:val="0"/>
          <w:numId w:val="9"/>
        </w:numPr>
        <w:snapToGrid w:val="0"/>
        <w:spacing w:line="600" w:lineRule="exact"/>
        <w:ind w:left="0" w:leftChars="0" w:firstLine="602" w:firstLineChars="200"/>
        <w:rPr>
          <w:rFonts w:hint="eastAsia" w:ascii="仿宋" w:hAnsi="仿宋" w:eastAsia="仿宋" w:cs="仿宋"/>
          <w:b/>
          <w:sz w:val="30"/>
          <w:szCs w:val="30"/>
        </w:rPr>
      </w:pPr>
      <w:r>
        <w:rPr>
          <w:rFonts w:hint="eastAsia" w:ascii="仿宋" w:hAnsi="仿宋" w:eastAsia="仿宋" w:cs="仿宋"/>
          <w:b/>
          <w:sz w:val="30"/>
          <w:szCs w:val="30"/>
        </w:rPr>
        <w:t>项目效益情况。</w:t>
      </w:r>
    </w:p>
    <w:p w14:paraId="17DE6C9E">
      <w:pPr>
        <w:numPr>
          <w:ilvl w:val="0"/>
          <w:numId w:val="0"/>
        </w:numPr>
        <w:snapToGrid w:val="0"/>
        <w:spacing w:line="600" w:lineRule="exact"/>
        <w:ind w:firstLine="600" w:firstLineChars="200"/>
        <w:rPr>
          <w:rStyle w:val="37"/>
          <w:rFonts w:hint="eastAsia" w:ascii="仿宋" w:hAnsi="仿宋" w:eastAsia="仿宋" w:cs="仿宋"/>
          <w:b w:val="0"/>
          <w:bCs w:val="0"/>
          <w:i w:val="0"/>
          <w:caps w:val="0"/>
          <w:spacing w:val="0"/>
          <w:w w:val="100"/>
          <w:kern w:val="2"/>
          <w:sz w:val="30"/>
          <w:szCs w:val="30"/>
          <w:lang w:val="en-US" w:eastAsia="zh-CN" w:bidi="ar-SA"/>
        </w:rPr>
      </w:pPr>
      <w:r>
        <w:rPr>
          <w:rStyle w:val="37"/>
          <w:rFonts w:hint="eastAsia" w:ascii="仿宋" w:hAnsi="仿宋" w:eastAsia="仿宋" w:cs="仿宋"/>
          <w:b w:val="0"/>
          <w:bCs w:val="0"/>
          <w:i w:val="0"/>
          <w:caps w:val="0"/>
          <w:spacing w:val="0"/>
          <w:w w:val="100"/>
          <w:kern w:val="2"/>
          <w:sz w:val="30"/>
          <w:szCs w:val="30"/>
          <w:lang w:val="en-US" w:eastAsia="zh-CN" w:bidi="ar-SA"/>
        </w:rPr>
        <w:t>金融工作经费是保障金融服务中心正常运转，维持全年金融工作开展及目标任务完成的重要工作资金，其中维护金融市场稳定及防范非法集资、扫黑除恶宣传工作的开展具有广泛的经济效益、社会效益及可持续性影响。其中经济效益指标：区域金融市场稳定，满分20分，得20分。社会效益指标：防范非法集资、扫黑除恶工作顺利开展，满分20分，得20分。可持续影响指标：群众对防非及扫黑除恶线索报送积极，满分10分，得8分。</w:t>
      </w:r>
    </w:p>
    <w:p w14:paraId="6FE6D332">
      <w:pPr>
        <w:snapToGrid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五、存在主要问题</w:t>
      </w:r>
    </w:p>
    <w:p w14:paraId="738CDC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一是</w:t>
      </w:r>
      <w:r>
        <w:rPr>
          <w:rFonts w:hint="eastAsia" w:ascii="仿宋" w:hAnsi="仿宋" w:eastAsia="仿宋" w:cs="仿宋"/>
          <w:sz w:val="30"/>
          <w:szCs w:val="30"/>
          <w:lang w:val="en-US" w:eastAsia="zh-CN"/>
        </w:rPr>
        <w:t>非法集资案件办理复杂，个别重点案件结案缓慢，集资融资类信访稳定风险依旧存在。</w:t>
      </w:r>
      <w:r>
        <w:rPr>
          <w:rFonts w:hint="eastAsia" w:ascii="仿宋" w:hAnsi="仿宋" w:eastAsia="仿宋" w:cs="仿宋"/>
          <w:b/>
          <w:bCs/>
          <w:sz w:val="30"/>
          <w:szCs w:val="30"/>
          <w:lang w:val="en-US" w:eastAsia="zh-CN"/>
        </w:rPr>
        <w:t>二是</w:t>
      </w:r>
      <w:r>
        <w:rPr>
          <w:rFonts w:hint="eastAsia" w:ascii="仿宋" w:hAnsi="仿宋" w:eastAsia="仿宋" w:cs="仿宋"/>
          <w:sz w:val="30"/>
          <w:szCs w:val="30"/>
          <w:lang w:val="en-US" w:eastAsia="zh-CN"/>
        </w:rPr>
        <w:t>非法集资活动仍时有发生，</w:t>
      </w:r>
      <w:r>
        <w:rPr>
          <w:rFonts w:hint="eastAsia" w:ascii="仿宋" w:hAnsi="仿宋" w:eastAsia="仿宋" w:cs="仿宋"/>
          <w:b w:val="0"/>
          <w:bCs w:val="0"/>
          <w:sz w:val="30"/>
          <w:szCs w:val="30"/>
          <w:lang w:val="en-US" w:eastAsia="zh-CN"/>
        </w:rPr>
        <w:t>虽已建立</w:t>
      </w:r>
      <w:r>
        <w:rPr>
          <w:rFonts w:hint="eastAsia" w:ascii="仿宋" w:hAnsi="仿宋" w:eastAsia="仿宋" w:cs="仿宋"/>
          <w:sz w:val="30"/>
          <w:szCs w:val="30"/>
          <w:lang w:val="en-US" w:eastAsia="zh-CN"/>
        </w:rPr>
        <w:t>非法集资风险防控体系，但线上非法集资仍然面临跨区域排查难、打击处置难、追赃挽损难等问题。三</w:t>
      </w:r>
      <w:r>
        <w:rPr>
          <w:rFonts w:hint="eastAsia" w:ascii="仿宋" w:hAnsi="仿宋" w:eastAsia="仿宋" w:cs="仿宋"/>
          <w:b/>
          <w:bCs/>
          <w:sz w:val="30"/>
          <w:szCs w:val="30"/>
          <w:lang w:val="en-US" w:eastAsia="zh-CN"/>
        </w:rPr>
        <w:t>是</w:t>
      </w:r>
      <w:r>
        <w:rPr>
          <w:rFonts w:hint="eastAsia" w:ascii="仿宋" w:hAnsi="仿宋" w:eastAsia="仿宋" w:cs="仿宋"/>
          <w:sz w:val="30"/>
          <w:szCs w:val="30"/>
          <w:lang w:val="en-US" w:eastAsia="zh-CN"/>
        </w:rPr>
        <w:t>地方金融监管手段有限，伴随互联网的快速发展，区级层面的监管手段及措施不足，权责不匹配，在线索摸排的过程中取证困难。</w:t>
      </w:r>
    </w:p>
    <w:p w14:paraId="6027F686">
      <w:pPr>
        <w:snapToGrid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六、相关措施建议</w:t>
      </w:r>
    </w:p>
    <w:p w14:paraId="62CD9F74">
      <w:pPr>
        <w:snapToGrid w:val="0"/>
        <w:spacing w:line="600" w:lineRule="exact"/>
        <w:jc w:val="left"/>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 xml:space="preserve">   一是</w:t>
      </w:r>
      <w:r>
        <w:rPr>
          <w:rFonts w:hint="eastAsia" w:ascii="仿宋" w:hAnsi="仿宋" w:eastAsia="仿宋" w:cs="仿宋"/>
          <w:sz w:val="30"/>
          <w:szCs w:val="30"/>
          <w:lang w:val="en-US" w:eastAsia="zh-CN"/>
        </w:rPr>
        <w:t>继续深化线索摸排工作，拓宽线索来源渠道，提高线索摸排质量；</w:t>
      </w:r>
      <w:r>
        <w:rPr>
          <w:rFonts w:hint="eastAsia" w:ascii="仿宋" w:hAnsi="仿宋" w:eastAsia="仿宋" w:cs="仿宋"/>
          <w:b/>
          <w:bCs/>
          <w:sz w:val="30"/>
          <w:szCs w:val="30"/>
          <w:lang w:val="en-US" w:eastAsia="zh-CN"/>
        </w:rPr>
        <w:t>二是</w:t>
      </w:r>
      <w:r>
        <w:rPr>
          <w:rFonts w:hint="eastAsia" w:ascii="仿宋" w:hAnsi="仿宋" w:eastAsia="仿宋" w:cs="仿宋"/>
          <w:sz w:val="30"/>
          <w:szCs w:val="30"/>
          <w:lang w:val="en-US" w:eastAsia="zh-CN"/>
        </w:rPr>
        <w:t>加强宣传教育力度，创新宣传方式方法，提高群众参与度和知晓率；</w:t>
      </w:r>
      <w:r>
        <w:rPr>
          <w:rFonts w:hint="eastAsia" w:ascii="仿宋" w:hAnsi="仿宋" w:eastAsia="仿宋" w:cs="仿宋"/>
          <w:b/>
          <w:bCs/>
          <w:sz w:val="30"/>
          <w:szCs w:val="30"/>
          <w:lang w:val="en-US" w:eastAsia="zh-CN"/>
        </w:rPr>
        <w:t>三是</w:t>
      </w:r>
      <w:r>
        <w:rPr>
          <w:rFonts w:hint="eastAsia" w:ascii="仿宋" w:hAnsi="仿宋" w:eastAsia="仿宋" w:cs="仿宋"/>
          <w:sz w:val="30"/>
          <w:szCs w:val="30"/>
          <w:lang w:val="en-US" w:eastAsia="zh-CN"/>
        </w:rPr>
        <w:t>完善工作机制建设，加强部门协作配合</w:t>
      </w:r>
      <w:bookmarkStart w:id="68" w:name="OLE_LINK10"/>
      <w:r>
        <w:rPr>
          <w:rFonts w:hint="eastAsia" w:ascii="仿宋" w:hAnsi="仿宋" w:eastAsia="仿宋" w:cs="仿宋"/>
          <w:sz w:val="30"/>
          <w:szCs w:val="30"/>
          <w:lang w:val="en-US" w:eastAsia="zh-CN"/>
        </w:rPr>
        <w:t xml:space="preserve">和信息共享机制建设。 </w:t>
      </w:r>
      <w:bookmarkEnd w:id="68"/>
    </w:p>
    <w:p w14:paraId="27E86CDB">
      <w:pPr>
        <w:snapToGrid w:val="0"/>
        <w:spacing w:line="600" w:lineRule="exact"/>
        <w:ind w:firstLine="640" w:firstLineChars="200"/>
        <w:rPr>
          <w:rStyle w:val="37"/>
          <w:rFonts w:hint="eastAsia" w:ascii="仿宋_GB2312" w:hAnsi="宋体" w:eastAsia="仿宋_GB2312" w:cs="Times New Roman"/>
          <w:b w:val="0"/>
          <w:i w:val="0"/>
          <w:caps w:val="0"/>
          <w:spacing w:val="0"/>
          <w:w w:val="100"/>
          <w:kern w:val="2"/>
          <w:sz w:val="32"/>
          <w:szCs w:val="32"/>
          <w:lang w:val="en-US" w:eastAsia="zh-CN"/>
        </w:rPr>
      </w:pPr>
    </w:p>
    <w:p w14:paraId="34D5B8B8">
      <w:pPr>
        <w:snapToGrid w:val="0"/>
        <w:spacing w:line="600" w:lineRule="exact"/>
        <w:ind w:firstLine="640" w:firstLineChars="200"/>
        <w:rPr>
          <w:rStyle w:val="37"/>
          <w:rFonts w:hint="eastAsia" w:ascii="仿宋_GB2312" w:hAnsi="宋体" w:eastAsia="仿宋_GB2312" w:cs="Times New Roman"/>
          <w:b w:val="0"/>
          <w:i w:val="0"/>
          <w:caps w:val="0"/>
          <w:spacing w:val="0"/>
          <w:w w:val="100"/>
          <w:kern w:val="2"/>
          <w:sz w:val="32"/>
          <w:szCs w:val="32"/>
          <w:lang w:val="en-US" w:eastAsia="zh-CN"/>
        </w:rPr>
      </w:pPr>
    </w:p>
    <w:p w14:paraId="1FE171D7">
      <w:pPr>
        <w:snapToGrid w:val="0"/>
        <w:spacing w:line="600" w:lineRule="exact"/>
        <w:ind w:firstLine="640" w:firstLineChars="200"/>
        <w:rPr>
          <w:rStyle w:val="37"/>
          <w:rFonts w:hint="eastAsia" w:ascii="仿宋_GB2312" w:hAnsi="宋体" w:eastAsia="仿宋_GB2312" w:cs="Times New Roman"/>
          <w:b w:val="0"/>
          <w:i w:val="0"/>
          <w:caps w:val="0"/>
          <w:spacing w:val="0"/>
          <w:w w:val="100"/>
          <w:kern w:val="2"/>
          <w:sz w:val="32"/>
          <w:szCs w:val="32"/>
          <w:lang w:val="en-US" w:eastAsia="zh-CN"/>
        </w:rPr>
      </w:pPr>
    </w:p>
    <w:p w14:paraId="5352CBE5">
      <w:pPr>
        <w:snapToGrid w:val="0"/>
        <w:spacing w:line="600" w:lineRule="exact"/>
        <w:ind w:firstLine="640" w:firstLineChars="200"/>
        <w:rPr>
          <w:rStyle w:val="37"/>
          <w:rFonts w:hint="eastAsia" w:ascii="仿宋_GB2312" w:hAnsi="宋体" w:eastAsia="仿宋_GB2312" w:cs="Times New Roman"/>
          <w:b w:val="0"/>
          <w:i w:val="0"/>
          <w:caps w:val="0"/>
          <w:spacing w:val="0"/>
          <w:w w:val="100"/>
          <w:kern w:val="2"/>
          <w:sz w:val="32"/>
          <w:szCs w:val="32"/>
          <w:lang w:val="en-US" w:eastAsia="zh-CN"/>
        </w:rPr>
      </w:pPr>
    </w:p>
    <w:p w14:paraId="300BAAF3">
      <w:pPr>
        <w:snapToGrid w:val="0"/>
        <w:spacing w:line="600" w:lineRule="exact"/>
        <w:rPr>
          <w:rStyle w:val="37"/>
          <w:rFonts w:hint="eastAsia" w:ascii="仿宋_GB2312" w:hAnsi="宋体" w:eastAsia="仿宋_GB2312" w:cs="Times New Roman"/>
          <w:b w:val="0"/>
          <w:i w:val="0"/>
          <w:caps w:val="0"/>
          <w:spacing w:val="0"/>
          <w:w w:val="100"/>
          <w:kern w:val="2"/>
          <w:sz w:val="32"/>
          <w:szCs w:val="32"/>
          <w:lang w:val="en-US" w:eastAsia="zh-CN"/>
        </w:rPr>
      </w:pPr>
    </w:p>
    <w:p w14:paraId="5C349D71">
      <w:pPr>
        <w:snapToGrid w:val="0"/>
        <w:spacing w:line="600" w:lineRule="exact"/>
        <w:ind w:firstLine="640" w:firstLineChars="200"/>
        <w:rPr>
          <w:rStyle w:val="37"/>
          <w:rFonts w:hint="eastAsia" w:ascii="仿宋_GB2312" w:hAnsi="宋体" w:eastAsia="仿宋_GB2312" w:cs="Times New Roman"/>
          <w:b w:val="0"/>
          <w:i w:val="0"/>
          <w:caps w:val="0"/>
          <w:spacing w:val="0"/>
          <w:w w:val="100"/>
          <w:kern w:val="2"/>
          <w:sz w:val="32"/>
          <w:szCs w:val="32"/>
          <w:lang w:val="en-US" w:eastAsia="zh-CN"/>
        </w:rPr>
      </w:pPr>
    </w:p>
    <w:p w14:paraId="1E291A7B">
      <w:pPr>
        <w:snapToGrid w:val="0"/>
        <w:spacing w:line="600" w:lineRule="exact"/>
        <w:ind w:firstLine="640" w:firstLineChars="200"/>
        <w:rPr>
          <w:rStyle w:val="37"/>
          <w:rFonts w:hint="eastAsia" w:ascii="仿宋_GB2312" w:hAnsi="宋体" w:eastAsia="仿宋_GB2312" w:cs="Times New Roman"/>
          <w:b w:val="0"/>
          <w:i w:val="0"/>
          <w:caps w:val="0"/>
          <w:spacing w:val="0"/>
          <w:w w:val="100"/>
          <w:kern w:val="2"/>
          <w:sz w:val="32"/>
          <w:szCs w:val="32"/>
          <w:lang w:val="en-US" w:eastAsia="zh-CN"/>
        </w:rPr>
      </w:pPr>
    </w:p>
    <w:p w14:paraId="026AF718">
      <w:pPr>
        <w:snapToGrid w:val="0"/>
        <w:spacing w:line="600" w:lineRule="exact"/>
        <w:ind w:firstLine="640" w:firstLineChars="200"/>
        <w:rPr>
          <w:rStyle w:val="37"/>
          <w:rFonts w:hint="eastAsia" w:ascii="仿宋_GB2312" w:hAnsi="宋体" w:eastAsia="仿宋_GB2312" w:cs="Times New Roman"/>
          <w:b w:val="0"/>
          <w:i w:val="0"/>
          <w:caps w:val="0"/>
          <w:spacing w:val="0"/>
          <w:w w:val="100"/>
          <w:kern w:val="2"/>
          <w:sz w:val="32"/>
          <w:szCs w:val="32"/>
          <w:lang w:val="en-US" w:eastAsia="zh-CN"/>
        </w:rPr>
      </w:pPr>
    </w:p>
    <w:p w14:paraId="6EA3A4D2">
      <w:pPr>
        <w:numPr>
          <w:ilvl w:val="0"/>
          <w:numId w:val="0"/>
        </w:numPr>
        <w:spacing w:line="600" w:lineRule="exact"/>
        <w:ind w:firstLine="2200" w:firstLineChars="500"/>
        <w:jc w:val="both"/>
        <w:outlineLvl w:val="0"/>
        <w:rPr>
          <w:rStyle w:val="30"/>
          <w:rFonts w:hint="eastAsia" w:ascii="黑体" w:hAnsi="黑体" w:eastAsia="黑体"/>
          <w:b w:val="0"/>
          <w:color w:val="auto"/>
          <w:highlight w:val="none"/>
        </w:rPr>
      </w:pPr>
      <w:r>
        <w:rPr>
          <w:rStyle w:val="30"/>
          <w:rFonts w:hint="eastAsia" w:ascii="黑体" w:hAnsi="黑体" w:eastAsia="黑体"/>
          <w:b w:val="0"/>
          <w:color w:val="auto"/>
          <w:highlight w:val="none"/>
          <w:lang w:val="en-US" w:eastAsia="zh-CN"/>
        </w:rPr>
        <w:t xml:space="preserve">第五部分 </w:t>
      </w:r>
      <w:r>
        <w:rPr>
          <w:rStyle w:val="30"/>
          <w:rFonts w:hint="eastAsia" w:ascii="黑体" w:hAnsi="黑体" w:eastAsia="黑体"/>
          <w:b w:val="0"/>
          <w:color w:val="auto"/>
          <w:highlight w:val="none"/>
        </w:rPr>
        <w:t>附表</w:t>
      </w:r>
      <w:bookmarkEnd w:id="55"/>
      <w:bookmarkEnd w:id="62"/>
    </w:p>
    <w:p w14:paraId="2EB950BB">
      <w:pPr>
        <w:pStyle w:val="3"/>
        <w:rPr>
          <w:rFonts w:ascii="仿宋" w:hAnsi="仿宋" w:eastAsia="仿宋"/>
          <w:color w:val="auto"/>
          <w:highlight w:val="none"/>
        </w:rPr>
      </w:pPr>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p>
    <w:p w14:paraId="095D78A4">
      <w:pPr>
        <w:pStyle w:val="3"/>
        <w:rPr>
          <w:rFonts w:ascii="仿宋" w:hAnsi="仿宋" w:eastAsia="仿宋"/>
          <w:color w:val="auto"/>
          <w:highlight w:val="none"/>
        </w:rPr>
      </w:pPr>
      <w:bookmarkStart w:id="69" w:name="_Toc15396620"/>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69"/>
    </w:p>
    <w:p w14:paraId="56AEEB84">
      <w:pPr>
        <w:pStyle w:val="3"/>
        <w:rPr>
          <w:rFonts w:ascii="仿宋" w:hAnsi="仿宋" w:eastAsia="仿宋"/>
          <w:color w:val="auto"/>
          <w:highlight w:val="none"/>
        </w:rPr>
      </w:pPr>
      <w:bookmarkStart w:id="70" w:name="_Toc15396621"/>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70"/>
    </w:p>
    <w:p w14:paraId="571A7952">
      <w:pPr>
        <w:pStyle w:val="3"/>
        <w:rPr>
          <w:rFonts w:ascii="仿宋" w:hAnsi="仿宋" w:eastAsia="仿宋"/>
          <w:b w:val="0"/>
          <w:color w:val="auto"/>
          <w:highlight w:val="none"/>
        </w:rPr>
      </w:pPr>
      <w:bookmarkStart w:id="71" w:name="_Toc15396622"/>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71"/>
    </w:p>
    <w:p w14:paraId="1ACA29EE">
      <w:pPr>
        <w:pStyle w:val="3"/>
        <w:rPr>
          <w:rStyle w:val="31"/>
          <w:rFonts w:ascii="仿宋" w:hAnsi="仿宋" w:eastAsia="仿宋"/>
          <w:b w:val="0"/>
          <w:bCs w:val="0"/>
          <w:color w:val="auto"/>
          <w:highlight w:val="none"/>
        </w:rPr>
      </w:pPr>
      <w:bookmarkStart w:id="72" w:name="_Toc15396623"/>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72"/>
      <w:bookmarkStart w:id="73" w:name="_Toc15396624"/>
    </w:p>
    <w:p w14:paraId="645D5EB7">
      <w:pPr>
        <w:pStyle w:val="3"/>
        <w:rPr>
          <w:rFonts w:ascii="仿宋" w:hAnsi="仿宋" w:eastAsia="仿宋"/>
          <w:color w:val="auto"/>
          <w:highlight w:val="none"/>
        </w:rPr>
      </w:pPr>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73"/>
    </w:p>
    <w:p w14:paraId="7A879244">
      <w:pPr>
        <w:pStyle w:val="3"/>
        <w:rPr>
          <w:rFonts w:ascii="仿宋" w:hAnsi="仿宋" w:eastAsia="仿宋"/>
          <w:color w:val="auto"/>
          <w:highlight w:val="none"/>
        </w:rPr>
      </w:pPr>
      <w:bookmarkStart w:id="74" w:name="_Toc15396625"/>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74"/>
    </w:p>
    <w:p w14:paraId="6ACE00F3">
      <w:pPr>
        <w:pStyle w:val="3"/>
        <w:rPr>
          <w:rFonts w:ascii="仿宋" w:hAnsi="仿宋" w:eastAsia="仿宋"/>
          <w:color w:val="auto"/>
          <w:highlight w:val="none"/>
        </w:rPr>
      </w:pPr>
      <w:bookmarkStart w:id="75" w:name="_Toc15396626"/>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75"/>
    </w:p>
    <w:p w14:paraId="1D4D4FC3">
      <w:pPr>
        <w:pStyle w:val="3"/>
        <w:rPr>
          <w:rFonts w:ascii="仿宋" w:hAnsi="仿宋" w:eastAsia="仿宋"/>
          <w:color w:val="auto"/>
          <w:highlight w:val="none"/>
        </w:rPr>
      </w:pPr>
      <w:bookmarkStart w:id="76" w:name="_Toc15396627"/>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76"/>
    </w:p>
    <w:p w14:paraId="3B5C94BE">
      <w:pPr>
        <w:pStyle w:val="3"/>
        <w:rPr>
          <w:rFonts w:ascii="仿宋" w:hAnsi="仿宋" w:eastAsia="仿宋"/>
          <w:color w:val="auto"/>
          <w:highlight w:val="none"/>
        </w:rPr>
      </w:pPr>
      <w:bookmarkStart w:id="77" w:name="_Toc15396628"/>
      <w:r>
        <w:rPr>
          <w:rStyle w:val="31"/>
          <w:rFonts w:hint="eastAsia" w:ascii="仿宋" w:hAnsi="仿宋" w:eastAsia="仿宋"/>
          <w:b w:val="0"/>
          <w:bCs w:val="0"/>
          <w:color w:val="auto"/>
          <w:highlight w:val="none"/>
        </w:rPr>
        <w:t>十、</w:t>
      </w:r>
      <w:bookmarkEnd w:id="77"/>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p>
    <w:p w14:paraId="2FF23030">
      <w:pPr>
        <w:pStyle w:val="3"/>
        <w:rPr>
          <w:rFonts w:ascii="仿宋" w:hAnsi="仿宋" w:eastAsia="仿宋"/>
          <w:color w:val="auto"/>
          <w:highlight w:val="none"/>
        </w:rPr>
      </w:pPr>
      <w:bookmarkStart w:id="78" w:name="_Toc15396629"/>
      <w:r>
        <w:rPr>
          <w:rStyle w:val="31"/>
          <w:rFonts w:hint="eastAsia" w:ascii="仿宋" w:hAnsi="仿宋" w:eastAsia="仿宋"/>
          <w:b w:val="0"/>
          <w:bCs w:val="0"/>
          <w:color w:val="auto"/>
          <w:highlight w:val="none"/>
        </w:rPr>
        <w:t>十一、</w:t>
      </w:r>
      <w:bookmarkEnd w:id="78"/>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p>
    <w:p w14:paraId="1F20C317">
      <w:pPr>
        <w:pStyle w:val="3"/>
        <w:rPr>
          <w:rFonts w:ascii="仿宋" w:hAnsi="仿宋" w:eastAsia="仿宋"/>
          <w:color w:val="auto"/>
          <w:highlight w:val="none"/>
        </w:rPr>
      </w:pPr>
      <w:bookmarkStart w:id="79" w:name="_Toc15396630"/>
      <w:r>
        <w:rPr>
          <w:rStyle w:val="31"/>
          <w:rFonts w:hint="eastAsia" w:ascii="仿宋" w:hAnsi="仿宋" w:eastAsia="仿宋"/>
          <w:b w:val="0"/>
          <w:bCs w:val="0"/>
          <w:color w:val="auto"/>
          <w:highlight w:val="none"/>
        </w:rPr>
        <w:t>十二、</w:t>
      </w:r>
      <w:bookmarkEnd w:id="79"/>
      <w:r>
        <w:rPr>
          <w:rStyle w:val="31"/>
          <w:rFonts w:hint="eastAsia" w:ascii="仿宋" w:hAnsi="仿宋" w:eastAsia="仿宋"/>
          <w:b w:val="0"/>
          <w:bCs w:val="0"/>
          <w:color w:val="auto"/>
          <w:highlight w:val="none"/>
          <w:lang w:eastAsia="zh-CN"/>
        </w:rPr>
        <w:t>国有资本经营预算财政拨款支出决算表</w:t>
      </w:r>
    </w:p>
    <w:p w14:paraId="5F3F6E3B">
      <w:pPr>
        <w:pStyle w:val="3"/>
        <w:rPr>
          <w:rFonts w:hint="eastAsia"/>
          <w:lang w:eastAsia="zh-CN"/>
        </w:rPr>
      </w:pPr>
      <w:bookmarkStart w:id="80" w:name="_Toc15396631"/>
      <w:r>
        <w:rPr>
          <w:rStyle w:val="31"/>
          <w:rFonts w:hint="eastAsia" w:ascii="仿宋" w:hAnsi="仿宋" w:eastAsia="仿宋"/>
          <w:b w:val="0"/>
          <w:bCs w:val="0"/>
          <w:color w:val="auto"/>
          <w:highlight w:val="none"/>
        </w:rPr>
        <w:t>十三、</w:t>
      </w:r>
      <w:bookmarkEnd w:id="80"/>
      <w:r>
        <w:rPr>
          <w:rStyle w:val="31"/>
          <w:rFonts w:hint="eastAsia" w:ascii="仿宋" w:hAnsi="仿宋" w:eastAsia="仿宋"/>
          <w:b w:val="0"/>
          <w:bCs w:val="0"/>
          <w:color w:val="auto"/>
          <w:highlight w:val="none"/>
          <w:lang w:eastAsia="zh-CN"/>
        </w:rPr>
        <w:t>财政拨款“三公”经费支出决算表</w:t>
      </w:r>
    </w:p>
    <w:p w14:paraId="2C5F79AC">
      <w:pPr>
        <w:numPr>
          <w:ilvl w:val="0"/>
          <w:numId w:val="0"/>
        </w:numPr>
        <w:spacing w:line="600" w:lineRule="exact"/>
        <w:ind w:leftChars="150"/>
        <w:jc w:val="both"/>
        <w:outlineLvl w:val="0"/>
        <w:rPr>
          <w:rStyle w:val="30"/>
          <w:rFonts w:hint="eastAsia" w:ascii="黑体" w:hAnsi="黑体" w:eastAsia="黑体"/>
          <w:b w:val="0"/>
          <w:color w:val="auto"/>
          <w:highlight w:val="none"/>
          <w:lang w:eastAsia="zh-CN"/>
        </w:rPr>
      </w:pPr>
    </w:p>
    <w:sectPr>
      <w:headerReference r:id="rId3" w:type="default"/>
      <w:footerReference r:id="rId4" w:type="default"/>
      <w:pgSz w:w="11906" w:h="16838"/>
      <w:pgMar w:top="1440" w:right="1800" w:bottom="1440" w:left="1800"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B134F02">
        <w:pPr>
          <w:pStyle w:val="9"/>
          <w:jc w:val="center"/>
        </w:pPr>
        <w:r>
          <w:fldChar w:fldCharType="begin"/>
        </w:r>
        <w:r>
          <w:instrText xml:space="preserve">PAGE   \* MERGEFORMAT</w:instrText>
        </w:r>
        <w:r>
          <w:fldChar w:fldCharType="separate"/>
        </w:r>
        <w:r>
          <w:rPr>
            <w:lang w:val="zh-CN"/>
          </w:rPr>
          <w:t>8</w:t>
        </w:r>
        <w:r>
          <w:fldChar w:fldCharType="end"/>
        </w:r>
      </w:p>
    </w:sdtContent>
  </w:sdt>
  <w:p w14:paraId="02125E6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80559">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CFF95F4E"/>
    <w:multiLevelType w:val="singleLevel"/>
    <w:tmpl w:val="CFF95F4E"/>
    <w:lvl w:ilvl="0" w:tentative="0">
      <w:start w:val="1"/>
      <w:numFmt w:val="chineseCounting"/>
      <w:suff w:val="nothing"/>
      <w:lvlText w:val="%1、"/>
      <w:lvlJc w:val="left"/>
      <w:rPr>
        <w:rFonts w:hint="eastAsia"/>
      </w:rPr>
    </w:lvl>
  </w:abstractNum>
  <w:abstractNum w:abstractNumId="2">
    <w:nsid w:val="D9C64AF8"/>
    <w:multiLevelType w:val="singleLevel"/>
    <w:tmpl w:val="D9C64AF8"/>
    <w:lvl w:ilvl="0" w:tentative="0">
      <w:start w:val="3"/>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5ED0137"/>
    <w:multiLevelType w:val="singleLevel"/>
    <w:tmpl w:val="F5ED0137"/>
    <w:lvl w:ilvl="0" w:tentative="0">
      <w:start w:val="2"/>
      <w:numFmt w:val="chineseCounting"/>
      <w:suff w:val="nothing"/>
      <w:lvlText w:val="（%1）"/>
      <w:lvlJc w:val="left"/>
      <w:rPr>
        <w:rFonts w:hint="eastAsia"/>
      </w:rPr>
    </w:lvl>
  </w:abstractNum>
  <w:abstractNum w:abstractNumId="5">
    <w:nsid w:val="00341331"/>
    <w:multiLevelType w:val="singleLevel"/>
    <w:tmpl w:val="00341331"/>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8D8AA8B"/>
    <w:multiLevelType w:val="singleLevel"/>
    <w:tmpl w:val="28D8AA8B"/>
    <w:lvl w:ilvl="0" w:tentative="0">
      <w:start w:val="3"/>
      <w:numFmt w:val="decimal"/>
      <w:lvlText w:val="%1."/>
      <w:lvlJc w:val="left"/>
      <w:pPr>
        <w:tabs>
          <w:tab w:val="left" w:pos="312"/>
        </w:tabs>
      </w:pPr>
    </w:lvl>
  </w:abstractNum>
  <w:abstractNum w:abstractNumId="8">
    <w:nsid w:val="3E7DB1B5"/>
    <w:multiLevelType w:val="singleLevel"/>
    <w:tmpl w:val="3E7DB1B5"/>
    <w:lvl w:ilvl="0" w:tentative="0">
      <w:start w:val="2"/>
      <w:numFmt w:val="chineseCounting"/>
      <w:suff w:val="nothing"/>
      <w:lvlText w:val="（%1）"/>
      <w:lvlJc w:val="left"/>
      <w:rPr>
        <w:rFonts w:hint="eastAsia"/>
      </w:rPr>
    </w:lvl>
  </w:abstractNum>
  <w:num w:numId="1">
    <w:abstractNumId w:val="1"/>
  </w:num>
  <w:num w:numId="2">
    <w:abstractNumId w:val="6"/>
  </w:num>
  <w:num w:numId="3">
    <w:abstractNumId w:val="7"/>
  </w:num>
  <w:num w:numId="4">
    <w:abstractNumId w:val="0"/>
  </w:num>
  <w:num w:numId="5">
    <w:abstractNumId w:val="3"/>
  </w:num>
  <w:num w:numId="6">
    <w:abstractNumId w:val="8"/>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ZjI1Nzk2OTAxOTUxNDIyNzEwYmM4NTg5NjhjMj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CE3596"/>
    <w:rsid w:val="066E0107"/>
    <w:rsid w:val="06EF6234"/>
    <w:rsid w:val="07996F6E"/>
    <w:rsid w:val="09383E5F"/>
    <w:rsid w:val="097E3F67"/>
    <w:rsid w:val="09C55F46"/>
    <w:rsid w:val="0A2032A3"/>
    <w:rsid w:val="0F98263C"/>
    <w:rsid w:val="101860EC"/>
    <w:rsid w:val="10C055FF"/>
    <w:rsid w:val="118107EC"/>
    <w:rsid w:val="11DA7763"/>
    <w:rsid w:val="12290EA2"/>
    <w:rsid w:val="13C24A51"/>
    <w:rsid w:val="13D50BC4"/>
    <w:rsid w:val="14E610F7"/>
    <w:rsid w:val="159C0ADF"/>
    <w:rsid w:val="16222BBB"/>
    <w:rsid w:val="16BB723D"/>
    <w:rsid w:val="17DB6467"/>
    <w:rsid w:val="18AF3680"/>
    <w:rsid w:val="1A654388"/>
    <w:rsid w:val="1B1E01B8"/>
    <w:rsid w:val="1BE8440E"/>
    <w:rsid w:val="1C836788"/>
    <w:rsid w:val="1D155CEE"/>
    <w:rsid w:val="1DD872FE"/>
    <w:rsid w:val="1FF35744"/>
    <w:rsid w:val="23860B96"/>
    <w:rsid w:val="23FA2EB7"/>
    <w:rsid w:val="240371BF"/>
    <w:rsid w:val="2858552C"/>
    <w:rsid w:val="29FD04D3"/>
    <w:rsid w:val="2B247FA7"/>
    <w:rsid w:val="2BD93750"/>
    <w:rsid w:val="2C8A61B5"/>
    <w:rsid w:val="2CDB2266"/>
    <w:rsid w:val="2D2B739C"/>
    <w:rsid w:val="2DAC4545"/>
    <w:rsid w:val="2DF04E50"/>
    <w:rsid w:val="2F040D46"/>
    <w:rsid w:val="2F0D034F"/>
    <w:rsid w:val="2F666FFF"/>
    <w:rsid w:val="2FF81ACE"/>
    <w:rsid w:val="304E1297"/>
    <w:rsid w:val="319F7F4E"/>
    <w:rsid w:val="3304709D"/>
    <w:rsid w:val="363402F0"/>
    <w:rsid w:val="36AA5135"/>
    <w:rsid w:val="376D39B2"/>
    <w:rsid w:val="37E16F03"/>
    <w:rsid w:val="38D469F0"/>
    <w:rsid w:val="38DB2EDD"/>
    <w:rsid w:val="39673C54"/>
    <w:rsid w:val="3AB82778"/>
    <w:rsid w:val="3D98207C"/>
    <w:rsid w:val="3E78745D"/>
    <w:rsid w:val="3FBC286B"/>
    <w:rsid w:val="3FEB4886"/>
    <w:rsid w:val="429B3BAB"/>
    <w:rsid w:val="43CF5C8B"/>
    <w:rsid w:val="44E268DA"/>
    <w:rsid w:val="46BA1CAF"/>
    <w:rsid w:val="4A627F82"/>
    <w:rsid w:val="4A6D3D34"/>
    <w:rsid w:val="4B0E749A"/>
    <w:rsid w:val="4B4F25DA"/>
    <w:rsid w:val="4BE068DB"/>
    <w:rsid w:val="4D577224"/>
    <w:rsid w:val="4EAB630A"/>
    <w:rsid w:val="4ECE2238"/>
    <w:rsid w:val="4F304989"/>
    <w:rsid w:val="537E6D0A"/>
    <w:rsid w:val="54BA402F"/>
    <w:rsid w:val="57A83945"/>
    <w:rsid w:val="59570D64"/>
    <w:rsid w:val="5AF92295"/>
    <w:rsid w:val="5CD71FC4"/>
    <w:rsid w:val="5D426E42"/>
    <w:rsid w:val="5D537A94"/>
    <w:rsid w:val="5DB167C1"/>
    <w:rsid w:val="5E68226D"/>
    <w:rsid w:val="68A83A1F"/>
    <w:rsid w:val="69676A37"/>
    <w:rsid w:val="69B67D29"/>
    <w:rsid w:val="69C92135"/>
    <w:rsid w:val="6AFE5E75"/>
    <w:rsid w:val="6C4A05C8"/>
    <w:rsid w:val="6DEE0933"/>
    <w:rsid w:val="6E7E3605"/>
    <w:rsid w:val="6FF5CC65"/>
    <w:rsid w:val="715C0E4B"/>
    <w:rsid w:val="72734D90"/>
    <w:rsid w:val="727D2CEA"/>
    <w:rsid w:val="73AD73D5"/>
    <w:rsid w:val="73B6EB34"/>
    <w:rsid w:val="744731E5"/>
    <w:rsid w:val="74D177C5"/>
    <w:rsid w:val="74DA1CC6"/>
    <w:rsid w:val="76E3355F"/>
    <w:rsid w:val="778769C8"/>
    <w:rsid w:val="79102E9B"/>
    <w:rsid w:val="79EE5BA4"/>
    <w:rsid w:val="7A894339"/>
    <w:rsid w:val="7B2A40D3"/>
    <w:rsid w:val="7B580D9A"/>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3"/>
    <w:semiHidden/>
    <w:unhideWhenUsed/>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章标题"/>
    <w:basedOn w:val="1"/>
    <w:next w:val="20"/>
    <w:qFormat/>
    <w:uiPriority w:val="99"/>
    <w:pPr>
      <w:widowControl/>
      <w:spacing w:before="158" w:after="153" w:line="323" w:lineRule="atLeast"/>
      <w:ind w:right="-120"/>
      <w:jc w:val="center"/>
      <w:textAlignment w:val="baseline"/>
    </w:pPr>
    <w:rPr>
      <w:color w:val="FF0000"/>
      <w:sz w:val="18"/>
    </w:rPr>
  </w:style>
  <w:style w:type="paragraph" w:customStyle="1" w:styleId="20">
    <w:name w:val="节标题"/>
    <w:basedOn w:val="1"/>
    <w:next w:val="1"/>
    <w:qFormat/>
    <w:uiPriority w:val="99"/>
    <w:pPr>
      <w:widowControl/>
      <w:spacing w:line="289" w:lineRule="atLeast"/>
      <w:jc w:val="center"/>
      <w:textAlignment w:val="baseline"/>
    </w:pPr>
    <w:rPr>
      <w:color w:val="000000"/>
      <w:sz w:val="28"/>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6"/>
    <w:semiHidden/>
    <w:qFormat/>
    <w:uiPriority w:val="99"/>
    <w:rPr>
      <w:rFonts w:ascii="Times New Roman" w:hAnsi="Times New Roman"/>
      <w:sz w:val="18"/>
      <w:szCs w:val="18"/>
    </w:rPr>
  </w:style>
  <w:style w:type="character" w:customStyle="1" w:styleId="23">
    <w:name w:val="页眉 Char"/>
    <w:link w:val="10"/>
    <w:semiHidden/>
    <w:qFormat/>
    <w:locked/>
    <w:uiPriority w:val="99"/>
    <w:rPr>
      <w:sz w:val="18"/>
    </w:rPr>
  </w:style>
  <w:style w:type="character" w:customStyle="1" w:styleId="24">
    <w:name w:val="Footer Char"/>
    <w:basedOn w:val="16"/>
    <w:semiHidden/>
    <w:qFormat/>
    <w:uiPriority w:val="99"/>
    <w:rPr>
      <w:rFonts w:ascii="Times New Roman" w:hAnsi="Times New Roman"/>
      <w:sz w:val="18"/>
      <w:szCs w:val="18"/>
    </w:rPr>
  </w:style>
  <w:style w:type="character" w:customStyle="1" w:styleId="25">
    <w:name w:val="页脚 Char"/>
    <w:link w:val="9"/>
    <w:qFormat/>
    <w:locked/>
    <w:uiPriority w:val="99"/>
    <w:rPr>
      <w:sz w:val="18"/>
    </w:rPr>
  </w:style>
  <w:style w:type="character" w:customStyle="1" w:styleId="26">
    <w:name w:val="Body Text Char"/>
    <w:basedOn w:val="16"/>
    <w:semiHidden/>
    <w:qFormat/>
    <w:uiPriority w:val="99"/>
    <w:rPr>
      <w:rFonts w:ascii="Times New Roman" w:hAnsi="Times New Roman"/>
      <w:szCs w:val="24"/>
    </w:rPr>
  </w:style>
  <w:style w:type="character" w:customStyle="1" w:styleId="27">
    <w:name w:val="正文文本 Char"/>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6"/>
    <w:link w:val="2"/>
    <w:qFormat/>
    <w:uiPriority w:val="9"/>
    <w:rPr>
      <w:rFonts w:ascii="Times New Roman" w:hAnsi="Times New Roman"/>
      <w:b/>
      <w:bCs/>
      <w:kern w:val="44"/>
      <w:sz w:val="44"/>
      <w:szCs w:val="44"/>
    </w:rPr>
  </w:style>
  <w:style w:type="character" w:customStyle="1" w:styleId="31">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6"/>
    <w:link w:val="8"/>
    <w:semiHidden/>
    <w:qFormat/>
    <w:uiPriority w:val="99"/>
    <w:rPr>
      <w:rFonts w:ascii="Times New Roman" w:hAnsi="Times New Roman"/>
      <w:kern w:val="2"/>
      <w:sz w:val="18"/>
      <w:szCs w:val="18"/>
    </w:rPr>
  </w:style>
  <w:style w:type="character" w:customStyle="1" w:styleId="34">
    <w:name w:val="标题 3 Char"/>
    <w:basedOn w:val="16"/>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NormalCharacter"/>
    <w:qFormat/>
    <w:uiPriority w:val="0"/>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36130;&#21153;\2023&#24180;\&#20915;&#31639;&#20844;&#24320;&#22270;&#24418;.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36130;&#21153;\2023&#24180;\&#20915;&#31639;&#20844;&#24320;&#22270;&#24418;.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36130;&#21153;\2023&#24180;\&#20915;&#31639;&#20844;&#24320;&#22270;&#24418;.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36130;&#21153;\2023&#24180;\&#20915;&#31639;&#20844;&#24320;&#22270;&#24418;.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36130;&#21153;\2023&#24180;\&#20915;&#31639;&#20844;&#24320;&#22270;&#24418;.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36130;&#21153;\2023&#24180;\&#20915;&#31639;&#20844;&#24320;&#22270;&#244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交运局!$A$1:$B$1</c:f>
              <c:strCache>
                <c:ptCount val="2"/>
                <c:pt idx="0">
                  <c:v>2022年</c:v>
                </c:pt>
                <c:pt idx="1">
                  <c:v>2023年</c:v>
                </c:pt>
              </c:strCache>
            </c:strRef>
          </c:cat>
          <c:val>
            <c:numRef>
              <c:f>交运局!$A$2:$B$2</c:f>
              <c:numCache>
                <c:formatCode>#,##0.00</c:formatCode>
                <c:ptCount val="2"/>
                <c:pt idx="0">
                  <c:v>2215.28</c:v>
                </c:pt>
                <c:pt idx="1">
                  <c:v>1999.05</c:v>
                </c:pt>
              </c:numCache>
            </c:numRef>
          </c:val>
        </c:ser>
        <c:dLbls>
          <c:showLegendKey val="0"/>
          <c:showVal val="1"/>
          <c:showCatName val="0"/>
          <c:showSerName val="0"/>
          <c:showPercent val="0"/>
          <c:showBubbleSize val="0"/>
        </c:dLbls>
        <c:gapWidth val="219"/>
        <c:overlap val="-27"/>
        <c:axId val="447935936"/>
        <c:axId val="595489974"/>
      </c:barChart>
      <c:catAx>
        <c:axId val="4479359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5489974"/>
        <c:crosses val="autoZero"/>
        <c:auto val="1"/>
        <c:lblAlgn val="ctr"/>
        <c:lblOffset val="100"/>
        <c:noMultiLvlLbl val="0"/>
      </c:catAx>
      <c:valAx>
        <c:axId val="59548997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7935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交运局!$A$27:$B$27</c:f>
              <c:strCache>
                <c:ptCount val="2"/>
                <c:pt idx="0">
                  <c:v>一般公共预算财政拨款收入</c:v>
                </c:pt>
                <c:pt idx="1">
                  <c:v>其他收入</c:v>
                </c:pt>
              </c:strCache>
            </c:strRef>
          </c:cat>
          <c:val>
            <c:numRef>
              <c:f>交运局!$A$28:$B$28</c:f>
              <c:numCache>
                <c:formatCode>#,##0.00</c:formatCode>
                <c:ptCount val="2"/>
                <c:pt idx="0">
                  <c:v>1829.51</c:v>
                </c:pt>
                <c:pt idx="1">
                  <c:v>3.28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546626143887499"/>
                  <c:y val="0.15806068771037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[决算公开图形.xlsx]交运局!$A$47:$B$47</c:f>
              <c:strCache>
                <c:ptCount val="2"/>
                <c:pt idx="0">
                  <c:v>基本支出</c:v>
                </c:pt>
                <c:pt idx="1">
                  <c:v>项目支出</c:v>
                </c:pt>
              </c:strCache>
            </c:strRef>
          </c:cat>
          <c:val>
            <c:numRef>
              <c:f>[决算公开图形.xlsx]交运局!$A$48:$B$48</c:f>
              <c:numCache>
                <c:formatCode>General</c:formatCode>
                <c:ptCount val="2"/>
                <c:pt idx="0">
                  <c:v>1420.16</c:v>
                </c:pt>
                <c:pt idx="1">
                  <c:v>410.87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[决算公开图形.xlsx]交运局!$A$75:$B$75</c:f>
              <c:strCache>
                <c:ptCount val="2"/>
                <c:pt idx="0">
                  <c:v>2022年</c:v>
                </c:pt>
                <c:pt idx="1">
                  <c:v>2023年</c:v>
                </c:pt>
              </c:strCache>
            </c:strRef>
          </c:cat>
          <c:val>
            <c:numRef>
              <c:f>[决算公开图形.xlsx]交运局!$A$76:$B$76</c:f>
              <c:numCache>
                <c:formatCode>#,##0.00</c:formatCode>
                <c:ptCount val="2"/>
                <c:pt idx="0">
                  <c:v>2049.02</c:v>
                </c:pt>
                <c:pt idx="1">
                  <c:v>1829.51</c:v>
                </c:pt>
              </c:numCache>
            </c:numRef>
          </c:val>
        </c:ser>
        <c:dLbls>
          <c:showLegendKey val="0"/>
          <c:showVal val="1"/>
          <c:showCatName val="0"/>
          <c:showSerName val="0"/>
          <c:showPercent val="0"/>
          <c:showBubbleSize val="0"/>
        </c:dLbls>
        <c:gapWidth val="219"/>
        <c:overlap val="-27"/>
        <c:axId val="976506946"/>
        <c:axId val="941667772"/>
      </c:barChart>
      <c:catAx>
        <c:axId val="9765069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1667772"/>
        <c:crosses val="autoZero"/>
        <c:auto val="1"/>
        <c:lblAlgn val="ctr"/>
        <c:lblOffset val="100"/>
        <c:noMultiLvlLbl val="0"/>
      </c:catAx>
      <c:valAx>
        <c:axId val="9416677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50694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[决算公开图形.xlsx]交运局!$A$98:$B$98</c:f>
              <c:strCache>
                <c:ptCount val="2"/>
                <c:pt idx="0">
                  <c:v>2022年</c:v>
                </c:pt>
                <c:pt idx="1">
                  <c:v>2023年</c:v>
                </c:pt>
              </c:strCache>
            </c:strRef>
          </c:cat>
          <c:val>
            <c:numRef>
              <c:f>[决算公开图形.xlsx]交运局!$A$99:$B$99</c:f>
              <c:numCache>
                <c:formatCode>#,##0.00</c:formatCode>
                <c:ptCount val="2"/>
                <c:pt idx="0">
                  <c:v>2049.02</c:v>
                </c:pt>
                <c:pt idx="1">
                  <c:v>1829.51</c:v>
                </c:pt>
              </c:numCache>
            </c:numRef>
          </c:val>
        </c:ser>
        <c:dLbls>
          <c:showLegendKey val="0"/>
          <c:showVal val="1"/>
          <c:showCatName val="0"/>
          <c:showSerName val="0"/>
          <c:showPercent val="0"/>
          <c:showBubbleSize val="0"/>
        </c:dLbls>
        <c:gapWidth val="219"/>
        <c:overlap val="-27"/>
        <c:axId val="949468942"/>
        <c:axId val="460095406"/>
      </c:barChart>
      <c:catAx>
        <c:axId val="9494689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0095406"/>
        <c:crosses val="autoZero"/>
        <c:auto val="1"/>
        <c:lblAlgn val="ctr"/>
        <c:lblOffset val="100"/>
        <c:noMultiLvlLbl val="0"/>
      </c:catAx>
      <c:valAx>
        <c:axId val="46009540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946894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5"/>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农林水支出0.5</a:t>
                    </a:r>
                    <a:r>
                      <a:rPr lang="en-US" altLang="zh-CN"/>
                      <a:t>4</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[决算公开图形.xlsx]交运局!$A$119:$H$119</c:f>
              <c:strCache>
                <c:ptCount val="8"/>
                <c:pt idx="0">
                  <c:v>一般公共服务支出</c:v>
                </c:pt>
                <c:pt idx="1">
                  <c:v>社会保障和就业支出</c:v>
                </c:pt>
                <c:pt idx="2">
                  <c:v>卫生健康支出</c:v>
                </c:pt>
                <c:pt idx="3">
                  <c:v>住房保障支出</c:v>
                </c:pt>
                <c:pt idx="4">
                  <c:v>交通运输支出</c:v>
                </c:pt>
                <c:pt idx="5">
                  <c:v>农林水支出</c:v>
                </c:pt>
                <c:pt idx="6">
                  <c:v>资源勘探工业信息等支出</c:v>
                </c:pt>
                <c:pt idx="7">
                  <c:v>其他支出</c:v>
                </c:pt>
              </c:strCache>
            </c:strRef>
          </c:cat>
          <c:val>
            <c:numRef>
              <c:f>[决算公开图形.xlsx]交运局!$A$120:$H$120</c:f>
              <c:numCache>
                <c:formatCode>General</c:formatCode>
                <c:ptCount val="8"/>
                <c:pt idx="0">
                  <c:v>1508.35</c:v>
                </c:pt>
                <c:pt idx="1">
                  <c:v>149.98</c:v>
                </c:pt>
                <c:pt idx="2">
                  <c:v>58.72</c:v>
                </c:pt>
                <c:pt idx="3">
                  <c:v>102.46</c:v>
                </c:pt>
                <c:pt idx="5">
                  <c:v>10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46</Pages>
  <Words>17054</Words>
  <Characters>19411</Characters>
  <Lines>61</Lines>
  <Paragraphs>17</Paragraphs>
  <TotalTime>4</TotalTime>
  <ScaleCrop>false</ScaleCrop>
  <LinksUpToDate>false</LinksUpToDate>
  <CharactersWithSpaces>19454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2024-09-12T01:11:05Z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27A3D5EB57C14F909508D8AAD9AF4DB0_13</vt:lpwstr>
  </property>
</Properties>
</file>