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4877"/>
      <w:bookmarkStart w:id="3" w:name="_Toc15378441"/>
      <w:bookmarkStart w:id="4" w:name="_Toc15396597"/>
      <w:bookmarkStart w:id="5" w:name="_Toc15396475"/>
      <w:bookmarkStart w:id="6" w:name="_Toc1537742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24360"/>
      <w:bookmarkStart w:id="8" w:name="_Toc15378442"/>
      <w:bookmarkStart w:id="9" w:name="_Toc15377194"/>
      <w:bookmarkStart w:id="10" w:name="_Toc15396598"/>
      <w:bookmarkStart w:id="11" w:name="_Toc15396476"/>
      <w:bookmarkStart w:id="12" w:name="_Toc15377426"/>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rPr>
        <w:t>船山区</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6016"/>
      <w:r>
        <w:rPr>
          <w:rFonts w:hint="eastAsia" w:ascii="方正小标宋简体" w:hAnsi="方正小标宋简体" w:eastAsia="方正小标宋简体" w:cs="方正小标宋简体"/>
          <w:sz w:val="72"/>
          <w:szCs w:val="72"/>
        </w:rPr>
        <w:t>地方海处单位决算</w:t>
      </w:r>
      <w:bookmarkEnd w:id="8"/>
      <w:bookmarkEnd w:id="9"/>
      <w:bookmarkEnd w:id="10"/>
      <w:bookmarkEnd w:id="11"/>
      <w:bookmarkEnd w:id="12"/>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4</w:t>
      </w:r>
      <w:r>
        <w:rPr>
          <w:rFonts w:hint="eastAsia"/>
        </w:rPr>
        <w:t>年9 月</w:t>
      </w:r>
      <w:r>
        <w:rPr>
          <w:rFonts w:hint="eastAsia"/>
          <w:lang w:val="en-US" w:eastAsia="zh-CN"/>
        </w:rPr>
        <w:t>11</w:t>
      </w:r>
      <w:r>
        <w:rPr>
          <w:rFonts w:hint="eastAsia"/>
        </w:rPr>
        <w:t>日</w:t>
      </w:r>
    </w:p>
    <w:sdt>
      <w:sdtPr>
        <w:rPr>
          <w:rFonts w:ascii="宋体" w:hAnsi="宋体" w:eastAsia="宋体" w:cs="Times New Roman"/>
          <w:kern w:val="2"/>
          <w:sz w:val="21"/>
          <w:szCs w:val="24"/>
          <w:lang w:val="en-US" w:eastAsia="zh-CN" w:bidi="ar-SA"/>
        </w:rPr>
        <w:id w:val="147481998"/>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5"/>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_Toc14877 </w:instrText>
          </w:r>
          <w:r>
            <w:rPr>
              <w:b/>
            </w:rPr>
            <w:fldChar w:fldCharType="separate"/>
          </w:r>
          <w:r>
            <w:rPr>
              <w:rFonts w:hint="eastAsia" w:ascii="方正小标宋简体" w:hAnsi="方正小标宋简体" w:eastAsia="方正小标宋简体" w:cs="方正小标宋简体"/>
              <w:b/>
              <w:szCs w:val="72"/>
            </w:rPr>
            <w:t>202</w:t>
          </w:r>
          <w:r>
            <w:rPr>
              <w:rFonts w:hint="eastAsia" w:ascii="方正小标宋简体" w:hAnsi="方正小标宋简体" w:eastAsia="方正小标宋简体" w:cs="方正小标宋简体"/>
              <w:b/>
              <w:szCs w:val="72"/>
              <w:lang w:val="en-US" w:eastAsia="zh-CN"/>
            </w:rPr>
            <w:t>3</w:t>
          </w:r>
          <w:r>
            <w:rPr>
              <w:rFonts w:hint="eastAsia" w:ascii="方正小标宋简体" w:hAnsi="方正小标宋简体" w:eastAsia="方正小标宋简体" w:cs="方正小标宋简体"/>
              <w:b/>
              <w:szCs w:val="72"/>
            </w:rPr>
            <w:t>年度</w:t>
          </w:r>
          <w:r>
            <w:rPr>
              <w:b/>
            </w:rPr>
            <w:tab/>
          </w:r>
          <w:r>
            <w:rPr>
              <w:b/>
            </w:rPr>
            <w:fldChar w:fldCharType="begin"/>
          </w:r>
          <w:r>
            <w:rPr>
              <w:b/>
            </w:rPr>
            <w:instrText xml:space="preserve"> PAGEREF _Toc14877 \h </w:instrText>
          </w:r>
          <w:r>
            <w:rPr>
              <w:b/>
            </w:rPr>
            <w:fldChar w:fldCharType="separate"/>
          </w:r>
          <w:r>
            <w:rPr>
              <w:b/>
            </w:rPr>
            <w:t>1</w:t>
          </w:r>
          <w:r>
            <w:rPr>
              <w:b/>
            </w:rPr>
            <w:fldChar w:fldCharType="end"/>
          </w:r>
          <w:r>
            <w:rPr>
              <w:b/>
            </w:rPr>
            <w:fldChar w:fldCharType="end"/>
          </w:r>
        </w:p>
        <w:p>
          <w:pPr>
            <w:pStyle w:val="35"/>
            <w:tabs>
              <w:tab w:val="right" w:leader="dot" w:pos="8306"/>
            </w:tabs>
            <w:rPr>
              <w:b/>
            </w:rPr>
          </w:pPr>
          <w:r>
            <w:rPr>
              <w:b/>
            </w:rPr>
            <w:fldChar w:fldCharType="begin"/>
          </w:r>
          <w:r>
            <w:rPr>
              <w:b/>
            </w:rPr>
            <w:instrText xml:space="preserve"> HYPERLINK \l _Toc24360 </w:instrText>
          </w:r>
          <w:r>
            <w:rPr>
              <w:b/>
            </w:rPr>
            <w:fldChar w:fldCharType="separate"/>
          </w:r>
          <w:r>
            <w:rPr>
              <w:rFonts w:hint="eastAsia" w:ascii="方正小标宋简体" w:hAnsi="方正小标宋简体" w:eastAsia="方正小标宋简体" w:cs="方正小标宋简体"/>
              <w:b/>
              <w:szCs w:val="72"/>
            </w:rPr>
            <w:t>四川省船山区</w:t>
          </w:r>
          <w:r>
            <w:rPr>
              <w:b/>
            </w:rPr>
            <w:tab/>
          </w:r>
          <w:r>
            <w:rPr>
              <w:b/>
            </w:rPr>
            <w:fldChar w:fldCharType="begin"/>
          </w:r>
          <w:r>
            <w:rPr>
              <w:b/>
            </w:rPr>
            <w:instrText xml:space="preserve"> PAGEREF _Toc24360 \h </w:instrText>
          </w:r>
          <w:r>
            <w:rPr>
              <w:b/>
            </w:rPr>
            <w:fldChar w:fldCharType="separate"/>
          </w:r>
          <w:r>
            <w:rPr>
              <w:b/>
            </w:rPr>
            <w:t>1</w:t>
          </w:r>
          <w:r>
            <w:rPr>
              <w:b/>
            </w:rPr>
            <w:fldChar w:fldCharType="end"/>
          </w:r>
          <w:r>
            <w:rPr>
              <w:b/>
            </w:rPr>
            <w:fldChar w:fldCharType="end"/>
          </w:r>
        </w:p>
        <w:p>
          <w:pPr>
            <w:pStyle w:val="35"/>
            <w:tabs>
              <w:tab w:val="right" w:leader="dot" w:pos="8306"/>
            </w:tabs>
            <w:rPr>
              <w:b/>
            </w:rPr>
          </w:pPr>
          <w:r>
            <w:rPr>
              <w:b/>
            </w:rPr>
            <w:fldChar w:fldCharType="begin"/>
          </w:r>
          <w:r>
            <w:rPr>
              <w:b/>
            </w:rPr>
            <w:instrText xml:space="preserve"> HYPERLINK \l _Toc16016 </w:instrText>
          </w:r>
          <w:r>
            <w:rPr>
              <w:b/>
            </w:rPr>
            <w:fldChar w:fldCharType="separate"/>
          </w:r>
          <w:r>
            <w:rPr>
              <w:rFonts w:hint="eastAsia" w:ascii="方正小标宋简体" w:hAnsi="方正小标宋简体" w:eastAsia="方正小标宋简体" w:cs="方正小标宋简体"/>
              <w:b/>
              <w:szCs w:val="72"/>
            </w:rPr>
            <w:t>地方海处单位决算</w:t>
          </w:r>
          <w:r>
            <w:rPr>
              <w:b/>
            </w:rPr>
            <w:tab/>
          </w:r>
          <w:r>
            <w:rPr>
              <w:b/>
            </w:rPr>
            <w:fldChar w:fldCharType="begin"/>
          </w:r>
          <w:r>
            <w:rPr>
              <w:b/>
            </w:rPr>
            <w:instrText xml:space="preserve"> PAGEREF _Toc16016 \h </w:instrText>
          </w:r>
          <w:r>
            <w:rPr>
              <w:b/>
            </w:rPr>
            <w:fldChar w:fldCharType="separate"/>
          </w:r>
          <w:r>
            <w:rPr>
              <w:b/>
            </w:rPr>
            <w:t>1</w:t>
          </w:r>
          <w:r>
            <w:rPr>
              <w:b/>
            </w:rPr>
            <w:fldChar w:fldCharType="end"/>
          </w:r>
          <w:r>
            <w:rPr>
              <w:b/>
            </w:rPr>
            <w:fldChar w:fldCharType="end"/>
          </w:r>
        </w:p>
        <w:p>
          <w:pPr>
            <w:pStyle w:val="35"/>
            <w:tabs>
              <w:tab w:val="right" w:leader="dot" w:pos="8306"/>
            </w:tabs>
            <w:rPr>
              <w:b/>
            </w:rPr>
          </w:pPr>
          <w:r>
            <w:rPr>
              <w:b/>
            </w:rPr>
            <w:fldChar w:fldCharType="begin"/>
          </w:r>
          <w:r>
            <w:rPr>
              <w:b/>
            </w:rPr>
            <w:instrText xml:space="preserve"> HYPERLINK \l _Toc2290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_Toc2290 \h </w:instrText>
          </w:r>
          <w:r>
            <w:rPr>
              <w:b/>
            </w:rPr>
            <w:fldChar w:fldCharType="separate"/>
          </w:r>
          <w:r>
            <w:rPr>
              <w:b/>
            </w:rPr>
            <w:t>1</w:t>
          </w:r>
          <w:r>
            <w:rPr>
              <w:b/>
            </w:rPr>
            <w:fldChar w:fldCharType="end"/>
          </w:r>
          <w:r>
            <w:rPr>
              <w:b/>
            </w:rPr>
            <w:fldChar w:fldCharType="end"/>
          </w:r>
        </w:p>
        <w:p>
          <w:pPr>
            <w:pStyle w:val="36"/>
            <w:tabs>
              <w:tab w:val="right" w:leader="dot" w:pos="8306"/>
            </w:tabs>
          </w:pPr>
          <w:r>
            <w:fldChar w:fldCharType="begin"/>
          </w:r>
          <w:r>
            <w:instrText xml:space="preserve"> HYPERLINK \l _Toc13164 </w:instrText>
          </w:r>
          <w:r>
            <w:fldChar w:fldCharType="separate"/>
          </w:r>
          <w:r>
            <w:rPr>
              <w:rFonts w:hint="eastAsia" w:ascii="黑体" w:hAnsi="黑体" w:eastAsia="黑体"/>
              <w:bCs w:val="0"/>
            </w:rPr>
            <w:t>一、 主要职责</w:t>
          </w:r>
          <w:r>
            <w:tab/>
          </w:r>
          <w:r>
            <w:fldChar w:fldCharType="begin"/>
          </w:r>
          <w:r>
            <w:instrText xml:space="preserve"> PAGEREF _Toc13164 \h </w:instrText>
          </w:r>
          <w:r>
            <w:fldChar w:fldCharType="separate"/>
          </w:r>
          <w:r>
            <w:t>1</w:t>
          </w:r>
          <w:r>
            <w:fldChar w:fldCharType="end"/>
          </w:r>
          <w:r>
            <w:fldChar w:fldCharType="end"/>
          </w:r>
        </w:p>
        <w:p>
          <w:pPr>
            <w:pStyle w:val="36"/>
            <w:tabs>
              <w:tab w:val="right" w:leader="dot" w:pos="8306"/>
            </w:tabs>
          </w:pPr>
          <w:r>
            <w:fldChar w:fldCharType="begin"/>
          </w:r>
          <w:r>
            <w:instrText xml:space="preserve"> HYPERLINK \l _Toc3275 </w:instrText>
          </w:r>
          <w:r>
            <w:fldChar w:fldCharType="separate"/>
          </w:r>
          <w:r>
            <w:rPr>
              <w:rFonts w:hint="eastAsia" w:ascii="黑体" w:hAnsi="黑体" w:eastAsia="黑体"/>
              <w:bCs w:val="0"/>
              <w:highlight w:val="none"/>
            </w:rPr>
            <w:t>二、机构设置</w:t>
          </w:r>
          <w:r>
            <w:tab/>
          </w:r>
          <w:r>
            <w:fldChar w:fldCharType="begin"/>
          </w:r>
          <w:r>
            <w:instrText xml:space="preserve"> PAGEREF _Toc3275 \h </w:instrText>
          </w:r>
          <w:r>
            <w:fldChar w:fldCharType="separate"/>
          </w:r>
          <w:r>
            <w:t>1</w:t>
          </w:r>
          <w:r>
            <w:fldChar w:fldCharType="end"/>
          </w:r>
          <w:r>
            <w:fldChar w:fldCharType="end"/>
          </w:r>
        </w:p>
        <w:p>
          <w:pPr>
            <w:pStyle w:val="35"/>
            <w:tabs>
              <w:tab w:val="right" w:leader="dot" w:pos="8306"/>
            </w:tabs>
            <w:rPr>
              <w:b/>
            </w:rPr>
          </w:pPr>
          <w:r>
            <w:rPr>
              <w:b/>
            </w:rPr>
            <w:fldChar w:fldCharType="begin"/>
          </w:r>
          <w:r>
            <w:rPr>
              <w:b/>
            </w:rPr>
            <w:instrText xml:space="preserve"> HYPERLINK \l _Toc21821 </w:instrText>
          </w:r>
          <w:r>
            <w:rPr>
              <w:b/>
            </w:rPr>
            <w:fldChar w:fldCharType="separate"/>
          </w:r>
          <w:r>
            <w:rPr>
              <w:rFonts w:hint="eastAsia" w:ascii="黑体" w:hAnsi="黑体" w:eastAsia="黑体"/>
              <w:b/>
            </w:rPr>
            <w:t>第二部分 202</w:t>
          </w:r>
          <w:r>
            <w:rPr>
              <w:rFonts w:hint="eastAsia" w:ascii="黑体" w:hAnsi="黑体" w:eastAsia="黑体"/>
              <w:b/>
              <w:lang w:val="en-US" w:eastAsia="zh-CN"/>
            </w:rPr>
            <w:t>3</w:t>
          </w:r>
          <w:r>
            <w:rPr>
              <w:rFonts w:hint="eastAsia" w:ascii="黑体" w:hAnsi="黑体" w:eastAsia="黑体"/>
              <w:b/>
            </w:rPr>
            <w:t>年度</w:t>
          </w:r>
          <w:r>
            <w:rPr>
              <w:rFonts w:hint="eastAsia" w:ascii="黑体" w:hAnsi="黑体" w:eastAsia="黑体"/>
              <w:b/>
              <w:bCs/>
            </w:rPr>
            <w:t>单位决算情况说明</w:t>
          </w:r>
          <w:r>
            <w:rPr>
              <w:b/>
            </w:rPr>
            <w:tab/>
          </w:r>
          <w:r>
            <w:rPr>
              <w:b/>
            </w:rPr>
            <w:fldChar w:fldCharType="begin"/>
          </w:r>
          <w:r>
            <w:rPr>
              <w:b/>
            </w:rPr>
            <w:instrText xml:space="preserve"> PAGEREF _Toc21821 \h </w:instrText>
          </w:r>
          <w:r>
            <w:rPr>
              <w:b/>
            </w:rPr>
            <w:fldChar w:fldCharType="separate"/>
          </w:r>
          <w:r>
            <w:rPr>
              <w:b/>
            </w:rPr>
            <w:t>2</w:t>
          </w:r>
          <w:r>
            <w:rPr>
              <w:b/>
            </w:rPr>
            <w:fldChar w:fldCharType="end"/>
          </w:r>
          <w:r>
            <w:rPr>
              <w:b/>
            </w:rPr>
            <w:fldChar w:fldCharType="end"/>
          </w:r>
        </w:p>
        <w:p>
          <w:pPr>
            <w:pStyle w:val="36"/>
            <w:tabs>
              <w:tab w:val="right" w:leader="dot" w:pos="8306"/>
            </w:tabs>
          </w:pPr>
          <w:r>
            <w:fldChar w:fldCharType="begin"/>
          </w:r>
          <w:r>
            <w:instrText xml:space="preserve"> HYPERLINK \l _Toc8553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_Toc8553 \h </w:instrText>
          </w:r>
          <w:r>
            <w:fldChar w:fldCharType="separate"/>
          </w:r>
          <w:r>
            <w:t>2</w:t>
          </w:r>
          <w:r>
            <w:fldChar w:fldCharType="end"/>
          </w:r>
          <w:r>
            <w:fldChar w:fldCharType="end"/>
          </w:r>
        </w:p>
        <w:p>
          <w:pPr>
            <w:pStyle w:val="36"/>
            <w:tabs>
              <w:tab w:val="right" w:leader="dot" w:pos="8306"/>
            </w:tabs>
          </w:pPr>
          <w:r>
            <w:fldChar w:fldCharType="begin"/>
          </w:r>
          <w:r>
            <w:instrText xml:space="preserve"> HYPERLINK \l _Toc8909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_Toc8909 \h </w:instrText>
          </w:r>
          <w:r>
            <w:fldChar w:fldCharType="separate"/>
          </w:r>
          <w:r>
            <w:t>2</w:t>
          </w:r>
          <w:r>
            <w:fldChar w:fldCharType="end"/>
          </w:r>
          <w:r>
            <w:fldChar w:fldCharType="end"/>
          </w:r>
        </w:p>
        <w:p>
          <w:pPr>
            <w:pStyle w:val="36"/>
            <w:tabs>
              <w:tab w:val="right" w:leader="dot" w:pos="8306"/>
            </w:tabs>
          </w:pPr>
          <w:r>
            <w:fldChar w:fldCharType="begin"/>
          </w:r>
          <w:r>
            <w:instrText xml:space="preserve"> HYPERLINK \l _Toc10649 </w:instrText>
          </w:r>
          <w:r>
            <w:fldChar w:fldCharType="separate"/>
          </w:r>
          <w:r>
            <w:rPr>
              <w:rFonts w:ascii="仿宋" w:hAnsi="仿宋" w:eastAsia="仿宋"/>
              <w:szCs w:val="32"/>
            </w:rPr>
            <w:t>20</w:t>
          </w:r>
          <w:r>
            <w:rPr>
              <w:rFonts w:hint="eastAsia" w:ascii="仿宋" w:hAnsi="仿宋" w:eastAsia="仿宋"/>
              <w:szCs w:val="32"/>
            </w:rPr>
            <w:t>2</w:t>
          </w:r>
          <w:r>
            <w:rPr>
              <w:rFonts w:hint="eastAsia" w:ascii="仿宋" w:hAnsi="仿宋" w:eastAsia="仿宋"/>
              <w:szCs w:val="32"/>
              <w:lang w:val="en-US" w:eastAsia="zh-CN"/>
            </w:rPr>
            <w:t>3</w:t>
          </w:r>
          <w:r>
            <w:rPr>
              <w:rFonts w:hint="eastAsia" w:ascii="仿宋" w:hAnsi="仿宋" w:eastAsia="仿宋"/>
              <w:szCs w:val="32"/>
            </w:rPr>
            <w:t>年本年收入合计532.22万元，其中：一般公共预算财政拨款收入527.22万元，占</w:t>
          </w:r>
          <w:r>
            <w:rPr>
              <w:rFonts w:hint="eastAsia" w:ascii="仿宋" w:hAnsi="仿宋" w:eastAsia="仿宋"/>
              <w:szCs w:val="32"/>
              <w:lang w:val="en-US" w:eastAsia="zh-CN"/>
            </w:rPr>
            <w:t>99.06</w:t>
          </w:r>
          <w:r>
            <w:rPr>
              <w:rFonts w:ascii="仿宋" w:hAnsi="仿宋" w:eastAsia="仿宋"/>
              <w:szCs w:val="32"/>
            </w:rPr>
            <w:t>%</w:t>
          </w:r>
          <w:r>
            <w:rPr>
              <w:rFonts w:hint="eastAsia" w:ascii="仿宋" w:hAnsi="仿宋" w:eastAsia="仿宋"/>
              <w:szCs w:val="32"/>
            </w:rPr>
            <w:t>；其他收入5.00万元，占</w:t>
          </w:r>
          <w:r>
            <w:rPr>
              <w:rFonts w:hint="eastAsia" w:ascii="仿宋" w:hAnsi="仿宋" w:eastAsia="仿宋"/>
              <w:szCs w:val="32"/>
              <w:lang w:val="en-US" w:eastAsia="zh-CN"/>
            </w:rPr>
            <w:t>0.94</w:t>
          </w:r>
          <w:r>
            <w:rPr>
              <w:rFonts w:ascii="仿宋" w:hAnsi="仿宋" w:eastAsia="仿宋"/>
              <w:szCs w:val="32"/>
            </w:rPr>
            <w:t>%</w:t>
          </w:r>
          <w:r>
            <w:rPr>
              <w:rFonts w:hint="eastAsia" w:ascii="仿宋" w:hAnsi="仿宋" w:eastAsia="仿宋"/>
              <w:szCs w:val="32"/>
            </w:rPr>
            <w:t>。</w:t>
          </w:r>
          <w:r>
            <w:tab/>
          </w:r>
          <w:r>
            <w:fldChar w:fldCharType="begin"/>
          </w:r>
          <w:r>
            <w:instrText xml:space="preserve"> PAGEREF _Toc10649 \h </w:instrText>
          </w:r>
          <w:r>
            <w:fldChar w:fldCharType="separate"/>
          </w:r>
          <w:r>
            <w:t>2</w:t>
          </w:r>
          <w:r>
            <w:fldChar w:fldCharType="end"/>
          </w:r>
          <w:r>
            <w:fldChar w:fldCharType="end"/>
          </w:r>
        </w:p>
        <w:p>
          <w:pPr>
            <w:pStyle w:val="36"/>
            <w:tabs>
              <w:tab w:val="right" w:leader="dot" w:pos="8306"/>
            </w:tabs>
          </w:pPr>
          <w:r>
            <w:fldChar w:fldCharType="begin"/>
          </w:r>
          <w:r>
            <w:instrText xml:space="preserve"> HYPERLINK \l _Toc32312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_Toc32312 \h </w:instrText>
          </w:r>
          <w:r>
            <w:fldChar w:fldCharType="separate"/>
          </w:r>
          <w:r>
            <w:t>3</w:t>
          </w:r>
          <w:r>
            <w:fldChar w:fldCharType="end"/>
          </w:r>
          <w:r>
            <w:fldChar w:fldCharType="end"/>
          </w:r>
        </w:p>
        <w:p>
          <w:pPr>
            <w:pStyle w:val="36"/>
            <w:tabs>
              <w:tab w:val="right" w:leader="dot" w:pos="8306"/>
            </w:tabs>
          </w:pPr>
          <w:r>
            <w:fldChar w:fldCharType="begin"/>
          </w:r>
          <w:r>
            <w:instrText xml:space="preserve"> HYPERLINK \l _Toc26499 </w:instrText>
          </w:r>
          <w:r>
            <w:fldChar w:fldCharType="separate"/>
          </w:r>
          <w:r>
            <w:rPr>
              <w:rFonts w:ascii="仿宋" w:hAnsi="仿宋" w:eastAsia="仿宋"/>
              <w:szCs w:val="32"/>
            </w:rPr>
            <w:t>20</w:t>
          </w:r>
          <w:r>
            <w:rPr>
              <w:rFonts w:hint="eastAsia" w:ascii="仿宋" w:hAnsi="仿宋" w:eastAsia="仿宋"/>
              <w:szCs w:val="32"/>
            </w:rPr>
            <w:t>2</w:t>
          </w:r>
          <w:r>
            <w:rPr>
              <w:rFonts w:hint="eastAsia" w:ascii="仿宋" w:hAnsi="仿宋" w:eastAsia="仿宋"/>
              <w:szCs w:val="32"/>
              <w:lang w:val="en-US" w:eastAsia="zh-CN"/>
            </w:rPr>
            <w:t>3</w:t>
          </w:r>
          <w:r>
            <w:rPr>
              <w:rFonts w:hint="eastAsia" w:ascii="仿宋" w:hAnsi="仿宋" w:eastAsia="仿宋"/>
              <w:szCs w:val="32"/>
            </w:rPr>
            <w:t>年本年支出合计533.27万元，其中：基本支出</w:t>
          </w:r>
          <w:r>
            <w:rPr>
              <w:rFonts w:hint="eastAsia" w:ascii="仿宋" w:hAnsi="仿宋" w:eastAsia="仿宋" w:cs="仿宋"/>
              <w:szCs w:val="32"/>
            </w:rPr>
            <w:t>132.32</w:t>
          </w:r>
          <w:r>
            <w:rPr>
              <w:rFonts w:hint="eastAsia" w:ascii="仿宋" w:hAnsi="仿宋" w:eastAsia="仿宋"/>
              <w:szCs w:val="32"/>
            </w:rPr>
            <w:t>万元，占</w:t>
          </w:r>
          <w:r>
            <w:rPr>
              <w:rFonts w:hint="eastAsia" w:ascii="仿宋" w:hAnsi="仿宋" w:eastAsia="仿宋" w:cs="仿宋"/>
              <w:szCs w:val="32"/>
            </w:rPr>
            <w:t>24.81%</w:t>
          </w:r>
          <w:r>
            <w:rPr>
              <w:rFonts w:hint="eastAsia" w:ascii="仿宋" w:hAnsi="仿宋" w:eastAsia="仿宋"/>
              <w:szCs w:val="32"/>
            </w:rPr>
            <w:t>；项目支出</w:t>
          </w:r>
          <w:r>
            <w:rPr>
              <w:rFonts w:hint="eastAsia" w:ascii="仿宋" w:hAnsi="仿宋" w:eastAsia="仿宋" w:cs="仿宋"/>
              <w:szCs w:val="32"/>
            </w:rPr>
            <w:t>400.95</w:t>
          </w:r>
          <w:r>
            <w:rPr>
              <w:rFonts w:hint="eastAsia" w:ascii="仿宋" w:hAnsi="仿宋" w:eastAsia="仿宋"/>
              <w:szCs w:val="32"/>
            </w:rPr>
            <w:t>万元，占</w:t>
          </w:r>
          <w:r>
            <w:rPr>
              <w:rFonts w:hint="eastAsia" w:ascii="仿宋" w:hAnsi="仿宋" w:eastAsia="仿宋" w:cs="仿宋"/>
              <w:szCs w:val="32"/>
            </w:rPr>
            <w:t>75.19%</w:t>
          </w:r>
          <w:r>
            <w:rPr>
              <w:rFonts w:hint="eastAsia" w:ascii="仿宋" w:hAnsi="仿宋" w:eastAsia="仿宋"/>
              <w:szCs w:val="32"/>
            </w:rPr>
            <w:t>。</w:t>
          </w:r>
          <w:r>
            <w:tab/>
          </w:r>
          <w:r>
            <w:fldChar w:fldCharType="begin"/>
          </w:r>
          <w:r>
            <w:instrText xml:space="preserve"> PAGEREF _Toc26499 \h </w:instrText>
          </w:r>
          <w:r>
            <w:fldChar w:fldCharType="separate"/>
          </w:r>
          <w:r>
            <w:t>3</w:t>
          </w:r>
          <w:r>
            <w:fldChar w:fldCharType="end"/>
          </w:r>
          <w:r>
            <w:fldChar w:fldCharType="end"/>
          </w:r>
        </w:p>
        <w:p>
          <w:pPr>
            <w:pStyle w:val="36"/>
            <w:tabs>
              <w:tab w:val="right" w:leader="dot" w:pos="8306"/>
            </w:tabs>
          </w:pPr>
          <w:r>
            <w:fldChar w:fldCharType="begin"/>
          </w:r>
          <w:r>
            <w:instrText xml:space="preserve"> HYPERLINK \l _Toc20381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_Toc20381 \h </w:instrText>
          </w:r>
          <w:r>
            <w:fldChar w:fldCharType="separate"/>
          </w:r>
          <w:r>
            <w:t>3</w:t>
          </w:r>
          <w:r>
            <w:fldChar w:fldCharType="end"/>
          </w:r>
          <w:r>
            <w:fldChar w:fldCharType="end"/>
          </w:r>
        </w:p>
        <w:p>
          <w:pPr>
            <w:pStyle w:val="36"/>
            <w:tabs>
              <w:tab w:val="right" w:leader="dot" w:pos="8306"/>
            </w:tabs>
          </w:pPr>
          <w:r>
            <w:fldChar w:fldCharType="begin"/>
          </w:r>
          <w:r>
            <w:instrText xml:space="preserve"> HYPERLINK \l _Toc24340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_Toc24340 \h </w:instrText>
          </w:r>
          <w:r>
            <w:fldChar w:fldCharType="separate"/>
          </w:r>
          <w:r>
            <w:t>4</w:t>
          </w:r>
          <w:r>
            <w:fldChar w:fldCharType="end"/>
          </w:r>
          <w:r>
            <w:fldChar w:fldCharType="end"/>
          </w:r>
        </w:p>
        <w:p>
          <w:pPr>
            <w:pStyle w:val="36"/>
            <w:tabs>
              <w:tab w:val="right" w:leader="dot" w:pos="8306"/>
            </w:tabs>
          </w:pPr>
          <w:r>
            <w:fldChar w:fldCharType="begin"/>
          </w:r>
          <w:r>
            <w:instrText xml:space="preserve"> HYPERLINK \l _Toc32337 </w:instrText>
          </w:r>
          <w:r>
            <w:fldChar w:fldCharType="separate"/>
          </w: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年一般公共预算支出决算数为</w:t>
          </w:r>
          <w:r>
            <w:rPr>
              <w:rFonts w:hint="eastAsia" w:ascii="仿宋" w:hAnsi="仿宋" w:eastAsia="仿宋"/>
              <w:szCs w:val="32"/>
              <w:lang w:val="en-US" w:eastAsia="zh-CN"/>
            </w:rPr>
            <w:t>527.22</w:t>
          </w:r>
          <w:r>
            <w:rPr>
              <w:rFonts w:hint="eastAsia" w:ascii="仿宋" w:hAnsi="仿宋" w:eastAsia="仿宋"/>
              <w:szCs w:val="32"/>
            </w:rPr>
            <w:t>万元，</w:t>
          </w:r>
          <w:r>
            <w:rPr>
              <w:rFonts w:hint="eastAsia" w:ascii="仿宋" w:hAnsi="仿宋" w:eastAsia="仿宋"/>
              <w:bCs/>
              <w:szCs w:val="32"/>
            </w:rPr>
            <w:t>完成预算100</w:t>
          </w:r>
          <w:r>
            <w:rPr>
              <w:rFonts w:ascii="仿宋" w:hAnsi="仿宋" w:eastAsia="仿宋"/>
              <w:bCs/>
              <w:szCs w:val="32"/>
            </w:rPr>
            <w:t>%</w:t>
          </w:r>
          <w:r>
            <w:rPr>
              <w:rFonts w:hint="eastAsia" w:ascii="仿宋" w:hAnsi="仿宋" w:eastAsia="仿宋"/>
              <w:bCs/>
              <w:szCs w:val="32"/>
            </w:rPr>
            <w:t>。其中：</w:t>
          </w:r>
          <w:r>
            <w:tab/>
          </w:r>
          <w:r>
            <w:fldChar w:fldCharType="begin"/>
          </w:r>
          <w:r>
            <w:instrText xml:space="preserve"> PAGEREF _Toc32337 \h </w:instrText>
          </w:r>
          <w:r>
            <w:fldChar w:fldCharType="separate"/>
          </w:r>
          <w:r>
            <w:t>5</w:t>
          </w:r>
          <w:r>
            <w:fldChar w:fldCharType="end"/>
          </w:r>
          <w:r>
            <w:fldChar w:fldCharType="end"/>
          </w:r>
        </w:p>
        <w:p>
          <w:pPr>
            <w:pStyle w:val="36"/>
            <w:tabs>
              <w:tab w:val="right" w:leader="dot" w:pos="8306"/>
            </w:tabs>
          </w:pPr>
          <w:r>
            <w:fldChar w:fldCharType="begin"/>
          </w:r>
          <w:r>
            <w:instrText xml:space="preserve"> HYPERLINK \l _Toc2273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_Toc2273 \h </w:instrText>
          </w:r>
          <w:r>
            <w:fldChar w:fldCharType="separate"/>
          </w:r>
          <w:r>
            <w:t>7</w:t>
          </w:r>
          <w:r>
            <w:fldChar w:fldCharType="end"/>
          </w:r>
          <w:r>
            <w:fldChar w:fldCharType="end"/>
          </w:r>
        </w:p>
        <w:p>
          <w:pPr>
            <w:pStyle w:val="36"/>
            <w:tabs>
              <w:tab w:val="right" w:leader="dot" w:pos="8306"/>
            </w:tabs>
          </w:pPr>
          <w:r>
            <w:fldChar w:fldCharType="begin"/>
          </w:r>
          <w:r>
            <w:instrText xml:space="preserve"> HYPERLINK \l _Toc31943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_Toc31943 \h </w:instrText>
          </w:r>
          <w:r>
            <w:fldChar w:fldCharType="separate"/>
          </w:r>
          <w:r>
            <w:t>8</w:t>
          </w:r>
          <w:r>
            <w:fldChar w:fldCharType="end"/>
          </w:r>
          <w:r>
            <w:fldChar w:fldCharType="end"/>
          </w:r>
        </w:p>
        <w:p>
          <w:pPr>
            <w:pStyle w:val="36"/>
            <w:tabs>
              <w:tab w:val="right" w:leader="dot" w:pos="8306"/>
            </w:tabs>
          </w:pPr>
          <w:r>
            <w:fldChar w:fldCharType="begin"/>
          </w:r>
          <w:r>
            <w:instrText xml:space="preserve"> HYPERLINK \l _Toc16640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_Toc16640 \h </w:instrText>
          </w:r>
          <w:r>
            <w:fldChar w:fldCharType="separate"/>
          </w:r>
          <w:r>
            <w:t>9</w:t>
          </w:r>
          <w:r>
            <w:fldChar w:fldCharType="end"/>
          </w:r>
          <w:r>
            <w:fldChar w:fldCharType="end"/>
          </w:r>
        </w:p>
        <w:p>
          <w:pPr>
            <w:pStyle w:val="36"/>
            <w:tabs>
              <w:tab w:val="right" w:leader="dot" w:pos="8306"/>
            </w:tabs>
          </w:pPr>
          <w:r>
            <w:fldChar w:fldCharType="begin"/>
          </w:r>
          <w:r>
            <w:instrText xml:space="preserve"> HYPERLINK \l _Toc17540 </w:instrText>
          </w:r>
          <w:r>
            <w:fldChar w:fldCharType="separate"/>
          </w:r>
          <w:r>
            <w:rPr>
              <w:rFonts w:hint="eastAsia" w:ascii="黑体" w:hAnsi="黑体" w:eastAsia="黑体"/>
            </w:rPr>
            <w:t>九、 国有资本经营预算支出决算情况说明</w:t>
          </w:r>
          <w:r>
            <w:tab/>
          </w:r>
          <w:r>
            <w:fldChar w:fldCharType="begin"/>
          </w:r>
          <w:r>
            <w:instrText xml:space="preserve"> PAGEREF _Toc17540 \h </w:instrText>
          </w:r>
          <w:r>
            <w:fldChar w:fldCharType="separate"/>
          </w:r>
          <w:r>
            <w:t>9</w:t>
          </w:r>
          <w:r>
            <w:fldChar w:fldCharType="end"/>
          </w:r>
          <w:r>
            <w:fldChar w:fldCharType="end"/>
          </w:r>
        </w:p>
        <w:p>
          <w:pPr>
            <w:pStyle w:val="36"/>
            <w:tabs>
              <w:tab w:val="right" w:leader="dot" w:pos="8306"/>
            </w:tabs>
          </w:pPr>
          <w:r>
            <w:fldChar w:fldCharType="begin"/>
          </w:r>
          <w:r>
            <w:instrText xml:space="preserve"> HYPERLINK \l _Toc31133 </w:instrText>
          </w:r>
          <w:r>
            <w:fldChar w:fldCharType="separate"/>
          </w:r>
          <w:r>
            <w:rPr>
              <w:rFonts w:hint="eastAsia" w:ascii="黑体" w:hAnsi="黑体" w:eastAsia="黑体"/>
            </w:rPr>
            <w:t>十、 其他重要事项的情况说明</w:t>
          </w:r>
          <w:r>
            <w:tab/>
          </w:r>
          <w:r>
            <w:fldChar w:fldCharType="begin"/>
          </w:r>
          <w:r>
            <w:instrText xml:space="preserve"> PAGEREF _Toc31133 \h </w:instrText>
          </w:r>
          <w:r>
            <w:fldChar w:fldCharType="separate"/>
          </w:r>
          <w:r>
            <w:t>10</w:t>
          </w:r>
          <w:r>
            <w:fldChar w:fldCharType="end"/>
          </w:r>
          <w:r>
            <w:fldChar w:fldCharType="end"/>
          </w:r>
        </w:p>
        <w:p>
          <w:pPr>
            <w:pStyle w:val="35"/>
            <w:tabs>
              <w:tab w:val="right" w:leader="dot" w:pos="8306"/>
            </w:tabs>
            <w:rPr>
              <w:b/>
            </w:rPr>
          </w:pPr>
          <w:r>
            <w:rPr>
              <w:b/>
            </w:rPr>
            <w:fldChar w:fldCharType="begin"/>
          </w:r>
          <w:r>
            <w:rPr>
              <w:b/>
            </w:rPr>
            <w:instrText xml:space="preserve"> HYPERLINK \l _Toc19155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_Toc19155 \h </w:instrText>
          </w:r>
          <w:r>
            <w:rPr>
              <w:b/>
            </w:rPr>
            <w:fldChar w:fldCharType="separate"/>
          </w:r>
          <w:r>
            <w:rPr>
              <w:b/>
            </w:rPr>
            <w:t>11</w:t>
          </w:r>
          <w:r>
            <w:rPr>
              <w:b/>
            </w:rPr>
            <w:fldChar w:fldCharType="end"/>
          </w:r>
          <w:r>
            <w:rPr>
              <w:b/>
            </w:rPr>
            <w:fldChar w:fldCharType="end"/>
          </w:r>
        </w:p>
        <w:p>
          <w:pPr>
            <w:pStyle w:val="36"/>
            <w:tabs>
              <w:tab w:val="right" w:leader="dot" w:pos="8306"/>
            </w:tabs>
          </w:pPr>
          <w:r>
            <w:fldChar w:fldCharType="begin"/>
          </w:r>
          <w:r>
            <w:instrText xml:space="preserve"> HYPERLINK \l _Toc14175 </w:instrText>
          </w:r>
          <w:r>
            <w:fldChar w:fldCharType="separate"/>
          </w:r>
          <w:r>
            <w:rPr>
              <w:rFonts w:hint="default" w:ascii="仿宋_GB2312" w:eastAsia="仿宋_GB2312"/>
              <w:szCs w:val="32"/>
            </w:rPr>
            <w:t xml:space="preserve">1． </w:t>
          </w:r>
          <w:r>
            <w:rPr>
              <w:rFonts w:hint="eastAsia" w:ascii="仿宋_GB2312" w:eastAsia="仿宋_GB2312"/>
              <w:szCs w:val="32"/>
            </w:rPr>
            <w:t>财政拨款收入：指单位从同级财政部门取得的财政预算资金。</w:t>
          </w:r>
          <w:r>
            <w:tab/>
          </w:r>
          <w:r>
            <w:fldChar w:fldCharType="begin"/>
          </w:r>
          <w:r>
            <w:instrText xml:space="preserve"> PAGEREF _Toc14175 \h </w:instrText>
          </w:r>
          <w:r>
            <w:fldChar w:fldCharType="separate"/>
          </w:r>
          <w:r>
            <w:t>11</w:t>
          </w:r>
          <w:r>
            <w:fldChar w:fldCharType="end"/>
          </w:r>
          <w:r>
            <w:fldChar w:fldCharType="end"/>
          </w:r>
        </w:p>
        <w:p>
          <w:pPr>
            <w:pStyle w:val="35"/>
            <w:tabs>
              <w:tab w:val="right" w:leader="dot" w:pos="8306"/>
            </w:tabs>
            <w:rPr>
              <w:b/>
            </w:rPr>
          </w:pPr>
          <w:r>
            <w:rPr>
              <w:b/>
            </w:rPr>
            <w:fldChar w:fldCharType="begin"/>
          </w:r>
          <w:r>
            <w:rPr>
              <w:b/>
            </w:rPr>
            <w:instrText xml:space="preserve"> HYPERLINK \l _Toc31776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_Toc31776 \h </w:instrText>
          </w:r>
          <w:r>
            <w:rPr>
              <w:b/>
            </w:rPr>
            <w:fldChar w:fldCharType="separate"/>
          </w:r>
          <w:r>
            <w:rPr>
              <w:b/>
            </w:rPr>
            <w:t>15</w:t>
          </w:r>
          <w:r>
            <w:rPr>
              <w:b/>
            </w:rPr>
            <w:fldChar w:fldCharType="end"/>
          </w:r>
          <w:r>
            <w:rPr>
              <w:b/>
            </w:rPr>
            <w:fldChar w:fldCharType="end"/>
          </w:r>
        </w:p>
        <w:p>
          <w:pPr>
            <w:pStyle w:val="35"/>
            <w:tabs>
              <w:tab w:val="right" w:leader="dot" w:pos="8306"/>
            </w:tabs>
            <w:rPr>
              <w:b/>
            </w:rPr>
          </w:pPr>
          <w:r>
            <w:rPr>
              <w:b/>
            </w:rPr>
            <w:fldChar w:fldCharType="begin"/>
          </w:r>
          <w:r>
            <w:rPr>
              <w:b/>
            </w:rPr>
            <w:instrText xml:space="preserve"> HYPERLINK \l _Toc19932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_Toc19932 \h </w:instrText>
          </w:r>
          <w:r>
            <w:rPr>
              <w:b/>
            </w:rPr>
            <w:fldChar w:fldCharType="separate"/>
          </w:r>
          <w:r>
            <w:rPr>
              <w:b/>
            </w:rPr>
            <w:t>21</w:t>
          </w:r>
          <w:r>
            <w:rPr>
              <w:b/>
            </w:rPr>
            <w:fldChar w:fldCharType="end"/>
          </w:r>
          <w:r>
            <w:rPr>
              <w:b/>
            </w:rPr>
            <w:fldChar w:fldCharType="end"/>
          </w:r>
        </w:p>
        <w:p>
          <w:pPr>
            <w:pStyle w:val="36"/>
            <w:tabs>
              <w:tab w:val="right" w:leader="dot" w:pos="8306"/>
            </w:tabs>
          </w:pPr>
          <w:r>
            <w:fldChar w:fldCharType="begin"/>
          </w:r>
          <w:r>
            <w:instrText xml:space="preserve"> HYPERLINK \l _Toc31520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_Toc31520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_Toc17568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_Toc17568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_Toc2601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_Toc2601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_Toc20898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_Toc20898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_Toc30829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_Toc30829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_Toc31764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_Toc31764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_Toc31226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_Toc31226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_Toc21227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_Toc21227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_Toc18590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_Toc18590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_Toc15521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_Toc15521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_Toc7470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_Toc7470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_Toc20983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_Toc20983 \h </w:instrText>
          </w:r>
          <w:r>
            <w:fldChar w:fldCharType="separate"/>
          </w:r>
          <w:r>
            <w:t>21</w:t>
          </w:r>
          <w:r>
            <w:fldChar w:fldCharType="end"/>
          </w:r>
          <w:r>
            <w:fldChar w:fldCharType="end"/>
          </w:r>
        </w:p>
        <w:p>
          <w:pPr>
            <w:pStyle w:val="36"/>
            <w:tabs>
              <w:tab w:val="right" w:leader="dot" w:pos="8306"/>
            </w:tabs>
          </w:pPr>
          <w:r>
            <w:fldChar w:fldCharType="begin"/>
          </w:r>
          <w:r>
            <w:instrText xml:space="preserve"> HYPERLINK \l _Toc19389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_Toc19389 \h </w:instrText>
          </w:r>
          <w:r>
            <w:fldChar w:fldCharType="separate"/>
          </w:r>
          <w:r>
            <w:t>21</w:t>
          </w:r>
          <w:r>
            <w:fldChar w:fldCharType="end"/>
          </w:r>
          <w:r>
            <w:fldChar w:fldCharType="end"/>
          </w:r>
        </w:p>
        <w:p>
          <w:pPr>
            <w:rPr>
              <w:rFonts w:ascii="Times New Roman" w:hAnsi="Times New Roman" w:eastAsia="宋体" w:cs="Times New Roman"/>
              <w:b/>
              <w:kern w:val="2"/>
              <w:sz w:val="21"/>
              <w:szCs w:val="24"/>
              <w:lang w:val="en-US" w:eastAsia="zh-CN" w:bidi="ar-SA"/>
            </w:rPr>
          </w:pPr>
          <w:r>
            <w:rPr>
              <w:b/>
            </w:rPr>
            <w:fldChar w:fldCharType="end"/>
          </w:r>
        </w:p>
      </w:sdtContent>
    </w:sdt>
    <w:p>
      <w:pPr>
        <w:rPr>
          <w:rFonts w:ascii="Times New Roman" w:hAnsi="Times New Roman" w:eastAsia="宋体" w:cs="Times New Roman"/>
          <w:b/>
          <w:kern w:val="2"/>
          <w:sz w:val="21"/>
          <w:szCs w:val="24"/>
          <w:lang w:val="en-US" w:eastAsia="zh-CN" w:bidi="ar-SA"/>
        </w:rPr>
      </w:pPr>
    </w:p>
    <w:p>
      <w:pPr>
        <w:pStyle w:val="2"/>
        <w:spacing w:before="0" w:after="0" w:line="240" w:lineRule="auto"/>
        <w:jc w:val="both"/>
        <w:outlineLvl w:val="9"/>
        <w:rPr>
          <w:rFonts w:hint="eastAsia" w:ascii="黑体" w:hAnsi="黑体" w:eastAsia="黑体"/>
          <w:b w:val="0"/>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5" w:name="_Toc15396599"/>
      <w:bookmarkStart w:id="16" w:name="_Toc15377196"/>
    </w:p>
    <w:p>
      <w:pPr>
        <w:rPr>
          <w:rFonts w:hint="eastAsia"/>
        </w:rPr>
      </w:pPr>
    </w:p>
    <w:p>
      <w:pPr>
        <w:pStyle w:val="2"/>
        <w:jc w:val="center"/>
        <w:rPr>
          <w:rStyle w:val="21"/>
          <w:rFonts w:ascii="黑体" w:hAnsi="黑体" w:eastAsia="黑体"/>
          <w:b/>
          <w:bCs w:val="0"/>
        </w:rPr>
      </w:pPr>
      <w:bookmarkStart w:id="17" w:name="_Toc2290"/>
      <w:r>
        <w:rPr>
          <w:rFonts w:hint="eastAsia" w:ascii="黑体" w:hAnsi="黑体" w:eastAsia="黑体"/>
          <w:b w:val="0"/>
        </w:rPr>
        <w:t>第一部分 单位</w:t>
      </w:r>
      <w:r>
        <w:rPr>
          <w:rStyle w:val="21"/>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3"/>
        <w:numPr>
          <w:ilvl w:val="0"/>
          <w:numId w:val="1"/>
        </w:numPr>
        <w:rPr>
          <w:rStyle w:val="22"/>
          <w:rFonts w:hint="eastAsia" w:ascii="黑体" w:hAnsi="黑体" w:eastAsia="黑体"/>
          <w:b w:val="0"/>
          <w:bCs w:val="0"/>
        </w:rPr>
      </w:pPr>
      <w:bookmarkStart w:id="18" w:name="_Toc13164"/>
      <w:bookmarkStart w:id="19" w:name="_Toc15396600"/>
      <w:bookmarkStart w:id="20" w:name="_Toc15377197"/>
      <w:r>
        <w:rPr>
          <w:rStyle w:val="22"/>
          <w:rFonts w:hint="eastAsia" w:ascii="黑体" w:hAnsi="黑体" w:eastAsia="黑体"/>
          <w:b w:val="0"/>
          <w:bCs w:val="0"/>
        </w:rPr>
        <w:t>主要职责</w:t>
      </w:r>
      <w:bookmarkEnd w:id="18"/>
    </w:p>
    <w:p>
      <w:pPr>
        <w:snapToGrid w:val="0"/>
        <w:spacing w:line="520" w:lineRule="exact"/>
        <w:rPr>
          <w:rFonts w:hint="eastAsia" w:ascii="仿宋_GB2312" w:hAnsi="仿宋" w:eastAsia="仿宋_GB2312"/>
          <w:sz w:val="32"/>
          <w:szCs w:val="32"/>
          <w:highlight w:val="none"/>
        </w:rPr>
      </w:pPr>
      <w:r>
        <w:rPr>
          <w:rFonts w:hint="eastAsia" w:ascii="仿宋_GB2312" w:hAnsi="仿宋" w:eastAsia="仿宋_GB2312"/>
          <w:sz w:val="32"/>
          <w:szCs w:val="32"/>
        </w:rPr>
        <w:t xml:space="preserve">   </w:t>
      </w:r>
      <w:r>
        <w:rPr>
          <w:rFonts w:hint="eastAsia" w:ascii="仿宋_GB2312" w:hAnsi="仿宋" w:eastAsia="仿宋_GB2312"/>
          <w:sz w:val="32"/>
          <w:szCs w:val="32"/>
          <w:highlight w:val="none"/>
        </w:rPr>
        <w:t xml:space="preserve"> 区海事处属区交运局下属二级部门，财政全额拨款一级预算单位。主要负责贯彻执行国家和省、市、区有关水上交通运输行业的方针、政策和</w:t>
      </w:r>
      <w:r>
        <w:rPr>
          <w:rFonts w:hint="eastAsia" w:ascii="仿宋_GB2312" w:hAnsi="仿宋" w:eastAsia="仿宋_GB2312"/>
          <w:sz w:val="32"/>
          <w:szCs w:val="32"/>
          <w:highlight w:val="none"/>
          <w:lang w:eastAsia="zh-CN"/>
        </w:rPr>
        <w:t>法律法规</w:t>
      </w:r>
      <w:r>
        <w:rPr>
          <w:rFonts w:hint="eastAsia" w:ascii="仿宋_GB2312" w:hAnsi="仿宋" w:eastAsia="仿宋_GB2312"/>
          <w:sz w:val="32"/>
          <w:szCs w:val="32"/>
          <w:highlight w:val="none"/>
        </w:rPr>
        <w:t>；组织拟定并监督实施水路行业规划、政策和标准。负责船舶登记、上户、办证初审；与通航有关的栏河、跨河、临河建筑物的通航标准和技术要求的初审，以及对水上水下施工的审核</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负责渡口、船舶、船员的档案管理；负责辖区职责范围内的船舶年度检验、营运检验，及其证书的签发工作，船舶检验档案管理；承担水上交通运输信息化建设，分析水路运行情况，航运管理，水运基础设施建设，船舶防污染监督并开展相关统计工作。</w:t>
      </w:r>
    </w:p>
    <w:p>
      <w:pPr>
        <w:rPr>
          <w:highlight w:val="none"/>
        </w:rPr>
      </w:pPr>
    </w:p>
    <w:p>
      <w:pPr>
        <w:pStyle w:val="3"/>
        <w:rPr>
          <w:rStyle w:val="22"/>
          <w:rFonts w:hint="eastAsia" w:ascii="黑体" w:hAnsi="黑体" w:eastAsia="黑体"/>
          <w:b w:val="0"/>
          <w:bCs w:val="0"/>
          <w:highlight w:val="none"/>
        </w:rPr>
      </w:pPr>
      <w:bookmarkStart w:id="21" w:name="_Toc3275"/>
      <w:r>
        <w:rPr>
          <w:rStyle w:val="22"/>
          <w:rFonts w:hint="eastAsia" w:ascii="黑体" w:hAnsi="黑体" w:eastAsia="黑体"/>
          <w:b/>
          <w:bCs w:val="0"/>
          <w:highlight w:val="none"/>
        </w:rPr>
        <w:t>二、机构设置</w:t>
      </w:r>
      <w:bookmarkEnd w:id="21"/>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船山区地方海事处系船山区航务管理所、船山区地方海事处、船山区船舶检验处3块牌子一套人员，副科级参公事业单位，编制数为8名，原有编制人员</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名，</w:t>
      </w:r>
      <w:r>
        <w:rPr>
          <w:rFonts w:hint="eastAsia" w:ascii="仿宋_GB2312" w:hAnsi="仿宋" w:eastAsia="仿宋_GB2312"/>
          <w:sz w:val="32"/>
          <w:szCs w:val="32"/>
          <w:highlight w:val="none"/>
          <w:lang w:val="en-US" w:eastAsia="zh-CN"/>
        </w:rPr>
        <w:t>1人调出，1人调入，</w:t>
      </w:r>
      <w:r>
        <w:rPr>
          <w:rFonts w:hint="eastAsia" w:ascii="仿宋_GB2312" w:hAnsi="仿宋" w:eastAsia="仿宋_GB2312"/>
          <w:sz w:val="32"/>
          <w:szCs w:val="32"/>
          <w:highlight w:val="none"/>
        </w:rPr>
        <w:t>目前实有编制人员5人。财政全额拨款一级预算单位，内设机构：办公室、航务股、船检股。</w:t>
      </w:r>
      <w:bookmarkEnd w:id="19"/>
      <w:bookmarkEnd w:id="20"/>
    </w:p>
    <w:p>
      <w:pPr>
        <w:pStyle w:val="2"/>
        <w:ind w:right="440"/>
        <w:jc w:val="center"/>
        <w:rPr>
          <w:rStyle w:val="21"/>
          <w:rFonts w:ascii="黑体" w:hAnsi="黑体" w:eastAsia="黑体"/>
          <w:b w:val="0"/>
          <w:bCs/>
        </w:rPr>
      </w:pPr>
      <w:bookmarkStart w:id="22" w:name="_Toc15377204"/>
      <w:bookmarkStart w:id="23" w:name="_Toc21821"/>
      <w:bookmarkStart w:id="24" w:name="_Toc15396602"/>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21"/>
          <w:rFonts w:hint="eastAsia" w:ascii="黑体" w:hAnsi="黑体" w:eastAsia="黑体"/>
          <w:b w:val="0"/>
          <w:bCs/>
        </w:rPr>
        <w:t>单位决算情况说明</w:t>
      </w:r>
      <w:bookmarkEnd w:id="22"/>
      <w:bookmarkEnd w:id="23"/>
      <w:bookmarkEnd w:id="24"/>
    </w:p>
    <w:p/>
    <w:p>
      <w:pPr>
        <w:pStyle w:val="32"/>
        <w:numPr>
          <w:ilvl w:val="0"/>
          <w:numId w:val="2"/>
        </w:numPr>
        <w:spacing w:line="600" w:lineRule="exact"/>
        <w:ind w:firstLineChars="0"/>
        <w:outlineLvl w:val="1"/>
        <w:rPr>
          <w:rStyle w:val="22"/>
          <w:rFonts w:ascii="黑体" w:hAnsi="黑体" w:eastAsia="黑体"/>
          <w:b w:val="0"/>
        </w:rPr>
      </w:pPr>
      <w:bookmarkStart w:id="25" w:name="_Toc15396603"/>
      <w:bookmarkStart w:id="26" w:name="_Toc15377205"/>
      <w:bookmarkStart w:id="27" w:name="_Toc8553"/>
      <w:r>
        <w:rPr>
          <w:rFonts w:hint="eastAsia" w:ascii="黑体" w:hAnsi="黑体" w:eastAsia="黑体"/>
          <w:sz w:val="32"/>
          <w:szCs w:val="32"/>
        </w:rPr>
        <w:t>收</w:t>
      </w:r>
      <w:r>
        <w:rPr>
          <w:rStyle w:val="22"/>
          <w:rFonts w:hint="eastAsia" w:ascii="黑体" w:hAnsi="黑体" w:eastAsia="黑体"/>
          <w:b w:val="0"/>
        </w:rPr>
        <w:t>入支出决算总体情况说明</w:t>
      </w:r>
      <w:bookmarkEnd w:id="25"/>
      <w:bookmarkEnd w:id="26"/>
      <w:bookmarkEnd w:id="27"/>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cs="仿宋"/>
          <w:sz w:val="32"/>
          <w:szCs w:val="32"/>
        </w:rPr>
        <w:t>587.03</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210.58</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55.94</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highlight w:val="none"/>
        </w:rPr>
        <w:t>主要原因为</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eastAsia="zh-CN"/>
        </w:rPr>
        <w:t>新增</w:t>
      </w:r>
      <w:r>
        <w:rPr>
          <w:rFonts w:hint="eastAsia" w:ascii="仿宋" w:hAnsi="仿宋" w:eastAsia="仿宋" w:cs="仿宋"/>
          <w:sz w:val="32"/>
          <w:szCs w:val="32"/>
          <w:highlight w:val="none"/>
        </w:rPr>
        <w:t>平安渡</w:t>
      </w:r>
      <w:r>
        <w:rPr>
          <w:rFonts w:hint="eastAsia" w:ascii="仿宋" w:hAnsi="仿宋" w:eastAsia="仿宋" w:cs="仿宋"/>
          <w:sz w:val="32"/>
          <w:szCs w:val="32"/>
          <w:highlight w:val="none"/>
          <w:lang w:eastAsia="zh-CN"/>
        </w:rPr>
        <w:t>运“五统一”和平安渡运</w:t>
      </w:r>
      <w:r>
        <w:rPr>
          <w:rFonts w:hint="eastAsia" w:ascii="仿宋" w:hAnsi="仿宋" w:eastAsia="仿宋" w:cs="仿宋"/>
          <w:sz w:val="32"/>
          <w:szCs w:val="32"/>
          <w:highlight w:val="none"/>
        </w:rPr>
        <w:t>停泊区</w:t>
      </w:r>
      <w:r>
        <w:rPr>
          <w:rFonts w:hint="eastAsia" w:ascii="仿宋" w:hAnsi="仿宋" w:eastAsia="仿宋" w:cs="仿宋"/>
          <w:sz w:val="32"/>
          <w:szCs w:val="32"/>
          <w:highlight w:val="none"/>
          <w:lang w:eastAsia="zh-CN"/>
        </w:rPr>
        <w:t>项目，支出增加</w:t>
      </w:r>
      <w:r>
        <w:rPr>
          <w:rFonts w:hint="eastAsia" w:ascii="仿宋" w:hAnsi="仿宋" w:eastAsia="仿宋" w:cs="仿宋"/>
          <w:sz w:val="32"/>
          <w:szCs w:val="32"/>
          <w:highlight w:val="none"/>
        </w:rPr>
        <w:t>。</w:t>
      </w:r>
    </w:p>
    <w:p>
      <w:pPr>
        <w:spacing w:line="600" w:lineRule="exact"/>
        <w:jc w:val="left"/>
        <w:rPr>
          <w:rFonts w:ascii="仿宋_GB2312" w:eastAsia="仿宋_GB2312"/>
          <w:sz w:val="32"/>
          <w:szCs w:val="32"/>
          <w:highlight w:val="none"/>
        </w:rPr>
      </w:pPr>
    </w:p>
    <w:p>
      <w:pPr>
        <w:pStyle w:val="5"/>
        <w:spacing w:before="93"/>
        <w:rPr>
          <w:sz w:val="32"/>
          <w:szCs w:val="32"/>
        </w:rPr>
      </w:pPr>
      <w:r>
        <w:drawing>
          <wp:inline distT="0" distB="0" distL="114300" distR="114300">
            <wp:extent cx="5260340" cy="2673985"/>
            <wp:effectExtent l="4445" t="4445" r="1206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spacing w:before="93"/>
        <w:rPr>
          <w:sz w:val="32"/>
          <w:szCs w:val="32"/>
        </w:rPr>
      </w:pPr>
    </w:p>
    <w:p>
      <w:pPr>
        <w:pStyle w:val="32"/>
        <w:numPr>
          <w:ilvl w:val="0"/>
          <w:numId w:val="2"/>
        </w:numPr>
        <w:spacing w:line="600" w:lineRule="exact"/>
        <w:ind w:firstLineChars="0"/>
        <w:outlineLvl w:val="1"/>
        <w:rPr>
          <w:rStyle w:val="22"/>
          <w:rFonts w:ascii="黑体" w:hAnsi="黑体" w:eastAsia="黑体"/>
          <w:b w:val="0"/>
        </w:rPr>
      </w:pPr>
      <w:bookmarkStart w:id="28" w:name="_Toc8909"/>
      <w:bookmarkStart w:id="29" w:name="_Toc15396604"/>
      <w:bookmarkStart w:id="30" w:name="_Toc15377206"/>
      <w:r>
        <w:rPr>
          <w:rFonts w:hint="eastAsia" w:ascii="黑体" w:hAnsi="黑体" w:eastAsia="黑体"/>
          <w:sz w:val="32"/>
          <w:szCs w:val="32"/>
        </w:rPr>
        <w:t>收</w:t>
      </w:r>
      <w:r>
        <w:rPr>
          <w:rStyle w:val="22"/>
          <w:rFonts w:hint="eastAsia" w:ascii="黑体" w:hAnsi="黑体" w:eastAsia="黑体"/>
          <w:b w:val="0"/>
        </w:rPr>
        <w:t>入决算情况说明</w:t>
      </w:r>
      <w:bookmarkEnd w:id="28"/>
      <w:bookmarkEnd w:id="29"/>
      <w:bookmarkEnd w:id="30"/>
    </w:p>
    <w:p>
      <w:pPr>
        <w:spacing w:line="600" w:lineRule="exact"/>
        <w:ind w:firstLine="640" w:firstLineChars="200"/>
        <w:outlineLvl w:val="1"/>
        <w:rPr>
          <w:sz w:val="32"/>
          <w:szCs w:val="32"/>
        </w:rPr>
      </w:pPr>
      <w:bookmarkStart w:id="31" w:name="_Toc10649"/>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年本年收入合计532.22万元，其中：一般公共预算财政拨款收入527.22万元，占</w:t>
      </w:r>
      <w:r>
        <w:rPr>
          <w:rFonts w:hint="eastAsia" w:ascii="仿宋" w:hAnsi="仿宋" w:eastAsia="仿宋"/>
          <w:sz w:val="32"/>
          <w:szCs w:val="32"/>
          <w:lang w:val="en-US" w:eastAsia="zh-CN"/>
        </w:rPr>
        <w:t>99.06</w:t>
      </w:r>
      <w:r>
        <w:rPr>
          <w:rFonts w:ascii="仿宋" w:hAnsi="仿宋" w:eastAsia="仿宋"/>
          <w:sz w:val="32"/>
          <w:szCs w:val="32"/>
        </w:rPr>
        <w:t>%</w:t>
      </w:r>
      <w:r>
        <w:rPr>
          <w:rFonts w:hint="eastAsia" w:ascii="仿宋" w:hAnsi="仿宋" w:eastAsia="仿宋"/>
          <w:sz w:val="32"/>
          <w:szCs w:val="32"/>
        </w:rPr>
        <w:t>；其他收入5.00万元，占</w:t>
      </w:r>
      <w:r>
        <w:rPr>
          <w:rFonts w:hint="eastAsia" w:ascii="仿宋" w:hAnsi="仿宋" w:eastAsia="仿宋"/>
          <w:sz w:val="32"/>
          <w:szCs w:val="32"/>
          <w:lang w:val="en-US" w:eastAsia="zh-CN"/>
        </w:rPr>
        <w:t>0.94</w:t>
      </w:r>
      <w:r>
        <w:rPr>
          <w:rFonts w:ascii="仿宋" w:hAnsi="仿宋" w:eastAsia="仿宋"/>
          <w:sz w:val="32"/>
          <w:szCs w:val="32"/>
        </w:rPr>
        <w:t>%</w:t>
      </w:r>
      <w:r>
        <w:rPr>
          <w:rFonts w:hint="eastAsia" w:ascii="仿宋" w:hAnsi="仿宋" w:eastAsia="仿宋"/>
          <w:sz w:val="32"/>
          <w:szCs w:val="32"/>
        </w:rPr>
        <w:t>。</w:t>
      </w:r>
      <w:bookmarkEnd w:id="31"/>
    </w:p>
    <w:p>
      <w:pPr>
        <w:pStyle w:val="5"/>
        <w:spacing w:before="93"/>
        <w:rPr>
          <w:sz w:val="32"/>
          <w:szCs w:val="32"/>
        </w:rPr>
      </w:pPr>
      <w:r>
        <w:drawing>
          <wp:inline distT="0" distB="0" distL="114300" distR="114300">
            <wp:extent cx="5174615" cy="269621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spacing w:before="93"/>
        <w:rPr>
          <w:sz w:val="32"/>
          <w:szCs w:val="32"/>
        </w:rPr>
      </w:pPr>
    </w:p>
    <w:p>
      <w:pPr>
        <w:pStyle w:val="32"/>
        <w:numPr>
          <w:ilvl w:val="0"/>
          <w:numId w:val="2"/>
        </w:numPr>
        <w:spacing w:line="600" w:lineRule="exact"/>
        <w:ind w:firstLineChars="0"/>
        <w:outlineLvl w:val="1"/>
        <w:rPr>
          <w:rStyle w:val="22"/>
          <w:rFonts w:ascii="黑体" w:hAnsi="黑体" w:eastAsia="黑体"/>
          <w:b w:val="0"/>
        </w:rPr>
      </w:pPr>
      <w:bookmarkStart w:id="32" w:name="_Toc32312"/>
      <w:bookmarkStart w:id="33" w:name="_Toc15396605"/>
      <w:bookmarkStart w:id="34" w:name="_Toc15377207"/>
      <w:r>
        <w:rPr>
          <w:rFonts w:hint="eastAsia" w:ascii="黑体" w:hAnsi="黑体" w:eastAsia="黑体"/>
          <w:sz w:val="32"/>
          <w:szCs w:val="32"/>
        </w:rPr>
        <w:t>支</w:t>
      </w:r>
      <w:r>
        <w:rPr>
          <w:rStyle w:val="22"/>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26499"/>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年本年支出合计533.27万元，其中：基本支出</w:t>
      </w:r>
      <w:r>
        <w:rPr>
          <w:rFonts w:hint="eastAsia" w:ascii="仿宋" w:hAnsi="仿宋" w:eastAsia="仿宋" w:cs="仿宋"/>
          <w:sz w:val="32"/>
          <w:szCs w:val="32"/>
        </w:rPr>
        <w:t>132.32</w:t>
      </w:r>
      <w:r>
        <w:rPr>
          <w:rFonts w:hint="eastAsia" w:ascii="仿宋" w:hAnsi="仿宋" w:eastAsia="仿宋"/>
          <w:sz w:val="32"/>
          <w:szCs w:val="32"/>
        </w:rPr>
        <w:t>万元，占</w:t>
      </w:r>
      <w:r>
        <w:rPr>
          <w:rFonts w:hint="eastAsia" w:ascii="仿宋" w:hAnsi="仿宋" w:eastAsia="仿宋" w:cs="仿宋"/>
          <w:sz w:val="32"/>
          <w:szCs w:val="32"/>
        </w:rPr>
        <w:t>24.81%</w:t>
      </w:r>
      <w:r>
        <w:rPr>
          <w:rFonts w:hint="eastAsia" w:ascii="仿宋" w:hAnsi="仿宋" w:eastAsia="仿宋"/>
          <w:sz w:val="32"/>
          <w:szCs w:val="32"/>
        </w:rPr>
        <w:t>；项目支出</w:t>
      </w:r>
      <w:r>
        <w:rPr>
          <w:rFonts w:hint="eastAsia" w:ascii="仿宋" w:hAnsi="仿宋" w:eastAsia="仿宋" w:cs="仿宋"/>
          <w:sz w:val="32"/>
          <w:szCs w:val="32"/>
        </w:rPr>
        <w:t>400.95</w:t>
      </w:r>
      <w:r>
        <w:rPr>
          <w:rFonts w:hint="eastAsia" w:ascii="仿宋" w:hAnsi="仿宋" w:eastAsia="仿宋"/>
          <w:sz w:val="32"/>
          <w:szCs w:val="32"/>
        </w:rPr>
        <w:t>万元，占</w:t>
      </w:r>
      <w:r>
        <w:rPr>
          <w:rFonts w:hint="eastAsia" w:ascii="仿宋" w:hAnsi="仿宋" w:eastAsia="仿宋" w:cs="仿宋"/>
          <w:sz w:val="32"/>
          <w:szCs w:val="32"/>
        </w:rPr>
        <w:t>75.19%</w:t>
      </w:r>
      <w:r>
        <w:rPr>
          <w:rFonts w:hint="eastAsia" w:ascii="仿宋" w:hAnsi="仿宋" w:eastAsia="仿宋"/>
          <w:sz w:val="32"/>
          <w:szCs w:val="32"/>
        </w:rPr>
        <w:t>。</w:t>
      </w:r>
      <w:bookmarkEnd w:id="35"/>
    </w:p>
    <w:p>
      <w:pPr>
        <w:spacing w:line="600" w:lineRule="exact"/>
        <w:ind w:firstLine="640" w:firstLineChars="200"/>
        <w:outlineLvl w:val="9"/>
        <w:rPr>
          <w:rFonts w:ascii="仿宋_GB2312" w:eastAsia="仿宋_GB2312"/>
          <w:sz w:val="32"/>
          <w:szCs w:val="32"/>
        </w:rPr>
      </w:pPr>
      <w:r>
        <w:rPr>
          <w:rFonts w:hint="eastAsia"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168910</wp:posOffset>
            </wp:positionH>
            <wp:positionV relativeFrom="paragraph">
              <wp:posOffset>379095</wp:posOffset>
            </wp:positionV>
            <wp:extent cx="5182870" cy="2334895"/>
            <wp:effectExtent l="4445" t="4445" r="13335" b="2286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1"/>
        <w:rPr>
          <w:rStyle w:val="22"/>
          <w:rFonts w:ascii="黑体" w:hAnsi="黑体" w:eastAsia="黑体"/>
          <w:b w:val="0"/>
        </w:rPr>
      </w:pPr>
      <w:bookmarkStart w:id="36" w:name="_Toc15396606"/>
      <w:bookmarkStart w:id="37" w:name="_Toc20381"/>
      <w:bookmarkStart w:id="38" w:name="_Toc15377208"/>
      <w:r>
        <w:rPr>
          <w:rFonts w:hint="eastAsia" w:ascii="黑体" w:hAnsi="黑体" w:eastAsia="黑体"/>
          <w:sz w:val="32"/>
          <w:szCs w:val="32"/>
        </w:rPr>
        <w:t>四、财</w:t>
      </w:r>
      <w:r>
        <w:rPr>
          <w:rStyle w:val="22"/>
          <w:rFonts w:hint="eastAsia" w:ascii="黑体" w:hAnsi="黑体" w:eastAsia="黑体"/>
          <w:b w:val="0"/>
        </w:rPr>
        <w:t>政拨款收入支出决算总体情况说明</w:t>
      </w:r>
      <w:bookmarkEnd w:id="36"/>
      <w:bookmarkEnd w:id="37"/>
      <w:bookmarkEnd w:id="38"/>
    </w:p>
    <w:p>
      <w:pPr>
        <w:snapToGrid w:val="0"/>
        <w:spacing w:line="520" w:lineRule="exact"/>
        <w:ind w:firstLine="640" w:firstLineChars="200"/>
        <w:rPr>
          <w:rFonts w:hint="eastAsia" w:ascii="仿宋_GB2312" w:hAnsi="仿宋" w:eastAsia="仿宋_GB2312"/>
          <w:sz w:val="32"/>
          <w:szCs w:val="32"/>
          <w:highlight w:val="none"/>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年财政拨款收、支总计527.22万元。与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年相比，财政拨款收、支总计各</w:t>
      </w:r>
      <w:r>
        <w:rPr>
          <w:rFonts w:hint="eastAsia" w:ascii="仿宋" w:hAnsi="仿宋" w:eastAsia="仿宋"/>
          <w:sz w:val="32"/>
          <w:szCs w:val="32"/>
          <w:lang w:eastAsia="zh-CN"/>
        </w:rPr>
        <w:t>增加</w:t>
      </w:r>
      <w:r>
        <w:rPr>
          <w:rFonts w:hint="eastAsia" w:ascii="仿宋" w:hAnsi="仿宋" w:eastAsia="仿宋" w:cs="仿宋"/>
          <w:sz w:val="32"/>
          <w:szCs w:val="32"/>
        </w:rPr>
        <w:t>270.64</w:t>
      </w:r>
      <w:r>
        <w:rPr>
          <w:rFonts w:hint="eastAsia" w:ascii="仿宋" w:hAnsi="仿宋" w:eastAsia="仿宋"/>
          <w:sz w:val="32"/>
          <w:szCs w:val="32"/>
        </w:rPr>
        <w:t>万元，</w:t>
      </w:r>
      <w:r>
        <w:rPr>
          <w:rFonts w:hint="eastAsia" w:ascii="仿宋" w:hAnsi="仿宋" w:eastAsia="仿宋" w:cs="仿宋"/>
          <w:sz w:val="32"/>
          <w:szCs w:val="32"/>
        </w:rPr>
        <w:t>增长</w:t>
      </w:r>
      <w:r>
        <w:rPr>
          <w:rFonts w:hint="eastAsia" w:ascii="仿宋" w:hAnsi="仿宋" w:eastAsia="仿宋" w:cs="仿宋"/>
          <w:sz w:val="32"/>
          <w:szCs w:val="32"/>
          <w:lang w:val="en-US" w:eastAsia="zh-CN"/>
        </w:rPr>
        <w:t>105.48</w:t>
      </w:r>
      <w:r>
        <w:rPr>
          <w:rFonts w:hint="eastAsia" w:ascii="仿宋" w:hAnsi="仿宋" w:eastAsia="仿宋" w:cs="仿宋"/>
          <w:sz w:val="32"/>
          <w:szCs w:val="32"/>
        </w:rPr>
        <w:t>%</w:t>
      </w:r>
      <w:r>
        <w:rPr>
          <w:rFonts w:hint="eastAsia" w:ascii="仿宋" w:hAnsi="仿宋" w:eastAsia="仿宋"/>
          <w:sz w:val="32"/>
          <w:szCs w:val="32"/>
        </w:rPr>
        <w:t>。</w:t>
      </w:r>
      <w:r>
        <w:rPr>
          <w:rFonts w:hint="eastAsia" w:ascii="仿宋_GB2312" w:hAnsi="仿宋" w:eastAsia="仿宋_GB2312"/>
          <w:sz w:val="32"/>
          <w:szCs w:val="32"/>
          <w:highlight w:val="none"/>
        </w:rPr>
        <w:t>主要原因为</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eastAsia="zh-CN"/>
        </w:rPr>
        <w:t>新增</w:t>
      </w:r>
      <w:r>
        <w:rPr>
          <w:rFonts w:hint="eastAsia" w:ascii="仿宋" w:hAnsi="仿宋" w:eastAsia="仿宋" w:cs="仿宋"/>
          <w:sz w:val="32"/>
          <w:szCs w:val="32"/>
          <w:highlight w:val="none"/>
        </w:rPr>
        <w:t>平安渡</w:t>
      </w:r>
      <w:r>
        <w:rPr>
          <w:rFonts w:hint="eastAsia" w:ascii="仿宋" w:hAnsi="仿宋" w:eastAsia="仿宋" w:cs="仿宋"/>
          <w:sz w:val="32"/>
          <w:szCs w:val="32"/>
          <w:highlight w:val="none"/>
          <w:lang w:eastAsia="zh-CN"/>
        </w:rPr>
        <w:t>运“五统一”和平安渡运</w:t>
      </w:r>
      <w:r>
        <w:rPr>
          <w:rFonts w:hint="eastAsia" w:ascii="仿宋" w:hAnsi="仿宋" w:eastAsia="仿宋" w:cs="仿宋"/>
          <w:sz w:val="32"/>
          <w:szCs w:val="32"/>
          <w:highlight w:val="none"/>
        </w:rPr>
        <w:t>停泊区</w:t>
      </w:r>
      <w:r>
        <w:rPr>
          <w:rFonts w:hint="eastAsia" w:ascii="仿宋" w:hAnsi="仿宋" w:eastAsia="仿宋" w:cs="仿宋"/>
          <w:sz w:val="32"/>
          <w:szCs w:val="32"/>
          <w:highlight w:val="none"/>
          <w:lang w:eastAsia="zh-CN"/>
        </w:rPr>
        <w:t>项目，支出增加</w:t>
      </w:r>
      <w:r>
        <w:rPr>
          <w:rFonts w:hint="eastAsia" w:ascii="仿宋" w:hAnsi="仿宋" w:eastAsia="仿宋" w:cs="仿宋"/>
          <w:sz w:val="32"/>
          <w:szCs w:val="32"/>
          <w:highlight w:val="none"/>
        </w:rPr>
        <w:t>。</w:t>
      </w:r>
    </w:p>
    <w:p>
      <w:pPr>
        <w:pStyle w:val="5"/>
        <w:spacing w:before="93"/>
      </w:pPr>
    </w:p>
    <w:p>
      <w:pPr>
        <w:pStyle w:val="5"/>
        <w:spacing w:before="93"/>
        <w:rPr>
          <w:rFonts w:ascii="仿宋" w:hAnsi="仿宋" w:eastAsia="仿宋"/>
          <w:b/>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142875</wp:posOffset>
            </wp:positionH>
            <wp:positionV relativeFrom="paragraph">
              <wp:posOffset>57150</wp:posOffset>
            </wp:positionV>
            <wp:extent cx="5269865" cy="2285365"/>
            <wp:effectExtent l="4445" t="4445" r="21590"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Style w:val="22"/>
          <w:rFonts w:ascii="黑体" w:hAnsi="黑体" w:eastAsia="黑体"/>
          <w:b w:val="0"/>
        </w:rPr>
      </w:pPr>
      <w:bookmarkStart w:id="39" w:name="_Toc24340"/>
      <w:bookmarkStart w:id="40" w:name="_Toc15396607"/>
      <w:bookmarkStart w:id="41" w:name="_Toc15377209"/>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b w:val="0"/>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napToGrid w:val="0"/>
        <w:spacing w:line="520" w:lineRule="exact"/>
        <w:ind w:firstLine="640" w:firstLineChars="200"/>
        <w:rPr>
          <w:rFonts w:hint="eastAsia" w:ascii="仿宋_GB2312" w:hAnsi="仿宋" w:eastAsia="仿宋_GB2312"/>
          <w:sz w:val="32"/>
          <w:szCs w:val="32"/>
          <w:highlight w:val="none"/>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年一般公共预算财政拨款支出527.22万元，占本年支出合计的</w:t>
      </w:r>
      <w:r>
        <w:rPr>
          <w:rFonts w:hint="eastAsia" w:ascii="仿宋" w:hAnsi="仿宋" w:eastAsia="仿宋"/>
          <w:sz w:val="32"/>
          <w:szCs w:val="32"/>
          <w:lang w:val="en-US" w:eastAsia="zh-CN"/>
        </w:rPr>
        <w:t>98.87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增加</w:t>
      </w:r>
      <w:r>
        <w:rPr>
          <w:rFonts w:hint="eastAsia" w:ascii="仿宋" w:hAnsi="仿宋" w:eastAsia="仿宋" w:cs="仿宋"/>
          <w:sz w:val="32"/>
          <w:szCs w:val="32"/>
        </w:rPr>
        <w:t>270.64</w:t>
      </w:r>
      <w:r>
        <w:rPr>
          <w:rFonts w:hint="eastAsia" w:ascii="仿宋" w:hAnsi="仿宋" w:eastAsia="仿宋"/>
          <w:sz w:val="32"/>
          <w:szCs w:val="32"/>
        </w:rPr>
        <w:t>万元，</w:t>
      </w:r>
      <w:r>
        <w:rPr>
          <w:rFonts w:hint="eastAsia" w:ascii="仿宋" w:hAnsi="仿宋" w:eastAsia="仿宋" w:cs="仿宋"/>
          <w:sz w:val="32"/>
          <w:szCs w:val="32"/>
        </w:rPr>
        <w:t>增长</w:t>
      </w:r>
      <w:r>
        <w:rPr>
          <w:rFonts w:hint="eastAsia" w:ascii="仿宋" w:hAnsi="仿宋" w:eastAsia="仿宋" w:cs="仿宋"/>
          <w:sz w:val="32"/>
          <w:szCs w:val="32"/>
          <w:lang w:val="en-US" w:eastAsia="zh-CN"/>
        </w:rPr>
        <w:t>105.48</w:t>
      </w:r>
      <w:r>
        <w:rPr>
          <w:rFonts w:hint="eastAsia" w:ascii="仿宋" w:hAnsi="仿宋" w:eastAsia="仿宋" w:cs="仿宋"/>
          <w:sz w:val="32"/>
          <w:szCs w:val="32"/>
        </w:rPr>
        <w:t>%</w:t>
      </w:r>
      <w:r>
        <w:rPr>
          <w:rFonts w:hint="eastAsia" w:ascii="仿宋" w:hAnsi="仿宋" w:eastAsia="仿宋"/>
          <w:sz w:val="32"/>
          <w:szCs w:val="32"/>
        </w:rPr>
        <w:t>。</w:t>
      </w:r>
      <w:r>
        <w:rPr>
          <w:rFonts w:hint="eastAsia" w:ascii="仿宋_GB2312" w:hAnsi="仿宋" w:eastAsia="仿宋_GB2312"/>
          <w:sz w:val="32"/>
          <w:szCs w:val="32"/>
          <w:highlight w:val="none"/>
        </w:rPr>
        <w:t>主要原因为</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eastAsia="zh-CN"/>
        </w:rPr>
        <w:t>新增</w:t>
      </w:r>
      <w:r>
        <w:rPr>
          <w:rFonts w:hint="eastAsia" w:ascii="仿宋" w:hAnsi="仿宋" w:eastAsia="仿宋" w:cs="仿宋"/>
          <w:sz w:val="32"/>
          <w:szCs w:val="32"/>
          <w:highlight w:val="none"/>
        </w:rPr>
        <w:t>平安渡</w:t>
      </w:r>
      <w:r>
        <w:rPr>
          <w:rFonts w:hint="eastAsia" w:ascii="仿宋" w:hAnsi="仿宋" w:eastAsia="仿宋" w:cs="仿宋"/>
          <w:sz w:val="32"/>
          <w:szCs w:val="32"/>
          <w:highlight w:val="none"/>
          <w:lang w:eastAsia="zh-CN"/>
        </w:rPr>
        <w:t>运“五统一”和平安渡运</w:t>
      </w:r>
      <w:r>
        <w:rPr>
          <w:rFonts w:hint="eastAsia" w:ascii="仿宋" w:hAnsi="仿宋" w:eastAsia="仿宋" w:cs="仿宋"/>
          <w:sz w:val="32"/>
          <w:szCs w:val="32"/>
          <w:highlight w:val="none"/>
        </w:rPr>
        <w:t>停泊区</w:t>
      </w:r>
      <w:r>
        <w:rPr>
          <w:rFonts w:hint="eastAsia" w:ascii="仿宋" w:hAnsi="仿宋" w:eastAsia="仿宋" w:cs="仿宋"/>
          <w:sz w:val="32"/>
          <w:szCs w:val="32"/>
          <w:highlight w:val="none"/>
          <w:lang w:eastAsia="zh-CN"/>
        </w:rPr>
        <w:t>项目，支出增加</w:t>
      </w:r>
      <w:r>
        <w:rPr>
          <w:rFonts w:hint="eastAsia" w:ascii="仿宋" w:hAnsi="仿宋" w:eastAsia="仿宋" w:cs="仿宋"/>
          <w:sz w:val="32"/>
          <w:szCs w:val="32"/>
          <w:highlight w:val="none"/>
        </w:rPr>
        <w:t>。</w:t>
      </w:r>
    </w:p>
    <w:p>
      <w:pPr>
        <w:spacing w:line="600" w:lineRule="exact"/>
        <w:rPr>
          <w:rFonts w:ascii="仿宋" w:hAnsi="仿宋" w:eastAsia="仿宋"/>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126365</wp:posOffset>
            </wp:positionH>
            <wp:positionV relativeFrom="paragraph">
              <wp:posOffset>456565</wp:posOffset>
            </wp:positionV>
            <wp:extent cx="5270500" cy="2155190"/>
            <wp:effectExtent l="5080" t="4445" r="20320" b="1206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527.22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12.01</w:t>
      </w:r>
      <w:r>
        <w:rPr>
          <w:rFonts w:hint="eastAsia" w:ascii="仿宋" w:hAnsi="仿宋" w:eastAsia="仿宋"/>
          <w:sz w:val="32"/>
          <w:szCs w:val="32"/>
        </w:rPr>
        <w:t>万元，占</w:t>
      </w:r>
      <w:r>
        <w:rPr>
          <w:rFonts w:hint="eastAsia" w:ascii="仿宋" w:hAnsi="仿宋" w:eastAsia="仿宋"/>
          <w:sz w:val="32"/>
          <w:szCs w:val="32"/>
          <w:lang w:val="en-US" w:eastAsia="zh-CN"/>
        </w:rPr>
        <w:t>2.28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3.84</w:t>
      </w:r>
      <w:r>
        <w:rPr>
          <w:rFonts w:hint="eastAsia" w:ascii="仿宋" w:hAnsi="仿宋" w:eastAsia="仿宋"/>
          <w:sz w:val="32"/>
          <w:szCs w:val="32"/>
        </w:rPr>
        <w:t>万元，占</w:t>
      </w:r>
      <w:r>
        <w:rPr>
          <w:rFonts w:hint="eastAsia" w:ascii="仿宋" w:hAnsi="仿宋" w:eastAsia="仿宋"/>
          <w:sz w:val="32"/>
          <w:szCs w:val="32"/>
          <w:lang w:val="en-US" w:eastAsia="zh-CN"/>
        </w:rPr>
        <w:t>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交通运输支出</w:t>
      </w:r>
      <w:r>
        <w:rPr>
          <w:rFonts w:hint="eastAsia" w:ascii="仿宋" w:hAnsi="仿宋" w:eastAsia="仿宋"/>
          <w:sz w:val="32"/>
          <w:szCs w:val="32"/>
          <w:lang w:val="en-US" w:eastAsia="zh-CN"/>
        </w:rPr>
        <w:t>505.99</w:t>
      </w:r>
      <w:r>
        <w:rPr>
          <w:rFonts w:hint="eastAsia" w:ascii="仿宋" w:hAnsi="仿宋" w:eastAsia="仿宋"/>
          <w:sz w:val="32"/>
          <w:szCs w:val="32"/>
        </w:rPr>
        <w:t>万元，占</w:t>
      </w:r>
      <w:r>
        <w:rPr>
          <w:rFonts w:hint="eastAsia" w:ascii="仿宋" w:hAnsi="仿宋" w:eastAsia="仿宋"/>
          <w:sz w:val="32"/>
          <w:szCs w:val="32"/>
          <w:lang w:val="en-US" w:eastAsia="zh-CN"/>
        </w:rPr>
        <w:t>95.97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5.38</w:t>
      </w:r>
      <w:r>
        <w:rPr>
          <w:rFonts w:hint="eastAsia" w:ascii="仿宋" w:hAnsi="仿宋" w:eastAsia="仿宋"/>
          <w:sz w:val="32"/>
          <w:szCs w:val="32"/>
        </w:rPr>
        <w:t>万元，占</w:t>
      </w:r>
      <w:r>
        <w:rPr>
          <w:rFonts w:hint="eastAsia" w:ascii="仿宋" w:hAnsi="仿宋" w:eastAsia="仿宋"/>
          <w:sz w:val="32"/>
          <w:szCs w:val="32"/>
          <w:lang w:val="en-US" w:eastAsia="zh-CN"/>
        </w:rPr>
        <w:t>1.02</w:t>
      </w:r>
      <w:r>
        <w:rPr>
          <w:rFonts w:ascii="仿宋" w:hAnsi="仿宋" w:eastAsia="仿宋"/>
          <w:sz w:val="32"/>
          <w:szCs w:val="32"/>
        </w:rPr>
        <w:t>%</w:t>
      </w:r>
      <w:r>
        <w:rPr>
          <w:rFonts w:hint="eastAsia" w:ascii="仿宋" w:hAnsi="仿宋" w:eastAsia="仿宋"/>
          <w:sz w:val="32"/>
          <w:szCs w:val="32"/>
        </w:rPr>
        <w:t>。</w:t>
      </w:r>
    </w:p>
    <w:p>
      <w:pPr>
        <w:pStyle w:val="5"/>
        <w:spacing w:before="93"/>
        <w:rPr>
          <w:rFonts w:ascii="仿宋" w:hAnsi="仿宋" w:eastAsia="仿宋"/>
          <w:sz w:val="32"/>
          <w:szCs w:val="32"/>
        </w:rPr>
      </w:pPr>
    </w:p>
    <w:p>
      <w:pPr>
        <w:pStyle w:val="5"/>
        <w:spacing w:before="93"/>
        <w:rPr>
          <w:rFonts w:ascii="仿宋" w:hAnsi="仿宋" w:eastAsia="仿宋"/>
          <w:b/>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102235</wp:posOffset>
            </wp:positionH>
            <wp:positionV relativeFrom="paragraph">
              <wp:posOffset>43180</wp:posOffset>
            </wp:positionV>
            <wp:extent cx="5241290" cy="2782570"/>
            <wp:effectExtent l="4445" t="4445" r="12065" b="1333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44"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44"/>
    </w:p>
    <w:p>
      <w:pPr>
        <w:spacing w:line="600" w:lineRule="exact"/>
        <w:ind w:firstLine="643" w:firstLineChars="200"/>
        <w:outlineLvl w:val="1"/>
        <w:rPr>
          <w:rFonts w:ascii="仿宋" w:hAnsi="仿宋" w:eastAsia="仿宋"/>
          <w:sz w:val="32"/>
          <w:szCs w:val="32"/>
        </w:rPr>
      </w:pPr>
      <w:bookmarkStart w:id="45" w:name="_Toc15377213"/>
      <w:bookmarkStart w:id="46" w:name="_Toc15378460"/>
      <w:bookmarkStart w:id="47" w:name="_Toc15377444"/>
      <w:bookmarkStart w:id="48" w:name="_Toc32337"/>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527.22</w:t>
      </w:r>
      <w:r>
        <w:rPr>
          <w:rFonts w:hint="eastAsia" w:ascii="仿宋" w:hAnsi="仿宋" w:eastAsia="仿宋"/>
          <w:b/>
          <w:sz w:val="32"/>
          <w:szCs w:val="32"/>
        </w:rPr>
        <w:t>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45"/>
      <w:bookmarkEnd w:id="46"/>
      <w:bookmarkEnd w:id="47"/>
      <w:bookmarkEnd w:id="48"/>
    </w:p>
    <w:p>
      <w:pPr>
        <w:numPr>
          <w:ilvl w:val="0"/>
          <w:numId w:val="3"/>
        </w:numPr>
        <w:spacing w:line="600" w:lineRule="exact"/>
        <w:ind w:left="0" w:leftChars="0" w:firstLine="403" w:firstLineChars="0"/>
        <w:rPr>
          <w:rStyle w:val="17"/>
          <w:rFonts w:hint="eastAsia" w:ascii="仿宋" w:hAnsi="仿宋" w:eastAsia="仿宋"/>
          <w:b w:val="0"/>
          <w:bCs/>
          <w:color w:val="auto"/>
          <w:sz w:val="32"/>
          <w:szCs w:val="32"/>
          <w:highlight w:val="none"/>
        </w:rPr>
      </w:pPr>
      <w:r>
        <w:rPr>
          <w:rStyle w:val="17"/>
          <w:rFonts w:hint="eastAsia" w:ascii="仿宋" w:hAnsi="仿宋" w:eastAsia="仿宋"/>
          <w:bCs/>
          <w:sz w:val="32"/>
          <w:szCs w:val="32"/>
        </w:rPr>
        <w:t>社会保障和就业支出（208）行政事业单位养老支出（05）  机关事业单位基本养老保险缴费支出项（05）</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6.31</w:t>
      </w:r>
      <w:r>
        <w:rPr>
          <w:rStyle w:val="17"/>
          <w:rFonts w:hint="eastAsia" w:ascii="仿宋" w:hAnsi="仿宋" w:eastAsia="仿宋"/>
          <w:b w:val="0"/>
          <w:bCs/>
          <w:sz w:val="32"/>
          <w:szCs w:val="32"/>
        </w:rPr>
        <w:t>万元，完成预算100%，决算数与预算数</w:t>
      </w:r>
      <w:r>
        <w:rPr>
          <w:rStyle w:val="17"/>
          <w:rFonts w:hint="eastAsia" w:ascii="仿宋" w:hAnsi="仿宋" w:eastAsia="仿宋"/>
          <w:b w:val="0"/>
          <w:bCs/>
          <w:sz w:val="32"/>
          <w:szCs w:val="32"/>
          <w:lang w:eastAsia="zh-CN"/>
        </w:rPr>
        <w:t>持平</w:t>
      </w:r>
      <w:r>
        <w:rPr>
          <w:rStyle w:val="17"/>
          <w:rFonts w:hint="eastAsia" w:ascii="仿宋" w:hAnsi="仿宋" w:eastAsia="仿宋"/>
          <w:b w:val="0"/>
          <w:bCs/>
          <w:sz w:val="32"/>
          <w:szCs w:val="32"/>
        </w:rPr>
        <w:t>。</w:t>
      </w:r>
    </w:p>
    <w:p>
      <w:pPr>
        <w:numPr>
          <w:ilvl w:val="0"/>
          <w:numId w:val="3"/>
        </w:numPr>
        <w:spacing w:line="600" w:lineRule="exact"/>
        <w:ind w:left="0" w:leftChars="0" w:firstLine="403" w:firstLineChars="0"/>
      </w:pPr>
      <w:r>
        <w:rPr>
          <w:rStyle w:val="17"/>
          <w:rFonts w:hint="eastAsia" w:ascii="仿宋" w:hAnsi="仿宋" w:eastAsia="仿宋"/>
          <w:bCs/>
          <w:sz w:val="32"/>
          <w:szCs w:val="32"/>
        </w:rPr>
        <w:t>社会保障和就业支出（208）行政事业单位养老支出（05）机关事业单位职业年金缴费支出（0</w:t>
      </w:r>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w:t>
      </w:r>
      <w:r>
        <w:rPr>
          <w:rStyle w:val="17"/>
          <w:rFonts w:hint="eastAsia" w:ascii="仿宋" w:hAnsi="仿宋" w:eastAsia="仿宋"/>
          <w:b w:val="0"/>
          <w:bCs/>
          <w:color w:val="auto"/>
          <w:sz w:val="32"/>
          <w:szCs w:val="32"/>
          <w:highlight w:val="none"/>
        </w:rPr>
        <w:t>支出决算为5.14万元，完成预算100%，决算数与预算数</w:t>
      </w:r>
      <w:r>
        <w:rPr>
          <w:rStyle w:val="17"/>
          <w:rFonts w:hint="eastAsia" w:ascii="仿宋" w:hAnsi="仿宋" w:eastAsia="仿宋"/>
          <w:b w:val="0"/>
          <w:bCs/>
          <w:color w:val="auto"/>
          <w:sz w:val="32"/>
          <w:szCs w:val="32"/>
          <w:highlight w:val="none"/>
          <w:lang w:eastAsia="zh-CN"/>
        </w:rPr>
        <w:t>持平</w:t>
      </w:r>
      <w:r>
        <w:rPr>
          <w:rStyle w:val="17"/>
          <w:rFonts w:hint="eastAsia" w:ascii="仿宋" w:hAnsi="仿宋" w:eastAsia="仿宋"/>
          <w:b w:val="0"/>
          <w:bCs/>
          <w:color w:val="auto"/>
          <w:sz w:val="32"/>
          <w:szCs w:val="32"/>
          <w:highlight w:val="none"/>
        </w:rPr>
        <w:t>。</w:t>
      </w:r>
    </w:p>
    <w:p>
      <w:pPr>
        <w:numPr>
          <w:ilvl w:val="0"/>
          <w:numId w:val="3"/>
        </w:numPr>
        <w:spacing w:line="600" w:lineRule="exact"/>
        <w:ind w:left="0" w:leftChars="0" w:firstLine="403" w:firstLineChars="0"/>
        <w:rPr>
          <w:rStyle w:val="17"/>
          <w:rFonts w:ascii="仿宋" w:hAnsi="仿宋" w:eastAsia="仿宋"/>
          <w:b w:val="0"/>
          <w:bCs/>
          <w:sz w:val="32"/>
          <w:szCs w:val="32"/>
        </w:rPr>
      </w:pPr>
      <w:r>
        <w:rPr>
          <w:rStyle w:val="17"/>
          <w:rFonts w:hint="eastAsia" w:ascii="仿宋" w:hAnsi="仿宋" w:eastAsia="仿宋"/>
          <w:bCs/>
          <w:sz w:val="32"/>
          <w:szCs w:val="32"/>
        </w:rPr>
        <w:t>社会保障和就业支出（208）残疾人事业（11）  残疾人就业（05）</w:t>
      </w:r>
      <w:r>
        <w:rPr>
          <w:rStyle w:val="17"/>
          <w:rFonts w:hint="eastAsia" w:ascii="仿宋" w:hAnsi="仿宋" w:eastAsia="仿宋"/>
          <w:bCs/>
          <w:sz w:val="32"/>
          <w:szCs w:val="32"/>
          <w:lang w:eastAsia="zh-CN"/>
        </w:rPr>
        <w:t>：</w:t>
      </w:r>
      <w:r>
        <w:rPr>
          <w:rStyle w:val="17"/>
          <w:rFonts w:hint="eastAsia" w:ascii="仿宋" w:hAnsi="仿宋" w:eastAsia="仿宋"/>
          <w:bCs/>
          <w:sz w:val="32"/>
          <w:szCs w:val="32"/>
        </w:rPr>
        <w:t xml:space="preserve"> </w:t>
      </w:r>
      <w:r>
        <w:rPr>
          <w:rStyle w:val="17"/>
          <w:rFonts w:hint="eastAsia" w:ascii="仿宋" w:hAnsi="仿宋" w:eastAsia="仿宋"/>
          <w:b w:val="0"/>
          <w:bCs/>
          <w:sz w:val="32"/>
          <w:szCs w:val="32"/>
        </w:rPr>
        <w:t>支出决算为0.47万元，完成预算100%，决算数与预算数</w:t>
      </w:r>
      <w:r>
        <w:rPr>
          <w:rStyle w:val="17"/>
          <w:rFonts w:hint="eastAsia" w:ascii="仿宋" w:hAnsi="仿宋" w:eastAsia="仿宋"/>
          <w:b w:val="0"/>
          <w:bCs/>
          <w:sz w:val="32"/>
          <w:szCs w:val="32"/>
          <w:lang w:eastAsia="zh-CN"/>
        </w:rPr>
        <w:t>持平</w:t>
      </w:r>
      <w:r>
        <w:rPr>
          <w:rStyle w:val="17"/>
          <w:rFonts w:hint="eastAsia" w:ascii="仿宋" w:hAnsi="仿宋" w:eastAsia="仿宋"/>
          <w:b w:val="0"/>
          <w:bCs/>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社会保障和就业支出（208）其他社会保障和就业支出（99）其他社会保障和就业支出（99）</w:t>
      </w:r>
      <w:r>
        <w:rPr>
          <w:rStyle w:val="17"/>
          <w:rFonts w:hint="eastAsia" w:ascii="仿宋" w:hAnsi="仿宋" w:eastAsia="仿宋"/>
          <w:bCs/>
          <w:sz w:val="32"/>
          <w:szCs w:val="32"/>
          <w:lang w:eastAsia="zh-CN"/>
        </w:rPr>
        <w:t>：</w:t>
      </w:r>
      <w:r>
        <w:rPr>
          <w:rStyle w:val="17"/>
          <w:rFonts w:hint="eastAsia" w:ascii="仿宋" w:hAnsi="仿宋" w:eastAsia="仿宋"/>
          <w:b w:val="0"/>
          <w:bCs/>
          <w:color w:val="000000"/>
          <w:sz w:val="32"/>
          <w:szCs w:val="32"/>
        </w:rPr>
        <w:t>支出决算为0.09万元，完成预算100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卫生健康支出（210）行政事业单位医疗（11）行政单位医疗（01）</w:t>
      </w:r>
      <w:r>
        <w:rPr>
          <w:rStyle w:val="17"/>
          <w:rFonts w:hint="eastAsia" w:ascii="仿宋" w:hAnsi="仿宋" w:eastAsia="仿宋"/>
          <w:bCs/>
          <w:sz w:val="32"/>
          <w:szCs w:val="32"/>
          <w:lang w:eastAsia="zh-CN"/>
        </w:rPr>
        <w:t>：</w:t>
      </w:r>
      <w:r>
        <w:rPr>
          <w:rStyle w:val="17"/>
          <w:rFonts w:hint="eastAsia" w:ascii="仿宋" w:hAnsi="仿宋" w:eastAsia="仿宋"/>
          <w:b w:val="0"/>
          <w:bCs/>
          <w:color w:val="000000"/>
          <w:sz w:val="32"/>
          <w:szCs w:val="32"/>
        </w:rPr>
        <w:t>支出决算为2.03万元，</w:t>
      </w:r>
      <w:r>
        <w:rPr>
          <w:rStyle w:val="17"/>
          <w:rFonts w:hint="eastAsia" w:ascii="仿宋" w:hAnsi="仿宋" w:eastAsia="仿宋"/>
          <w:b w:val="0"/>
          <w:bCs/>
          <w:color w:val="000000"/>
          <w:sz w:val="32"/>
          <w:szCs w:val="32"/>
          <w:lang w:eastAsia="zh-CN"/>
        </w:rPr>
        <w:t>完成</w:t>
      </w:r>
      <w:r>
        <w:rPr>
          <w:rStyle w:val="17"/>
          <w:rFonts w:hint="eastAsia" w:ascii="仿宋" w:hAnsi="仿宋" w:eastAsia="仿宋"/>
          <w:b w:val="0"/>
          <w:bCs/>
          <w:color w:val="000000"/>
          <w:sz w:val="32"/>
          <w:szCs w:val="32"/>
        </w:rPr>
        <w:t>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卫生健康支出（210）行政事业单位医疗（11） 公务员医疗补助（03）</w:t>
      </w:r>
      <w:r>
        <w:rPr>
          <w:rStyle w:val="17"/>
          <w:rFonts w:hint="eastAsia" w:ascii="仿宋" w:hAnsi="仿宋" w:eastAsia="仿宋"/>
          <w:bCs/>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1.81</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交通运输支出（214）公路水路运输（01）  行政运行（01）：</w:t>
      </w:r>
      <w:r>
        <w:rPr>
          <w:rStyle w:val="17"/>
          <w:rFonts w:hint="eastAsia" w:ascii="仿宋" w:hAnsi="仿宋" w:eastAsia="仿宋"/>
          <w:b w:val="0"/>
          <w:bCs/>
          <w:color w:val="000000"/>
          <w:sz w:val="32"/>
          <w:szCs w:val="32"/>
        </w:rPr>
        <w:t>支出决算为88.36万元，完成预算100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Style w:val="17"/>
          <w:rFonts w:ascii="仿宋" w:hAnsi="仿宋" w:eastAsia="仿宋"/>
          <w:b w:val="0"/>
          <w:bCs/>
          <w:color w:val="000000"/>
          <w:sz w:val="32"/>
          <w:szCs w:val="32"/>
        </w:rPr>
      </w:pPr>
      <w:r>
        <w:rPr>
          <w:rStyle w:val="17"/>
          <w:rFonts w:hint="eastAsia" w:ascii="仿宋" w:hAnsi="仿宋" w:eastAsia="仿宋"/>
          <w:bCs/>
          <w:sz w:val="32"/>
          <w:szCs w:val="32"/>
        </w:rPr>
        <w:t>交通运输支出（214）公路水路运输（01） 一般行政管理事务（02）：</w:t>
      </w:r>
      <w:r>
        <w:rPr>
          <w:rStyle w:val="17"/>
          <w:rFonts w:hint="eastAsia" w:ascii="仿宋" w:hAnsi="仿宋" w:eastAsia="仿宋"/>
          <w:b w:val="0"/>
          <w:bCs/>
          <w:color w:val="000000"/>
          <w:sz w:val="32"/>
          <w:szCs w:val="32"/>
        </w:rPr>
        <w:t>支出决算为385.22万元，完成预算100%，决算数与预算数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Style w:val="17"/>
          <w:rFonts w:ascii="仿宋" w:hAnsi="仿宋" w:eastAsia="仿宋"/>
          <w:b w:val="0"/>
          <w:bCs/>
          <w:color w:val="000000"/>
          <w:sz w:val="32"/>
          <w:szCs w:val="32"/>
        </w:rPr>
      </w:pPr>
      <w:r>
        <w:rPr>
          <w:rStyle w:val="17"/>
          <w:rFonts w:hint="eastAsia" w:ascii="仿宋" w:hAnsi="仿宋" w:eastAsia="仿宋"/>
          <w:bCs/>
          <w:sz w:val="32"/>
          <w:szCs w:val="32"/>
        </w:rPr>
        <w:t>交通运输支出（214）公路水路运输（01） 航道维护（23）：</w:t>
      </w:r>
      <w:r>
        <w:rPr>
          <w:rStyle w:val="17"/>
          <w:rFonts w:hint="eastAsia" w:ascii="仿宋" w:hAnsi="仿宋" w:eastAsia="仿宋"/>
          <w:b w:val="0"/>
          <w:bCs/>
          <w:color w:val="000000"/>
          <w:sz w:val="32"/>
          <w:szCs w:val="32"/>
        </w:rPr>
        <w:t>支出决算为2.00万元，完成预算100%，决算数与预算数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Style w:val="17"/>
          <w:rFonts w:ascii="仿宋" w:hAnsi="仿宋" w:eastAsia="仿宋"/>
          <w:b w:val="0"/>
          <w:bCs/>
          <w:color w:val="000000"/>
          <w:sz w:val="32"/>
          <w:szCs w:val="32"/>
        </w:rPr>
      </w:pPr>
      <w:r>
        <w:rPr>
          <w:rStyle w:val="17"/>
          <w:rFonts w:hint="eastAsia" w:ascii="仿宋" w:hAnsi="仿宋" w:eastAsia="仿宋"/>
          <w:bCs/>
          <w:sz w:val="32"/>
          <w:szCs w:val="32"/>
        </w:rPr>
        <w:t>交通运输支出（214）公路水路运输（01） 船舶检验（27）：</w:t>
      </w:r>
      <w:r>
        <w:rPr>
          <w:rStyle w:val="17"/>
          <w:rFonts w:hint="eastAsia" w:ascii="仿宋" w:hAnsi="仿宋" w:eastAsia="仿宋"/>
          <w:b w:val="0"/>
          <w:bCs/>
          <w:color w:val="000000"/>
          <w:sz w:val="32"/>
          <w:szCs w:val="32"/>
        </w:rPr>
        <w:t>支出决算为5.00万元，完成预算100%，决算数与预算数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交通运输支出（214）公路水路运输（01）  海事管理（31）：</w:t>
      </w:r>
      <w:r>
        <w:rPr>
          <w:rStyle w:val="17"/>
          <w:rFonts w:hint="eastAsia" w:ascii="仿宋" w:hAnsi="仿宋" w:eastAsia="仿宋"/>
          <w:b w:val="0"/>
          <w:bCs/>
          <w:color w:val="000000"/>
          <w:sz w:val="32"/>
          <w:szCs w:val="32"/>
        </w:rPr>
        <w:t>支出决算为5.2</w:t>
      </w:r>
      <w:r>
        <w:rPr>
          <w:rStyle w:val="17"/>
          <w:rFonts w:hint="eastAsia" w:ascii="仿宋" w:hAnsi="仿宋" w:eastAsia="仿宋"/>
          <w:b w:val="0"/>
          <w:bCs/>
          <w:color w:val="000000"/>
          <w:sz w:val="32"/>
          <w:szCs w:val="32"/>
          <w:lang w:val="en-US" w:eastAsia="zh-CN"/>
        </w:rPr>
        <w:t>6</w:t>
      </w:r>
      <w:r>
        <w:rPr>
          <w:rStyle w:val="17"/>
          <w:rFonts w:hint="eastAsia" w:ascii="仿宋" w:hAnsi="仿宋" w:eastAsia="仿宋"/>
          <w:b w:val="0"/>
          <w:bCs/>
          <w:color w:val="000000"/>
          <w:sz w:val="32"/>
          <w:szCs w:val="32"/>
        </w:rPr>
        <w:t>万元，</w:t>
      </w:r>
      <w:r>
        <w:rPr>
          <w:rStyle w:val="17"/>
          <w:rFonts w:hint="eastAsia" w:ascii="仿宋" w:hAnsi="仿宋" w:eastAsia="仿宋"/>
          <w:b w:val="0"/>
          <w:bCs/>
          <w:color w:val="000000"/>
          <w:sz w:val="32"/>
          <w:szCs w:val="32"/>
          <w:lang w:eastAsia="zh-CN"/>
        </w:rPr>
        <w:t>完成</w:t>
      </w:r>
      <w:r>
        <w:rPr>
          <w:rStyle w:val="17"/>
          <w:rFonts w:hint="eastAsia" w:ascii="仿宋" w:hAnsi="仿宋" w:eastAsia="仿宋"/>
          <w:b w:val="0"/>
          <w:bCs/>
          <w:color w:val="000000"/>
          <w:sz w:val="32"/>
          <w:szCs w:val="32"/>
        </w:rPr>
        <w:t>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Style w:val="17"/>
          <w:rFonts w:ascii="仿宋" w:hAnsi="仿宋" w:eastAsia="仿宋"/>
          <w:b w:val="0"/>
          <w:bCs/>
          <w:color w:val="000000"/>
          <w:sz w:val="32"/>
          <w:szCs w:val="32"/>
        </w:rPr>
      </w:pPr>
      <w:r>
        <w:rPr>
          <w:rStyle w:val="17"/>
          <w:rFonts w:hint="eastAsia" w:ascii="仿宋" w:hAnsi="仿宋" w:eastAsia="仿宋"/>
          <w:bCs/>
          <w:sz w:val="32"/>
          <w:szCs w:val="32"/>
        </w:rPr>
        <w:t>交通运输支出（214）公路水路运输（01）其他公路水路运输支出（99）：</w:t>
      </w:r>
      <w:r>
        <w:rPr>
          <w:rStyle w:val="17"/>
          <w:rFonts w:hint="eastAsia" w:ascii="仿宋" w:hAnsi="仿宋" w:eastAsia="仿宋"/>
          <w:b w:val="0"/>
          <w:bCs/>
          <w:color w:val="000000"/>
          <w:sz w:val="32"/>
          <w:szCs w:val="32"/>
        </w:rPr>
        <w:t>支出决算为12.24万元，</w:t>
      </w:r>
      <w:r>
        <w:rPr>
          <w:rStyle w:val="17"/>
          <w:rFonts w:hint="eastAsia" w:ascii="仿宋" w:hAnsi="仿宋" w:eastAsia="仿宋"/>
          <w:b w:val="0"/>
          <w:bCs/>
          <w:color w:val="000000"/>
          <w:sz w:val="32"/>
          <w:szCs w:val="32"/>
          <w:lang w:eastAsia="zh-CN"/>
        </w:rPr>
        <w:t>完成</w:t>
      </w:r>
      <w:r>
        <w:rPr>
          <w:rStyle w:val="17"/>
          <w:rFonts w:hint="eastAsia" w:ascii="仿宋" w:hAnsi="仿宋" w:eastAsia="仿宋"/>
          <w:b w:val="0"/>
          <w:bCs/>
          <w:color w:val="000000"/>
          <w:sz w:val="32"/>
          <w:szCs w:val="32"/>
        </w:rPr>
        <w:t>预算100%，决算数与预算数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交通运输支出（214）其他交通运输支出（99）  其他交通运输支出（99）：</w:t>
      </w:r>
      <w:r>
        <w:rPr>
          <w:rStyle w:val="17"/>
          <w:rFonts w:hint="eastAsia" w:ascii="仿宋" w:hAnsi="仿宋" w:eastAsia="仿宋"/>
          <w:b w:val="0"/>
          <w:bCs/>
          <w:color w:val="000000"/>
          <w:sz w:val="32"/>
          <w:szCs w:val="32"/>
        </w:rPr>
        <w:t>支出决算为7.91万元，完成预算100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3"/>
        </w:numPr>
        <w:spacing w:line="600" w:lineRule="exact"/>
        <w:ind w:left="0" w:leftChars="0" w:firstLine="403" w:firstLineChars="0"/>
        <w:rPr>
          <w:rFonts w:ascii="仿宋" w:hAnsi="仿宋" w:eastAsia="仿宋"/>
          <w:bCs/>
          <w:color w:val="000000"/>
          <w:sz w:val="32"/>
          <w:szCs w:val="32"/>
        </w:rPr>
      </w:pPr>
      <w:r>
        <w:rPr>
          <w:rStyle w:val="17"/>
          <w:rFonts w:hint="eastAsia" w:ascii="仿宋" w:hAnsi="仿宋" w:eastAsia="仿宋"/>
          <w:bCs/>
          <w:sz w:val="32"/>
          <w:szCs w:val="32"/>
        </w:rPr>
        <w:t>住房保障支出（221）住房改革支出（02） 住房公积金（01）：</w:t>
      </w:r>
      <w:r>
        <w:rPr>
          <w:rStyle w:val="17"/>
          <w:rFonts w:hint="eastAsia" w:ascii="仿宋" w:hAnsi="仿宋" w:eastAsia="仿宋"/>
          <w:b w:val="0"/>
          <w:bCs/>
          <w:color w:val="000000"/>
          <w:sz w:val="32"/>
          <w:szCs w:val="32"/>
        </w:rPr>
        <w:t>支出决算为5.38万元，完成预算100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spacing w:line="600" w:lineRule="exact"/>
        <w:rPr>
          <w:rFonts w:ascii="仿宋" w:hAnsi="仿宋" w:eastAsia="仿宋"/>
          <w:b/>
          <w:sz w:val="32"/>
          <w:szCs w:val="32"/>
        </w:rPr>
      </w:pPr>
    </w:p>
    <w:p>
      <w:pPr>
        <w:tabs>
          <w:tab w:val="right" w:pos="8306"/>
        </w:tabs>
        <w:spacing w:line="600" w:lineRule="exact"/>
        <w:ind w:firstLine="640"/>
        <w:outlineLvl w:val="1"/>
        <w:rPr>
          <w:rStyle w:val="22"/>
        </w:rPr>
      </w:pPr>
      <w:bookmarkStart w:id="49" w:name="_Toc15396608"/>
      <w:bookmarkStart w:id="50" w:name="_Toc2273"/>
      <w:bookmarkStart w:id="5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2"/>
          <w:rFonts w:hint="eastAsia" w:ascii="黑体" w:hAnsi="黑体" w:eastAsia="黑体"/>
          <w:b w:val="0"/>
        </w:rPr>
        <w:t>般公共预算财政拨款基本支出决算情况说明</w:t>
      </w:r>
      <w:bookmarkEnd w:id="49"/>
      <w:bookmarkEnd w:id="50"/>
      <w:bookmarkEnd w:id="51"/>
      <w:r>
        <w:rPr>
          <w:rStyle w:val="2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126.28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人员经费109.26万元，主要包括：基本工资、津贴补贴、奖金、机关事业单位基本养老保险缴费、职业年金缴费</w:t>
      </w:r>
      <w:r>
        <w:rPr>
          <w:rFonts w:hint="eastAsia" w:ascii="仿宋" w:hAnsi="仿宋" w:eastAsia="仿宋"/>
          <w:sz w:val="32"/>
          <w:szCs w:val="32"/>
          <w:lang w:eastAsia="zh-CN"/>
        </w:rPr>
        <w:t>、</w:t>
      </w:r>
      <w:r>
        <w:rPr>
          <w:rFonts w:hint="eastAsia" w:ascii="仿宋" w:hAnsi="仿宋" w:eastAsia="仿宋"/>
          <w:sz w:val="32"/>
          <w:szCs w:val="32"/>
        </w:rPr>
        <w:t>职工基本医疗保险缴费、公务员医疗补助缴费、其他社会保障缴费、住房公积金、其他工资福利支出、其他对个人和家庭的补助支出。</w:t>
      </w:r>
      <w:r>
        <w:rPr>
          <w:rFonts w:ascii="仿宋" w:hAnsi="仿宋" w:eastAsia="仿宋"/>
          <w:sz w:val="32"/>
          <w:szCs w:val="32"/>
        </w:rPr>
        <w:br w:type="textWrapping"/>
      </w:r>
      <w:r>
        <w:rPr>
          <w:rFonts w:hint="eastAsia" w:ascii="仿宋" w:hAnsi="仿宋" w:eastAsia="仿宋"/>
          <w:sz w:val="32"/>
          <w:szCs w:val="32"/>
        </w:rPr>
        <w:t>　　公用经费17.02万元，主要包括：办公费、印刷费</w:t>
      </w:r>
      <w:r>
        <w:rPr>
          <w:rFonts w:hint="eastAsia" w:ascii="仿宋" w:hAnsi="仿宋" w:eastAsia="仿宋"/>
          <w:sz w:val="32"/>
          <w:szCs w:val="32"/>
          <w:lang w:eastAsia="zh-CN"/>
        </w:rPr>
        <w:t>、</w:t>
      </w:r>
      <w:r>
        <w:rPr>
          <w:rFonts w:hint="eastAsia" w:ascii="仿宋" w:hAnsi="仿宋" w:eastAsia="仿宋"/>
          <w:sz w:val="32"/>
          <w:szCs w:val="32"/>
        </w:rPr>
        <w:t>水费、电费、邮电费、差旅费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rPr>
        <w:t>培训费、劳务费、福利费、公务用车运行维护费、其他交通费、其他商品和服务支出。</w:t>
      </w:r>
    </w:p>
    <w:p>
      <w:pPr>
        <w:spacing w:line="600" w:lineRule="exact"/>
        <w:ind w:firstLine="640"/>
        <w:rPr>
          <w:rFonts w:ascii="仿宋" w:hAnsi="仿宋" w:eastAsia="仿宋"/>
          <w:b/>
          <w:sz w:val="32"/>
          <w:szCs w:val="32"/>
        </w:rPr>
      </w:pPr>
    </w:p>
    <w:p>
      <w:pPr>
        <w:spacing w:line="600" w:lineRule="exact"/>
        <w:ind w:firstLine="640"/>
        <w:outlineLvl w:val="1"/>
        <w:rPr>
          <w:rStyle w:val="22"/>
          <w:rFonts w:ascii="黑体" w:hAnsi="黑体" w:eastAsia="黑体"/>
          <w:b w:val="0"/>
        </w:rPr>
      </w:pPr>
      <w:bookmarkStart w:id="52" w:name="_Toc31943"/>
      <w:bookmarkStart w:id="53" w:name="_Toc15396609"/>
      <w:bookmarkStart w:id="54" w:name="_Toc15377215"/>
      <w:r>
        <w:rPr>
          <w:rFonts w:hint="eastAsia" w:ascii="黑体" w:eastAsia="黑体"/>
          <w:sz w:val="32"/>
          <w:szCs w:val="32"/>
        </w:rPr>
        <w:t>七、</w:t>
      </w:r>
      <w:r>
        <w:rPr>
          <w:rStyle w:val="22"/>
          <w:rFonts w:hint="eastAsia" w:ascii="黑体" w:hAnsi="黑体" w:eastAsia="黑体"/>
          <w:b w:val="0"/>
        </w:rPr>
        <w:t>财政拨款</w:t>
      </w:r>
      <w:r>
        <w:rPr>
          <w:rStyle w:val="22"/>
          <w:rFonts w:hint="eastAsia" w:ascii="黑体" w:hAnsi="黑体" w:eastAsia="黑体"/>
        </w:rPr>
        <w:t>“</w:t>
      </w:r>
      <w:r>
        <w:rPr>
          <w:rStyle w:val="22"/>
          <w:rFonts w:hint="eastAsia" w:ascii="黑体" w:hAnsi="黑体" w:eastAsia="黑体"/>
          <w:b w:val="0"/>
        </w:rPr>
        <w:t>三公”经费支出决算情况说明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年“三公”经费财政拨款支出决算为0.8万元，完成预算100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与</w:t>
      </w:r>
      <w:r>
        <w:rPr>
          <w:rFonts w:hint="eastAsia" w:ascii="仿宋" w:hAnsi="仿宋" w:eastAsia="仿宋"/>
          <w:sz w:val="32"/>
          <w:szCs w:val="32"/>
          <w:lang w:val="en-US" w:eastAsia="zh-CN"/>
        </w:rPr>
        <w:t>2022年</w:t>
      </w:r>
      <w:r>
        <w:rPr>
          <w:rFonts w:hint="eastAsia" w:ascii="仿宋" w:hAnsi="仿宋" w:eastAsia="仿宋"/>
          <w:sz w:val="32"/>
          <w:szCs w:val="32"/>
          <w:lang w:eastAsia="zh-CN"/>
        </w:rPr>
        <w:t>保持一致</w:t>
      </w:r>
      <w:r>
        <w:rPr>
          <w:rFonts w:hint="eastAsia" w:ascii="仿宋" w:hAnsi="仿宋" w:eastAsia="仿宋"/>
          <w:sz w:val="32"/>
          <w:szCs w:val="32"/>
        </w:rPr>
        <w:t>。决算数与预算数</w:t>
      </w:r>
      <w:r>
        <w:rPr>
          <w:rFonts w:hint="eastAsia" w:ascii="仿宋" w:hAnsi="仿宋" w:eastAsia="仿宋"/>
          <w:sz w:val="32"/>
          <w:szCs w:val="32"/>
          <w:lang w:eastAsia="zh-CN"/>
        </w:rPr>
        <w:t>持平</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；公务用车购置及运行维护费支出决算0.8万元，占100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pStyle w:val="5"/>
        <w:spacing w:before="93"/>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54610</wp:posOffset>
            </wp:positionH>
            <wp:positionV relativeFrom="paragraph">
              <wp:posOffset>292100</wp:posOffset>
            </wp:positionV>
            <wp:extent cx="5080000" cy="2380615"/>
            <wp:effectExtent l="5080" t="4445" r="20320" b="1524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3" w:firstLineChars="200"/>
        <w:rPr>
          <w:rFonts w:ascii="仿宋_GB2312" w:eastAsia="仿宋_GB2312"/>
          <w:b/>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年未安排因公出国（境）经费支出</w:t>
      </w:r>
      <w:r>
        <w:rPr>
          <w:rFonts w:hint="eastAsia" w:ascii="仿宋_GB2312" w:eastAsia="仿宋_GB2312"/>
          <w:b/>
          <w:color w:val="000000"/>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0.8万元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保持一致</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月底，单位共有公务用车1辆，其中：轿车1辆、越野车0辆、载客汽车0辆。</w:t>
      </w:r>
    </w:p>
    <w:p>
      <w:pPr>
        <w:spacing w:line="600" w:lineRule="exact"/>
        <w:ind w:firstLine="640"/>
        <w:rPr>
          <w:rFonts w:ascii="仿宋" w:hAnsi="仿宋" w:eastAsia="仿宋"/>
          <w:color w:val="auto"/>
          <w:sz w:val="32"/>
          <w:szCs w:val="32"/>
          <w:highlight w:val="none"/>
        </w:rPr>
      </w:pPr>
      <w:r>
        <w:rPr>
          <w:rFonts w:hint="eastAsia" w:ascii="仿宋_GB2312" w:eastAsia="仿宋_GB2312"/>
          <w:b/>
          <w:sz w:val="32"/>
          <w:szCs w:val="32"/>
        </w:rPr>
        <w:t>公务用车运行维护费支出</w:t>
      </w:r>
      <w:r>
        <w:rPr>
          <w:rFonts w:hint="eastAsia" w:ascii="仿宋_GB2312" w:eastAsia="仿宋_GB2312"/>
          <w:sz w:val="32"/>
          <w:szCs w:val="32"/>
        </w:rPr>
        <w:t>0.8万元。</w:t>
      </w:r>
      <w:r>
        <w:rPr>
          <w:rFonts w:hint="eastAsia" w:ascii="仿宋" w:hAnsi="仿宋" w:eastAsia="仿宋"/>
          <w:color w:val="auto"/>
          <w:sz w:val="32"/>
          <w:szCs w:val="32"/>
          <w:highlight w:val="none"/>
        </w:rPr>
        <w:t>主要用于我处配合区交运局、市交通运输综合执法局等单位的相关检查、行业指导等所需的公务用车燃料费。</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公务接待费支出决算与</w:t>
      </w:r>
      <w:r>
        <w:rPr>
          <w:rFonts w:hint="eastAsia" w:ascii="仿宋_GB2312" w:eastAsia="仿宋_GB2312"/>
          <w:sz w:val="32"/>
          <w:szCs w:val="32"/>
          <w:lang w:eastAsia="zh-CN"/>
        </w:rPr>
        <w:t>上年</w:t>
      </w:r>
      <w:bookmarkStart w:id="103" w:name="_GoBack"/>
      <w:bookmarkEnd w:id="103"/>
      <w:r>
        <w:rPr>
          <w:rFonts w:hint="eastAsia" w:ascii="仿宋_GB2312" w:eastAsia="仿宋_GB2312"/>
          <w:sz w:val="32"/>
          <w:szCs w:val="32"/>
          <w:lang w:eastAsia="zh-CN"/>
        </w:rPr>
        <w:t>持平</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57" w:name="_Toc15396610"/>
      <w:bookmarkStart w:id="58" w:name="_Toc15377218"/>
    </w:p>
    <w:p>
      <w:pPr>
        <w:spacing w:line="600" w:lineRule="exact"/>
        <w:ind w:firstLine="640"/>
        <w:outlineLvl w:val="1"/>
        <w:rPr>
          <w:rStyle w:val="22"/>
          <w:rFonts w:ascii="黑体" w:hAnsi="黑体" w:eastAsia="黑体"/>
        </w:rPr>
      </w:pPr>
      <w:bookmarkStart w:id="59" w:name="_Toc16640"/>
      <w:r>
        <w:rPr>
          <w:rFonts w:hint="eastAsia" w:ascii="黑体" w:eastAsia="黑体"/>
          <w:sz w:val="32"/>
          <w:szCs w:val="32"/>
        </w:rPr>
        <w:t>八、</w:t>
      </w:r>
      <w:r>
        <w:rPr>
          <w:rStyle w:val="22"/>
          <w:rFonts w:hint="eastAsia" w:ascii="黑体" w:hAnsi="黑体" w:eastAsia="黑体"/>
          <w:b w:val="0"/>
        </w:rPr>
        <w:t>政府性基金预算支出决算情况说明</w:t>
      </w:r>
      <w:bookmarkEnd w:id="57"/>
      <w:bookmarkEnd w:id="58"/>
      <w:bookmarkEnd w:id="59"/>
    </w:p>
    <w:p>
      <w:pPr>
        <w:spacing w:line="600" w:lineRule="exact"/>
        <w:ind w:firstLine="64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年政府性基金预算财政拨款支出0万元。</w:t>
      </w:r>
    </w:p>
    <w:p>
      <w:pPr>
        <w:numPr>
          <w:ilvl w:val="0"/>
          <w:numId w:val="4"/>
        </w:numPr>
        <w:spacing w:line="600" w:lineRule="exact"/>
        <w:ind w:firstLine="640"/>
        <w:outlineLvl w:val="1"/>
        <w:rPr>
          <w:rStyle w:val="22"/>
          <w:rFonts w:ascii="黑体" w:hAnsi="黑体" w:eastAsia="黑体"/>
          <w:b w:val="0"/>
        </w:rPr>
      </w:pPr>
      <w:bookmarkStart w:id="60" w:name="_Toc15396611"/>
      <w:bookmarkStart w:id="61" w:name="_Toc17540"/>
      <w:bookmarkStart w:id="62" w:name="_Toc15377219"/>
      <w:r>
        <w:rPr>
          <w:rStyle w:val="22"/>
          <w:rFonts w:hint="eastAsia" w:ascii="黑体" w:hAnsi="黑体" w:eastAsia="黑体"/>
          <w:b w:val="0"/>
        </w:rPr>
        <w:t>国有资本经营预算支出决算情况说明</w:t>
      </w:r>
      <w:bookmarkEnd w:id="60"/>
      <w:bookmarkEnd w:id="61"/>
      <w:bookmarkEnd w:id="62"/>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年国有资本经营预算财政拨款支出0万元。</w:t>
      </w:r>
    </w:p>
    <w:p>
      <w:pPr>
        <w:spacing w:line="600" w:lineRule="exact"/>
        <w:ind w:firstLine="640"/>
        <w:rPr>
          <w:rFonts w:hint="eastAsia" w:ascii="仿宋_GB2312" w:eastAsia="仿宋_GB2312"/>
          <w:sz w:val="32"/>
          <w:szCs w:val="32"/>
        </w:rPr>
      </w:pPr>
    </w:p>
    <w:p>
      <w:pPr>
        <w:numPr>
          <w:ilvl w:val="0"/>
          <w:numId w:val="4"/>
        </w:numPr>
        <w:spacing w:line="600" w:lineRule="exact"/>
        <w:ind w:firstLine="640"/>
        <w:outlineLvl w:val="1"/>
        <w:rPr>
          <w:rStyle w:val="22"/>
          <w:rFonts w:ascii="黑体" w:hAnsi="黑体" w:eastAsia="黑体"/>
          <w:b w:val="0"/>
        </w:rPr>
      </w:pPr>
      <w:bookmarkStart w:id="63" w:name="_Toc15377221"/>
      <w:bookmarkStart w:id="64" w:name="_Toc31133"/>
      <w:bookmarkStart w:id="65" w:name="_Toc15396612"/>
      <w:r>
        <w:rPr>
          <w:rStyle w:val="22"/>
          <w:rFonts w:hint="eastAsia" w:ascii="黑体" w:hAnsi="黑体" w:eastAsia="黑体"/>
          <w:b w:val="0"/>
        </w:rPr>
        <w:t>其他重要事项的情况说明</w:t>
      </w:r>
      <w:bookmarkEnd w:id="63"/>
      <w:bookmarkEnd w:id="64"/>
      <w:bookmarkEnd w:id="65"/>
    </w:p>
    <w:p>
      <w:pPr>
        <w:spacing w:line="600" w:lineRule="exact"/>
        <w:ind w:firstLine="643"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pPr>
        <w:spacing w:line="600" w:lineRule="exact"/>
        <w:ind w:firstLine="640" w:firstLineChars="200"/>
        <w:rPr>
          <w:rFonts w:ascii="仿宋_GB2312" w:eastAsia="仿宋_GB2312"/>
          <w:sz w:val="32"/>
          <w:szCs w:val="32"/>
          <w:highlight w:val="none"/>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年，船山区海事处机关运行经费支出17.02万元，比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0.21</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1.25%</w:t>
      </w:r>
      <w:r>
        <w:rPr>
          <w:rFonts w:hint="eastAsia" w:ascii="仿宋_GB2312" w:eastAsia="仿宋_GB2312"/>
          <w:sz w:val="32"/>
          <w:szCs w:val="32"/>
        </w:rPr>
        <w:t>。</w:t>
      </w:r>
      <w:r>
        <w:rPr>
          <w:rFonts w:hint="eastAsia" w:ascii="仿宋_GB2312" w:eastAsia="仿宋_GB2312"/>
          <w:sz w:val="32"/>
          <w:szCs w:val="32"/>
          <w:highlight w:val="none"/>
        </w:rPr>
        <w:t>主要原因</w:t>
      </w:r>
      <w:r>
        <w:rPr>
          <w:rFonts w:hint="eastAsia" w:ascii="仿宋_GB2312" w:eastAsia="仿宋_GB2312"/>
          <w:sz w:val="32"/>
          <w:szCs w:val="32"/>
          <w:highlight w:val="none"/>
          <w:lang w:eastAsia="zh-CN"/>
        </w:rPr>
        <w:t>差旅费和劳务费支出较上年有所增加</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年，船山区海事处政府采购支出总额0万元，其中：政府采购货物支出0万元、政府采购工程支出0万元、政府采购服务支出0万元。授予中小企业合同金额0万元，占政府采购支出总额的0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日，船山区海事处共有车辆1辆，其中：主要领导干部用车0辆、机要通信用车0辆、应急保障用车1辆、其他用车0辆。单价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hint="eastAsia" w:ascii="仿宋" w:hAnsi="仿宋" w:eastAsia="仿宋"/>
          <w:b/>
          <w:sz w:val="32"/>
          <w:szCs w:val="32"/>
          <w:highlight w:val="none"/>
        </w:rPr>
      </w:pPr>
      <w:r>
        <w:rPr>
          <w:rFonts w:hint="eastAsia" w:ascii="仿宋" w:hAnsi="仿宋" w:eastAsia="仿宋"/>
          <w:b/>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yellow"/>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仿宋" w:eastAsia="仿宋_GB2312"/>
          <w:sz w:val="32"/>
          <w:szCs w:val="32"/>
          <w:highlight w:val="none"/>
        </w:rPr>
        <w:t>海事处公益性乘客保险及宣传费</w:t>
      </w:r>
      <w:r>
        <w:rPr>
          <w:rFonts w:hint="eastAsia" w:ascii="仿宋_GB2312" w:hAnsi="Times New Roman" w:eastAsia="仿宋_GB2312" w:cs="Times New Roman"/>
          <w:color w:val="auto"/>
          <w:sz w:val="32"/>
          <w:szCs w:val="32"/>
          <w:highlight w:val="none"/>
          <w:lang w:eastAsia="zh-CN"/>
        </w:rPr>
        <w:t>项目</w:t>
      </w:r>
      <w:r>
        <w:rPr>
          <w:rFonts w:hint="eastAsia" w:ascii="仿宋_GB2312" w:eastAsia="仿宋_GB2312" w:cs="Times New Roman"/>
          <w:color w:val="auto"/>
          <w:sz w:val="32"/>
          <w:szCs w:val="32"/>
          <w:highlight w:val="none"/>
          <w:lang w:eastAsia="zh-CN"/>
        </w:rPr>
        <w:t>、</w:t>
      </w:r>
      <w:r>
        <w:rPr>
          <w:rFonts w:hint="eastAsia" w:ascii="仿宋_GB2312" w:hAnsi="仿宋" w:eastAsia="仿宋_GB2312"/>
          <w:sz w:val="32"/>
          <w:szCs w:val="32"/>
          <w:highlight w:val="none"/>
        </w:rPr>
        <w:t>视频监控租赁费</w:t>
      </w:r>
      <w:r>
        <w:rPr>
          <w:rFonts w:hint="eastAsia" w:ascii="仿宋_GB2312" w:hAnsi="仿宋" w:eastAsia="仿宋_GB2312"/>
          <w:sz w:val="32"/>
          <w:szCs w:val="32"/>
          <w:highlight w:val="none"/>
          <w:lang w:eastAsia="zh-CN"/>
        </w:rPr>
        <w:t>项目、</w:t>
      </w:r>
      <w:r>
        <w:rPr>
          <w:rFonts w:hint="eastAsia" w:ascii="仿宋_GB2312" w:hAnsi="仿宋" w:eastAsia="仿宋_GB2312"/>
          <w:sz w:val="32"/>
          <w:szCs w:val="32"/>
          <w:highlight w:val="none"/>
        </w:rPr>
        <w:t>船舶检验</w:t>
      </w:r>
      <w:r>
        <w:rPr>
          <w:rFonts w:hint="eastAsia" w:ascii="仿宋_GB2312" w:hAnsi="仿宋" w:eastAsia="仿宋_GB2312"/>
          <w:sz w:val="32"/>
          <w:szCs w:val="32"/>
          <w:highlight w:val="none"/>
          <w:lang w:eastAsia="zh-CN"/>
        </w:rPr>
        <w:t>和管理项目、</w:t>
      </w:r>
      <w:r>
        <w:rPr>
          <w:rFonts w:hint="eastAsia" w:ascii="仿宋_GB2312" w:hAnsi="仿宋" w:eastAsia="仿宋_GB2312"/>
          <w:sz w:val="32"/>
          <w:szCs w:val="32"/>
          <w:highlight w:val="none"/>
        </w:rPr>
        <w:t>航标、航道管理维护</w:t>
      </w:r>
      <w:r>
        <w:rPr>
          <w:rFonts w:hint="eastAsia" w:ascii="仿宋_GB2312" w:hAnsi="仿宋" w:eastAsia="仿宋_GB2312"/>
          <w:sz w:val="32"/>
          <w:szCs w:val="32"/>
          <w:highlight w:val="none"/>
          <w:lang w:eastAsia="zh-CN"/>
        </w:rPr>
        <w:t>项目、</w:t>
      </w:r>
      <w:r>
        <w:rPr>
          <w:rFonts w:hint="eastAsia" w:ascii="仿宋_GB2312" w:hAnsi="仿宋" w:eastAsia="仿宋_GB2312"/>
          <w:sz w:val="32"/>
          <w:szCs w:val="32"/>
          <w:highlight w:val="none"/>
        </w:rPr>
        <w:t>海巡艇运行费</w:t>
      </w:r>
      <w:r>
        <w:rPr>
          <w:rFonts w:hint="eastAsia" w:ascii="仿宋_GB2312" w:hAnsi="仿宋" w:eastAsia="仿宋_GB2312"/>
          <w:sz w:val="32"/>
          <w:szCs w:val="32"/>
          <w:highlight w:val="none"/>
          <w:lang w:eastAsia="zh-CN"/>
        </w:rPr>
        <w:t>项目</w:t>
      </w:r>
      <w:r>
        <w:rPr>
          <w:rFonts w:hint="eastAsia" w:ascii="仿宋_GB2312" w:hAnsi="Times New Roman" w:eastAsia="仿宋_GB2312" w:cs="Times New Roman"/>
          <w:color w:val="auto"/>
          <w:sz w:val="32"/>
          <w:szCs w:val="32"/>
          <w:highlight w:val="none"/>
          <w:lang w:eastAsia="zh-CN"/>
        </w:rPr>
        <w:t>（项目名称）等</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pStyle w:val="19"/>
        <w:ind w:left="0" w:leftChars="0" w:firstLine="0" w:firstLineChars="0"/>
        <w:rPr>
          <w:rFonts w:hint="eastAsia"/>
        </w:rPr>
      </w:pPr>
    </w:p>
    <w:p>
      <w:pPr>
        <w:rPr>
          <w:rFonts w:hint="eastAsia"/>
        </w:rPr>
      </w:pPr>
    </w:p>
    <w:p/>
    <w:p>
      <w:pPr>
        <w:numPr>
          <w:ilvl w:val="0"/>
          <w:numId w:val="5"/>
        </w:numPr>
        <w:spacing w:line="600" w:lineRule="exact"/>
        <w:ind w:firstLine="660" w:firstLineChars="150"/>
        <w:jc w:val="center"/>
        <w:outlineLvl w:val="0"/>
        <w:rPr>
          <w:rStyle w:val="21"/>
          <w:rFonts w:ascii="黑体" w:hAnsi="黑体" w:eastAsia="黑体"/>
          <w:b w:val="0"/>
        </w:rPr>
      </w:pPr>
      <w:bookmarkStart w:id="69" w:name="_Toc15396613"/>
      <w:bookmarkStart w:id="70" w:name="_Toc15377225"/>
      <w:bookmarkStart w:id="71" w:name="_Toc19155"/>
      <w:r>
        <w:rPr>
          <w:rFonts w:hint="eastAsia" w:ascii="黑体" w:hAnsi="黑体" w:eastAsia="黑体"/>
          <w:sz w:val="44"/>
          <w:szCs w:val="44"/>
        </w:rPr>
        <w:t>名</w:t>
      </w:r>
      <w:r>
        <w:rPr>
          <w:rStyle w:val="21"/>
          <w:rFonts w:hint="eastAsia" w:ascii="黑体" w:hAnsi="黑体" w:eastAsia="黑体"/>
          <w:b w:val="0"/>
        </w:rPr>
        <w:t>词解释</w:t>
      </w:r>
      <w:bookmarkEnd w:id="69"/>
      <w:bookmarkEnd w:id="70"/>
      <w:bookmarkEnd w:id="71"/>
    </w:p>
    <w:p>
      <w:pPr>
        <w:spacing w:line="600" w:lineRule="exact"/>
        <w:jc w:val="left"/>
        <w:rPr>
          <w:rFonts w:ascii="宋体"/>
          <w:b/>
          <w:sz w:val="44"/>
          <w:szCs w:val="44"/>
        </w:rPr>
      </w:pPr>
    </w:p>
    <w:p>
      <w:pPr>
        <w:pStyle w:val="31"/>
        <w:numPr>
          <w:ilvl w:val="0"/>
          <w:numId w:val="6"/>
        </w:numPr>
        <w:spacing w:line="560" w:lineRule="exact"/>
        <w:outlineLvl w:val="1"/>
        <w:rPr>
          <w:rFonts w:ascii="仿宋_GB2312" w:eastAsia="仿宋_GB2312"/>
          <w:color w:val="auto"/>
          <w:sz w:val="32"/>
          <w:szCs w:val="32"/>
        </w:rPr>
      </w:pPr>
      <w:bookmarkStart w:id="72" w:name="_Toc14175"/>
      <w:r>
        <w:rPr>
          <w:rFonts w:hint="eastAsia" w:ascii="仿宋_GB2312" w:eastAsia="仿宋_GB2312"/>
          <w:color w:val="auto"/>
          <w:sz w:val="32"/>
          <w:szCs w:val="32"/>
        </w:rPr>
        <w:t>财政拨款收入：指单位从同级财政部门取得的财政预算资金。</w:t>
      </w:r>
      <w:bookmarkEnd w:id="72"/>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事业收入：指事业单位开展专业业务活动及辅助活动取得的收入。如…（二级预算单位事业收入情况）等。</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其他收入：指单位取得的除上述收入以外的各项收入。主要是…（收入类型）等。</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使用非财政拨款结余：指事业单位使用以前年度积累的非财政拨款结余弥补当年收支差额的金额。</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社会保障和就业支出（208）行政事业单位养老支出（05）  机关事业单位基本养老保险缴费支出项（05）</w:t>
      </w:r>
      <w:r>
        <w:rPr>
          <w:rFonts w:hint="eastAsia" w:ascii="仿宋_GB2312" w:eastAsia="仿宋_GB2312"/>
          <w:sz w:val="32"/>
          <w:szCs w:val="32"/>
          <w:lang w:eastAsia="zh-CN"/>
        </w:rPr>
        <w:t>：</w:t>
      </w:r>
      <w:r>
        <w:rPr>
          <w:rFonts w:hint="eastAsia" w:ascii="仿宋_GB2312" w:eastAsia="仿宋_GB2312"/>
          <w:sz w:val="32"/>
          <w:szCs w:val="32"/>
        </w:rPr>
        <w:t xml:space="preserve">  反映机关事业单位实施养老保险制度由单位缴纳的基本养老保险费支出。 </w:t>
      </w:r>
    </w:p>
    <w:p>
      <w:pPr>
        <w:numPr>
          <w:ilvl w:val="0"/>
          <w:numId w:val="6"/>
        </w:numPr>
        <w:ind w:left="0" w:leftChars="0" w:firstLine="400" w:firstLineChars="0"/>
        <w:rPr>
          <w:rFonts w:ascii="仿宋_GB2312" w:eastAsia="仿宋_GB2312"/>
          <w:sz w:val="32"/>
          <w:szCs w:val="32"/>
        </w:rPr>
      </w:pPr>
      <w:r>
        <w:rPr>
          <w:rFonts w:hint="eastAsia" w:ascii="仿宋_GB2312" w:eastAsia="仿宋_GB2312"/>
          <w:color w:val="auto"/>
          <w:sz w:val="32"/>
          <w:szCs w:val="32"/>
          <w:highlight w:val="none"/>
        </w:rPr>
        <w:t>社会保障和就业支出（208）行政事业单位养老支出（05）机关事业单位职业年金缴费支出（06）</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w:t>
      </w:r>
      <w:r>
        <w:rPr>
          <w:rFonts w:hint="eastAsia" w:ascii="仿宋_GB2312" w:eastAsia="仿宋_GB2312"/>
          <w:color w:val="auto"/>
          <w:sz w:val="32"/>
          <w:szCs w:val="32"/>
          <w:highlight w:val="none"/>
        </w:rPr>
        <w:t>映各级</w:t>
      </w:r>
      <w:r>
        <w:rPr>
          <w:rFonts w:hint="eastAsia" w:ascii="仿宋_GB2312" w:eastAsia="仿宋_GB2312"/>
          <w:color w:val="auto"/>
          <w:sz w:val="32"/>
          <w:szCs w:val="32"/>
          <w:highlight w:val="none"/>
          <w:lang w:eastAsia="zh-CN"/>
        </w:rPr>
        <w:t>财政部门</w:t>
      </w:r>
      <w:r>
        <w:rPr>
          <w:rFonts w:hint="eastAsia" w:ascii="仿宋_GB2312" w:eastAsia="仿宋_GB2312"/>
          <w:color w:val="auto"/>
          <w:sz w:val="32"/>
          <w:szCs w:val="32"/>
          <w:highlight w:val="none"/>
        </w:rPr>
        <w:t>对机关事业单位实施养老保险制度由单位实际缴纳的职业年金支出。</w:t>
      </w:r>
      <w:r>
        <w:rPr>
          <w:rFonts w:hint="eastAsia" w:ascii="仿宋_GB2312" w:eastAsia="仿宋_GB2312"/>
          <w:sz w:val="32"/>
          <w:szCs w:val="32"/>
        </w:rPr>
        <w:t xml:space="preserve">      </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社会保障和就业支出（208）残疾人事业（11） 残疾人就业（05）</w:t>
      </w:r>
      <w:r>
        <w:rPr>
          <w:rFonts w:hint="eastAsia" w:ascii="仿宋_GB2312" w:eastAsia="仿宋_GB2312"/>
          <w:sz w:val="32"/>
          <w:szCs w:val="32"/>
          <w:lang w:eastAsia="zh-CN"/>
        </w:rPr>
        <w:t>：</w:t>
      </w:r>
      <w:r>
        <w:rPr>
          <w:rFonts w:hint="eastAsia" w:ascii="仿宋_GB2312" w:eastAsia="仿宋_GB2312"/>
          <w:sz w:val="32"/>
          <w:szCs w:val="32"/>
        </w:rPr>
        <w:t>反映残疾人联合会用于残疾人就业方面的支出。</w:t>
      </w:r>
    </w:p>
    <w:p>
      <w:pPr>
        <w:numPr>
          <w:ilvl w:val="0"/>
          <w:numId w:val="7"/>
        </w:numPr>
        <w:rPr>
          <w:rFonts w:ascii="仿宋_GB2312" w:eastAsia="仿宋_GB2312"/>
          <w:sz w:val="32"/>
          <w:szCs w:val="32"/>
        </w:rPr>
      </w:pPr>
      <w:r>
        <w:rPr>
          <w:rFonts w:hint="eastAsia" w:ascii="仿宋_GB2312" w:eastAsia="仿宋_GB2312"/>
          <w:sz w:val="32"/>
          <w:szCs w:val="32"/>
        </w:rPr>
        <w:t>社会保障和就业支出（208）其他社会保障和就业支出（99）其他社会保障和就业支出（99）</w:t>
      </w:r>
      <w:r>
        <w:rPr>
          <w:rFonts w:hint="eastAsia" w:ascii="仿宋_GB2312" w:eastAsia="仿宋_GB2312"/>
          <w:sz w:val="32"/>
          <w:szCs w:val="32"/>
          <w:lang w:eastAsia="zh-CN"/>
        </w:rPr>
        <w:t>：</w:t>
      </w:r>
      <w:r>
        <w:rPr>
          <w:rFonts w:hint="eastAsia" w:ascii="仿宋_GB2312" w:eastAsia="仿宋_GB2312"/>
          <w:sz w:val="32"/>
          <w:szCs w:val="32"/>
        </w:rPr>
        <w:t xml:space="preserve"> 反映除上述项目外，其他用于社会保障和就业方面的支出。</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卫生健康支出（210）行政事业单位医疗（11）行政单位医疗（01）</w:t>
      </w:r>
      <w:r>
        <w:rPr>
          <w:rFonts w:hint="eastAsia" w:ascii="仿宋_GB2312" w:eastAsia="仿宋_GB2312"/>
          <w:sz w:val="32"/>
          <w:szCs w:val="32"/>
          <w:lang w:eastAsia="zh-CN"/>
        </w:rPr>
        <w:t>：</w:t>
      </w:r>
      <w:r>
        <w:rPr>
          <w:rFonts w:hint="eastAsia" w:ascii="仿宋_GB2312" w:eastAsia="仿宋_GB2312"/>
          <w:sz w:val="32"/>
          <w:szCs w:val="32"/>
        </w:rPr>
        <w:t xml:space="preserve"> 反映财政部门安排的行政单位（包括实行公务员管理的事业单位）基本医疗保险缴费经费，未参加医疗保险的行政单位的公费医疗经费，按国家规定享受离休人员、红军老战士待遇人员的医疗经费。</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卫生健康支出（210）行政事业单位医疗（11） 公务员医疗补助（03）</w:t>
      </w:r>
      <w:r>
        <w:rPr>
          <w:rFonts w:hint="eastAsia" w:ascii="仿宋_GB2312" w:eastAsia="仿宋_GB2312"/>
          <w:sz w:val="32"/>
          <w:szCs w:val="32"/>
          <w:lang w:eastAsia="zh-CN"/>
        </w:rPr>
        <w:t>：</w:t>
      </w:r>
      <w:r>
        <w:rPr>
          <w:rFonts w:hint="eastAsia" w:ascii="仿宋_GB2312" w:eastAsia="仿宋_GB2312"/>
          <w:sz w:val="32"/>
          <w:szCs w:val="32"/>
        </w:rPr>
        <w:t>反映财政部门安排的公务员医疗补助经费。</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交通运输支出（214）公路水路运输（01）  行政运行（01）：反映行政单位（包括实行公务员管理的事业单位）的基本支出。</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交通运输支出（214）公路水路运输（01） 一般行政管理事务（02）：反映行政单位（包括实行公务员管理的事业单位）未单独设置项及科目的其他项目支出。</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交通运输支出（214）公路水路运输（01）航道维护（23）：反映内河航道整治、维护方面的支出。</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交通运输支出（214）公路水路运输（01） 船舶检验（27）：反映船舶检验方面的支出。</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交通运输支出（214）公路水路运输（01）海事管理（31）：反映海事管理方面的支出。</w:t>
      </w:r>
    </w:p>
    <w:p>
      <w:pPr>
        <w:numPr>
          <w:ilvl w:val="0"/>
          <w:numId w:val="6"/>
        </w:numPr>
        <w:spacing w:line="600" w:lineRule="exact"/>
        <w:rPr>
          <w:rFonts w:ascii="仿宋_GB2312" w:eastAsia="仿宋_GB2312"/>
          <w:sz w:val="32"/>
          <w:szCs w:val="32"/>
        </w:rPr>
      </w:pPr>
      <w:r>
        <w:rPr>
          <w:rFonts w:hint="eastAsia" w:ascii="仿宋_GB2312" w:eastAsia="仿宋_GB2312"/>
          <w:sz w:val="32"/>
          <w:szCs w:val="32"/>
        </w:rPr>
        <w:t>交通运输支出（214）公路水路运输（01）其他公路水路运输支出（99）：反映上述项目以外其他用于公路水路运输方面的支出。</w:t>
      </w:r>
    </w:p>
    <w:p>
      <w:pPr>
        <w:numPr>
          <w:ilvl w:val="0"/>
          <w:numId w:val="6"/>
        </w:numPr>
        <w:rPr>
          <w:rFonts w:ascii="仿宋_GB2312" w:eastAsia="仿宋_GB2312"/>
          <w:sz w:val="32"/>
          <w:szCs w:val="32"/>
        </w:rPr>
      </w:pPr>
      <w:r>
        <w:rPr>
          <w:rFonts w:hint="eastAsia" w:ascii="仿宋_GB2312" w:eastAsia="仿宋_GB2312"/>
          <w:sz w:val="32"/>
          <w:szCs w:val="32"/>
        </w:rPr>
        <w:t>交通运输支出（214）其他交通运输支出（99）  其他交通运输支出（99）：反映其他交通运输支出中除对公共交通运营补助以外的其他支出。</w:t>
      </w:r>
    </w:p>
    <w:p>
      <w:pPr>
        <w:numPr>
          <w:ilvl w:val="0"/>
          <w:numId w:val="6"/>
        </w:numPr>
        <w:rPr>
          <w:rFonts w:ascii="仿宋_GB2312" w:eastAsia="仿宋_GB2312"/>
          <w:sz w:val="32"/>
          <w:szCs w:val="32"/>
        </w:rPr>
      </w:pPr>
      <w:r>
        <w:rPr>
          <w:rFonts w:hint="eastAsia" w:ascii="仿宋_GB2312" w:eastAsia="仿宋_GB2312"/>
          <w:sz w:val="32"/>
          <w:szCs w:val="32"/>
        </w:rPr>
        <w:t>住房保障支出（221）住房改革支出（02） 住房公积金（01）：反映行政事业单位按人力资源和社会保障部、财政部规定的基本工资、津贴补贴以及规定比例为职工缴纳的住房公积金。</w:t>
      </w:r>
    </w:p>
    <w:p>
      <w:pPr>
        <w:numPr>
          <w:ilvl w:val="0"/>
          <w:numId w:val="6"/>
        </w:numPr>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6"/>
        </w:numPr>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numPr>
          <w:ilvl w:val="0"/>
          <w:numId w:val="6"/>
        </w:numPr>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numPr>
          <w:ilvl w:val="0"/>
          <w:numId w:val="6"/>
        </w:numPr>
        <w:spacing w:line="560" w:lineRule="exact"/>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1"/>
        <w:spacing w:line="560" w:lineRule="exact"/>
        <w:rPr>
          <w:rFonts w:ascii="仿宋_GB2312" w:eastAsia="仿宋_GB2312" w:cs="黑体"/>
          <w:color w:val="auto"/>
          <w:sz w:val="32"/>
          <w:szCs w:val="32"/>
        </w:rPr>
      </w:pPr>
    </w:p>
    <w:p>
      <w:pPr>
        <w:pStyle w:val="31"/>
        <w:spacing w:line="560" w:lineRule="exact"/>
        <w:rPr>
          <w:rFonts w:ascii="仿宋_GB2312" w:eastAsia="仿宋_GB2312" w:cs="黑体"/>
          <w:color w:val="auto"/>
          <w:sz w:val="32"/>
          <w:szCs w:val="32"/>
        </w:rPr>
      </w:pPr>
    </w:p>
    <w:p>
      <w:pPr>
        <w:pStyle w:val="31"/>
        <w:spacing w:line="560" w:lineRule="exact"/>
        <w:rPr>
          <w:rFonts w:ascii="仿宋_GB2312" w:eastAsia="仿宋_GB2312" w:cs="黑体"/>
          <w:color w:val="auto"/>
          <w:sz w:val="32"/>
          <w:szCs w:val="32"/>
        </w:rPr>
      </w:pPr>
    </w:p>
    <w:p>
      <w:pPr>
        <w:pStyle w:val="31"/>
        <w:spacing w:line="560" w:lineRule="exact"/>
        <w:rPr>
          <w:rFonts w:ascii="仿宋_GB2312" w:eastAsia="仿宋_GB2312" w:cs="黑体"/>
          <w:color w:val="auto"/>
          <w:sz w:val="32"/>
          <w:szCs w:val="32"/>
        </w:rPr>
      </w:pPr>
    </w:p>
    <w:p>
      <w:pPr>
        <w:pStyle w:val="31"/>
        <w:spacing w:line="560" w:lineRule="exact"/>
        <w:rPr>
          <w:rFonts w:ascii="仿宋_GB2312" w:eastAsia="仿宋_GB2312" w:cs="黑体"/>
          <w:color w:val="auto"/>
          <w:sz w:val="32"/>
          <w:szCs w:val="32"/>
        </w:rPr>
      </w:pPr>
    </w:p>
    <w:p>
      <w:pPr>
        <w:pStyle w:val="31"/>
        <w:spacing w:line="560" w:lineRule="exact"/>
        <w:rPr>
          <w:rFonts w:ascii="仿宋_GB2312" w:eastAsia="仿宋_GB2312" w:cs="黑体"/>
          <w:color w:val="auto"/>
          <w:sz w:val="32"/>
          <w:szCs w:val="32"/>
        </w:rPr>
      </w:pPr>
    </w:p>
    <w:p>
      <w:pPr>
        <w:spacing w:line="600" w:lineRule="exact"/>
        <w:jc w:val="center"/>
        <w:outlineLvl w:val="0"/>
        <w:rPr>
          <w:rStyle w:val="21"/>
          <w:rFonts w:ascii="黑体" w:hAnsi="黑体" w:eastAsia="黑体"/>
          <w:b w:val="0"/>
          <w:color w:val="auto"/>
          <w:highlight w:val="none"/>
        </w:rPr>
      </w:pPr>
      <w:bookmarkStart w:id="73" w:name="_Toc31776"/>
      <w:bookmarkStart w:id="74" w:name="_Toc15377226"/>
      <w:bookmarkStart w:id="75" w:name="_Toc15396618"/>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73"/>
    </w:p>
    <w:p>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pPr>
        <w:pStyle w:val="5"/>
        <w:spacing w:before="93"/>
        <w:jc w:val="both"/>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tbl>
      <w:tblPr>
        <w:tblStyle w:val="15"/>
        <w:tblpPr w:leftFromText="180" w:rightFromText="180" w:vertAnchor="text" w:horzAnchor="page" w:tblpX="1147" w:tblpY="517"/>
        <w:tblOverlap w:val="never"/>
        <w:tblW w:w="10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430"/>
        <w:gridCol w:w="1268"/>
        <w:gridCol w:w="1891"/>
        <w:gridCol w:w="520"/>
        <w:gridCol w:w="1047"/>
        <w:gridCol w:w="520"/>
        <w:gridCol w:w="1089"/>
        <w:gridCol w:w="505"/>
        <w:gridCol w:w="486"/>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51090323T000008255016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航道、航标管理维护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四川省遂宁市船山区交通运输局部门</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四川省遂宁市船山区地方海事处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2023年预计支付20000元，通过加强航道、航标安装、抢险打捞、维修管理工作，落实经费和人员及维修维护材料等费用，保障我区水上航道安全。</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完成我区航道管理工作，航标安装、维护打捞共计32套次，保障了我区水上航道安全。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根据航道、航标维护管理需要开展工作，同时本年度未出现较大洪涝灾害，航道、航标维护工作为日常维护工作，符合项目年度目标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航道、航标维护天数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航道、航标维护合格率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费用发放及时率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航道、航标维护成本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航道出行安全率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完成我区航道管理工作，维护天数不少于60天，航标安装、维护打捞共计32套次，及时率100%，发放费用2万元，航道出行安全率高，项目得分100分，符合项目年度目标。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项目负责人：陈平</w:t>
            </w:r>
          </w:p>
        </w:tc>
        <w:tc>
          <w:tcPr>
            <w:tcW w:w="4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51090323T000008254880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船舶检验及管理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四川省遂宁市船山区交通运输局部门</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四川省遂宁市船山区地方海事处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2023年预计花费50000元，负责全区130余艘船舶检验，需要专用设施设备的配备，船舶登记、船舶检验等所需的专网的维护材料，人工、车辆及工本费及维修费用，以保障全区船舶出行安全，保障水域安全。</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完成全区130余艘船舶检验工作，全年项目执行费用5万元，保障了我区船舶出行安全及水域安全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根据我区需检验船舶开展船舶检验工作，同时开展船舶检验证书的发放及归档工作，人工、车辆及工本费和维修费用均符合项目年度目标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船舶检验数量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艘</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船舶检验外出天数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船舶检验合格率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船舶检验及时率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车辆租赁成本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24360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24300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耗材成本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22400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检验船舶覆盖率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w:t>
            </w:r>
            <w:r>
              <w:rPr>
                <w:rFonts w:hint="eastAsia" w:ascii="宋体" w:hAnsi="宋体" w:cs="宋体"/>
                <w:i w:val="0"/>
                <w:iCs w:val="0"/>
                <w:color w:val="000000"/>
                <w:kern w:val="0"/>
                <w:sz w:val="18"/>
                <w:szCs w:val="18"/>
                <w:u w:val="none"/>
                <w:lang w:val="en-US" w:eastAsia="zh-CN" w:bidi="ar"/>
              </w:rPr>
              <w:t>关</w:t>
            </w:r>
            <w:r>
              <w:rPr>
                <w:rFonts w:ascii="宋体" w:hAnsi="宋体" w:eastAsia="宋体" w:cs="宋体"/>
                <w:i w:val="0"/>
                <w:iCs w:val="0"/>
                <w:color w:val="000000"/>
                <w:kern w:val="0"/>
                <w:sz w:val="18"/>
                <w:szCs w:val="18"/>
                <w:u w:val="none"/>
                <w:lang w:val="en-US" w:eastAsia="zh-CN" w:bidi="ar"/>
              </w:rPr>
              <w:t>单位满意率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全年船舶检验数量超过120艘，外出检验天数超过70天，船舶检验及时率及合格率等于100%，船舶检验成本不超过预算金额5万元，船舶检验覆盖率大于95%，满意度大于95%，项目得分100分，符合项目年度目标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项目负责人：陈平</w:t>
            </w:r>
          </w:p>
        </w:tc>
        <w:tc>
          <w:tcPr>
            <w:tcW w:w="4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51090323T000008255016-码头视频监控租赁费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四川省遂宁市船山区交通运输局部门</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四川省遂宁市船山区地方海事处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2023年，预计一次性支付102778元，用于支付第三方设备安装、信息服务、日常维护等费用，以及运行中的管理费、迁建费和电费等</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预估7222元为耗材备用经费，以保障我区水域的水上安全及环境保护。</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一次性支付码头视频监控租赁费102778元，本年度未发生运行管理费、拆迁费及电费。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根据项目合同使用设备及支付费用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第三方机构数量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第三方服务合格率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费用支付准确率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费用支付及时率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支付视频监控服务费用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102778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102778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耗材费用支付成本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监控在线率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本年度第三方机构1个，其服务合格率、费用支付准确率及及时率均达到100%，支付监控服务费102778元，未产生耗材费，全年监控在线率不低于90%，受益群众满意率超过90%。项目得分99分，符合项目年度目标。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51090323T000008254933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公益性渡船乘客保险及宣传运行费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四川省遂宁市船山区交通运输局部门</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四川省遂宁市船山区地方海事处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根据《四川省渡口管理办法》（省政府第265号令）规定，我区需对辖区公益性渡船购买保险，我区购买我区6艘客渡船共420客位，45个船员的保险，保障全区公益性渡船及过渡群众安全</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及时且全覆盖购买公益性渡船保险，进行有效宣传，维护公益性渡船的安全运行。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我区购买我区6艘客渡船共420客位，45</w:t>
            </w:r>
            <w:r>
              <w:rPr>
                <w:rFonts w:hint="eastAsia" w:ascii="宋体" w:hAnsi="宋体" w:cs="宋体"/>
                <w:i w:val="0"/>
                <w:iCs w:val="0"/>
                <w:color w:val="000000"/>
                <w:kern w:val="0"/>
                <w:sz w:val="18"/>
                <w:szCs w:val="18"/>
                <w:u w:val="none"/>
                <w:lang w:val="en-US" w:eastAsia="zh-CN" w:bidi="ar"/>
              </w:rPr>
              <w:t>名</w:t>
            </w:r>
            <w:r>
              <w:rPr>
                <w:rFonts w:ascii="宋体" w:hAnsi="宋体" w:eastAsia="宋体" w:cs="宋体"/>
                <w:i w:val="0"/>
                <w:iCs w:val="0"/>
                <w:color w:val="000000"/>
                <w:kern w:val="0"/>
                <w:sz w:val="18"/>
                <w:szCs w:val="18"/>
                <w:u w:val="none"/>
                <w:lang w:val="en-US" w:eastAsia="zh-CN" w:bidi="ar"/>
              </w:rPr>
              <w:t>船员的保险，共计3万元，同时开展宣传运行工</w:t>
            </w:r>
            <w:r>
              <w:rPr>
                <w:rFonts w:hint="eastAsia" w:ascii="宋体" w:hAnsi="宋体" w:cs="宋体"/>
                <w:i w:val="0"/>
                <w:iCs w:val="0"/>
                <w:color w:val="000000"/>
                <w:kern w:val="0"/>
                <w:sz w:val="18"/>
                <w:szCs w:val="18"/>
                <w:u w:val="none"/>
                <w:lang w:val="en-US" w:eastAsia="zh-CN" w:bidi="ar"/>
              </w:rPr>
              <w:t>作</w:t>
            </w:r>
            <w:r>
              <w:rPr>
                <w:rFonts w:ascii="宋体" w:hAnsi="宋体" w:eastAsia="宋体" w:cs="宋体"/>
                <w:i w:val="0"/>
                <w:iCs w:val="0"/>
                <w:color w:val="000000"/>
                <w:kern w:val="0"/>
                <w:sz w:val="18"/>
                <w:szCs w:val="18"/>
                <w:u w:val="none"/>
                <w:lang w:val="en-US" w:eastAsia="zh-CN" w:bidi="ar"/>
              </w:rPr>
              <w:t>，执行费用2万元，保障全区公益性渡船及过渡群众安全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公益性乘客保险按规定及时购买，根据日常宣传工作的开展，本年度全国无重大水上交通安全事故，故没有出现较大的宣传、运行支出。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购买保险数量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保险购买准确率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购买保险及时率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购买船员保险覆盖率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购买公益性渡船保险覆盖率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购买客位保险覆盖率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购买保险宣传运行覆盖率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应保尽保率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公益性渡船购买数量、准确率、及时率、费用成本、满意度均达到100%，内控制度健全，项目得分97分，符合项目年度目标。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项目负责人：陈平</w:t>
            </w:r>
          </w:p>
        </w:tc>
        <w:tc>
          <w:tcPr>
            <w:tcW w:w="4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51090323T000008254951-海巡艇运行费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四川省遂宁市船山区交通运输局部门</w:t>
            </w:r>
          </w:p>
        </w:tc>
        <w:tc>
          <w:tcPr>
            <w:tcW w:w="10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四川省遂宁市船山区地方海事处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2022年预计花费20000元，通过对海巡艇进行看护、使用、维修、维护，时长一年，聘请驾驶员、轮机员共两人预计5次/年，以保证海巡艇正常使用，保障我区水域水上及环保安全。</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有效完成海巡艇看护、使用、维修、维护工作，全年费用在2万元。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根据海巡艇看护、维护合同进行工作，保障了海巡艇正常使用。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海巡艇安全出行次数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海巡艇费用支付准确率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海巡艇出行及时率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海巡艇运行成本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辖区水域安全事故发生率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海巡艇日常维护管理制度健全性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辖区水域群众满意率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全年海巡艇出行次数大于5次，费用支付准备率、出行及时率群众满意度均达到100%，维护、运行成本不超过2万元，制定良好的海巡艇日常维护管理制度，项目得分100分，符合项目年度目标。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项目负责人：陈平</w:t>
            </w:r>
          </w:p>
        </w:tc>
        <w:tc>
          <w:tcPr>
            <w:tcW w:w="4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财务负责人：何锐</w:t>
            </w:r>
          </w:p>
        </w:tc>
      </w:tr>
    </w:tbl>
    <w:p>
      <w:pPr>
        <w:pStyle w:val="5"/>
        <w:spacing w:before="93"/>
        <w:rPr>
          <w:rFonts w:hAnsi="Calibri" w:cs="仿宋"/>
          <w:sz w:val="32"/>
          <w:szCs w:val="32"/>
        </w:rPr>
      </w:pPr>
    </w:p>
    <w:p>
      <w:pPr>
        <w:spacing w:line="600" w:lineRule="exact"/>
        <w:jc w:val="center"/>
        <w:outlineLvl w:val="0"/>
        <w:rPr>
          <w:rFonts w:ascii="仿宋" w:hAnsi="仿宋" w:eastAsia="仿宋"/>
        </w:rPr>
      </w:pPr>
      <w:bookmarkStart w:id="76" w:name="_Toc19932"/>
      <w:r>
        <w:rPr>
          <w:rFonts w:hint="eastAsia" w:ascii="黑体" w:hAnsi="黑体" w:eastAsia="黑体"/>
          <w:sz w:val="44"/>
          <w:szCs w:val="44"/>
        </w:rPr>
        <w:t>第</w:t>
      </w:r>
      <w:r>
        <w:rPr>
          <w:rStyle w:val="21"/>
          <w:rFonts w:hint="eastAsia" w:ascii="黑体" w:hAnsi="黑体" w:eastAsia="黑体"/>
          <w:b w:val="0"/>
        </w:rPr>
        <w:t>五部分 附表</w:t>
      </w:r>
      <w:bookmarkEnd w:id="74"/>
      <w:bookmarkEnd w:id="75"/>
      <w:bookmarkEnd w:id="76"/>
      <w:bookmarkStart w:id="77" w:name="_Toc15396619"/>
    </w:p>
    <w:p>
      <w:pPr>
        <w:pStyle w:val="3"/>
        <w:rPr>
          <w:rFonts w:ascii="仿宋" w:hAnsi="仿宋" w:eastAsia="仿宋"/>
        </w:rPr>
      </w:pPr>
      <w:bookmarkStart w:id="78" w:name="_Toc31520"/>
      <w:r>
        <w:rPr>
          <w:rFonts w:hint="eastAsia" w:ascii="仿宋" w:hAnsi="仿宋" w:eastAsia="仿宋"/>
          <w:b w:val="0"/>
        </w:rPr>
        <w:t>一、收</w:t>
      </w:r>
      <w:r>
        <w:rPr>
          <w:rStyle w:val="22"/>
          <w:rFonts w:hint="eastAsia" w:ascii="仿宋" w:hAnsi="仿宋" w:eastAsia="仿宋"/>
          <w:b w:val="0"/>
          <w:bCs w:val="0"/>
        </w:rPr>
        <w:t>入支出决算总表</w:t>
      </w:r>
      <w:bookmarkEnd w:id="77"/>
      <w:bookmarkEnd w:id="78"/>
    </w:p>
    <w:p>
      <w:pPr>
        <w:pStyle w:val="3"/>
        <w:rPr>
          <w:rFonts w:ascii="仿宋" w:hAnsi="仿宋" w:eastAsia="仿宋"/>
        </w:rPr>
      </w:pPr>
      <w:bookmarkStart w:id="79" w:name="_Toc17568"/>
      <w:bookmarkStart w:id="80" w:name="_Toc15396620"/>
      <w:r>
        <w:rPr>
          <w:rFonts w:hint="eastAsia" w:ascii="仿宋" w:hAnsi="仿宋" w:eastAsia="仿宋"/>
          <w:b w:val="0"/>
        </w:rPr>
        <w:t>二、收</w:t>
      </w:r>
      <w:r>
        <w:rPr>
          <w:rStyle w:val="22"/>
          <w:rFonts w:hint="eastAsia" w:ascii="仿宋" w:hAnsi="仿宋" w:eastAsia="仿宋"/>
          <w:b w:val="0"/>
          <w:bCs w:val="0"/>
        </w:rPr>
        <w:t>入决算表</w:t>
      </w:r>
      <w:bookmarkEnd w:id="79"/>
      <w:bookmarkEnd w:id="80"/>
    </w:p>
    <w:p>
      <w:pPr>
        <w:pStyle w:val="3"/>
        <w:rPr>
          <w:rFonts w:ascii="仿宋" w:hAnsi="仿宋" w:eastAsia="仿宋"/>
        </w:rPr>
      </w:pPr>
      <w:bookmarkStart w:id="81" w:name="_Toc2601"/>
      <w:bookmarkStart w:id="82" w:name="_Toc15396621"/>
      <w:r>
        <w:rPr>
          <w:rStyle w:val="22"/>
          <w:rFonts w:hint="eastAsia" w:ascii="仿宋" w:hAnsi="仿宋" w:eastAsia="仿宋"/>
          <w:b w:val="0"/>
          <w:bCs w:val="0"/>
        </w:rPr>
        <w:t>三、</w:t>
      </w:r>
      <w:r>
        <w:rPr>
          <w:rFonts w:hint="eastAsia" w:ascii="仿宋" w:hAnsi="仿宋" w:eastAsia="仿宋"/>
          <w:b w:val="0"/>
        </w:rPr>
        <w:t>支</w:t>
      </w:r>
      <w:r>
        <w:rPr>
          <w:rStyle w:val="22"/>
          <w:rFonts w:hint="eastAsia" w:ascii="仿宋" w:hAnsi="仿宋" w:eastAsia="仿宋"/>
          <w:b w:val="0"/>
          <w:bCs w:val="0"/>
        </w:rPr>
        <w:t>出决算表</w:t>
      </w:r>
      <w:bookmarkEnd w:id="81"/>
      <w:bookmarkEnd w:id="82"/>
    </w:p>
    <w:p>
      <w:pPr>
        <w:pStyle w:val="3"/>
        <w:rPr>
          <w:rFonts w:ascii="仿宋" w:hAnsi="仿宋" w:eastAsia="仿宋"/>
          <w:b w:val="0"/>
        </w:rPr>
      </w:pPr>
      <w:bookmarkStart w:id="83" w:name="_Toc15396622"/>
      <w:bookmarkStart w:id="84" w:name="_Toc20898"/>
      <w:r>
        <w:rPr>
          <w:rStyle w:val="22"/>
          <w:rFonts w:hint="eastAsia" w:ascii="仿宋" w:hAnsi="仿宋" w:eastAsia="仿宋"/>
          <w:b w:val="0"/>
          <w:bCs w:val="0"/>
        </w:rPr>
        <w:t>四、</w:t>
      </w:r>
      <w:r>
        <w:rPr>
          <w:rFonts w:hint="eastAsia" w:ascii="仿宋" w:hAnsi="仿宋" w:eastAsia="仿宋"/>
          <w:b w:val="0"/>
        </w:rPr>
        <w:t>财</w:t>
      </w:r>
      <w:r>
        <w:rPr>
          <w:rStyle w:val="22"/>
          <w:rFonts w:hint="eastAsia" w:ascii="仿宋" w:hAnsi="仿宋" w:eastAsia="仿宋"/>
          <w:b w:val="0"/>
          <w:bCs w:val="0"/>
        </w:rPr>
        <w:t>政拨款收入支出决算总表</w:t>
      </w:r>
      <w:bookmarkEnd w:id="83"/>
      <w:bookmarkEnd w:id="84"/>
    </w:p>
    <w:p>
      <w:pPr>
        <w:pStyle w:val="3"/>
        <w:rPr>
          <w:rStyle w:val="22"/>
          <w:rFonts w:ascii="仿宋" w:hAnsi="仿宋" w:eastAsia="仿宋"/>
          <w:b w:val="0"/>
          <w:bCs w:val="0"/>
        </w:rPr>
      </w:pPr>
      <w:bookmarkStart w:id="85" w:name="_Toc15396623"/>
      <w:bookmarkStart w:id="86" w:name="_Toc30829"/>
      <w:r>
        <w:rPr>
          <w:rStyle w:val="22"/>
          <w:rFonts w:hint="eastAsia" w:ascii="仿宋" w:hAnsi="仿宋" w:eastAsia="仿宋"/>
          <w:b w:val="0"/>
          <w:bCs w:val="0"/>
        </w:rPr>
        <w:t>五、</w:t>
      </w:r>
      <w:r>
        <w:rPr>
          <w:rFonts w:hint="eastAsia" w:ascii="仿宋" w:hAnsi="仿宋" w:eastAsia="仿宋"/>
          <w:b w:val="0"/>
        </w:rPr>
        <w:t>财</w:t>
      </w:r>
      <w:r>
        <w:rPr>
          <w:rStyle w:val="22"/>
          <w:rFonts w:hint="eastAsia" w:ascii="仿宋" w:hAnsi="仿宋" w:eastAsia="仿宋"/>
          <w:b w:val="0"/>
          <w:bCs w:val="0"/>
        </w:rPr>
        <w:t>政拨款支出决算明细表</w:t>
      </w:r>
      <w:bookmarkEnd w:id="85"/>
      <w:bookmarkEnd w:id="86"/>
      <w:bookmarkStart w:id="87" w:name="_Toc15396624"/>
    </w:p>
    <w:p>
      <w:pPr>
        <w:pStyle w:val="3"/>
        <w:rPr>
          <w:rFonts w:ascii="仿宋" w:hAnsi="仿宋" w:eastAsia="仿宋"/>
        </w:rPr>
      </w:pPr>
      <w:bookmarkStart w:id="88" w:name="_Toc31764"/>
      <w:r>
        <w:rPr>
          <w:rStyle w:val="22"/>
          <w:rFonts w:hint="eastAsia" w:ascii="仿宋" w:hAnsi="仿宋" w:eastAsia="仿宋"/>
          <w:b w:val="0"/>
          <w:bCs w:val="0"/>
        </w:rPr>
        <w:t>六、</w:t>
      </w:r>
      <w:r>
        <w:rPr>
          <w:rFonts w:hint="eastAsia" w:ascii="仿宋" w:hAnsi="仿宋" w:eastAsia="仿宋"/>
          <w:b w:val="0"/>
        </w:rPr>
        <w:t>一</w:t>
      </w:r>
      <w:r>
        <w:rPr>
          <w:rStyle w:val="22"/>
          <w:rFonts w:hint="eastAsia" w:ascii="仿宋" w:hAnsi="仿宋" w:eastAsia="仿宋"/>
          <w:b w:val="0"/>
          <w:bCs w:val="0"/>
        </w:rPr>
        <w:t>般公共预算财政拨款支出决算表</w:t>
      </w:r>
      <w:bookmarkEnd w:id="87"/>
      <w:bookmarkEnd w:id="88"/>
    </w:p>
    <w:p>
      <w:pPr>
        <w:pStyle w:val="3"/>
        <w:rPr>
          <w:rFonts w:ascii="仿宋" w:hAnsi="仿宋" w:eastAsia="仿宋"/>
        </w:rPr>
      </w:pPr>
      <w:bookmarkStart w:id="89" w:name="_Toc31226"/>
      <w:bookmarkStart w:id="90" w:name="_Toc15396625"/>
      <w:r>
        <w:rPr>
          <w:rStyle w:val="22"/>
          <w:rFonts w:hint="eastAsia" w:ascii="仿宋" w:hAnsi="仿宋" w:eastAsia="仿宋"/>
          <w:b w:val="0"/>
          <w:bCs w:val="0"/>
        </w:rPr>
        <w:t>七、</w:t>
      </w:r>
      <w:r>
        <w:rPr>
          <w:rFonts w:hint="eastAsia" w:ascii="仿宋" w:hAnsi="仿宋" w:eastAsia="仿宋"/>
          <w:b w:val="0"/>
        </w:rPr>
        <w:t>一</w:t>
      </w:r>
      <w:r>
        <w:rPr>
          <w:rStyle w:val="22"/>
          <w:rFonts w:hint="eastAsia" w:ascii="仿宋" w:hAnsi="仿宋" w:eastAsia="仿宋"/>
          <w:b w:val="0"/>
          <w:bCs w:val="0"/>
        </w:rPr>
        <w:t>般公共预算财政拨款支出决算明细表</w:t>
      </w:r>
      <w:bookmarkEnd w:id="89"/>
      <w:bookmarkEnd w:id="90"/>
    </w:p>
    <w:p>
      <w:pPr>
        <w:pStyle w:val="3"/>
        <w:rPr>
          <w:rFonts w:ascii="仿宋" w:hAnsi="仿宋" w:eastAsia="仿宋"/>
        </w:rPr>
      </w:pPr>
      <w:bookmarkStart w:id="91" w:name="_Toc21227"/>
      <w:bookmarkStart w:id="92" w:name="_Toc15396626"/>
      <w:r>
        <w:rPr>
          <w:rStyle w:val="22"/>
          <w:rFonts w:hint="eastAsia" w:ascii="仿宋" w:hAnsi="仿宋" w:eastAsia="仿宋"/>
          <w:b w:val="0"/>
          <w:bCs w:val="0"/>
        </w:rPr>
        <w:t>八、</w:t>
      </w:r>
      <w:r>
        <w:rPr>
          <w:rFonts w:hint="eastAsia" w:ascii="仿宋" w:hAnsi="仿宋" w:eastAsia="仿宋"/>
          <w:b w:val="0"/>
        </w:rPr>
        <w:t>一</w:t>
      </w:r>
      <w:r>
        <w:rPr>
          <w:rStyle w:val="22"/>
          <w:rFonts w:hint="eastAsia" w:ascii="仿宋" w:hAnsi="仿宋" w:eastAsia="仿宋"/>
          <w:b w:val="0"/>
          <w:bCs w:val="0"/>
        </w:rPr>
        <w:t>般公共预算财政拨款基本支出决算表</w:t>
      </w:r>
      <w:bookmarkEnd w:id="91"/>
      <w:bookmarkEnd w:id="92"/>
    </w:p>
    <w:p>
      <w:pPr>
        <w:pStyle w:val="3"/>
        <w:rPr>
          <w:rFonts w:ascii="仿宋" w:hAnsi="仿宋" w:eastAsia="仿宋"/>
        </w:rPr>
      </w:pPr>
      <w:bookmarkStart w:id="93" w:name="_Toc18590"/>
      <w:bookmarkStart w:id="94" w:name="_Toc15396627"/>
      <w:r>
        <w:rPr>
          <w:rStyle w:val="22"/>
          <w:rFonts w:hint="eastAsia" w:ascii="仿宋" w:hAnsi="仿宋" w:eastAsia="仿宋"/>
          <w:b w:val="0"/>
          <w:bCs w:val="0"/>
        </w:rPr>
        <w:t>九、</w:t>
      </w:r>
      <w:r>
        <w:rPr>
          <w:rFonts w:hint="eastAsia" w:ascii="仿宋" w:hAnsi="仿宋" w:eastAsia="仿宋"/>
          <w:b w:val="0"/>
        </w:rPr>
        <w:t>一</w:t>
      </w:r>
      <w:r>
        <w:rPr>
          <w:rStyle w:val="22"/>
          <w:rFonts w:hint="eastAsia" w:ascii="仿宋" w:hAnsi="仿宋" w:eastAsia="仿宋"/>
          <w:b w:val="0"/>
          <w:bCs w:val="0"/>
        </w:rPr>
        <w:t>般公共预算财政拨款项目支出决算表</w:t>
      </w:r>
      <w:bookmarkEnd w:id="93"/>
      <w:bookmarkEnd w:id="94"/>
    </w:p>
    <w:p>
      <w:pPr>
        <w:pStyle w:val="3"/>
        <w:rPr>
          <w:rFonts w:ascii="仿宋" w:hAnsi="仿宋" w:eastAsia="仿宋"/>
        </w:rPr>
      </w:pPr>
      <w:bookmarkStart w:id="95" w:name="_Toc15396628"/>
      <w:bookmarkStart w:id="96" w:name="_Toc15521"/>
      <w:r>
        <w:rPr>
          <w:rStyle w:val="22"/>
          <w:rFonts w:hint="eastAsia" w:ascii="仿宋" w:hAnsi="仿宋" w:eastAsia="仿宋"/>
          <w:b w:val="0"/>
          <w:bCs w:val="0"/>
        </w:rPr>
        <w:t>十、</w:t>
      </w:r>
      <w:bookmarkEnd w:id="95"/>
      <w:r>
        <w:rPr>
          <w:rFonts w:hint="eastAsia" w:ascii="仿宋" w:hAnsi="仿宋" w:eastAsia="仿宋"/>
          <w:b w:val="0"/>
        </w:rPr>
        <w:t>政</w:t>
      </w:r>
      <w:r>
        <w:rPr>
          <w:rStyle w:val="22"/>
          <w:rFonts w:hint="eastAsia" w:ascii="仿宋" w:hAnsi="仿宋" w:eastAsia="仿宋"/>
          <w:b w:val="0"/>
          <w:bCs w:val="0"/>
        </w:rPr>
        <w:t>府性基金预算财政拨款收入支出决算表</w:t>
      </w:r>
      <w:bookmarkEnd w:id="96"/>
    </w:p>
    <w:p>
      <w:pPr>
        <w:pStyle w:val="3"/>
        <w:rPr>
          <w:rFonts w:ascii="仿宋" w:hAnsi="仿宋" w:eastAsia="仿宋"/>
        </w:rPr>
      </w:pPr>
      <w:bookmarkStart w:id="97" w:name="_Toc15396629"/>
      <w:bookmarkStart w:id="98" w:name="_Toc7470"/>
      <w:r>
        <w:rPr>
          <w:rStyle w:val="22"/>
          <w:rFonts w:hint="eastAsia" w:ascii="仿宋" w:hAnsi="仿宋" w:eastAsia="仿宋"/>
          <w:b w:val="0"/>
          <w:bCs w:val="0"/>
        </w:rPr>
        <w:t>十一、</w:t>
      </w:r>
      <w:bookmarkEnd w:id="97"/>
      <w:r>
        <w:rPr>
          <w:rFonts w:hint="eastAsia" w:ascii="仿宋" w:hAnsi="仿宋" w:eastAsia="仿宋"/>
          <w:b w:val="0"/>
        </w:rPr>
        <w:t>国</w:t>
      </w:r>
      <w:r>
        <w:rPr>
          <w:rStyle w:val="22"/>
          <w:rFonts w:hint="eastAsia" w:ascii="仿宋" w:hAnsi="仿宋" w:eastAsia="仿宋"/>
          <w:b w:val="0"/>
          <w:bCs w:val="0"/>
        </w:rPr>
        <w:t>有资本经营预算财政拨款收入支出决算表</w:t>
      </w:r>
      <w:bookmarkEnd w:id="98"/>
    </w:p>
    <w:p>
      <w:pPr>
        <w:pStyle w:val="3"/>
        <w:rPr>
          <w:rFonts w:ascii="仿宋" w:hAnsi="仿宋" w:eastAsia="仿宋"/>
        </w:rPr>
      </w:pPr>
      <w:bookmarkStart w:id="99" w:name="_Toc15396630"/>
      <w:bookmarkStart w:id="100" w:name="_Toc20983"/>
      <w:r>
        <w:rPr>
          <w:rStyle w:val="22"/>
          <w:rFonts w:hint="eastAsia" w:ascii="仿宋" w:hAnsi="仿宋" w:eastAsia="仿宋"/>
          <w:b w:val="0"/>
          <w:bCs w:val="0"/>
        </w:rPr>
        <w:t>十二、</w:t>
      </w:r>
      <w:bookmarkEnd w:id="99"/>
      <w:r>
        <w:rPr>
          <w:rStyle w:val="22"/>
          <w:rFonts w:hint="eastAsia" w:ascii="仿宋" w:hAnsi="仿宋" w:eastAsia="仿宋"/>
          <w:b w:val="0"/>
          <w:bCs w:val="0"/>
        </w:rPr>
        <w:t>国有资本经营预算财政拨款支出决算表</w:t>
      </w:r>
      <w:bookmarkEnd w:id="100"/>
    </w:p>
    <w:p>
      <w:pPr>
        <w:pStyle w:val="3"/>
        <w:rPr>
          <w:rFonts w:eastAsia="仿宋"/>
        </w:rPr>
      </w:pPr>
      <w:bookmarkStart w:id="101" w:name="_Toc15396631"/>
      <w:bookmarkStart w:id="102" w:name="_Toc19389"/>
      <w:r>
        <w:rPr>
          <w:rStyle w:val="22"/>
          <w:rFonts w:hint="eastAsia" w:ascii="仿宋" w:hAnsi="仿宋" w:eastAsia="仿宋"/>
          <w:b w:val="0"/>
          <w:bCs w:val="0"/>
        </w:rPr>
        <w:t>十三、</w:t>
      </w:r>
      <w:bookmarkEnd w:id="101"/>
      <w:r>
        <w:rPr>
          <w:rStyle w:val="22"/>
          <w:rFonts w:hint="eastAsia" w:ascii="仿宋" w:hAnsi="仿宋" w:eastAsia="仿宋"/>
          <w:b w:val="0"/>
          <w:bCs w:val="0"/>
        </w:rPr>
        <w:t>财政拨款“三公”经费支出决算表</w:t>
      </w:r>
      <w:bookmarkEnd w:id="102"/>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9"/>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JhKX8c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lm&#10;efoANWbdB8xLwzs/4NLMfkBnZj2oaPMX+RCMo7jnq7hySETkR+vVel1hSGBsviA+e3geIqT30luS&#10;jYZGnF4RlZ8+QhpT55Rczfk7bUyZoHH/OBAze1jufewxW2nYDxOhvW/PyKfHwTfU4Z5TYj441DXv&#10;yGzE2djPxjFEfejKEuV6EG6PCZsoveUKI+xUGCdW2E3blVfi8b1kPfxR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3JhKX8cBAACZAwAADgAAAAAAAAABACAAAAAeAQAAZHJzL2Uyb0RvYy54&#10;bWxQSwUGAAAAAAYABgBZAQAAVwUAAAAA&#10;">
              <v:fill on="f" focussize="0,0"/>
              <v:stroke on="f"/>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9"/>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5763"/>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9"/>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RbXs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8pcdziwM/fv51//Dr//EqW&#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50W17IAQAAmQMAAA4AAAAAAAAAAQAgAAAAHgEAAGRycy9lMm9Eb2Mu&#10;eG1sUEsFBgAAAAAGAAYAWQEAAFgFAAAAAA==&#10;">
              <v:fill on="f" focussize="0,0"/>
              <v:stroke on="f"/>
              <v:imagedata o:title=""/>
              <o:lock v:ext="edit" aspectratio="f"/>
              <v:textbox inset="0mm,0mm,0mm,0mm" style="mso-fit-shape-to-text:t;">
                <w:txbxContent>
                  <w:sdt>
                    <w:sdtPr>
                      <w:id w:val="147465763"/>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9"/>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1262893"/>
    <w:multiLevelType w:val="singleLevel"/>
    <w:tmpl w:val="11262893"/>
    <w:lvl w:ilvl="0" w:tentative="0">
      <w:start w:val="1"/>
      <w:numFmt w:val="decimal"/>
      <w:suff w:val="nothing"/>
      <w:lvlText w:val="%1．"/>
      <w:lvlJc w:val="left"/>
      <w:pPr>
        <w:ind w:left="0" w:firstLine="403"/>
      </w:pPr>
      <w:rPr>
        <w:rFonts w:hint="default" w:eastAsia="仿宋"/>
        <w:b/>
      </w:rPr>
    </w:lvl>
  </w:abstractNum>
  <w:abstractNum w:abstractNumId="3">
    <w:nsid w:val="11FA7510"/>
    <w:multiLevelType w:val="singleLevel"/>
    <w:tmpl w:val="11FA7510"/>
    <w:lvl w:ilvl="0" w:tentative="0">
      <w:start w:val="1"/>
      <w:numFmt w:val="decimal"/>
      <w:suff w:val="nothing"/>
      <w:lvlText w:val="%1．"/>
      <w:lvlJc w:val="left"/>
      <w:pPr>
        <w:ind w:left="0" w:firstLine="400"/>
      </w:pPr>
      <w:rPr>
        <w:rFonts w:hint="default"/>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6BD0A6F"/>
    <w:multiLevelType w:val="singleLevel"/>
    <w:tmpl w:val="26BD0A6F"/>
    <w:lvl w:ilvl="0" w:tentative="0">
      <w:start w:val="1"/>
      <w:numFmt w:val="decimal"/>
      <w:suff w:val="nothing"/>
      <w:lvlText w:val="%1．"/>
      <w:lvlJc w:val="left"/>
      <w:pPr>
        <w:ind w:left="0" w:firstLine="400"/>
      </w:pPr>
      <w:rPr>
        <w:rFonts w:hint="default"/>
      </w:r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4"/>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DJkODZiODM1OGNiOTdlYWMxZGQ3MWJmMmYwNGIifQ=="/>
  </w:docVars>
  <w:rsids>
    <w:rsidRoot w:val="00F1361C"/>
    <w:rsid w:val="000222C6"/>
    <w:rsid w:val="0002458E"/>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F8C"/>
    <w:rsid w:val="004223DE"/>
    <w:rsid w:val="00434489"/>
    <w:rsid w:val="00437085"/>
    <w:rsid w:val="00443880"/>
    <w:rsid w:val="004464F4"/>
    <w:rsid w:val="00471401"/>
    <w:rsid w:val="00473F31"/>
    <w:rsid w:val="0048263A"/>
    <w:rsid w:val="00487E5D"/>
    <w:rsid w:val="00496CF5"/>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2C30"/>
    <w:rsid w:val="005F1A4C"/>
    <w:rsid w:val="00603E7F"/>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4EE7"/>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527"/>
    <w:rsid w:val="00CE7B61"/>
    <w:rsid w:val="00D00095"/>
    <w:rsid w:val="00D114F0"/>
    <w:rsid w:val="00D20620"/>
    <w:rsid w:val="00D24416"/>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D46AEE"/>
    <w:rsid w:val="039B5867"/>
    <w:rsid w:val="053A62B5"/>
    <w:rsid w:val="05E629D0"/>
    <w:rsid w:val="07237DE5"/>
    <w:rsid w:val="077324C8"/>
    <w:rsid w:val="0A2032A3"/>
    <w:rsid w:val="0AAE527D"/>
    <w:rsid w:val="0B8A37D8"/>
    <w:rsid w:val="0BB455E8"/>
    <w:rsid w:val="0DA8006B"/>
    <w:rsid w:val="0E8B4CAB"/>
    <w:rsid w:val="104651D0"/>
    <w:rsid w:val="10C055FF"/>
    <w:rsid w:val="10ED1AD6"/>
    <w:rsid w:val="118107EC"/>
    <w:rsid w:val="11DD6519"/>
    <w:rsid w:val="16BB723D"/>
    <w:rsid w:val="18015F3F"/>
    <w:rsid w:val="19D9277E"/>
    <w:rsid w:val="1A2E7B57"/>
    <w:rsid w:val="1BE8440E"/>
    <w:rsid w:val="1D155CEE"/>
    <w:rsid w:val="207B61DA"/>
    <w:rsid w:val="20F57F95"/>
    <w:rsid w:val="22D438A1"/>
    <w:rsid w:val="235D7BBB"/>
    <w:rsid w:val="240371BF"/>
    <w:rsid w:val="24F125B8"/>
    <w:rsid w:val="25711CC6"/>
    <w:rsid w:val="25C741E6"/>
    <w:rsid w:val="27842671"/>
    <w:rsid w:val="29FD04D3"/>
    <w:rsid w:val="2ABE7A3E"/>
    <w:rsid w:val="2CA234A8"/>
    <w:rsid w:val="2E357CD8"/>
    <w:rsid w:val="2EFA178C"/>
    <w:rsid w:val="3097313E"/>
    <w:rsid w:val="30B46D73"/>
    <w:rsid w:val="319F7F4E"/>
    <w:rsid w:val="32B37750"/>
    <w:rsid w:val="338410BB"/>
    <w:rsid w:val="356F36CF"/>
    <w:rsid w:val="38076667"/>
    <w:rsid w:val="383D272C"/>
    <w:rsid w:val="38E87D8F"/>
    <w:rsid w:val="39AE70AB"/>
    <w:rsid w:val="3C0C0783"/>
    <w:rsid w:val="3EDA665A"/>
    <w:rsid w:val="3F2473AB"/>
    <w:rsid w:val="3F7F7340"/>
    <w:rsid w:val="3F9F3A96"/>
    <w:rsid w:val="429D1CC4"/>
    <w:rsid w:val="47CA7BE6"/>
    <w:rsid w:val="480011A0"/>
    <w:rsid w:val="48B7695A"/>
    <w:rsid w:val="48BF60AB"/>
    <w:rsid w:val="493C27E9"/>
    <w:rsid w:val="496F39ED"/>
    <w:rsid w:val="49FF41D3"/>
    <w:rsid w:val="4BE068DB"/>
    <w:rsid w:val="4BF6002B"/>
    <w:rsid w:val="4ECE2238"/>
    <w:rsid w:val="51DB4B86"/>
    <w:rsid w:val="53E95C80"/>
    <w:rsid w:val="55333C3E"/>
    <w:rsid w:val="557C31A6"/>
    <w:rsid w:val="57B3469E"/>
    <w:rsid w:val="59702E94"/>
    <w:rsid w:val="5B611B80"/>
    <w:rsid w:val="5DB47A05"/>
    <w:rsid w:val="5FFC5D0D"/>
    <w:rsid w:val="6198022C"/>
    <w:rsid w:val="62605F13"/>
    <w:rsid w:val="64CA39A1"/>
    <w:rsid w:val="69630ADE"/>
    <w:rsid w:val="6C4A05C8"/>
    <w:rsid w:val="6D3211F0"/>
    <w:rsid w:val="6D3B1A89"/>
    <w:rsid w:val="6E427267"/>
    <w:rsid w:val="6ECD4090"/>
    <w:rsid w:val="71BF4EC2"/>
    <w:rsid w:val="72416448"/>
    <w:rsid w:val="72734D90"/>
    <w:rsid w:val="7412278C"/>
    <w:rsid w:val="751C56B1"/>
    <w:rsid w:val="755C336E"/>
    <w:rsid w:val="79E7B28D"/>
    <w:rsid w:val="7AEC382A"/>
    <w:rsid w:val="7BAB6B37"/>
    <w:rsid w:val="7C2C0500"/>
    <w:rsid w:val="7D7E799E"/>
    <w:rsid w:val="7F5A78C7"/>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5"/>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UserStyle_0"/>
    <w:basedOn w:val="20"/>
    <w:next w:val="1"/>
    <w:qFormat/>
    <w:uiPriority w:val="0"/>
    <w:pPr>
      <w:widowControl/>
      <w:ind w:firstLine="420" w:firstLineChars="200"/>
    </w:pPr>
  </w:style>
  <w:style w:type="paragraph" w:customStyle="1" w:styleId="20">
    <w:name w:val="UserStyle_1"/>
    <w:basedOn w:val="1"/>
    <w:qFormat/>
    <w:uiPriority w:val="0"/>
    <w:pPr>
      <w:spacing w:after="120"/>
      <w:ind w:left="420" w:leftChars="200"/>
      <w:textAlignment w:val="baseline"/>
    </w:pPr>
  </w:style>
  <w:style w:type="character" w:customStyle="1" w:styleId="21">
    <w:name w:val="标题 1 Char"/>
    <w:basedOn w:val="16"/>
    <w:link w:val="2"/>
    <w:qFormat/>
    <w:uiPriority w:val="9"/>
    <w:rPr>
      <w:rFonts w:ascii="Times New Roman" w:hAnsi="Times New Roman"/>
      <w:b/>
      <w:bCs/>
      <w:kern w:val="44"/>
      <w:sz w:val="44"/>
      <w:szCs w:val="44"/>
    </w:rPr>
  </w:style>
  <w:style w:type="character" w:customStyle="1" w:styleId="22">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23">
    <w:name w:val="标题 3 Char"/>
    <w:basedOn w:val="16"/>
    <w:link w:val="4"/>
    <w:qFormat/>
    <w:uiPriority w:val="9"/>
    <w:rPr>
      <w:rFonts w:ascii="Times New Roman" w:hAnsi="Times New Roman"/>
      <w:b/>
      <w:bCs/>
      <w:kern w:val="2"/>
      <w:sz w:val="32"/>
      <w:szCs w:val="32"/>
    </w:rPr>
  </w:style>
  <w:style w:type="character" w:customStyle="1" w:styleId="24">
    <w:name w:val="正文文本 Char"/>
    <w:link w:val="5"/>
    <w:qFormat/>
    <w:locked/>
    <w:uiPriority w:val="99"/>
    <w:rPr>
      <w:rFonts w:ascii="仿宋_GB2312" w:hAnsi="Times New Roman" w:eastAsia="仿宋_GB2312"/>
      <w:sz w:val="24"/>
    </w:rPr>
  </w:style>
  <w:style w:type="character" w:customStyle="1" w:styleId="25">
    <w:name w:val="批注框文本 Char"/>
    <w:basedOn w:val="16"/>
    <w:link w:val="9"/>
    <w:semiHidden/>
    <w:qFormat/>
    <w:uiPriority w:val="99"/>
    <w:rPr>
      <w:rFonts w:ascii="Times New Roman" w:hAnsi="Times New Roman"/>
      <w:kern w:val="2"/>
      <w:sz w:val="18"/>
      <w:szCs w:val="18"/>
    </w:rPr>
  </w:style>
  <w:style w:type="character" w:customStyle="1" w:styleId="26">
    <w:name w:val="页脚 Char"/>
    <w:link w:val="10"/>
    <w:qFormat/>
    <w:locked/>
    <w:uiPriority w:val="99"/>
    <w:rPr>
      <w:sz w:val="18"/>
    </w:rPr>
  </w:style>
  <w:style w:type="character" w:customStyle="1" w:styleId="27">
    <w:name w:val="页眉 Char"/>
    <w:link w:val="11"/>
    <w:semiHidden/>
    <w:qFormat/>
    <w:locked/>
    <w:uiPriority w:val="99"/>
    <w:rPr>
      <w:sz w:val="18"/>
    </w:rPr>
  </w:style>
  <w:style w:type="character" w:customStyle="1" w:styleId="28">
    <w:name w:val="Header Char"/>
    <w:basedOn w:val="16"/>
    <w:semiHidden/>
    <w:qFormat/>
    <w:uiPriority w:val="99"/>
    <w:rPr>
      <w:rFonts w:ascii="Times New Roman" w:hAnsi="Times New Roman"/>
      <w:sz w:val="18"/>
      <w:szCs w:val="18"/>
    </w:rPr>
  </w:style>
  <w:style w:type="character" w:customStyle="1" w:styleId="29">
    <w:name w:val="Footer Char"/>
    <w:basedOn w:val="16"/>
    <w:semiHidden/>
    <w:qFormat/>
    <w:uiPriority w:val="99"/>
    <w:rPr>
      <w:rFonts w:ascii="Times New Roman" w:hAnsi="Times New Roman"/>
      <w:sz w:val="18"/>
      <w:szCs w:val="18"/>
    </w:rPr>
  </w:style>
  <w:style w:type="character" w:customStyle="1" w:styleId="30">
    <w:name w:val="Body Text Char"/>
    <w:basedOn w:val="16"/>
    <w:semiHidden/>
    <w:qFormat/>
    <w:uiPriority w:val="99"/>
    <w:rPr>
      <w:rFonts w:ascii="Times New Roman" w:hAnsi="Times New Roman"/>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231168517624336"/>
          <c:y val="0.853359298928919"/>
        </c:manualLayout>
      </c:layout>
      <c:overlay val="0"/>
      <c:spPr>
        <a:noFill/>
        <a:ln>
          <a:noFill/>
        </a:ln>
        <a:effectLst/>
      </c:spPr>
    </c:title>
    <c:autoTitleDeleted val="0"/>
    <c:plotArea>
      <c:layout>
        <c:manualLayout>
          <c:layoutTarget val="inner"/>
          <c:xMode val="edge"/>
          <c:yMode val="edge"/>
          <c:x val="0.0737243220019999"/>
          <c:y val="0.0431051187925599"/>
          <c:w val="0.908425881216803"/>
          <c:h val="0.71037361719891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376.45</c:v>
                </c:pt>
                <c:pt idx="1">
                  <c:v>587.03</c:v>
                </c:pt>
              </c:numCache>
            </c:numRef>
          </c:val>
        </c:ser>
        <c:dLbls>
          <c:showLegendKey val="0"/>
          <c:showVal val="1"/>
          <c:showCatName val="0"/>
          <c:showSerName val="0"/>
          <c:showPercent val="0"/>
          <c:showBubbleSize val="0"/>
        </c:dLbls>
        <c:gapWidth val="219"/>
        <c:overlap val="-27"/>
        <c:axId val="201606656"/>
        <c:axId val="233728640"/>
      </c:barChart>
      <c:catAx>
        <c:axId val="2016066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728640"/>
        <c:crosses val="autoZero"/>
        <c:auto val="1"/>
        <c:lblAlgn val="ctr"/>
        <c:lblOffset val="100"/>
        <c:noMultiLvlLbl val="0"/>
      </c:catAx>
      <c:valAx>
        <c:axId val="233728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606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527.22</c:v>
                </c:pt>
                <c:pt idx="1">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132.32</c:v>
                </c:pt>
                <c:pt idx="1">
                  <c:v>400.95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7793710085552"/>
          <c:y val="0.310489024729092"/>
          <c:w val="0.908591396553802"/>
          <c:h val="0.574590163934426"/>
        </c:manualLayout>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256.58</c:v>
                </c:pt>
                <c:pt idx="1">
                  <c:v>527.22</c:v>
                </c:pt>
              </c:numCache>
            </c:numRef>
          </c:val>
        </c:ser>
        <c:dLbls>
          <c:showLegendKey val="0"/>
          <c:showVal val="1"/>
          <c:showCatName val="0"/>
          <c:showSerName val="0"/>
          <c:showPercent val="0"/>
          <c:showBubbleSize val="0"/>
        </c:dLbls>
        <c:gapWidth val="219"/>
        <c:overlap val="-27"/>
        <c:axId val="90982272"/>
        <c:axId val="90983808"/>
      </c:barChart>
      <c:catAx>
        <c:axId val="909822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83808"/>
        <c:crosses val="autoZero"/>
        <c:auto val="1"/>
        <c:lblAlgn val="ctr"/>
        <c:lblOffset val="100"/>
        <c:noMultiLvlLbl val="0"/>
      </c:catAx>
      <c:valAx>
        <c:axId val="90983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82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manualLayout>
          <c:xMode val="edge"/>
          <c:yMode val="edge"/>
          <c:x val="0.116867469879518"/>
          <c:y val="0.0683168316831683"/>
        </c:manualLayout>
      </c:layout>
      <c:overlay val="0"/>
      <c:spPr>
        <a:noFill/>
        <a:ln>
          <a:noFill/>
        </a:ln>
        <a:effectLst/>
      </c:spPr>
    </c:title>
    <c:autoTitleDeleted val="0"/>
    <c:plotArea>
      <c:layout>
        <c:manualLayout>
          <c:layoutTarget val="inner"/>
          <c:xMode val="edge"/>
          <c:yMode val="edge"/>
          <c:x val="0.0685060240963855"/>
          <c:y val="0.274587458745874"/>
          <c:w val="0.908602409638554"/>
          <c:h val="0.58891089108910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256.58</c:v>
                </c:pt>
                <c:pt idx="1">
                  <c:v>527.22</c:v>
                </c:pt>
              </c:numCache>
            </c:numRef>
          </c:val>
        </c:ser>
        <c:dLbls>
          <c:showLegendKey val="0"/>
          <c:showVal val="1"/>
          <c:showCatName val="0"/>
          <c:showSerName val="0"/>
          <c:showPercent val="0"/>
          <c:showBubbleSize val="0"/>
        </c:dLbls>
        <c:gapWidth val="219"/>
        <c:overlap val="-27"/>
        <c:axId val="90979328"/>
        <c:axId val="93872896"/>
      </c:barChart>
      <c:catAx>
        <c:axId val="909793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72896"/>
        <c:crosses val="autoZero"/>
        <c:auto val="1"/>
        <c:lblAlgn val="ctr"/>
        <c:lblOffset val="100"/>
        <c:noMultiLvlLbl val="0"/>
      </c:catAx>
      <c:valAx>
        <c:axId val="938728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79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1"/>
              <c:layout>
                <c:manualLayout>
                  <c:x val="-0.0657862854373637"/>
                  <c:y val="-0.021546261089987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447298279622"/>
                  <c:y val="-0.026621063389978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1991761570148"/>
                  <c:y val="0.0098859315589353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1.02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Sheet1!$A$2:$A$5</c:f>
              <c:strCache>
                <c:ptCount val="4"/>
                <c:pt idx="0">
                  <c:v>交通运输支出</c:v>
                </c:pt>
                <c:pt idx="1">
                  <c:v>社会保障和就业支出</c:v>
                </c:pt>
                <c:pt idx="2">
                  <c:v>卫生健康支出</c:v>
                </c:pt>
                <c:pt idx="3">
                  <c:v>住房保障支出</c:v>
                </c:pt>
              </c:strCache>
            </c:strRef>
          </c:cat>
          <c:val>
            <c:numRef>
              <c:f>Sheet1!$B$2:$B$5</c:f>
              <c:numCache>
                <c:formatCode>General</c:formatCode>
                <c:ptCount val="4"/>
                <c:pt idx="0">
                  <c:v>505.99</c:v>
                </c:pt>
                <c:pt idx="1">
                  <c:v>12.01</c:v>
                </c:pt>
                <c:pt idx="2">
                  <c:v>3.84</c:v>
                </c:pt>
                <c:pt idx="3">
                  <c:v>5.38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0.8</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9333</Words>
  <Characters>10699</Characters>
  <Lines>84</Lines>
  <Paragraphs>23</Paragraphs>
  <TotalTime>1</TotalTime>
  <ScaleCrop>false</ScaleCrop>
  <LinksUpToDate>false</LinksUpToDate>
  <CharactersWithSpaces>10880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未知</cp:lastModifiedBy>
  <cp:lastPrinted>2023-07-31T02:35:00Z</cp:lastPrinted>
  <dcterms:modified xsi:type="dcterms:W3CDTF">2024-09-12T08:03:13Z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AB668FAA04034041A09321E3FA57788E_12</vt:lpwstr>
  </property>
</Properties>
</file>