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96597"/>
      <w:bookmarkStart w:id="2" w:name="_Toc15396475"/>
      <w:bookmarkStart w:id="3" w:name="_Toc15377193"/>
      <w:bookmarkStart w:id="4" w:name="_Toc15378441"/>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2023年</w:t>
      </w:r>
      <w:r>
        <w:rPr>
          <w:rFonts w:hint="eastAsia" w:ascii="方正小标宋简体" w:hAnsi="方正小标宋简体" w:eastAsia="方正小标宋简体" w:cs="方正小标宋简体"/>
          <w:color w:val="auto"/>
          <w:sz w:val="72"/>
          <w:szCs w:val="72"/>
          <w:highlight w:val="none"/>
        </w:rPr>
        <w:t>度</w:t>
      </w:r>
      <w:bookmarkEnd w:id="0"/>
      <w:bookmarkEnd w:id="1"/>
      <w:bookmarkEnd w:id="2"/>
      <w:bookmarkEnd w:id="3"/>
      <w:bookmarkEnd w:id="4"/>
    </w:p>
    <w:bookmarkEnd w:id="5"/>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6" w:name="_Toc15320"/>
      <w:bookmarkStart w:id="7" w:name="_Toc15378442"/>
      <w:bookmarkStart w:id="8" w:name="_Toc15396476"/>
      <w:bookmarkStart w:id="9" w:name="_Toc15377426"/>
      <w:bookmarkStart w:id="10" w:name="_Toc15306268"/>
      <w:bookmarkStart w:id="11" w:name="_Toc26981"/>
      <w:bookmarkStart w:id="12" w:name="_Toc15396598"/>
      <w:bookmarkStart w:id="13" w:name="_Toc15377194"/>
      <w:r>
        <w:rPr>
          <w:rFonts w:hint="eastAsia" w:ascii="方正小标宋简体" w:hAnsi="方正小标宋简体" w:eastAsia="方正小标宋简体" w:cs="方正小标宋简体"/>
          <w:color w:val="auto"/>
          <w:sz w:val="72"/>
          <w:szCs w:val="72"/>
          <w:highlight w:val="none"/>
        </w:rPr>
        <w:t>中国共产党遂宁市船山区委员会统战部</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bookmarkEnd w:id="12"/>
      <w:bookmarkEnd w:id="13"/>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1576"/>
        <w15:color w:val="DBDBDB"/>
        <w:docPartObj>
          <w:docPartGallery w:val="Table of Contents"/>
          <w:docPartUnique/>
        </w:docPartObj>
      </w:sdtPr>
      <w:sdtEndPr>
        <w:rPr>
          <w:rFonts w:asciiTheme="majorHAnsi" w:hAnsiTheme="majorHAnsi" w:eastAsiaTheme="majorEastAsia" w:cstheme="majorBidi"/>
          <w:b/>
          <w:bCs/>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pPr>
            <w:pStyle w:val="48"/>
            <w:tabs>
              <w:tab w:val="right" w:leader="dot" w:pos="8306"/>
            </w:tabs>
            <w:rPr>
              <w:b/>
            </w:rPr>
          </w:pPr>
          <w:r>
            <w:rPr>
              <w:b/>
            </w:rPr>
            <w:fldChar w:fldCharType="begin"/>
          </w:r>
          <w:r>
            <w:rPr>
              <w:b/>
            </w:rPr>
            <w:instrText xml:space="preserve"> HYPERLINK \l _Toc19922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_Toc19922 \h </w:instrText>
          </w:r>
          <w:r>
            <w:rPr>
              <w:b/>
            </w:rPr>
            <w:fldChar w:fldCharType="separate"/>
          </w:r>
          <w:r>
            <w:rPr>
              <w:b/>
            </w:rPr>
            <w:t>1</w:t>
          </w:r>
          <w:r>
            <w:rPr>
              <w:b/>
            </w:rPr>
            <w:fldChar w:fldCharType="end"/>
          </w:r>
          <w:r>
            <w:rPr>
              <w:b/>
            </w:rPr>
            <w:fldChar w:fldCharType="end"/>
          </w:r>
        </w:p>
        <w:p>
          <w:pPr>
            <w:pStyle w:val="49"/>
            <w:tabs>
              <w:tab w:val="right" w:leader="dot" w:pos="8306"/>
            </w:tabs>
          </w:pPr>
          <w:r>
            <w:fldChar w:fldCharType="begin"/>
          </w:r>
          <w:r>
            <w:instrText xml:space="preserve"> HYPERLINK \l _Toc25141 </w:instrText>
          </w:r>
          <w:r>
            <w:fldChar w:fldCharType="separate"/>
          </w:r>
          <w:r>
            <w:rPr>
              <w:rFonts w:hint="eastAsia" w:ascii="黑体" w:hAnsi="黑体" w:eastAsia="黑体"/>
              <w:highlight w:val="none"/>
            </w:rPr>
            <w:t>一、</w:t>
          </w:r>
          <w:r>
            <w:rPr>
              <w:rFonts w:hint="eastAsia" w:ascii="黑体" w:hAnsi="黑体" w:eastAsia="黑体"/>
              <w:highlight w:val="none"/>
              <w:lang w:eastAsia="zh-CN"/>
            </w:rPr>
            <w:t>单位职责</w:t>
          </w:r>
          <w:r>
            <w:tab/>
          </w:r>
          <w:r>
            <w:fldChar w:fldCharType="begin"/>
          </w:r>
          <w:r>
            <w:instrText xml:space="preserve"> PAGEREF _Toc25141 \h </w:instrText>
          </w:r>
          <w:r>
            <w:fldChar w:fldCharType="separate"/>
          </w:r>
          <w:r>
            <w:t>1</w:t>
          </w:r>
          <w:r>
            <w:fldChar w:fldCharType="end"/>
          </w:r>
          <w:r>
            <w:fldChar w:fldCharType="end"/>
          </w:r>
        </w:p>
        <w:p>
          <w:pPr>
            <w:pStyle w:val="49"/>
            <w:tabs>
              <w:tab w:val="right" w:leader="dot" w:pos="8306"/>
            </w:tabs>
          </w:pPr>
          <w:r>
            <w:fldChar w:fldCharType="begin"/>
          </w:r>
          <w:r>
            <w:instrText xml:space="preserve"> HYPERLINK \l _Toc11652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_Toc11652 \h </w:instrText>
          </w:r>
          <w:r>
            <w:fldChar w:fldCharType="separate"/>
          </w:r>
          <w:r>
            <w:t>4</w:t>
          </w:r>
          <w:r>
            <w:fldChar w:fldCharType="end"/>
          </w:r>
          <w:r>
            <w:fldChar w:fldCharType="end"/>
          </w:r>
        </w:p>
        <w:p>
          <w:pPr>
            <w:pStyle w:val="48"/>
            <w:tabs>
              <w:tab w:val="right" w:leader="dot" w:pos="8306"/>
            </w:tabs>
            <w:rPr>
              <w:b/>
            </w:rPr>
          </w:pPr>
          <w:r>
            <w:rPr>
              <w:b/>
            </w:rPr>
            <w:fldChar w:fldCharType="begin"/>
          </w:r>
          <w:r>
            <w:rPr>
              <w:b/>
            </w:rPr>
            <w:instrText xml:space="preserve"> HYPERLINK \l _Toc15330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_Toc15330 \h </w:instrText>
          </w:r>
          <w:r>
            <w:rPr>
              <w:b/>
            </w:rPr>
            <w:fldChar w:fldCharType="separate"/>
          </w:r>
          <w:r>
            <w:rPr>
              <w:b/>
            </w:rPr>
            <w:t>5</w:t>
          </w:r>
          <w:r>
            <w:rPr>
              <w:b/>
            </w:rPr>
            <w:fldChar w:fldCharType="end"/>
          </w:r>
          <w:r>
            <w:rPr>
              <w:b/>
            </w:rPr>
            <w:fldChar w:fldCharType="end"/>
          </w:r>
        </w:p>
        <w:p>
          <w:pPr>
            <w:pStyle w:val="49"/>
            <w:tabs>
              <w:tab w:val="right" w:leader="dot" w:pos="8306"/>
            </w:tabs>
          </w:pPr>
          <w:r>
            <w:fldChar w:fldCharType="begin"/>
          </w:r>
          <w:r>
            <w:instrText xml:space="preserve"> HYPERLINK \l _Toc25300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_Toc25300 \h </w:instrText>
          </w:r>
          <w:r>
            <w:fldChar w:fldCharType="separate"/>
          </w:r>
          <w:r>
            <w:t>5</w:t>
          </w:r>
          <w:r>
            <w:fldChar w:fldCharType="end"/>
          </w:r>
          <w:r>
            <w:fldChar w:fldCharType="end"/>
          </w:r>
        </w:p>
        <w:p>
          <w:pPr>
            <w:pStyle w:val="49"/>
            <w:tabs>
              <w:tab w:val="right" w:leader="dot" w:pos="8306"/>
            </w:tabs>
          </w:pPr>
          <w:r>
            <w:fldChar w:fldCharType="begin"/>
          </w:r>
          <w:r>
            <w:instrText xml:space="preserve"> HYPERLINK \l _Toc20235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_Toc20235 \h </w:instrText>
          </w:r>
          <w:r>
            <w:fldChar w:fldCharType="separate"/>
          </w:r>
          <w:r>
            <w:t>5</w:t>
          </w:r>
          <w:r>
            <w:fldChar w:fldCharType="end"/>
          </w:r>
          <w:r>
            <w:fldChar w:fldCharType="end"/>
          </w:r>
        </w:p>
        <w:p>
          <w:pPr>
            <w:pStyle w:val="49"/>
            <w:tabs>
              <w:tab w:val="right" w:leader="dot" w:pos="8306"/>
            </w:tabs>
          </w:pPr>
          <w:r>
            <w:fldChar w:fldCharType="begin"/>
          </w:r>
          <w:r>
            <w:instrText xml:space="preserve"> HYPERLINK \l _Toc8627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_Toc8627 \h </w:instrText>
          </w:r>
          <w:r>
            <w:fldChar w:fldCharType="separate"/>
          </w:r>
          <w:r>
            <w:t>6</w:t>
          </w:r>
          <w:r>
            <w:fldChar w:fldCharType="end"/>
          </w:r>
          <w:r>
            <w:fldChar w:fldCharType="end"/>
          </w:r>
        </w:p>
        <w:p>
          <w:pPr>
            <w:pStyle w:val="49"/>
            <w:tabs>
              <w:tab w:val="right" w:leader="dot" w:pos="8306"/>
            </w:tabs>
          </w:pPr>
          <w:r>
            <w:fldChar w:fldCharType="begin"/>
          </w:r>
          <w:r>
            <w:instrText xml:space="preserve"> HYPERLINK \l _Toc29829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_Toc29829 \h </w:instrText>
          </w:r>
          <w:r>
            <w:fldChar w:fldCharType="separate"/>
          </w:r>
          <w:r>
            <w:t>6</w:t>
          </w:r>
          <w:r>
            <w:fldChar w:fldCharType="end"/>
          </w:r>
          <w:r>
            <w:fldChar w:fldCharType="end"/>
          </w:r>
        </w:p>
        <w:p>
          <w:pPr>
            <w:pStyle w:val="49"/>
            <w:tabs>
              <w:tab w:val="right" w:leader="dot" w:pos="8306"/>
            </w:tabs>
          </w:pPr>
          <w:r>
            <w:fldChar w:fldCharType="begin"/>
          </w:r>
          <w:r>
            <w:instrText xml:space="preserve"> HYPERLINK \l _Toc10656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_Toc10656 \h </w:instrText>
          </w:r>
          <w:r>
            <w:fldChar w:fldCharType="separate"/>
          </w:r>
          <w:r>
            <w:t>7</w:t>
          </w:r>
          <w:r>
            <w:fldChar w:fldCharType="end"/>
          </w:r>
          <w:r>
            <w:fldChar w:fldCharType="end"/>
          </w:r>
        </w:p>
        <w:p>
          <w:pPr>
            <w:pStyle w:val="49"/>
            <w:tabs>
              <w:tab w:val="right" w:leader="dot" w:pos="8306"/>
            </w:tabs>
          </w:pPr>
          <w:r>
            <w:fldChar w:fldCharType="begin"/>
          </w:r>
          <w:r>
            <w:instrText xml:space="preserve"> HYPERLINK \l _Toc6096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_Toc6096 \h </w:instrText>
          </w:r>
          <w:r>
            <w:fldChar w:fldCharType="separate"/>
          </w:r>
          <w:r>
            <w:t>10</w:t>
          </w:r>
          <w:r>
            <w:fldChar w:fldCharType="end"/>
          </w:r>
          <w:r>
            <w:fldChar w:fldCharType="end"/>
          </w:r>
        </w:p>
        <w:p>
          <w:pPr>
            <w:pStyle w:val="49"/>
            <w:tabs>
              <w:tab w:val="right" w:leader="dot" w:pos="8306"/>
            </w:tabs>
          </w:pPr>
          <w:r>
            <w:fldChar w:fldCharType="begin"/>
          </w:r>
          <w:r>
            <w:instrText xml:space="preserve"> HYPERLINK \l _Toc8749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_Toc8749 \h </w:instrText>
          </w:r>
          <w:r>
            <w:fldChar w:fldCharType="separate"/>
          </w:r>
          <w:r>
            <w:t>10</w:t>
          </w:r>
          <w:r>
            <w:fldChar w:fldCharType="end"/>
          </w:r>
          <w:r>
            <w:fldChar w:fldCharType="end"/>
          </w:r>
        </w:p>
        <w:p>
          <w:pPr>
            <w:pStyle w:val="49"/>
            <w:tabs>
              <w:tab w:val="right" w:leader="dot" w:pos="8306"/>
            </w:tabs>
          </w:pPr>
          <w:r>
            <w:fldChar w:fldCharType="begin"/>
          </w:r>
          <w:r>
            <w:instrText xml:space="preserve"> HYPERLINK \l _Toc19450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_Toc19450 \h </w:instrText>
          </w:r>
          <w:r>
            <w:fldChar w:fldCharType="separate"/>
          </w:r>
          <w:r>
            <w:t>12</w:t>
          </w:r>
          <w:r>
            <w:fldChar w:fldCharType="end"/>
          </w:r>
          <w:r>
            <w:fldChar w:fldCharType="end"/>
          </w:r>
        </w:p>
        <w:p>
          <w:pPr>
            <w:pStyle w:val="49"/>
            <w:tabs>
              <w:tab w:val="right" w:leader="dot" w:pos="8306"/>
            </w:tabs>
          </w:pPr>
          <w:r>
            <w:fldChar w:fldCharType="begin"/>
          </w:r>
          <w:r>
            <w:instrText xml:space="preserve"> HYPERLINK \l _Toc23764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_Toc23764 \h </w:instrText>
          </w:r>
          <w:r>
            <w:fldChar w:fldCharType="separate"/>
          </w:r>
          <w:r>
            <w:t>12</w:t>
          </w:r>
          <w:r>
            <w:fldChar w:fldCharType="end"/>
          </w:r>
          <w:r>
            <w:fldChar w:fldCharType="end"/>
          </w:r>
        </w:p>
        <w:p>
          <w:pPr>
            <w:pStyle w:val="49"/>
            <w:tabs>
              <w:tab w:val="right" w:leader="dot" w:pos="8306"/>
            </w:tabs>
          </w:pPr>
          <w:r>
            <w:fldChar w:fldCharType="begin"/>
          </w:r>
          <w:r>
            <w:instrText xml:space="preserve"> HYPERLINK \l _Toc1208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_Toc1208 \h </w:instrText>
          </w:r>
          <w:r>
            <w:fldChar w:fldCharType="separate"/>
          </w:r>
          <w:r>
            <w:t>12</w:t>
          </w:r>
          <w:r>
            <w:fldChar w:fldCharType="end"/>
          </w:r>
          <w:r>
            <w:fldChar w:fldCharType="end"/>
          </w:r>
        </w:p>
        <w:p>
          <w:pPr>
            <w:pStyle w:val="48"/>
            <w:tabs>
              <w:tab w:val="right" w:leader="dot" w:pos="8306"/>
            </w:tabs>
            <w:rPr>
              <w:b/>
            </w:rPr>
          </w:pPr>
          <w:r>
            <w:rPr>
              <w:b/>
            </w:rPr>
            <w:fldChar w:fldCharType="begin"/>
          </w:r>
          <w:r>
            <w:rPr>
              <w:b/>
            </w:rPr>
            <w:instrText xml:space="preserve"> HYPERLINK \l _Toc11816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_Toc11816 \h </w:instrText>
          </w:r>
          <w:r>
            <w:rPr>
              <w:b/>
            </w:rPr>
            <w:fldChar w:fldCharType="separate"/>
          </w:r>
          <w:r>
            <w:rPr>
              <w:b/>
            </w:rPr>
            <w:t>15</w:t>
          </w:r>
          <w:r>
            <w:rPr>
              <w:b/>
            </w:rPr>
            <w:fldChar w:fldCharType="end"/>
          </w:r>
          <w:r>
            <w:rPr>
              <w:b/>
            </w:rPr>
            <w:fldChar w:fldCharType="end"/>
          </w:r>
        </w:p>
        <w:p>
          <w:pPr>
            <w:pStyle w:val="48"/>
            <w:tabs>
              <w:tab w:val="right" w:leader="dot" w:pos="8306"/>
            </w:tabs>
            <w:rPr>
              <w:b/>
            </w:rPr>
          </w:pPr>
          <w:r>
            <w:rPr>
              <w:b/>
            </w:rPr>
            <w:fldChar w:fldCharType="begin"/>
          </w:r>
          <w:r>
            <w:rPr>
              <w:b/>
            </w:rPr>
            <w:instrText xml:space="preserve"> HYPERLINK \l _Toc25069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_Toc25069 \h </w:instrText>
          </w:r>
          <w:r>
            <w:rPr>
              <w:b/>
            </w:rPr>
            <w:fldChar w:fldCharType="separate"/>
          </w:r>
          <w:r>
            <w:rPr>
              <w:b/>
            </w:rPr>
            <w:t>18</w:t>
          </w:r>
          <w:r>
            <w:rPr>
              <w:b/>
            </w:rPr>
            <w:fldChar w:fldCharType="end"/>
          </w:r>
          <w:r>
            <w:rPr>
              <w:b/>
            </w:rPr>
            <w:fldChar w:fldCharType="end"/>
          </w:r>
        </w:p>
        <w:p>
          <w:pPr>
            <w:pStyle w:val="48"/>
            <w:tabs>
              <w:tab w:val="right" w:leader="dot" w:pos="8306"/>
            </w:tabs>
            <w:rPr>
              <w:b/>
            </w:rPr>
          </w:pPr>
          <w:r>
            <w:rPr>
              <w:b/>
            </w:rPr>
            <w:fldChar w:fldCharType="begin"/>
          </w:r>
          <w:r>
            <w:rPr>
              <w:b/>
            </w:rPr>
            <w:instrText xml:space="preserve"> HYPERLINK \l _Toc11570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_Toc11570 \h </w:instrText>
          </w:r>
          <w:r>
            <w:rPr>
              <w:b/>
            </w:rPr>
            <w:fldChar w:fldCharType="separate"/>
          </w:r>
          <w:r>
            <w:rPr>
              <w:b/>
            </w:rPr>
            <w:t>36</w:t>
          </w:r>
          <w:r>
            <w:rPr>
              <w:b/>
            </w:rPr>
            <w:fldChar w:fldCharType="end"/>
          </w:r>
          <w:r>
            <w:rPr>
              <w:b/>
            </w:rPr>
            <w:fldChar w:fldCharType="end"/>
          </w:r>
        </w:p>
        <w:p>
          <w:pPr>
            <w:pStyle w:val="49"/>
            <w:tabs>
              <w:tab w:val="right" w:leader="dot" w:pos="8306"/>
            </w:tabs>
          </w:pPr>
          <w:r>
            <w:fldChar w:fldCharType="begin"/>
          </w:r>
          <w:r>
            <w:instrText xml:space="preserve"> HYPERLINK \l _Toc30281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_Toc30281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_Toc6236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_Toc6236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_Toc3340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_Toc3340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_Toc25972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_Toc25972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_Toc9030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_Toc9030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_Toc5478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_Toc5478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_Toc31281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_Toc31281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_Toc8317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_Toc8317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_Toc23810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_Toc23810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_Toc20710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_Toc20710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_Toc4564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_Toc4564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_Toc28263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_Toc28263 \h </w:instrText>
          </w:r>
          <w:r>
            <w:fldChar w:fldCharType="separate"/>
          </w:r>
          <w:r>
            <w:t>36</w:t>
          </w:r>
          <w:r>
            <w:fldChar w:fldCharType="end"/>
          </w:r>
          <w:r>
            <w:fldChar w:fldCharType="end"/>
          </w:r>
        </w:p>
        <w:p>
          <w:pPr>
            <w:pStyle w:val="49"/>
            <w:tabs>
              <w:tab w:val="right" w:leader="dot" w:pos="8306"/>
            </w:tabs>
          </w:pPr>
          <w:r>
            <w:fldChar w:fldCharType="begin"/>
          </w:r>
          <w:r>
            <w:instrText xml:space="preserve"> HYPERLINK \l _Toc23302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_Toc23302 \h </w:instrText>
          </w:r>
          <w:r>
            <w:fldChar w:fldCharType="separate"/>
          </w:r>
          <w:r>
            <w:t>36</w:t>
          </w:r>
          <w:r>
            <w:fldChar w:fldCharType="end"/>
          </w:r>
          <w:r>
            <w:fldChar w:fldCharType="end"/>
          </w:r>
        </w:p>
        <w:p>
          <w:pPr>
            <w:pStyle w:val="2"/>
            <w:outlineLvl w:val="9"/>
            <w:rPr>
              <w:rFonts w:asciiTheme="majorHAnsi" w:hAnsiTheme="majorHAnsi" w:eastAsiaTheme="majorEastAsia" w:cstheme="majorBidi"/>
              <w:b/>
              <w:bCs/>
              <w:kern w:val="2"/>
              <w:sz w:val="32"/>
              <w:szCs w:val="32"/>
              <w:lang w:val="en-US" w:eastAsia="zh-CN" w:bidi="ar-SA"/>
            </w:rPr>
          </w:pPr>
          <w:r>
            <w:rPr>
              <w:b/>
            </w:rPr>
            <w:fldChar w:fldCharType="end"/>
          </w:r>
        </w:p>
      </w:sdtContent>
    </w:sdt>
    <w:p/>
    <w:p>
      <w:pPr>
        <w:pStyle w:val="3"/>
        <w:jc w:val="center"/>
        <w:outlineLvl w:val="9"/>
        <w:rPr>
          <w:rFonts w:hint="eastAsia" w:ascii="黑体" w:hAnsi="黑体" w:eastAsia="黑体"/>
          <w:b w:val="0"/>
          <w:color w:val="auto"/>
          <w:highlight w:val="none"/>
        </w:rPr>
        <w:sectPr>
          <w:headerReference r:id="rId4" w:type="first"/>
          <w:headerReference r:id="rId3" w:type="default"/>
          <w:pgSz w:w="11906" w:h="16838"/>
          <w:pgMar w:top="1440" w:right="1800" w:bottom="1440" w:left="1800" w:header="851" w:footer="992" w:gutter="0"/>
          <w:pgNumType w:start="1"/>
          <w:cols w:space="425" w:num="1"/>
          <w:titlePg/>
          <w:docGrid w:type="lines" w:linePitch="312" w:charSpace="0"/>
        </w:sectPr>
      </w:pPr>
      <w:bookmarkStart w:id="14" w:name="_Toc15377196"/>
      <w:bookmarkStart w:id="15" w:name="_Toc15396599"/>
    </w:p>
    <w:p>
      <w:pPr>
        <w:pStyle w:val="3"/>
        <w:jc w:val="center"/>
        <w:rPr>
          <w:rFonts w:ascii="黑体" w:eastAsia="黑体"/>
          <w:color w:val="auto"/>
          <w:sz w:val="32"/>
          <w:szCs w:val="32"/>
          <w:highlight w:val="none"/>
        </w:rPr>
      </w:pPr>
      <w:bookmarkStart w:id="16" w:name="_Toc19922"/>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lang w:eastAsia="zh-CN"/>
        </w:rPr>
        <w:t>单位</w:t>
      </w:r>
      <w:r>
        <w:rPr>
          <w:rStyle w:val="31"/>
          <w:rFonts w:hint="eastAsia" w:ascii="黑体" w:hAnsi="黑体" w:eastAsia="黑体"/>
          <w:b w:val="0"/>
          <w:bCs w:val="0"/>
          <w:color w:val="auto"/>
          <w:highlight w:val="none"/>
        </w:rPr>
        <w:t>概况</w:t>
      </w:r>
      <w:bookmarkEnd w:id="14"/>
      <w:bookmarkEnd w:id="15"/>
      <w:bookmarkEnd w:id="16"/>
    </w:p>
    <w:p>
      <w:pPr>
        <w:pStyle w:val="2"/>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Style w:val="32"/>
          <w:rFonts w:hint="eastAsia" w:ascii="仿宋" w:hAnsi="仿宋" w:eastAsia="黑体"/>
          <w:b w:val="0"/>
          <w:bCs w:val="0"/>
          <w:color w:val="auto"/>
          <w:highlight w:val="none"/>
          <w:lang w:eastAsia="zh-CN"/>
        </w:rPr>
      </w:pPr>
      <w:bookmarkStart w:id="17" w:name="_Toc15377197"/>
      <w:bookmarkStart w:id="18" w:name="_Toc15396600"/>
      <w:bookmarkStart w:id="19" w:name="_Toc25141"/>
      <w:r>
        <w:rPr>
          <w:rFonts w:hint="eastAsia" w:ascii="黑体" w:hAnsi="黑体" w:eastAsia="黑体"/>
          <w:b w:val="0"/>
          <w:color w:val="auto"/>
          <w:highlight w:val="none"/>
        </w:rPr>
        <w:t>一、</w:t>
      </w:r>
      <w:bookmarkEnd w:id="17"/>
      <w:bookmarkEnd w:id="18"/>
      <w:r>
        <w:rPr>
          <w:rFonts w:hint="eastAsia" w:ascii="黑体" w:hAnsi="黑体" w:eastAsia="黑体"/>
          <w:b w:val="0"/>
          <w:color w:val="auto"/>
          <w:highlight w:val="none"/>
          <w:lang w:eastAsia="zh-CN"/>
        </w:rPr>
        <w:t>单位职责</w:t>
      </w:r>
      <w:bookmarkEnd w:id="19"/>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bookmarkStart w:id="20" w:name="_Toc15396601"/>
      <w:bookmarkStart w:id="21" w:name="_Toc15377200"/>
      <w:r>
        <w:rPr>
          <w:rFonts w:hint="eastAsia" w:ascii="仿宋" w:hAnsi="仿宋" w:eastAsia="仿宋" w:cs="仿宋"/>
          <w:b w:val="0"/>
          <w:color w:val="000000"/>
          <w:spacing w:val="0"/>
          <w:sz w:val="32"/>
          <w:szCs w:val="32"/>
          <w:lang w:val="en-US" w:eastAsia="zh-CN"/>
        </w:rPr>
        <w:t>1.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省委、市委、区委关于统一战线工作的重大决策部署,巩固壮大最广泛的统一战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2.研究拟订统一战线工作的政策并推动落实,深入调查研究,及时向区委报告统一战线工作情况并提出建议，统筹协调和指导各乡镇（街道）、区直各单位统一战线工作。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3.负责发现、培养党外代表人士,制定党外干部培养规划,负责党外人士的政治安排,会同有关单位做好安排党外人士担任政府和司法机关等领导职务的工作,推动高等学校、人民团体、科研院所、国有企业党外干部安排工作。协助区内民主党派总支、区工商联做好干部管理工作,反映和协调解决党外代表人士工作生活中的实际困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4.贯彻落实党的宣传工作方针,统筹推进全区统一战线宣传和意识形态工作,组织贯彻落实党中央、省委、市委、区委统一战线宣传工作政策和规划,统筹推进网络统战工作,打造网络统战工作平台，研判涉及统一战线的舆情并协调有关单位应对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5.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6.贯彻落实党的民族工作方针,研究拟订民族工作的政策和重大措施,协调处理民族工作中的重大问题,根据分工,统筹协调做好少数民族干部工作,依法管理民族事务,全面促进民族事业发展。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7.贯彻落实党的宗教工作基本方针和政策,研究拟订宗教工作的重大政策措施并督促落实,依法管理宗教行政事务,保护公民宗教信仰自由和正常的宗教活动,维护宗教界合法权益,抵御境外利用宗教进行渗透,引导各宗教坚持中国化方向,巩固和发展同宗教界的爱国统一战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8.负责联系、培养无党派代表人士，支持、帮助无党派人士加强自身建设、发挥作用。调查研究全区党外知识分子情况并提出政策建议,联系、培养党外知识分子代表人士,开展思想政治工作,指导科研院所、国有企业等有关单位开展统战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9.负责联系、培养新的社会阶层代表人士,支持、帮助新的社会阶层人士加强自身建设、发挥作用。调查研究全区新的社会阶层人士情况并提出政策建议,联系、培养新的社会阶层代表人士,开展思想政治工作,指导社会组织开展新的社会阶层人士统战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10.承担全区非公有制经济协调工作,负责全区引导非公有制经济代表人士工作,参与制定、推动落实鼓励支持非公有制经济发展的政策,调查研究全区非公有制经济人士情况并提出政策建议,了解和反映非公有制经济人士的意见,团结、服务、引导、教育非公有制经济人士,促进非公有制经济健康发展和非公有制经济人士健康成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11.统一管理侨务工作,贯彻落实党的侨务工作方针政策,拟订全区侨务工作规划并组织协调、督促检查落实,调查研究侨情和侨务工作情况,管理侨务行政事务,统筹协调有关单位和社会团体涉侨工作,联系海外有关侨团和代表人士,负责海外侨胞代表人士在相关统战团体的安排,指导推动涉侨宣传、文化交流、华文教育工作等,保护华侨和归侨侨眷在区内的合法权利和利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12.统一管理台湾事务工作。贯彻落实中央、省、市、区海外统战工作政策和规划并组织协调、督促检查落实,联系港澳台有关党派、团体及代表人士。调查研究台情和涉台事务工作情况,提出政策建议。组织、指导、管理、协调各地各单位对台工作。负责我区同台湾有关党派、团体和各阶层人士的重大交流交往和反对“台独”工作。负责我区对台上层联络工作。负责对台宣传、涉台教育和有关台湾工作的新闻发布。做好统一战线外事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13.负责职责范围内的安全生产、职业健康、生态环境保护、审批便民服务等工作。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14.承担区政府公布的相关行政权力事项。</w:t>
      </w:r>
    </w:p>
    <w:p>
      <w:pPr>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eastAsia="黑体"/>
          <w:b w:val="0"/>
          <w:color w:val="auto"/>
          <w:highlight w:val="none"/>
        </w:rPr>
      </w:pPr>
      <w:r>
        <w:rPr>
          <w:rFonts w:hint="eastAsia" w:ascii="仿宋" w:hAnsi="仿宋" w:eastAsia="仿宋" w:cs="仿宋"/>
          <w:b w:val="0"/>
          <w:color w:val="000000"/>
          <w:spacing w:val="0"/>
          <w:sz w:val="32"/>
          <w:szCs w:val="32"/>
          <w:lang w:val="en-US" w:eastAsia="zh-CN"/>
        </w:rPr>
        <w:t>15.完成区委区政府交办的其他任务。</w:t>
      </w:r>
    </w:p>
    <w:p>
      <w:pPr>
        <w:pStyle w:val="2"/>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Style w:val="32"/>
          <w:b w:val="0"/>
          <w:bCs w:val="0"/>
          <w:color w:val="auto"/>
          <w:highlight w:val="none"/>
        </w:rPr>
      </w:pPr>
      <w:bookmarkStart w:id="22" w:name="_Toc11652"/>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20"/>
      <w:bookmarkEnd w:id="21"/>
      <w:bookmarkEnd w:id="22"/>
    </w:p>
    <w:p>
      <w:pPr>
        <w:pStyle w:val="7"/>
        <w:pageBreakBefore w:val="0"/>
        <w:widowControl w:val="0"/>
        <w:kinsoku/>
        <w:wordWrap/>
        <w:overflowPunct/>
        <w:topLinePunct w:val="0"/>
        <w:autoSpaceDE/>
        <w:autoSpaceDN/>
        <w:bidi w:val="0"/>
        <w:adjustRightInd/>
        <w:snapToGrid/>
        <w:spacing w:beforeLines="0" w:line="600" w:lineRule="exact"/>
        <w:ind w:left="0" w:leftChars="0" w:right="0" w:rightChars="0" w:firstLine="640" w:firstLineChars="200"/>
        <w:jc w:val="both"/>
        <w:textAlignment w:val="auto"/>
        <w:rPr>
          <w:rFonts w:hint="eastAsia" w:ascii="仿宋" w:hAnsi="仿宋" w:eastAsia="仿宋" w:cs="仿宋"/>
          <w:b w:val="0"/>
          <w:bCs/>
          <w:color w:val="000000"/>
          <w:spacing w:val="0"/>
          <w:kern w:val="2"/>
          <w:sz w:val="32"/>
          <w:szCs w:val="32"/>
          <w:lang w:val="en-US" w:eastAsia="zh-CN" w:bidi="ar-SA"/>
        </w:rPr>
      </w:pPr>
      <w:r>
        <w:rPr>
          <w:rFonts w:hint="eastAsia" w:ascii="仿宋" w:hAnsi="仿宋" w:eastAsia="仿宋" w:cs="仿宋"/>
          <w:b w:val="0"/>
          <w:bCs/>
          <w:color w:val="000000"/>
          <w:spacing w:val="0"/>
          <w:kern w:val="2"/>
          <w:sz w:val="32"/>
          <w:szCs w:val="32"/>
          <w:lang w:val="en-US" w:eastAsia="zh-CN" w:bidi="ar-SA"/>
        </w:rPr>
        <w:t>区委统战部无二级预算单位，内设机构：办公室、</w:t>
      </w:r>
      <w:r>
        <w:rPr>
          <w:rFonts w:hint="default" w:ascii="仿宋" w:hAnsi="仿宋" w:eastAsia="仿宋" w:cs="仿宋"/>
          <w:b w:val="0"/>
          <w:bCs/>
          <w:color w:val="000000"/>
          <w:spacing w:val="0"/>
          <w:kern w:val="2"/>
          <w:sz w:val="32"/>
          <w:szCs w:val="32"/>
          <w:lang w:val="en-US" w:eastAsia="zh-CN" w:bidi="ar-SA"/>
        </w:rPr>
        <w:t>党派联络股</w:t>
      </w:r>
      <w:r>
        <w:rPr>
          <w:rFonts w:hint="eastAsia" w:ascii="仿宋" w:hAnsi="仿宋" w:eastAsia="仿宋" w:cs="仿宋"/>
          <w:b w:val="0"/>
          <w:bCs/>
          <w:color w:val="000000"/>
          <w:spacing w:val="0"/>
          <w:kern w:val="2"/>
          <w:sz w:val="32"/>
          <w:szCs w:val="32"/>
          <w:lang w:val="en-US" w:eastAsia="zh-CN" w:bidi="ar-SA"/>
        </w:rPr>
        <w:t>、</w:t>
      </w:r>
      <w:r>
        <w:rPr>
          <w:rFonts w:hint="default" w:ascii="仿宋" w:hAnsi="仿宋" w:eastAsia="仿宋" w:cs="仿宋"/>
          <w:b w:val="0"/>
          <w:bCs/>
          <w:color w:val="000000"/>
          <w:spacing w:val="0"/>
          <w:kern w:val="2"/>
          <w:sz w:val="32"/>
          <w:szCs w:val="32"/>
          <w:lang w:val="en-US" w:eastAsia="zh-CN" w:bidi="ar-SA"/>
        </w:rPr>
        <w:t>民族宗教事务股</w:t>
      </w:r>
      <w:r>
        <w:rPr>
          <w:rFonts w:hint="eastAsia" w:ascii="仿宋" w:hAnsi="仿宋" w:eastAsia="仿宋" w:cs="仿宋"/>
          <w:b w:val="0"/>
          <w:bCs/>
          <w:color w:val="000000"/>
          <w:spacing w:val="0"/>
          <w:kern w:val="2"/>
          <w:sz w:val="32"/>
          <w:szCs w:val="32"/>
          <w:lang w:val="en-US" w:eastAsia="zh-CN" w:bidi="ar-SA"/>
        </w:rPr>
        <w:t>、</w:t>
      </w:r>
      <w:r>
        <w:rPr>
          <w:rFonts w:hint="default" w:ascii="仿宋" w:hAnsi="仿宋" w:eastAsia="仿宋" w:cs="仿宋"/>
          <w:b w:val="0"/>
          <w:bCs/>
          <w:color w:val="000000"/>
          <w:spacing w:val="0"/>
          <w:kern w:val="2"/>
          <w:sz w:val="32"/>
          <w:szCs w:val="32"/>
          <w:lang w:val="en-US" w:eastAsia="zh-CN" w:bidi="ar-SA"/>
        </w:rPr>
        <w:t>经济和台侨事务股</w:t>
      </w:r>
      <w:r>
        <w:rPr>
          <w:rFonts w:hint="eastAsia" w:ascii="仿宋" w:hAnsi="仿宋" w:eastAsia="仿宋" w:cs="仿宋"/>
          <w:b w:val="0"/>
          <w:bCs/>
          <w:color w:val="000000"/>
          <w:spacing w:val="0"/>
          <w:kern w:val="2"/>
          <w:sz w:val="32"/>
          <w:szCs w:val="32"/>
          <w:lang w:val="en-US" w:eastAsia="zh-CN" w:bidi="ar-SA"/>
        </w:rPr>
        <w:t>、民主党派和宗教服务中心。</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31"/>
          <w:rFonts w:ascii="黑体" w:hAnsi="黑体" w:eastAsia="黑体"/>
          <w:b w:val="0"/>
          <w:bCs/>
          <w:color w:val="auto"/>
          <w:highlight w:val="none"/>
        </w:rPr>
      </w:pPr>
      <w:bookmarkStart w:id="23" w:name="_Toc15396602"/>
      <w:bookmarkStart w:id="24" w:name="_Toc15377204"/>
      <w:bookmarkStart w:id="25" w:name="_Toc15330"/>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1"/>
          <w:rFonts w:hint="eastAsia" w:ascii="黑体" w:hAnsi="黑体" w:eastAsia="黑体"/>
          <w:b w:val="0"/>
          <w:bCs/>
          <w:color w:val="auto"/>
          <w:highlight w:val="none"/>
          <w:lang w:eastAsia="zh-CN"/>
        </w:rPr>
        <w:t>单位</w:t>
      </w:r>
      <w:r>
        <w:rPr>
          <w:rStyle w:val="31"/>
          <w:rFonts w:hint="eastAsia" w:ascii="黑体" w:hAnsi="黑体" w:eastAsia="黑体"/>
          <w:b w:val="0"/>
          <w:bCs/>
          <w:color w:val="auto"/>
          <w:highlight w:val="none"/>
        </w:rPr>
        <w:t>决算情况说明</w:t>
      </w:r>
      <w:bookmarkEnd w:id="23"/>
      <w:bookmarkEnd w:id="24"/>
      <w:bookmarkEnd w:id="25"/>
    </w:p>
    <w:p>
      <w:pPr>
        <w:rPr>
          <w:color w:val="auto"/>
          <w:highlight w:val="none"/>
        </w:rPr>
      </w:pPr>
    </w:p>
    <w:p>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26" w:name="_Toc15396603"/>
      <w:bookmarkStart w:id="27" w:name="_Toc15377205"/>
      <w:bookmarkStart w:id="28" w:name="_Toc25300"/>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26"/>
      <w:bookmarkEnd w:id="27"/>
      <w:bookmarkEnd w:id="28"/>
    </w:p>
    <w:p>
      <w:pPr>
        <w:spacing w:line="600" w:lineRule="exact"/>
        <w:ind w:firstLine="640" w:firstLineChars="200"/>
        <w:jc w:val="both"/>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度收、支总计</w:t>
      </w:r>
      <w:r>
        <w:rPr>
          <w:rFonts w:hint="eastAsia" w:ascii="仿宋" w:hAnsi="仿宋" w:eastAsia="仿宋"/>
          <w:color w:val="auto"/>
          <w:sz w:val="32"/>
          <w:szCs w:val="32"/>
          <w:highlight w:val="none"/>
          <w:lang w:val="en-US" w:eastAsia="zh-CN"/>
        </w:rPr>
        <w:t>463.20</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67.32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17.01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2023年增加了“老池镇龙泉村产业发展建设项目资金”项目经费</w:t>
      </w:r>
      <w:r>
        <w:rPr>
          <w:rFonts w:hint="eastAsia" w:ascii="仿宋" w:hAnsi="仿宋" w:eastAsia="仿宋"/>
          <w:color w:val="auto"/>
          <w:sz w:val="32"/>
          <w:szCs w:val="32"/>
          <w:highlight w:val="none"/>
          <w:lang w:eastAsia="zh-CN"/>
        </w:rPr>
        <w:t>。</w:t>
      </w:r>
    </w:p>
    <w:p>
      <w:pPr>
        <w:pStyle w:val="38"/>
        <w:ind w:firstLine="640" w:firstLineChars="200"/>
        <w:jc w:val="both"/>
        <w:rPr>
          <w:rFonts w:hint="eastAsia"/>
          <w:highlight w:val="none"/>
          <w:lang w:val="en-US" w:eastAsia="zh-CN"/>
        </w:rPr>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w:t>
      </w:r>
    </w:p>
    <w:p>
      <w:pPr>
        <w:spacing w:line="600" w:lineRule="exact"/>
        <w:jc w:val="both"/>
        <w:rPr>
          <w:rFonts w:ascii="仿宋_GB2312" w:eastAsia="仿宋_GB2312"/>
          <w:color w:val="auto"/>
          <w:sz w:val="32"/>
          <w:szCs w:val="32"/>
          <w:highlight w:val="none"/>
        </w:rPr>
      </w:pPr>
      <w:r>
        <w:rPr>
          <w:rFonts w:hint="eastAsia" w:ascii="黑体" w:hAnsi="黑体" w:eastAsia="黑体"/>
          <w:highlight w:val="none"/>
        </w:rPr>
        <w:drawing>
          <wp:anchor distT="0" distB="0" distL="114300" distR="114300" simplePos="0" relativeHeight="251659264" behindDoc="0" locked="0" layoutInCell="1" allowOverlap="1">
            <wp:simplePos x="0" y="0"/>
            <wp:positionH relativeFrom="column">
              <wp:posOffset>64770</wp:posOffset>
            </wp:positionH>
            <wp:positionV relativeFrom="paragraph">
              <wp:posOffset>171450</wp:posOffset>
            </wp:positionV>
            <wp:extent cx="5080000" cy="2635250"/>
            <wp:effectExtent l="4445" t="4445" r="20955" b="825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29" w:name="_Toc20235"/>
      <w:bookmarkStart w:id="30" w:name="_Toc15377206"/>
      <w:bookmarkStart w:id="31" w:name="_Toc15396604"/>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本年收入合计457.28万元，其中：一般公共预算财政拨款收入457.28万元，占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both"/>
        <w:rPr>
          <w:rFonts w:ascii="仿宋_GB2312" w:eastAsia="仿宋_GB2312"/>
          <w:color w:val="FF0000"/>
          <w:sz w:val="32"/>
          <w:szCs w:val="32"/>
          <w:highlight w:val="none"/>
        </w:rPr>
      </w:pPr>
      <w:bookmarkStart w:id="32" w:name="_Toc15396605"/>
      <w:bookmarkStart w:id="33" w:name="_Toc15377207"/>
      <w:r>
        <w:rPr>
          <w:rFonts w:hint="eastAsia" w:ascii="仿宋" w:hAnsi="仿宋" w:eastAsia="仿宋"/>
          <w:color w:val="000000" w:themeColor="text1"/>
          <w:sz w:val="32"/>
          <w:szCs w:val="32"/>
          <w:highlight w:val="none"/>
          <w14:textFill>
            <w14:solidFill>
              <w14:schemeClr w14:val="tx1"/>
            </w14:solidFill>
          </w14:textFill>
        </w:rPr>
        <w:t>图2：</w:t>
      </w:r>
    </w:p>
    <w:p>
      <w:pPr>
        <w:spacing w:line="600" w:lineRule="exact"/>
        <w:jc w:val="both"/>
        <w:rPr>
          <w:rFonts w:ascii="仿宋_GB2312" w:eastAsia="仿宋_GB2312"/>
          <w:color w:val="FF0000"/>
          <w:sz w:val="32"/>
          <w:szCs w:val="32"/>
          <w:highlight w:val="none"/>
        </w:rPr>
      </w:pPr>
      <w:r>
        <w:rPr>
          <w:rFonts w:hint="eastAsia" w:ascii="仿宋_GB2312" w:eastAsia="仿宋_GB2312"/>
          <w:color w:val="FF0000"/>
          <w:sz w:val="32"/>
          <w:szCs w:val="32"/>
          <w:highlight w:val="none"/>
        </w:rPr>
        <w:drawing>
          <wp:anchor distT="0" distB="0" distL="114300" distR="114300" simplePos="0" relativeHeight="251661312" behindDoc="0" locked="0" layoutInCell="1" allowOverlap="1">
            <wp:simplePos x="0" y="0"/>
            <wp:positionH relativeFrom="column">
              <wp:posOffset>267335</wp:posOffset>
            </wp:positionH>
            <wp:positionV relativeFrom="paragraph">
              <wp:posOffset>121920</wp:posOffset>
            </wp:positionV>
            <wp:extent cx="4707890" cy="2231390"/>
            <wp:effectExtent l="4445" t="4445" r="12065" b="1206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34" w:name="_Toc8627"/>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本年支出合计457.28万元，其中：基本支出</w:t>
      </w:r>
      <w:r>
        <w:rPr>
          <w:rFonts w:hint="eastAsia" w:ascii="仿宋" w:hAnsi="仿宋" w:eastAsia="仿宋"/>
          <w:color w:val="auto"/>
          <w:sz w:val="32"/>
          <w:szCs w:val="32"/>
          <w:highlight w:val="none"/>
          <w:lang w:val="en-US" w:eastAsia="zh-CN"/>
        </w:rPr>
        <w:t>312.23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68.28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145.05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both"/>
        <w:rPr>
          <w:rFonts w:ascii="仿宋" w:hAnsi="仿宋" w:eastAsia="仿宋"/>
          <w:color w:val="000000" w:themeColor="text1"/>
          <w:sz w:val="32"/>
          <w:szCs w:val="32"/>
          <w:highlight w:val="none"/>
          <w14:textFill>
            <w14:solidFill>
              <w14:schemeClr w14:val="tx1"/>
            </w14:solidFill>
          </w14:textFill>
        </w:rPr>
      </w:pPr>
      <w:bookmarkStart w:id="35" w:name="_Toc15396606"/>
      <w:bookmarkStart w:id="36" w:name="_Toc15377208"/>
      <w:r>
        <w:rPr>
          <w:rFonts w:hint="eastAsia" w:ascii="仿宋" w:hAnsi="仿宋" w:eastAsia="仿宋"/>
          <w:color w:val="000000" w:themeColor="text1"/>
          <w:sz w:val="32"/>
          <w:szCs w:val="32"/>
          <w:highlight w:val="none"/>
          <w14:textFill>
            <w14:solidFill>
              <w14:schemeClr w14:val="tx1"/>
            </w14:solidFill>
          </w14:textFill>
        </w:rPr>
        <w:t>图3：</w:t>
      </w:r>
    </w:p>
    <w:p>
      <w:pPr>
        <w:spacing w:line="600" w:lineRule="exact"/>
        <w:ind w:firstLine="640" w:firstLineChars="200"/>
        <w:jc w:val="both"/>
        <w:rPr>
          <w:rFonts w:ascii="仿宋_GB2312" w:eastAsia="仿宋_GB2312"/>
          <w:color w:val="FF0000"/>
          <w:sz w:val="32"/>
          <w:szCs w:val="32"/>
          <w:highlight w:val="none"/>
        </w:rPr>
      </w:pPr>
      <w:r>
        <w:rPr>
          <w:rFonts w:hint="eastAsia" w:ascii="仿宋_GB2312" w:eastAsia="仿宋_GB2312"/>
          <w:color w:val="FF0000"/>
          <w:sz w:val="32"/>
          <w:szCs w:val="32"/>
          <w:highlight w:val="none"/>
        </w:rPr>
        <w:drawing>
          <wp:anchor distT="0" distB="0" distL="114300" distR="114300" simplePos="0" relativeHeight="251662336" behindDoc="0" locked="0" layoutInCell="1" allowOverlap="1">
            <wp:simplePos x="0" y="0"/>
            <wp:positionH relativeFrom="column">
              <wp:posOffset>290195</wp:posOffset>
            </wp:positionH>
            <wp:positionV relativeFrom="paragraph">
              <wp:posOffset>108585</wp:posOffset>
            </wp:positionV>
            <wp:extent cx="4906645" cy="2364105"/>
            <wp:effectExtent l="4445" t="4445" r="22860" b="1270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jc w:val="both"/>
        <w:outlineLvl w:val="1"/>
        <w:rPr>
          <w:rStyle w:val="32"/>
          <w:rFonts w:ascii="黑体" w:hAnsi="黑体" w:eastAsia="黑体"/>
          <w:b w:val="0"/>
          <w:color w:val="auto"/>
          <w:highlight w:val="none"/>
        </w:rPr>
      </w:pPr>
      <w:bookmarkStart w:id="37" w:name="_Toc29829"/>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财政拨款收、支总计457.28万元。与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67.32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17.26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2023年增加了“老池镇龙泉村产业发展建设项目资金”项目经费</w:t>
      </w:r>
      <w:r>
        <w:rPr>
          <w:rFonts w:hint="eastAsia" w:ascii="仿宋" w:hAnsi="仿宋" w:eastAsia="仿宋"/>
          <w:color w:val="auto"/>
          <w:sz w:val="32"/>
          <w:szCs w:val="32"/>
          <w:highlight w:val="none"/>
          <w:lang w:eastAsia="zh-CN"/>
        </w:rPr>
        <w:t>。</w:t>
      </w:r>
    </w:p>
    <w:p>
      <w:pPr>
        <w:spacing w:line="600" w:lineRule="exact"/>
        <w:ind w:firstLine="640" w:firstLineChars="200"/>
        <w:jc w:val="both"/>
        <w:rPr>
          <w:rFonts w:ascii="仿宋" w:hAnsi="仿宋" w:eastAsia="仿宋"/>
          <w:b/>
          <w:color w:val="00B050"/>
          <w:sz w:val="32"/>
          <w:szCs w:val="32"/>
          <w:highlight w:val="none"/>
        </w:rPr>
      </w:pPr>
      <w:bookmarkStart w:id="38" w:name="_Toc15377209"/>
      <w:bookmarkStart w:id="39" w:name="_Toc15396607"/>
      <w:r>
        <w:rPr>
          <w:rFonts w:hint="eastAsia" w:ascii="仿宋" w:hAnsi="仿宋" w:eastAsia="仿宋"/>
          <w:color w:val="000000" w:themeColor="text1"/>
          <w:sz w:val="32"/>
          <w:szCs w:val="32"/>
          <w:highlight w:val="none"/>
          <w14:textFill>
            <w14:solidFill>
              <w14:schemeClr w14:val="tx1"/>
            </w14:solidFill>
          </w14:textFill>
        </w:rPr>
        <w:t>图4：</w:t>
      </w:r>
    </w:p>
    <w:p>
      <w:pPr>
        <w:spacing w:line="600" w:lineRule="exact"/>
        <w:ind w:firstLine="642" w:firstLineChars="200"/>
        <w:jc w:val="both"/>
        <w:outlineLvl w:val="1"/>
        <w:rPr>
          <w:rStyle w:val="32"/>
          <w:rFonts w:ascii="黑体" w:hAnsi="黑体" w:eastAsia="黑体"/>
          <w:b w:val="0"/>
          <w:color w:val="auto"/>
          <w:highlight w:val="none"/>
        </w:rPr>
      </w:pPr>
      <w:bookmarkStart w:id="40" w:name="_Toc10656"/>
      <w:r>
        <w:rPr>
          <w:rFonts w:hint="eastAsia" w:ascii="仿宋" w:hAnsi="仿宋" w:eastAsia="仿宋"/>
          <w:b/>
          <w:color w:val="00B050"/>
          <w:sz w:val="32"/>
          <w:szCs w:val="32"/>
          <w:highlight w:val="none"/>
        </w:rPr>
        <w:drawing>
          <wp:anchor distT="0" distB="0" distL="114300" distR="114300" simplePos="0" relativeHeight="251663360" behindDoc="0" locked="0" layoutInCell="1" allowOverlap="1">
            <wp:simplePos x="0" y="0"/>
            <wp:positionH relativeFrom="column">
              <wp:posOffset>176530</wp:posOffset>
            </wp:positionH>
            <wp:positionV relativeFrom="paragraph">
              <wp:posOffset>273050</wp:posOffset>
            </wp:positionV>
            <wp:extent cx="5080000" cy="2334260"/>
            <wp:effectExtent l="5080" t="4445" r="20320" b="2349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黑体" w:hAnsi="黑体" w:eastAsia="黑体"/>
          <w:color w:val="000000"/>
          <w:sz w:val="32"/>
          <w:szCs w:val="32"/>
          <w:highlight w:val="none"/>
        </w:rPr>
        <w:t>五</w:t>
      </w:r>
      <w:r>
        <w:rPr>
          <w:rFonts w:hint="eastAsia" w:ascii="黑体" w:hAnsi="黑体" w:eastAsia="黑体"/>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2" w:firstLineChars="200"/>
        <w:jc w:val="both"/>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一般公共预算财政拨款支出457.28万元，占本年支出合计的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支出增加</w:t>
      </w:r>
      <w:r>
        <w:rPr>
          <w:rFonts w:hint="eastAsia" w:ascii="仿宋" w:hAnsi="仿宋" w:eastAsia="仿宋"/>
          <w:color w:val="auto"/>
          <w:sz w:val="32"/>
          <w:szCs w:val="32"/>
          <w:highlight w:val="none"/>
          <w:lang w:val="en-US" w:eastAsia="zh-CN"/>
        </w:rPr>
        <w:t>67.32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17.26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2023年增加了“老池镇龙泉村产业发展建设项目资金”项目经费。</w:t>
      </w:r>
    </w:p>
    <w:p>
      <w:pPr>
        <w:spacing w:line="600" w:lineRule="exact"/>
        <w:ind w:firstLine="640" w:firstLineChars="200"/>
        <w:jc w:val="both"/>
        <w:rPr>
          <w:rFonts w:ascii="仿宋" w:hAnsi="仿宋" w:eastAsia="仿宋"/>
          <w:color w:val="000000" w:themeColor="text1"/>
          <w:sz w:val="32"/>
          <w:szCs w:val="32"/>
          <w:highlight w:val="none"/>
          <w14:textFill>
            <w14:solidFill>
              <w14:schemeClr w14:val="tx1"/>
            </w14:solidFill>
          </w14:textFill>
        </w:rPr>
      </w:pPr>
      <w:bookmarkStart w:id="42" w:name="_Toc15377211"/>
      <w:r>
        <w:rPr>
          <w:rFonts w:hint="eastAsia" w:ascii="仿宋" w:hAnsi="仿宋" w:eastAsia="仿宋"/>
          <w:color w:val="000000" w:themeColor="text1"/>
          <w:sz w:val="32"/>
          <w:szCs w:val="32"/>
          <w:highlight w:val="none"/>
          <w14:textFill>
            <w14:solidFill>
              <w14:schemeClr w14:val="tx1"/>
            </w14:solidFill>
          </w14:textFill>
        </w:rPr>
        <w:drawing>
          <wp:anchor distT="0" distB="0" distL="114300" distR="114300" simplePos="0" relativeHeight="251664384" behindDoc="0" locked="0" layoutInCell="1" allowOverlap="1">
            <wp:simplePos x="0" y="0"/>
            <wp:positionH relativeFrom="column">
              <wp:posOffset>70485</wp:posOffset>
            </wp:positionH>
            <wp:positionV relativeFrom="paragraph">
              <wp:posOffset>430530</wp:posOffset>
            </wp:positionV>
            <wp:extent cx="5080000" cy="2070735"/>
            <wp:effectExtent l="4445" t="4445" r="20955" b="2032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themeColor="text1"/>
          <w:sz w:val="32"/>
          <w:szCs w:val="32"/>
          <w:highlight w:val="none"/>
          <w14:textFill>
            <w14:solidFill>
              <w14:schemeClr w14:val="tx1"/>
            </w14:solidFill>
          </w14:textFill>
        </w:rPr>
        <w:t>图5：</w:t>
      </w:r>
    </w:p>
    <w:p>
      <w:pPr>
        <w:spacing w:line="600" w:lineRule="exact"/>
        <w:ind w:firstLine="642" w:firstLineChars="200"/>
        <w:jc w:val="both"/>
        <w:outlineLvl w:val="2"/>
        <w:rPr>
          <w:rFonts w:ascii="仿宋" w:hAnsi="仿宋" w:eastAsia="仿宋"/>
          <w:b/>
          <w:color w:val="auto"/>
          <w:sz w:val="32"/>
          <w:szCs w:val="32"/>
          <w:highlight w:val="none"/>
        </w:rPr>
      </w:pPr>
      <w:r>
        <w:rPr>
          <w:rFonts w:hint="eastAsia" w:ascii="仿宋" w:hAnsi="仿宋" w:eastAsia="仿宋"/>
          <w:b/>
          <w:color w:val="000000"/>
          <w:sz w:val="32"/>
          <w:szCs w:val="32"/>
          <w:highlight w:val="none"/>
        </w:rPr>
        <w:t>（</w:t>
      </w:r>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一般公共预算财政拨款支出457.28万元，主要用于以下方面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341.57万元，占</w:t>
      </w:r>
      <w:r>
        <w:rPr>
          <w:rFonts w:hint="eastAsia" w:ascii="仿宋" w:hAnsi="仿宋" w:eastAsia="仿宋"/>
          <w:color w:val="auto"/>
          <w:sz w:val="32"/>
          <w:szCs w:val="32"/>
          <w:highlight w:val="none"/>
          <w:lang w:val="en-US" w:eastAsia="zh-CN"/>
        </w:rPr>
        <w:t>74.70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31.18万元，占</w:t>
      </w:r>
      <w:r>
        <w:rPr>
          <w:rFonts w:hint="eastAsia" w:ascii="仿宋" w:hAnsi="仿宋" w:eastAsia="仿宋"/>
          <w:color w:val="auto"/>
          <w:sz w:val="32"/>
          <w:szCs w:val="32"/>
          <w:highlight w:val="none"/>
          <w:lang w:val="en-US" w:eastAsia="zh-CN"/>
        </w:rPr>
        <w:t>6.82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11.44万元，占</w:t>
      </w:r>
      <w:r>
        <w:rPr>
          <w:rFonts w:hint="eastAsia" w:ascii="仿宋" w:hAnsi="仿宋" w:eastAsia="仿宋"/>
          <w:color w:val="auto"/>
          <w:sz w:val="32"/>
          <w:szCs w:val="32"/>
          <w:highlight w:val="none"/>
          <w:lang w:val="en-US" w:eastAsia="zh-CN"/>
        </w:rPr>
        <w:t>2.50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lang w:val="en-US" w:eastAsia="zh-CN"/>
        </w:rPr>
        <w:t>50.00万元，占10.93%；</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23.09万元，占</w:t>
      </w:r>
      <w:r>
        <w:rPr>
          <w:rFonts w:hint="eastAsia" w:ascii="仿宋" w:hAnsi="仿宋" w:eastAsia="仿宋"/>
          <w:color w:val="auto"/>
          <w:sz w:val="32"/>
          <w:szCs w:val="32"/>
          <w:highlight w:val="none"/>
          <w:lang w:val="en-US" w:eastAsia="zh-CN"/>
        </w:rPr>
        <w:t>5.05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both"/>
        <w:rPr>
          <w:rFonts w:eastAsia="仿宋_GB2312"/>
          <w:color w:val="000000" w:themeColor="text1"/>
          <w:sz w:val="32"/>
          <w:szCs w:val="32"/>
          <w:highlight w:val="none"/>
          <w14:textFill>
            <w14:solidFill>
              <w14:schemeClr w14:val="tx1"/>
            </w14:solidFill>
          </w14:textFill>
        </w:rPr>
      </w:pPr>
      <w:bookmarkStart w:id="43" w:name="_Toc15377212"/>
      <w:r>
        <w:rPr>
          <w:rFonts w:eastAsia="仿宋_GB2312"/>
          <w:color w:val="000000" w:themeColor="text1"/>
          <w:sz w:val="32"/>
          <w:szCs w:val="32"/>
          <w:highlight w:val="none"/>
          <w14:textFill>
            <w14:solidFill>
              <w14:schemeClr w14:val="tx1"/>
            </w14:solidFill>
          </w14:textFill>
        </w:rPr>
        <w:t>图6：</w:t>
      </w:r>
    </w:p>
    <w:p>
      <w:pPr>
        <w:spacing w:line="600" w:lineRule="exact"/>
        <w:ind w:firstLine="640"/>
        <w:jc w:val="both"/>
        <w:rPr>
          <w:rFonts w:eastAsia="仿宋"/>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drawing>
          <wp:anchor distT="0" distB="0" distL="114300" distR="114300" simplePos="0" relativeHeight="251665408" behindDoc="0" locked="0" layoutInCell="1" allowOverlap="1">
            <wp:simplePos x="0" y="0"/>
            <wp:positionH relativeFrom="column">
              <wp:posOffset>111125</wp:posOffset>
            </wp:positionH>
            <wp:positionV relativeFrom="paragraph">
              <wp:posOffset>368935</wp:posOffset>
            </wp:positionV>
            <wp:extent cx="5114925" cy="2440940"/>
            <wp:effectExtent l="4445" t="4445" r="5080" b="1206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2"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9"/>
        <w:rPr>
          <w:rStyle w:val="19"/>
          <w:rFonts w:ascii="仿宋" w:hAnsi="仿宋" w:eastAsia="仿宋"/>
          <w:b w:val="0"/>
          <w:bCs/>
          <w:color w:val="000000"/>
          <w:sz w:val="32"/>
          <w:szCs w:val="32"/>
          <w:highlight w:val="none"/>
        </w:rPr>
      </w:pPr>
      <w:bookmarkStart w:id="44" w:name="_Toc15377213"/>
      <w:bookmarkStart w:id="45" w:name="_Toc15377444"/>
      <w:bookmarkStart w:id="46" w:name="_Toc15378460"/>
      <w:r>
        <w:rPr>
          <w:rFonts w:hint="eastAsia" w:ascii="仿宋" w:hAnsi="仿宋" w:eastAsia="仿宋"/>
          <w:b/>
          <w:color w:val="auto"/>
          <w:sz w:val="32"/>
          <w:szCs w:val="32"/>
          <w:highlight w:val="none"/>
          <w:lang w:eastAsia="zh-CN"/>
        </w:rPr>
        <w:t>2023年一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457.28</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44"/>
      <w:bookmarkEnd w:id="45"/>
      <w:bookmarkEnd w:id="46"/>
      <w:bookmarkStart w:id="47" w:name="_Toc15396608"/>
      <w:bookmarkStart w:id="48" w:name="_Toc15377214"/>
    </w:p>
    <w:p>
      <w:pPr>
        <w:spacing w:line="600" w:lineRule="exact"/>
        <w:ind w:firstLine="642" w:firstLineChars="200"/>
        <w:jc w:val="both"/>
        <w:rPr>
          <w:rStyle w:val="19"/>
          <w:rFonts w:hint="eastAsia" w:ascii="仿宋" w:hAnsi="仿宋" w:eastAsia="仿宋"/>
          <w:bCs/>
          <w:color w:val="000000"/>
          <w:sz w:val="32"/>
          <w:szCs w:val="32"/>
          <w:highlight w:val="none"/>
          <w:lang w:val="en-US" w:eastAsia="zh-CN"/>
        </w:rPr>
      </w:pPr>
      <w:r>
        <w:rPr>
          <w:rStyle w:val="19"/>
          <w:rFonts w:hint="eastAsia" w:ascii="仿宋" w:hAnsi="仿宋" w:eastAsia="仿宋"/>
          <w:bCs/>
          <w:color w:val="000000"/>
          <w:sz w:val="32"/>
          <w:szCs w:val="32"/>
          <w:highlight w:val="none"/>
          <w:lang w:val="en-US" w:eastAsia="zh-CN"/>
        </w:rPr>
        <w:t>1</w:t>
      </w:r>
      <w:r>
        <w:rPr>
          <w:rStyle w:val="19"/>
          <w:rFonts w:hint="eastAsia" w:ascii="仿宋" w:hAnsi="仿宋" w:eastAsia="仿宋"/>
          <w:bCs/>
          <w:color w:val="000000"/>
          <w:sz w:val="32"/>
          <w:szCs w:val="32"/>
          <w:highlight w:val="none"/>
        </w:rPr>
        <w:t>.一般公共服务（201）纪检监察事务（</w:t>
      </w:r>
      <w:r>
        <w:rPr>
          <w:rStyle w:val="19"/>
          <w:rFonts w:hint="eastAsia" w:ascii="仿宋" w:hAnsi="仿宋" w:eastAsia="仿宋"/>
          <w:bCs/>
          <w:color w:val="000000"/>
          <w:sz w:val="32"/>
          <w:szCs w:val="32"/>
          <w:highlight w:val="none"/>
          <w:lang w:val="en-US" w:eastAsia="zh-CN"/>
        </w:rPr>
        <w:t>11</w:t>
      </w:r>
      <w:r>
        <w:rPr>
          <w:rStyle w:val="19"/>
          <w:rFonts w:hint="eastAsia" w:ascii="仿宋" w:hAnsi="仿宋" w:eastAsia="仿宋"/>
          <w:bCs/>
          <w:color w:val="000000"/>
          <w:sz w:val="32"/>
          <w:szCs w:val="32"/>
          <w:highlight w:val="none"/>
        </w:rPr>
        <w:t>）行政运行（01）</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3.45</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Style w:val="19"/>
          <w:rFonts w:hint="eastAsia" w:ascii="仿宋" w:hAnsi="仿宋" w:eastAsia="仿宋"/>
          <w:bCs/>
          <w:color w:val="000000"/>
          <w:sz w:val="32"/>
          <w:szCs w:val="32"/>
          <w:highlight w:val="none"/>
          <w:lang w:val="en-US" w:eastAsia="zh-CN"/>
        </w:rPr>
        <w:t>2</w:t>
      </w:r>
      <w:r>
        <w:rPr>
          <w:rStyle w:val="19"/>
          <w:rFonts w:hint="eastAsia" w:ascii="仿宋" w:hAnsi="仿宋" w:eastAsia="仿宋"/>
          <w:bCs/>
          <w:color w:val="000000"/>
          <w:sz w:val="32"/>
          <w:szCs w:val="32"/>
          <w:highlight w:val="none"/>
        </w:rPr>
        <w:t>.一般公共服务（201）统战事务（34）行政运行（01）</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210.49</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Style w:val="19"/>
          <w:rFonts w:hint="eastAsia" w:ascii="仿宋" w:hAnsi="仿宋" w:eastAsia="仿宋"/>
          <w:bCs/>
          <w:color w:val="000000"/>
          <w:sz w:val="32"/>
          <w:szCs w:val="32"/>
          <w:highlight w:val="none"/>
          <w:lang w:val="en-US" w:eastAsia="zh-CN"/>
        </w:rPr>
        <w:t>3</w:t>
      </w:r>
      <w:r>
        <w:rPr>
          <w:rStyle w:val="19"/>
          <w:rFonts w:hint="eastAsia" w:ascii="仿宋" w:hAnsi="仿宋" w:eastAsia="仿宋"/>
          <w:bCs/>
          <w:color w:val="000000"/>
          <w:sz w:val="32"/>
          <w:szCs w:val="32"/>
          <w:highlight w:val="none"/>
        </w:rPr>
        <w:t>.一般公共服务（201）统战事务（34）一般行政管理事务（02）</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95.05</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Style w:val="19"/>
          <w:rFonts w:hint="eastAsia" w:ascii="仿宋" w:hAnsi="仿宋" w:eastAsia="仿宋"/>
          <w:bCs/>
          <w:color w:val="000000"/>
          <w:sz w:val="32"/>
          <w:szCs w:val="32"/>
          <w:highlight w:val="none"/>
          <w:lang w:val="en-US" w:eastAsia="zh-CN"/>
        </w:rPr>
        <w:t>4</w:t>
      </w:r>
      <w:r>
        <w:rPr>
          <w:rStyle w:val="19"/>
          <w:rFonts w:hint="eastAsia" w:ascii="仿宋" w:hAnsi="仿宋" w:eastAsia="仿宋"/>
          <w:bCs/>
          <w:color w:val="000000"/>
          <w:sz w:val="32"/>
          <w:szCs w:val="32"/>
          <w:highlight w:val="none"/>
        </w:rPr>
        <w:t>.一般公共服务（201）统战事务（34）事业运行（50）</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32.58</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hint="eastAsia" w:ascii="仿宋" w:hAnsi="仿宋" w:eastAsia="仿宋"/>
          <w:bCs/>
          <w:color w:val="000000"/>
          <w:sz w:val="32"/>
          <w:szCs w:val="32"/>
          <w:highlight w:val="none"/>
          <w:lang w:val="en-US" w:eastAsia="zh-CN"/>
        </w:rPr>
      </w:pPr>
      <w:r>
        <w:rPr>
          <w:rStyle w:val="19"/>
          <w:rFonts w:hint="eastAsia" w:ascii="仿宋" w:hAnsi="仿宋" w:eastAsia="仿宋"/>
          <w:bCs/>
          <w:color w:val="000000"/>
          <w:sz w:val="32"/>
          <w:szCs w:val="32"/>
          <w:highlight w:val="none"/>
          <w:lang w:val="en-US" w:eastAsia="zh-CN"/>
        </w:rPr>
        <w:t>5</w:t>
      </w:r>
      <w:r>
        <w:rPr>
          <w:rStyle w:val="19"/>
          <w:rFonts w:hint="eastAsia" w:ascii="仿宋" w:hAnsi="仿宋" w:eastAsia="仿宋"/>
          <w:bCs/>
          <w:color w:val="000000"/>
          <w:sz w:val="32"/>
          <w:szCs w:val="32"/>
          <w:highlight w:val="none"/>
        </w:rPr>
        <w:t>.社会保障和就业（208）行政事业单位养老支出（05）行政单位离退休（</w:t>
      </w:r>
      <w:r>
        <w:rPr>
          <w:rStyle w:val="19"/>
          <w:rFonts w:hint="eastAsia" w:ascii="仿宋" w:hAnsi="仿宋" w:eastAsia="仿宋"/>
          <w:bCs/>
          <w:color w:val="000000"/>
          <w:sz w:val="32"/>
          <w:szCs w:val="32"/>
          <w:highlight w:val="none"/>
          <w:lang w:val="en-US" w:eastAsia="zh-CN"/>
        </w:rPr>
        <w:t>01</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0.91</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Style w:val="19"/>
          <w:rFonts w:hint="eastAsia" w:ascii="仿宋" w:hAnsi="仿宋" w:eastAsia="仿宋"/>
          <w:bCs/>
          <w:color w:val="000000"/>
          <w:sz w:val="32"/>
          <w:szCs w:val="32"/>
          <w:highlight w:val="none"/>
          <w:lang w:val="en-US" w:eastAsia="zh-CN"/>
        </w:rPr>
        <w:t>6</w:t>
      </w:r>
      <w:r>
        <w:rPr>
          <w:rStyle w:val="19"/>
          <w:rFonts w:hint="eastAsia" w:ascii="仿宋" w:hAnsi="仿宋" w:eastAsia="仿宋"/>
          <w:bCs/>
          <w:color w:val="000000"/>
          <w:sz w:val="32"/>
          <w:szCs w:val="32"/>
          <w:highlight w:val="none"/>
        </w:rPr>
        <w:t>.社会保障和就业（208）行政事业单位养老支出（05）机关事业单位基本养老保险缴费支出（05）</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28.10</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hint="eastAsia" w:ascii="仿宋" w:hAnsi="仿宋" w:eastAsia="仿宋"/>
          <w:bCs/>
          <w:color w:val="000000"/>
          <w:sz w:val="32"/>
          <w:szCs w:val="32"/>
          <w:highlight w:val="none"/>
          <w:lang w:val="en-US" w:eastAsia="zh-CN"/>
        </w:rPr>
      </w:pPr>
      <w:r>
        <w:rPr>
          <w:rStyle w:val="19"/>
          <w:rFonts w:hint="eastAsia" w:ascii="仿宋" w:hAnsi="仿宋" w:eastAsia="仿宋"/>
          <w:bCs/>
          <w:color w:val="000000"/>
          <w:sz w:val="32"/>
          <w:szCs w:val="32"/>
          <w:highlight w:val="none"/>
          <w:lang w:val="en-US" w:eastAsia="zh-CN"/>
        </w:rPr>
        <w:t>7</w:t>
      </w:r>
      <w:r>
        <w:rPr>
          <w:rStyle w:val="19"/>
          <w:rFonts w:hint="eastAsia" w:ascii="仿宋" w:hAnsi="仿宋" w:eastAsia="仿宋"/>
          <w:bCs/>
          <w:color w:val="000000"/>
          <w:sz w:val="32"/>
          <w:szCs w:val="32"/>
          <w:highlight w:val="none"/>
        </w:rPr>
        <w:t>.社会保障和就业（208）残疾人事业（</w:t>
      </w:r>
      <w:r>
        <w:rPr>
          <w:rStyle w:val="19"/>
          <w:rFonts w:hint="eastAsia" w:ascii="仿宋" w:hAnsi="仿宋" w:eastAsia="仿宋"/>
          <w:bCs/>
          <w:color w:val="000000"/>
          <w:sz w:val="32"/>
          <w:szCs w:val="32"/>
          <w:highlight w:val="none"/>
          <w:lang w:val="en-US" w:eastAsia="zh-CN"/>
        </w:rPr>
        <w:t>11</w:t>
      </w:r>
      <w:r>
        <w:rPr>
          <w:rStyle w:val="19"/>
          <w:rFonts w:hint="eastAsia" w:ascii="仿宋" w:hAnsi="仿宋" w:eastAsia="仿宋"/>
          <w:bCs/>
          <w:color w:val="000000"/>
          <w:sz w:val="32"/>
          <w:szCs w:val="32"/>
          <w:highlight w:val="none"/>
        </w:rPr>
        <w:t>）残疾人就业（0</w:t>
      </w:r>
      <w:r>
        <w:rPr>
          <w:rStyle w:val="19"/>
          <w:rFonts w:hint="eastAsia" w:ascii="仿宋" w:hAnsi="仿宋" w:eastAsia="仿宋"/>
          <w:bCs/>
          <w:color w:val="000000"/>
          <w:sz w:val="32"/>
          <w:szCs w:val="32"/>
          <w:highlight w:val="none"/>
          <w:lang w:val="en-US" w:eastAsia="zh-CN"/>
        </w:rPr>
        <w:t>5</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1.75</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Fonts w:ascii="仿宋" w:hAnsi="仿宋" w:eastAsia="仿宋"/>
          <w:b/>
          <w:color w:val="000000"/>
          <w:sz w:val="32"/>
          <w:szCs w:val="32"/>
          <w:highlight w:val="none"/>
        </w:rPr>
      </w:pPr>
      <w:r>
        <w:rPr>
          <w:rStyle w:val="19"/>
          <w:rFonts w:hint="eastAsia" w:ascii="仿宋" w:hAnsi="仿宋" w:eastAsia="仿宋"/>
          <w:bCs/>
          <w:color w:val="000000"/>
          <w:sz w:val="32"/>
          <w:szCs w:val="32"/>
          <w:highlight w:val="none"/>
          <w:lang w:val="en-US" w:eastAsia="zh-CN"/>
        </w:rPr>
        <w:t>8</w:t>
      </w:r>
      <w:r>
        <w:rPr>
          <w:rStyle w:val="19"/>
          <w:rFonts w:hint="eastAsia" w:ascii="仿宋" w:hAnsi="仿宋" w:eastAsia="仿宋"/>
          <w:bCs/>
          <w:color w:val="000000"/>
          <w:sz w:val="32"/>
          <w:szCs w:val="32"/>
          <w:highlight w:val="none"/>
        </w:rPr>
        <w:t>.社会保障和就业（208）其他社会保障和就业支出（99）其他社会保障和就业支出（</w:t>
      </w:r>
      <w:r>
        <w:rPr>
          <w:rStyle w:val="19"/>
          <w:rFonts w:hint="eastAsia" w:ascii="仿宋" w:hAnsi="仿宋" w:eastAsia="仿宋"/>
          <w:bCs/>
          <w:color w:val="000000"/>
          <w:sz w:val="32"/>
          <w:szCs w:val="32"/>
          <w:highlight w:val="none"/>
          <w:lang w:val="en-US" w:eastAsia="zh-CN"/>
        </w:rPr>
        <w:t>99</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0.42</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Fonts w:hint="eastAsia" w:ascii="仿宋" w:hAnsi="仿宋" w:eastAsia="仿宋"/>
          <w:b/>
          <w:bCs/>
          <w:color w:val="000000" w:themeColor="text1"/>
          <w:sz w:val="32"/>
          <w:szCs w:val="32"/>
          <w:highlight w:val="none"/>
          <w:lang w:val="en-US" w:eastAsia="zh-CN"/>
          <w14:textFill>
            <w14:solidFill>
              <w14:schemeClr w14:val="tx1"/>
            </w14:solidFill>
          </w14:textFill>
        </w:rPr>
        <w:t>9</w:t>
      </w:r>
      <w:r>
        <w:rPr>
          <w:rFonts w:hint="eastAsia" w:ascii="仿宋" w:hAnsi="仿宋" w:eastAsia="仿宋"/>
          <w:b/>
          <w:bCs/>
          <w:color w:val="000000" w:themeColor="text1"/>
          <w:sz w:val="32"/>
          <w:szCs w:val="32"/>
          <w:highlight w:val="none"/>
          <w14:textFill>
            <w14:solidFill>
              <w14:schemeClr w14:val="tx1"/>
            </w14:solidFill>
          </w14:textFill>
        </w:rPr>
        <w:t>.卫生健康</w:t>
      </w:r>
      <w:r>
        <w:rPr>
          <w:rStyle w:val="19"/>
          <w:rFonts w:hint="eastAsia" w:ascii="仿宋" w:hAnsi="仿宋" w:eastAsia="仿宋"/>
          <w:bCs/>
          <w:color w:val="000000"/>
          <w:sz w:val="32"/>
          <w:szCs w:val="32"/>
          <w:highlight w:val="none"/>
        </w:rPr>
        <w:t>（210）行政事业单位医疗（11）行政单位医疗（01）</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7.15</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lang w:val="en-US" w:eastAsia="zh-CN"/>
          <w14:textFill>
            <w14:solidFill>
              <w14:schemeClr w14:val="tx1"/>
            </w14:solidFill>
          </w14:textFill>
        </w:rPr>
        <w:t>10.</w:t>
      </w:r>
      <w:r>
        <w:rPr>
          <w:rFonts w:hint="eastAsia" w:ascii="仿宋" w:hAnsi="仿宋" w:eastAsia="仿宋"/>
          <w:b/>
          <w:bCs/>
          <w:color w:val="000000" w:themeColor="text1"/>
          <w:sz w:val="32"/>
          <w:szCs w:val="32"/>
          <w:highlight w:val="none"/>
          <w14:textFill>
            <w14:solidFill>
              <w14:schemeClr w14:val="tx1"/>
            </w14:solidFill>
          </w14:textFill>
        </w:rPr>
        <w:t>卫生健康</w:t>
      </w:r>
      <w:r>
        <w:rPr>
          <w:rStyle w:val="19"/>
          <w:rFonts w:hint="eastAsia" w:ascii="仿宋" w:hAnsi="仿宋" w:eastAsia="仿宋"/>
          <w:bCs/>
          <w:color w:val="000000"/>
          <w:sz w:val="32"/>
          <w:szCs w:val="32"/>
          <w:highlight w:val="none"/>
        </w:rPr>
        <w:t>（210）行政事业单位医疗（11）</w:t>
      </w:r>
      <w:r>
        <w:rPr>
          <w:rStyle w:val="19"/>
          <w:rFonts w:hint="eastAsia" w:ascii="仿宋" w:hAnsi="仿宋" w:eastAsia="仿宋"/>
          <w:bCs/>
          <w:color w:val="000000"/>
          <w:sz w:val="32"/>
          <w:szCs w:val="32"/>
          <w:highlight w:val="none"/>
          <w:lang w:eastAsia="zh-CN"/>
        </w:rPr>
        <w:t>事业</w:t>
      </w:r>
      <w:r>
        <w:rPr>
          <w:rStyle w:val="19"/>
          <w:rFonts w:hint="eastAsia" w:ascii="仿宋" w:hAnsi="仿宋" w:eastAsia="仿宋"/>
          <w:bCs/>
          <w:color w:val="000000"/>
          <w:sz w:val="32"/>
          <w:szCs w:val="32"/>
          <w:highlight w:val="none"/>
        </w:rPr>
        <w:t>单位医疗（0</w:t>
      </w:r>
      <w:r>
        <w:rPr>
          <w:rStyle w:val="19"/>
          <w:rFonts w:hint="eastAsia" w:ascii="仿宋" w:hAnsi="仿宋" w:eastAsia="仿宋"/>
          <w:bCs/>
          <w:color w:val="000000"/>
          <w:sz w:val="32"/>
          <w:szCs w:val="32"/>
          <w:highlight w:val="none"/>
          <w:lang w:val="en-US" w:eastAsia="zh-CN"/>
        </w:rPr>
        <w:t>2</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1.17</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Fonts w:ascii="仿宋" w:hAnsi="仿宋" w:eastAsia="仿宋"/>
          <w:b/>
          <w:color w:val="000000"/>
          <w:sz w:val="32"/>
          <w:szCs w:val="32"/>
          <w:highlight w:val="none"/>
        </w:rPr>
      </w:pPr>
      <w:r>
        <w:rPr>
          <w:rFonts w:hint="eastAsia" w:ascii="仿宋" w:hAnsi="仿宋" w:eastAsia="仿宋"/>
          <w:b/>
          <w:bCs/>
          <w:color w:val="000000" w:themeColor="text1"/>
          <w:sz w:val="32"/>
          <w:szCs w:val="32"/>
          <w:highlight w:val="none"/>
          <w:lang w:val="en-US" w:eastAsia="zh-CN"/>
          <w14:textFill>
            <w14:solidFill>
              <w14:schemeClr w14:val="tx1"/>
            </w14:solidFill>
          </w14:textFill>
        </w:rPr>
        <w:t>11</w:t>
      </w:r>
      <w:r>
        <w:rPr>
          <w:rFonts w:hint="eastAsia" w:ascii="仿宋" w:hAnsi="仿宋" w:eastAsia="仿宋"/>
          <w:b/>
          <w:bCs/>
          <w:color w:val="000000" w:themeColor="text1"/>
          <w:sz w:val="32"/>
          <w:szCs w:val="32"/>
          <w:highlight w:val="none"/>
          <w14:textFill>
            <w14:solidFill>
              <w14:schemeClr w14:val="tx1"/>
            </w14:solidFill>
          </w14:textFill>
        </w:rPr>
        <w:t>.卫生健康</w:t>
      </w:r>
      <w:r>
        <w:rPr>
          <w:rStyle w:val="19"/>
          <w:rFonts w:hint="eastAsia" w:ascii="仿宋" w:hAnsi="仿宋" w:eastAsia="仿宋"/>
          <w:bCs/>
          <w:color w:val="000000"/>
          <w:sz w:val="32"/>
          <w:szCs w:val="32"/>
          <w:highlight w:val="none"/>
        </w:rPr>
        <w:t>（210）行政事业单位医疗（11）公务员医疗补助（03）</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3.12</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9"/>
        <w:rPr>
          <w:rStyle w:val="19"/>
          <w:rFonts w:hint="eastAsia" w:ascii="仿宋_GB2312" w:eastAsia="仿宋_GB2312"/>
          <w:bCs/>
          <w:color w:val="000000"/>
          <w:sz w:val="32"/>
          <w:szCs w:val="32"/>
          <w:highlight w:val="none"/>
          <w:lang w:val="en-US" w:eastAsia="zh-CN"/>
        </w:rPr>
      </w:pPr>
      <w:r>
        <w:rPr>
          <w:rStyle w:val="19"/>
          <w:rFonts w:hint="eastAsia" w:ascii="仿宋_GB2312" w:eastAsia="仿宋_GB2312"/>
          <w:bCs/>
          <w:color w:val="000000"/>
          <w:sz w:val="32"/>
          <w:szCs w:val="32"/>
          <w:highlight w:val="none"/>
          <w:lang w:val="en-US" w:eastAsia="zh-CN"/>
        </w:rPr>
        <w:t>12.</w:t>
      </w:r>
      <w:r>
        <w:rPr>
          <w:rFonts w:hint="eastAsia" w:ascii="仿宋" w:hAnsi="仿宋" w:eastAsia="仿宋"/>
          <w:b/>
          <w:bCs/>
          <w:color w:val="000000" w:themeColor="text1"/>
          <w:sz w:val="32"/>
          <w:szCs w:val="32"/>
          <w:highlight w:val="none"/>
          <w14:textFill>
            <w14:solidFill>
              <w14:schemeClr w14:val="tx1"/>
            </w14:solidFill>
          </w14:textFill>
        </w:rPr>
        <w:t>农林水</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val="en-US" w:eastAsia="zh-CN"/>
        </w:rPr>
        <w:t>213</w:t>
      </w:r>
      <w:r>
        <w:rPr>
          <w:rStyle w:val="19"/>
          <w:rFonts w:hint="eastAsia" w:ascii="仿宋" w:hAnsi="仿宋" w:eastAsia="仿宋"/>
          <w:bCs/>
          <w:color w:val="000000"/>
          <w:sz w:val="32"/>
          <w:szCs w:val="32"/>
          <w:highlight w:val="none"/>
        </w:rPr>
        <w:t>）巩固</w:t>
      </w:r>
      <w:r>
        <w:rPr>
          <w:rStyle w:val="19"/>
          <w:rFonts w:hint="eastAsia" w:ascii="仿宋" w:hAnsi="仿宋" w:eastAsia="仿宋"/>
          <w:bCs/>
          <w:color w:val="000000"/>
          <w:sz w:val="32"/>
          <w:szCs w:val="32"/>
          <w:highlight w:val="none"/>
          <w:lang w:eastAsia="zh-CN"/>
        </w:rPr>
        <w:t>拓展</w:t>
      </w:r>
      <w:r>
        <w:rPr>
          <w:rStyle w:val="19"/>
          <w:rFonts w:hint="eastAsia" w:ascii="仿宋" w:hAnsi="仿宋" w:eastAsia="仿宋"/>
          <w:bCs/>
          <w:color w:val="000000"/>
          <w:sz w:val="32"/>
          <w:szCs w:val="32"/>
          <w:highlight w:val="none"/>
        </w:rPr>
        <w:t>脱贫攻坚成果衔接乡村振兴（</w:t>
      </w:r>
      <w:r>
        <w:rPr>
          <w:rStyle w:val="19"/>
          <w:rFonts w:hint="eastAsia" w:ascii="仿宋" w:hAnsi="仿宋" w:eastAsia="仿宋"/>
          <w:bCs/>
          <w:color w:val="000000"/>
          <w:sz w:val="32"/>
          <w:szCs w:val="32"/>
          <w:highlight w:val="none"/>
          <w:lang w:val="en-US" w:eastAsia="zh-CN"/>
        </w:rPr>
        <w:t>05</w:t>
      </w:r>
      <w:r>
        <w:rPr>
          <w:rStyle w:val="19"/>
          <w:rFonts w:hint="eastAsia" w:ascii="仿宋" w:hAnsi="仿宋" w:eastAsia="仿宋"/>
          <w:bCs/>
          <w:color w:val="000000"/>
          <w:sz w:val="32"/>
          <w:szCs w:val="32"/>
          <w:highlight w:val="none"/>
        </w:rPr>
        <w:t>）其他巩固</w:t>
      </w:r>
      <w:r>
        <w:rPr>
          <w:rStyle w:val="19"/>
          <w:rFonts w:hint="eastAsia" w:ascii="仿宋" w:hAnsi="仿宋" w:eastAsia="仿宋"/>
          <w:bCs/>
          <w:color w:val="000000"/>
          <w:sz w:val="32"/>
          <w:szCs w:val="32"/>
          <w:highlight w:val="none"/>
          <w:lang w:eastAsia="zh-CN"/>
        </w:rPr>
        <w:t>拓展</w:t>
      </w:r>
      <w:r>
        <w:rPr>
          <w:rStyle w:val="19"/>
          <w:rFonts w:hint="eastAsia" w:ascii="仿宋" w:hAnsi="仿宋" w:eastAsia="仿宋"/>
          <w:bCs/>
          <w:color w:val="000000"/>
          <w:sz w:val="32"/>
          <w:szCs w:val="32"/>
          <w:highlight w:val="none"/>
        </w:rPr>
        <w:t>脱贫攻坚成果衔接乡村振兴支出（</w:t>
      </w:r>
      <w:r>
        <w:rPr>
          <w:rStyle w:val="19"/>
          <w:rFonts w:hint="eastAsia" w:ascii="仿宋" w:hAnsi="仿宋" w:eastAsia="仿宋"/>
          <w:bCs/>
          <w:color w:val="000000"/>
          <w:sz w:val="32"/>
          <w:szCs w:val="32"/>
          <w:highlight w:val="none"/>
          <w:lang w:val="en-US" w:eastAsia="zh-CN"/>
        </w:rPr>
        <w:t>99</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50.00</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9"/>
        <w:rPr>
          <w:rStyle w:val="19"/>
          <w:rFonts w:hint="eastAsia" w:ascii="仿宋" w:hAnsi="仿宋" w:eastAsia="仿宋"/>
          <w:b w:val="0"/>
          <w:bCs/>
          <w:color w:val="000000"/>
          <w:sz w:val="32"/>
          <w:szCs w:val="32"/>
          <w:highlight w:val="none"/>
        </w:rPr>
      </w:pPr>
      <w:r>
        <w:rPr>
          <w:rStyle w:val="19"/>
          <w:rFonts w:hint="eastAsia" w:ascii="仿宋_GB2312" w:eastAsia="仿宋_GB2312"/>
          <w:bCs/>
          <w:color w:val="000000"/>
          <w:sz w:val="32"/>
          <w:szCs w:val="32"/>
          <w:highlight w:val="none"/>
        </w:rPr>
        <w:t>1</w:t>
      </w:r>
      <w:r>
        <w:rPr>
          <w:rStyle w:val="19"/>
          <w:rFonts w:hint="eastAsia" w:ascii="仿宋_GB2312" w:eastAsia="仿宋_GB2312"/>
          <w:bCs/>
          <w:color w:val="000000"/>
          <w:sz w:val="32"/>
          <w:szCs w:val="32"/>
          <w:highlight w:val="none"/>
          <w:lang w:val="en-US" w:eastAsia="zh-CN"/>
        </w:rPr>
        <w:t>3</w:t>
      </w:r>
      <w:r>
        <w:rPr>
          <w:rStyle w:val="19"/>
          <w:rFonts w:hint="eastAsia" w:ascii="仿宋_GB2312" w:eastAsia="仿宋_GB2312"/>
          <w:bCs/>
          <w:color w:val="000000"/>
          <w:sz w:val="32"/>
          <w:szCs w:val="32"/>
          <w:highlight w:val="none"/>
        </w:rPr>
        <w:t>.住房保障支出（221）住房改革支出（02）住房公积金（01）：</w:t>
      </w:r>
      <w:r>
        <w:rPr>
          <w:rStyle w:val="19"/>
          <w:rFonts w:hint="eastAsia" w:ascii="仿宋_GB2312" w:eastAsia="仿宋_GB2312"/>
          <w:b w:val="0"/>
          <w:color w:val="000000"/>
          <w:sz w:val="32"/>
          <w:szCs w:val="32"/>
          <w:highlight w:val="none"/>
        </w:rPr>
        <w:t>支出决算为</w:t>
      </w:r>
      <w:r>
        <w:rPr>
          <w:rStyle w:val="19"/>
          <w:rFonts w:hint="eastAsia" w:ascii="仿宋_GB2312" w:eastAsia="仿宋_GB2312"/>
          <w:b w:val="0"/>
          <w:color w:val="000000"/>
          <w:sz w:val="32"/>
          <w:szCs w:val="32"/>
          <w:highlight w:val="none"/>
          <w:lang w:val="en-US" w:eastAsia="zh-CN"/>
        </w:rPr>
        <w:t>23.09</w:t>
      </w:r>
      <w:r>
        <w:rPr>
          <w:rStyle w:val="19"/>
          <w:rFonts w:hint="eastAsia" w:ascii="仿宋_GB2312" w:eastAsia="仿宋_GB2312"/>
          <w:b w:val="0"/>
          <w:color w:val="000000"/>
          <w:sz w:val="32"/>
          <w:szCs w:val="32"/>
          <w:highlight w:val="none"/>
        </w:rPr>
        <w:t>万元，</w:t>
      </w:r>
      <w:r>
        <w:rPr>
          <w:rStyle w:val="19"/>
          <w:rFonts w:hint="eastAsia" w:ascii="仿宋" w:hAnsi="仿宋" w:eastAsia="仿宋"/>
          <w:b w:val="0"/>
          <w:bCs/>
          <w:color w:val="000000"/>
          <w:sz w:val="32"/>
          <w:szCs w:val="32"/>
          <w:highlight w:val="none"/>
        </w:rPr>
        <w:t>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tabs>
          <w:tab w:val="right" w:pos="8306"/>
        </w:tabs>
        <w:spacing w:line="600" w:lineRule="exact"/>
        <w:ind w:firstLine="640"/>
        <w:jc w:val="both"/>
        <w:outlineLvl w:val="1"/>
        <w:rPr>
          <w:rStyle w:val="32"/>
          <w:color w:val="auto"/>
          <w:highlight w:val="none"/>
        </w:rPr>
      </w:pPr>
      <w:bookmarkStart w:id="49" w:name="_Toc609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47"/>
      <w:bookmarkEnd w:id="48"/>
      <w:bookmarkEnd w:id="49"/>
      <w:r>
        <w:rPr>
          <w:rStyle w:val="32"/>
          <w:rFonts w:ascii="黑体" w:hAnsi="黑体" w:eastAsia="黑体"/>
          <w:b w:val="0"/>
          <w:color w:val="auto"/>
          <w:highlight w:val="none"/>
        </w:rPr>
        <w:tab/>
      </w:r>
    </w:p>
    <w:p>
      <w:pPr>
        <w:spacing w:line="600" w:lineRule="exact"/>
        <w:ind w:firstLine="645"/>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312.23</w:t>
      </w:r>
      <w:r>
        <w:rPr>
          <w:rFonts w:hint="eastAsia" w:ascii="仿宋" w:hAnsi="仿宋" w:eastAsia="仿宋"/>
          <w:color w:val="auto"/>
          <w:sz w:val="32"/>
          <w:szCs w:val="32"/>
          <w:highlight w:val="none"/>
        </w:rPr>
        <w:t>万元，其中：</w:t>
      </w:r>
    </w:p>
    <w:p>
      <w:pPr>
        <w:spacing w:line="600" w:lineRule="exact"/>
        <w:ind w:firstLine="645"/>
        <w:jc w:val="both"/>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277.05</w:t>
      </w:r>
      <w:r>
        <w:rPr>
          <w:rFonts w:hint="eastAsia" w:ascii="仿宋" w:hAnsi="仿宋" w:eastAsia="仿宋"/>
          <w:color w:val="auto"/>
          <w:sz w:val="32"/>
          <w:szCs w:val="32"/>
          <w:highlight w:val="none"/>
        </w:rPr>
        <w:t>万元，主要包括：</w:t>
      </w:r>
      <w:r>
        <w:rPr>
          <w:rFonts w:hint="eastAsia" w:ascii="仿宋" w:hAnsi="仿宋" w:eastAsia="仿宋"/>
          <w:color w:val="000000"/>
          <w:sz w:val="32"/>
          <w:szCs w:val="32"/>
          <w:highlight w:val="none"/>
        </w:rPr>
        <w:t>基本工资、津贴补贴、奖金、绩效工资、机关事业单位基本养老保险缴费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职工基本医疗保险缴费、公务员医疗补助缴费、其他社会保障缴费、住房公积金、其他工资福利支出、其他对个人和家庭的补助支出</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35.18</w:t>
      </w:r>
      <w:r>
        <w:rPr>
          <w:rFonts w:hint="eastAsia" w:ascii="仿宋" w:hAnsi="仿宋" w:eastAsia="仿宋"/>
          <w:color w:val="auto"/>
          <w:sz w:val="32"/>
          <w:szCs w:val="32"/>
          <w:highlight w:val="none"/>
        </w:rPr>
        <w:t>万元，主要包括：办公费、邮电费、差旅费、维修（护）费、</w:t>
      </w:r>
      <w:r>
        <w:rPr>
          <w:rFonts w:hint="eastAsia" w:ascii="仿宋" w:hAnsi="仿宋" w:eastAsia="仿宋"/>
          <w:color w:val="auto"/>
          <w:sz w:val="32"/>
          <w:szCs w:val="32"/>
          <w:highlight w:val="none"/>
          <w:lang w:eastAsia="zh-CN"/>
        </w:rPr>
        <w:t>租赁</w:t>
      </w:r>
      <w:r>
        <w:rPr>
          <w:rFonts w:hint="eastAsia" w:ascii="仿宋" w:hAnsi="仿宋" w:eastAsia="仿宋"/>
          <w:color w:val="auto"/>
          <w:sz w:val="32"/>
          <w:szCs w:val="32"/>
          <w:highlight w:val="none"/>
        </w:rPr>
        <w:t>费、公务接待费、劳务费、</w:t>
      </w:r>
      <w:r>
        <w:rPr>
          <w:rFonts w:hint="eastAsia" w:ascii="仿宋" w:hAnsi="仿宋" w:eastAsia="仿宋"/>
          <w:color w:val="auto"/>
          <w:sz w:val="32"/>
          <w:szCs w:val="32"/>
          <w:highlight w:val="none"/>
          <w:lang w:eastAsia="zh-CN"/>
        </w:rPr>
        <w:t>委托业务费、</w:t>
      </w:r>
      <w:r>
        <w:rPr>
          <w:rFonts w:hint="eastAsia" w:ascii="仿宋" w:hAnsi="仿宋" w:eastAsia="仿宋"/>
          <w:color w:val="auto"/>
          <w:sz w:val="32"/>
          <w:szCs w:val="32"/>
          <w:highlight w:val="none"/>
        </w:rPr>
        <w:t>福利费、其他交通费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w:t>
      </w:r>
    </w:p>
    <w:p>
      <w:pPr>
        <w:spacing w:line="600" w:lineRule="exact"/>
        <w:ind w:firstLine="640"/>
        <w:jc w:val="both"/>
        <w:outlineLvl w:val="1"/>
        <w:rPr>
          <w:rStyle w:val="32"/>
          <w:rFonts w:ascii="黑体" w:hAnsi="黑体" w:eastAsia="黑体"/>
          <w:b w:val="0"/>
          <w:color w:val="auto"/>
          <w:highlight w:val="none"/>
        </w:rPr>
      </w:pPr>
      <w:bookmarkStart w:id="50" w:name="_Toc8749"/>
      <w:bookmarkStart w:id="51" w:name="_Toc15377215"/>
      <w:bookmarkStart w:id="52" w:name="_Toc15396609"/>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50"/>
      <w:bookmarkEnd w:id="51"/>
      <w:bookmarkEnd w:id="52"/>
    </w:p>
    <w:p>
      <w:pPr>
        <w:spacing w:line="600" w:lineRule="exact"/>
        <w:ind w:firstLine="640"/>
        <w:jc w:val="both"/>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0.64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增加0.38万元，增长146.15%。</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预算数持平。</w:t>
      </w:r>
    </w:p>
    <w:p>
      <w:pPr>
        <w:spacing w:line="600" w:lineRule="exact"/>
        <w:ind w:firstLine="640"/>
        <w:jc w:val="both"/>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jc w:val="both"/>
        <w:rPr>
          <w:rFonts w:ascii="仿宋" w:hAnsi="仿宋" w:eastAsia="仿宋"/>
          <w:color w:val="000000"/>
          <w:sz w:val="32"/>
          <w:szCs w:val="32"/>
          <w:highlight w:val="none"/>
        </w:rPr>
      </w:pPr>
      <w:r>
        <w:rPr>
          <w:rFonts w:hint="eastAsia" w:ascii="仿宋" w:hAnsi="仿宋" w:eastAsia="仿宋"/>
          <w:color w:val="000000"/>
          <w:sz w:val="32"/>
          <w:szCs w:val="32"/>
          <w:highlight w:val="none"/>
        </w:rPr>
        <w:t>图7：</w:t>
      </w:r>
    </w:p>
    <w:p>
      <w:pPr>
        <w:pStyle w:val="7"/>
        <w:spacing w:before="93"/>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drawing>
          <wp:inline distT="0" distB="0" distL="114300" distR="114300">
            <wp:extent cx="3816985" cy="1819910"/>
            <wp:effectExtent l="4445" t="4445" r="7620"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jc w:val="both"/>
        <w:rPr>
          <w:rFonts w:ascii="仿宋_GB2312" w:eastAsia="仿宋_GB2312"/>
          <w:color w:val="auto"/>
          <w:sz w:val="32"/>
          <w:szCs w:val="32"/>
          <w:highlight w:val="none"/>
        </w:rPr>
      </w:pPr>
      <w:r>
        <w:rPr>
          <w:rFonts w:ascii="仿宋_GB2312" w:eastAsia="仿宋_GB2312"/>
          <w:b/>
          <w:color w:val="000000"/>
          <w:sz w:val="32"/>
          <w:szCs w:val="32"/>
          <w:highlight w:val="none"/>
        </w:rPr>
        <w:t>1</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较2022年持平</w:t>
      </w:r>
      <w:r>
        <w:rPr>
          <w:rFonts w:hint="eastAsia" w:ascii="仿宋_GB2312" w:eastAsia="仿宋_GB2312"/>
          <w:color w:val="auto"/>
          <w:sz w:val="32"/>
          <w:szCs w:val="32"/>
          <w:highlight w:val="none"/>
        </w:rPr>
        <w:t>。</w:t>
      </w:r>
    </w:p>
    <w:p>
      <w:pPr>
        <w:spacing w:line="600" w:lineRule="exact"/>
        <w:ind w:firstLine="640"/>
        <w:jc w:val="both"/>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较2022年持平</w:t>
      </w:r>
      <w:r>
        <w:rPr>
          <w:rFonts w:hint="eastAsia" w:ascii="仿宋_GB2312" w:eastAsia="仿宋_GB2312"/>
          <w:color w:val="auto"/>
          <w:sz w:val="32"/>
          <w:szCs w:val="32"/>
          <w:highlight w:val="none"/>
        </w:rPr>
        <w:t>。</w:t>
      </w:r>
    </w:p>
    <w:p>
      <w:pPr>
        <w:spacing w:line="600" w:lineRule="exact"/>
        <w:ind w:firstLine="640" w:firstLineChars="200"/>
        <w:jc w:val="both"/>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jc w:val="both"/>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jc w:val="both"/>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2022年</w:t>
      </w:r>
      <w:r>
        <w:rPr>
          <w:rFonts w:hint="eastAsia" w:ascii="仿宋" w:hAnsi="仿宋" w:eastAsia="仿宋"/>
          <w:color w:val="auto"/>
          <w:sz w:val="32"/>
          <w:szCs w:val="32"/>
          <w:highlight w:val="none"/>
          <w:lang w:val="en-US" w:eastAsia="zh-CN"/>
        </w:rPr>
        <w:t>增加0.38万元，增长146.15%</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公务接待工作增加</w:t>
      </w:r>
      <w:r>
        <w:rPr>
          <w:rFonts w:hint="eastAsia" w:ascii="仿宋_GB2312" w:eastAsia="仿宋_GB2312"/>
          <w:color w:val="auto"/>
          <w:sz w:val="32"/>
          <w:szCs w:val="32"/>
          <w:highlight w:val="none"/>
        </w:rPr>
        <w:t>。其中：</w:t>
      </w:r>
    </w:p>
    <w:p>
      <w:pPr>
        <w:spacing w:line="600" w:lineRule="exact"/>
        <w:ind w:firstLine="640"/>
        <w:jc w:val="both"/>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0.64</w:t>
      </w:r>
      <w:r>
        <w:rPr>
          <w:rFonts w:hint="eastAsia" w:ascii="仿宋_GB2312" w:eastAsia="仿宋_GB2312"/>
          <w:color w:val="auto"/>
          <w:sz w:val="32"/>
          <w:szCs w:val="32"/>
          <w:highlight w:val="none"/>
        </w:rPr>
        <w:t>万元，主要用于执行公务用餐费。国内公务接待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万元，具体内容包括：接待四川大学侨界专家调研涉侨涉外企业餐费</w:t>
      </w:r>
      <w:r>
        <w:rPr>
          <w:rFonts w:hint="eastAsia" w:ascii="仿宋_GB2312" w:eastAsia="仿宋_GB2312"/>
          <w:color w:val="auto"/>
          <w:sz w:val="32"/>
          <w:szCs w:val="32"/>
          <w:highlight w:val="none"/>
          <w:lang w:val="en-US" w:eastAsia="zh-CN"/>
        </w:rPr>
        <w:t>0.16万元、接待成都市侨联调研餐费0.29万元、接待安居区委统战部学习工作餐费0.08万元、接待大英统战部学习考察工作餐费0.11万元</w:t>
      </w:r>
      <w:r>
        <w:rPr>
          <w:rFonts w:hint="eastAsia" w:ascii="仿宋_GB2312" w:eastAsia="仿宋_GB2312"/>
          <w:color w:val="auto"/>
          <w:sz w:val="32"/>
          <w:szCs w:val="32"/>
          <w:highlight w:val="none"/>
        </w:rPr>
        <w:t>。</w:t>
      </w:r>
    </w:p>
    <w:p>
      <w:pPr>
        <w:spacing w:line="600" w:lineRule="exact"/>
        <w:ind w:firstLine="642" w:firstLineChars="200"/>
        <w:jc w:val="both"/>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55" w:name="_Toc15396610"/>
      <w:bookmarkStart w:id="56" w:name="_Toc15377218"/>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jc w:val="both"/>
        <w:outlineLvl w:val="1"/>
        <w:rPr>
          <w:rStyle w:val="32"/>
          <w:rFonts w:ascii="黑体" w:hAnsi="黑体" w:eastAsia="黑体"/>
          <w:color w:val="auto"/>
          <w:highlight w:val="none"/>
        </w:rPr>
      </w:pPr>
      <w:bookmarkStart w:id="57" w:name="_Toc19450"/>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55"/>
      <w:bookmarkEnd w:id="56"/>
      <w:bookmarkEnd w:id="57"/>
    </w:p>
    <w:p>
      <w:pPr>
        <w:spacing w:line="600" w:lineRule="exact"/>
        <w:ind w:firstLine="64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jc w:val="both"/>
        <w:outlineLvl w:val="1"/>
        <w:rPr>
          <w:rStyle w:val="32"/>
          <w:rFonts w:ascii="黑体" w:hAnsi="黑体" w:eastAsia="黑体"/>
          <w:b w:val="0"/>
          <w:color w:val="auto"/>
          <w:highlight w:val="none"/>
        </w:rPr>
      </w:pPr>
      <w:bookmarkStart w:id="58" w:name="_Toc15377219"/>
      <w:bookmarkStart w:id="59" w:name="_Toc23764"/>
      <w:bookmarkStart w:id="60" w:name="_Toc15396611"/>
      <w:r>
        <w:rPr>
          <w:rStyle w:val="32"/>
          <w:rFonts w:hint="eastAsia" w:ascii="黑体" w:hAnsi="黑体" w:eastAsia="黑体"/>
          <w:b w:val="0"/>
          <w:color w:val="auto"/>
          <w:highlight w:val="none"/>
        </w:rPr>
        <w:t>国有资本经营预算支出决算情况说明</w:t>
      </w:r>
      <w:bookmarkEnd w:id="58"/>
      <w:bookmarkEnd w:id="59"/>
      <w:bookmarkEnd w:id="60"/>
    </w:p>
    <w:p>
      <w:pPr>
        <w:spacing w:line="600" w:lineRule="exact"/>
        <w:ind w:firstLine="640"/>
        <w:jc w:val="both"/>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jc w:val="both"/>
        <w:outlineLvl w:val="1"/>
        <w:rPr>
          <w:rStyle w:val="32"/>
          <w:rFonts w:hint="eastAsia" w:ascii="黑体" w:hAnsi="黑体" w:eastAsia="黑体"/>
          <w:b w:val="0"/>
          <w:color w:val="auto"/>
          <w:highlight w:val="none"/>
        </w:rPr>
      </w:pPr>
      <w:bookmarkStart w:id="61" w:name="_Toc15396612"/>
      <w:bookmarkStart w:id="62" w:name="_Toc1208"/>
      <w:bookmarkStart w:id="63" w:name="_Toc15377221"/>
      <w:r>
        <w:rPr>
          <w:rStyle w:val="32"/>
          <w:rFonts w:hint="eastAsia" w:ascii="黑体" w:hAnsi="黑体" w:eastAsia="黑体"/>
          <w:b w:val="0"/>
          <w:color w:val="auto"/>
          <w:highlight w:val="none"/>
        </w:rPr>
        <w:t>其他重要事项的情况说明</w:t>
      </w:r>
      <w:bookmarkEnd w:id="61"/>
      <w:bookmarkEnd w:id="62"/>
      <w:bookmarkEnd w:id="63"/>
    </w:p>
    <w:p>
      <w:pPr>
        <w:spacing w:line="600" w:lineRule="exact"/>
        <w:ind w:firstLine="642" w:firstLineChars="200"/>
        <w:jc w:val="both"/>
        <w:outlineLvl w:val="2"/>
        <w:rPr>
          <w:rFonts w:ascii="仿宋" w:hAnsi="仿宋" w:eastAsia="仿宋"/>
          <w:color w:val="auto"/>
          <w:sz w:val="32"/>
          <w:szCs w:val="32"/>
          <w:highlight w:val="none"/>
        </w:rPr>
      </w:pPr>
      <w:bookmarkStart w:id="64" w:name="_Toc15377222"/>
      <w:r>
        <w:rPr>
          <w:rFonts w:hint="eastAsia" w:ascii="仿宋" w:hAnsi="仿宋" w:eastAsia="仿宋"/>
          <w:b/>
          <w:color w:val="auto"/>
          <w:sz w:val="32"/>
          <w:szCs w:val="32"/>
          <w:highlight w:val="none"/>
        </w:rPr>
        <w:t>（一）机关运行经费支出情况</w:t>
      </w:r>
      <w:bookmarkEnd w:id="64"/>
    </w:p>
    <w:p>
      <w:pPr>
        <w:spacing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区委统战部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35.18</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2022年增加</w:t>
      </w:r>
      <w:r>
        <w:rPr>
          <w:rFonts w:hint="eastAsia" w:ascii="仿宋_GB2312" w:eastAsia="仿宋_GB2312"/>
          <w:color w:val="auto"/>
          <w:sz w:val="32"/>
          <w:szCs w:val="32"/>
          <w:highlight w:val="none"/>
          <w:lang w:val="en-US" w:eastAsia="zh-CN"/>
        </w:rPr>
        <w:t>2.75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8.48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2023年人员增加，日常办公经费相应增加</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2" w:firstLineChars="200"/>
        <w:jc w:val="both"/>
        <w:outlineLvl w:val="2"/>
        <w:rPr>
          <w:rFonts w:ascii="仿宋" w:hAnsi="仿宋" w:eastAsia="仿宋"/>
          <w:b/>
          <w:color w:val="auto"/>
          <w:sz w:val="32"/>
          <w:szCs w:val="32"/>
          <w:highlight w:val="none"/>
        </w:rPr>
      </w:pPr>
      <w:bookmarkStart w:id="65" w:name="_Toc15377223"/>
      <w:r>
        <w:rPr>
          <w:rFonts w:hint="eastAsia" w:ascii="仿宋" w:hAnsi="仿宋" w:eastAsia="仿宋"/>
          <w:b/>
          <w:color w:val="auto"/>
          <w:sz w:val="32"/>
          <w:szCs w:val="32"/>
          <w:highlight w:val="none"/>
        </w:rPr>
        <w:t>（二）政府采购支出情况</w:t>
      </w:r>
      <w:bookmarkEnd w:id="65"/>
    </w:p>
    <w:p>
      <w:pPr>
        <w:spacing w:line="600" w:lineRule="exact"/>
        <w:ind w:firstLine="640" w:firstLineChars="200"/>
        <w:jc w:val="both"/>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区委统战部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both"/>
        <w:outlineLvl w:val="2"/>
        <w:rPr>
          <w:rFonts w:ascii="仿宋" w:hAnsi="仿宋" w:eastAsia="仿宋"/>
          <w:b/>
          <w:color w:val="auto"/>
          <w:sz w:val="32"/>
          <w:szCs w:val="32"/>
          <w:highlight w:val="none"/>
        </w:rPr>
      </w:pPr>
      <w:bookmarkStart w:id="66" w:name="_Toc15377224"/>
      <w:r>
        <w:rPr>
          <w:rFonts w:hint="eastAsia" w:ascii="仿宋" w:hAnsi="仿宋" w:eastAsia="仿宋"/>
          <w:b/>
          <w:color w:val="auto"/>
          <w:sz w:val="32"/>
          <w:szCs w:val="32"/>
          <w:highlight w:val="none"/>
        </w:rPr>
        <w:t>（三）国有资产占有使用情况</w:t>
      </w:r>
      <w:bookmarkEnd w:id="66"/>
    </w:p>
    <w:p>
      <w:pPr>
        <w:spacing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12月31日，</w:t>
      </w:r>
      <w:r>
        <w:rPr>
          <w:rFonts w:hint="eastAsia" w:ascii="仿宋_GB2312" w:eastAsia="仿宋_GB2312"/>
          <w:color w:val="auto"/>
          <w:sz w:val="32"/>
          <w:szCs w:val="32"/>
          <w:highlight w:val="none"/>
          <w:lang w:eastAsia="zh-CN"/>
        </w:rPr>
        <w:t>区委统战部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单价100万元以上专用设备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eastAsia="仿宋_GB2312" w:cs="Times New Roman"/>
          <w:color w:val="000000"/>
          <w:sz w:val="32"/>
          <w:szCs w:val="32"/>
          <w:shd w:val="clear" w:color="auto" w:fill="FFFFFF"/>
          <w:lang w:val="en-US" w:eastAsia="zh-CN"/>
        </w:rPr>
      </w:pPr>
      <w:r>
        <w:rPr>
          <w:rFonts w:hint="eastAsia" w:eastAsia="仿宋_GB2312" w:cs="Times New Roman"/>
          <w:color w:val="000000"/>
          <w:sz w:val="32"/>
          <w:szCs w:val="32"/>
          <w:shd w:val="clear" w:color="auto" w:fill="FFFFFF"/>
          <w:lang w:val="en-US" w:eastAsia="zh-CN"/>
        </w:rPr>
        <w:t>根据预算绩效管理要求，本单位在2023年度预算编制阶段，组织对“少数民族发展资金”“党外人士实践、活动经费”“六党派、新联会、知联会活动经费”“党派、新的社会阶层联系工作经费”“台侨工作经费”“宗教工作“四项”经费民宗维稳协调经费、民宗工作经费”“乡镇统战工作经费”“2023年春节慰问项目”8个项目开展了预算事前绩效评估，对8个项目编制了绩效目标，预算执行过程中，选取8个项目开展绩效监控。</w:t>
      </w:r>
    </w:p>
    <w:p>
      <w:pPr>
        <w:widowControl/>
        <w:ind w:firstLine="640" w:firstLineChars="200"/>
        <w:jc w:val="both"/>
        <w:rPr>
          <w:rFonts w:ascii="仿宋_GB2312" w:eastAsia="仿宋_GB2312"/>
          <w:b/>
          <w:color w:val="auto"/>
          <w:sz w:val="32"/>
          <w:szCs w:val="32"/>
          <w:highlight w:val="none"/>
        </w:rPr>
      </w:pPr>
      <w:r>
        <w:rPr>
          <w:rFonts w:hint="eastAsia" w:eastAsia="仿宋_GB2312" w:cs="Times New Roman"/>
          <w:color w:val="000000"/>
          <w:sz w:val="32"/>
          <w:szCs w:val="32"/>
          <w:shd w:val="clear" w:color="auto" w:fill="FFFFFF"/>
          <w:lang w:val="en-US" w:eastAsia="zh-CN"/>
        </w:rPr>
        <w:t>组织对2023年度一般公共预算、政府性基金预算、国有资本经营预算、社会保险基金预算以及资本资产、债券资金等全面开展绩效自评，形成2023年统战部单位</w:t>
      </w:r>
      <w:r>
        <w:rPr>
          <w:rFonts w:hint="default" w:eastAsia="仿宋_GB2312" w:cs="Times New Roman"/>
          <w:color w:val="000000"/>
          <w:sz w:val="32"/>
          <w:szCs w:val="32"/>
          <w:shd w:val="clear" w:color="auto" w:fill="FFFFFF"/>
          <w:lang w:val="en-US" w:eastAsia="zh-CN"/>
        </w:rPr>
        <w:t>整体支出绩效报告</w:t>
      </w:r>
      <w:r>
        <w:rPr>
          <w:rFonts w:hint="eastAsia" w:eastAsia="仿宋_GB2312" w:cs="Times New Roman"/>
          <w:color w:val="000000"/>
          <w:sz w:val="32"/>
          <w:szCs w:val="32"/>
          <w:shd w:val="clear" w:color="auto" w:fill="FFFFFF"/>
          <w:lang w:val="en-US" w:eastAsia="zh-CN"/>
        </w:rPr>
        <w:t>、“信访维稳资金”“党外人士实践、活动经费”“六党派、新联会、知联会活动经费”“党派、新的社会阶层联系工作经费”“台侨工作经费”“宗教工作“四项”经费民宗维稳协调经费、民宗工作经费”“乡镇统战工作经费”“2023年春节慰问项目”预算项目绩效自评报告，其中，2023年统战部单位</w:t>
      </w:r>
      <w:r>
        <w:rPr>
          <w:rFonts w:hint="default" w:eastAsia="仿宋_GB2312" w:cs="Times New Roman"/>
          <w:color w:val="000000"/>
          <w:sz w:val="32"/>
          <w:szCs w:val="32"/>
          <w:shd w:val="clear" w:color="auto" w:fill="FFFFFF"/>
          <w:lang w:val="en-US" w:eastAsia="zh-CN"/>
        </w:rPr>
        <w:t>整体支出绩效报告</w:t>
      </w:r>
      <w:r>
        <w:rPr>
          <w:rFonts w:hint="eastAsia" w:eastAsia="仿宋_GB2312" w:cs="Times New Roman"/>
          <w:color w:val="000000"/>
          <w:sz w:val="32"/>
          <w:szCs w:val="32"/>
          <w:shd w:val="clear" w:color="auto" w:fill="FFFFFF"/>
          <w:lang w:val="en-US" w:eastAsia="zh-CN"/>
        </w:rPr>
        <w:t>绩效自评得分为79.57分，绩效自评综述：统战部</w:t>
      </w:r>
      <w:r>
        <w:rPr>
          <w:rFonts w:hint="default" w:eastAsia="仿宋_GB2312" w:cs="Times New Roman"/>
          <w:color w:val="000000"/>
          <w:sz w:val="32"/>
          <w:szCs w:val="32"/>
          <w:shd w:val="clear" w:color="auto" w:fill="FFFFFF"/>
          <w:lang w:val="zh-CN" w:eastAsia="zh-CN"/>
        </w:rPr>
        <w:t>严格按照相关要求做好做实202</w:t>
      </w:r>
      <w:r>
        <w:rPr>
          <w:rFonts w:hint="eastAsia" w:eastAsia="仿宋_GB2312" w:cs="Times New Roman"/>
          <w:color w:val="000000"/>
          <w:sz w:val="32"/>
          <w:szCs w:val="32"/>
          <w:shd w:val="clear" w:color="auto" w:fill="FFFFFF"/>
          <w:lang w:val="en-US" w:eastAsia="zh-CN"/>
        </w:rPr>
        <w:t>3</w:t>
      </w:r>
      <w:r>
        <w:rPr>
          <w:rFonts w:hint="default" w:eastAsia="仿宋_GB2312" w:cs="Times New Roman"/>
          <w:color w:val="000000"/>
          <w:sz w:val="32"/>
          <w:szCs w:val="32"/>
          <w:shd w:val="clear" w:color="auto" w:fill="FFFFFF"/>
          <w:lang w:val="zh-CN" w:eastAsia="zh-CN"/>
        </w:rPr>
        <w:t>年整体支出绩效自评工作，成立领导小组统筹负责自评实施工作研究部署和落实。经自评，202</w:t>
      </w:r>
      <w:r>
        <w:rPr>
          <w:rFonts w:hint="eastAsia" w:eastAsia="仿宋_GB2312" w:cs="Times New Roman"/>
          <w:color w:val="000000"/>
          <w:sz w:val="32"/>
          <w:szCs w:val="32"/>
          <w:shd w:val="clear" w:color="auto" w:fill="FFFFFF"/>
          <w:lang w:val="en-US" w:eastAsia="zh-CN"/>
        </w:rPr>
        <w:t>3</w:t>
      </w:r>
      <w:r>
        <w:rPr>
          <w:rFonts w:hint="default" w:eastAsia="仿宋_GB2312" w:cs="Times New Roman"/>
          <w:color w:val="000000"/>
          <w:sz w:val="32"/>
          <w:szCs w:val="32"/>
          <w:shd w:val="clear" w:color="auto" w:fill="FFFFFF"/>
          <w:lang w:val="zh-CN" w:eastAsia="zh-CN"/>
        </w:rPr>
        <w:t>年</w:t>
      </w:r>
      <w:r>
        <w:rPr>
          <w:rFonts w:hint="eastAsia" w:eastAsia="仿宋_GB2312" w:cs="Times New Roman"/>
          <w:color w:val="000000"/>
          <w:sz w:val="32"/>
          <w:szCs w:val="32"/>
          <w:shd w:val="clear" w:color="auto" w:fill="FFFFFF"/>
          <w:lang w:val="en-US" w:eastAsia="zh-CN"/>
        </w:rPr>
        <w:t>单位</w:t>
      </w:r>
      <w:r>
        <w:rPr>
          <w:rFonts w:hint="default" w:eastAsia="仿宋_GB2312" w:cs="Times New Roman"/>
          <w:color w:val="000000"/>
          <w:sz w:val="32"/>
          <w:szCs w:val="32"/>
          <w:shd w:val="clear" w:color="auto" w:fill="FFFFFF"/>
          <w:lang w:val="zh-CN" w:eastAsia="zh-CN"/>
        </w:rPr>
        <w:t>严格遵守预决算、收支执行、信息管理等规定和要求，整体支出情况良好，保障了机构运转，达到了预期效果</w:t>
      </w:r>
      <w:r>
        <w:rPr>
          <w:rFonts w:hint="eastAsia" w:eastAsia="仿宋_GB2312" w:cs="Times New Roman"/>
          <w:color w:val="000000"/>
          <w:sz w:val="32"/>
          <w:szCs w:val="32"/>
          <w:shd w:val="clear" w:color="auto" w:fill="FFFFFF"/>
          <w:lang w:val="en-US" w:eastAsia="zh-CN"/>
        </w:rPr>
        <w:t>；“党派、新的社会阶层联系工作经费”专项预算项目绩效自评得分为96分，绩效自评综述：2023年财政批复预算为12万元，财政收回指标0.46万元，截止2023年12月31日，项目资金实际到位10.54万元，实际支付10.54万元，资金到位率100%，项目预算执行率100%。“2023年春节慰问项目”专项预算项目绩效自评得分为97.1分，绩效自评综述：2023年财政批复预算为3.5万元，截止2023年12月31日，项目资金实际到位3.5万元，实际支付3.5万元，项目预算执行率100%。绩效自评报告详见附件。</w:t>
      </w: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31"/>
          <w:rFonts w:ascii="黑体" w:hAnsi="黑体" w:eastAsia="黑体"/>
          <w:b w:val="0"/>
          <w:color w:val="auto"/>
          <w:highlight w:val="none"/>
        </w:rPr>
      </w:pPr>
      <w:bookmarkStart w:id="67" w:name="_Toc11816"/>
      <w:bookmarkStart w:id="68" w:name="_Toc15396613"/>
      <w:bookmarkStart w:id="69" w:name="_Toc15377225"/>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67"/>
      <w:bookmarkEnd w:id="68"/>
      <w:bookmarkEnd w:id="69"/>
    </w:p>
    <w:p>
      <w:pPr>
        <w:spacing w:line="600" w:lineRule="exact"/>
        <w:jc w:val="left"/>
        <w:rPr>
          <w:rFonts w:ascii="宋体"/>
          <w:b/>
          <w:color w:val="auto"/>
          <w:sz w:val="44"/>
          <w:szCs w:val="44"/>
          <w:highlight w:val="none"/>
        </w:rPr>
      </w:pP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1"/>
        <w:rPr>
          <w:rFonts w:ascii="仿宋_GB2312" w:eastAsia="仿宋_GB2312"/>
          <w:color w:val="auto"/>
          <w:sz w:val="32"/>
          <w:szCs w:val="32"/>
          <w:highlight w:val="none"/>
        </w:rPr>
      </w:pPr>
      <w:bookmarkStart w:id="70" w:name="_Toc32051"/>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取得的财政预算资金。</w:t>
      </w:r>
      <w:bookmarkEnd w:id="70"/>
    </w:p>
    <w:p>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jc w:val="both"/>
        <w:rPr>
          <w:rFonts w:hint="eastAsia"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lang w:val="en-US" w:eastAsia="zh-CN"/>
        </w:rPr>
        <w:t>4</w:t>
      </w:r>
      <w:r>
        <w:rPr>
          <w:rFonts w:hint="eastAsia" w:ascii="仿宋_GB2312" w:hAnsi="Calibri" w:eastAsia="仿宋_GB2312" w:cs="仿宋"/>
          <w:color w:val="000000"/>
          <w:kern w:val="0"/>
          <w:sz w:val="32"/>
          <w:szCs w:val="32"/>
          <w:highlight w:val="none"/>
        </w:rPr>
        <w:t>.一般公共服务</w:t>
      </w:r>
      <w:r>
        <w:rPr>
          <w:rFonts w:hint="eastAsia" w:ascii="仿宋_GB2312" w:eastAsia="仿宋_GB2312" w:cs="仿宋"/>
          <w:color w:val="000000"/>
          <w:kern w:val="0"/>
          <w:sz w:val="32"/>
          <w:szCs w:val="32"/>
          <w:highlight w:val="none"/>
        </w:rPr>
        <w:t>（</w:t>
      </w:r>
      <w:r>
        <w:rPr>
          <w:rStyle w:val="19"/>
          <w:rFonts w:hint="eastAsia" w:ascii="仿宋" w:hAnsi="仿宋" w:eastAsia="仿宋"/>
          <w:b w:val="0"/>
          <w:color w:val="000000"/>
          <w:sz w:val="32"/>
          <w:szCs w:val="32"/>
          <w:highlight w:val="none"/>
          <w:lang w:val="en-US" w:eastAsia="zh-CN"/>
        </w:rPr>
        <w:t>201</w:t>
      </w:r>
      <w:r>
        <w:rPr>
          <w:rFonts w:hint="eastAsia" w:ascii="仿宋_GB2312" w:eastAsia="仿宋_GB2312" w:cs="仿宋"/>
          <w:color w:val="000000"/>
          <w:kern w:val="0"/>
          <w:sz w:val="32"/>
          <w:szCs w:val="32"/>
          <w:highlight w:val="none"/>
        </w:rPr>
        <w:t>）纪检监察事务（</w:t>
      </w:r>
      <w:r>
        <w:rPr>
          <w:rFonts w:hint="eastAsia" w:ascii="仿宋_GB2312" w:eastAsia="仿宋_GB2312" w:cs="仿宋"/>
          <w:color w:val="000000"/>
          <w:kern w:val="0"/>
          <w:sz w:val="32"/>
          <w:szCs w:val="32"/>
          <w:highlight w:val="none"/>
          <w:lang w:val="en-US" w:eastAsia="zh-CN"/>
        </w:rPr>
        <w:t>11</w:t>
      </w:r>
      <w:r>
        <w:rPr>
          <w:rFonts w:hint="eastAsia" w:ascii="仿宋_GB2312" w:eastAsia="仿宋_GB2312" w:cs="仿宋"/>
          <w:color w:val="000000"/>
          <w:kern w:val="0"/>
          <w:sz w:val="32"/>
          <w:szCs w:val="32"/>
          <w:highlight w:val="none"/>
        </w:rPr>
        <w:t>）行政运行（</w:t>
      </w:r>
      <w:r>
        <w:rPr>
          <w:rFonts w:hint="eastAsia" w:ascii="仿宋_GB2312" w:eastAsia="仿宋_GB2312" w:cs="仿宋"/>
          <w:color w:val="000000"/>
          <w:kern w:val="0"/>
          <w:sz w:val="32"/>
          <w:szCs w:val="32"/>
          <w:highlight w:val="none"/>
          <w:lang w:val="en-US" w:eastAsia="zh-CN"/>
        </w:rPr>
        <w:t>01</w:t>
      </w:r>
      <w:r>
        <w:rPr>
          <w:rFonts w:hint="eastAsia" w:ascii="仿宋_GB2312"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lang w:val="en-US" w:eastAsia="zh-CN" w:bidi="ar-SA"/>
        </w:rPr>
        <w:t>指行政单位（包括实行公务员管理的事业单位）的基本支出。</w:t>
      </w:r>
    </w:p>
    <w:p>
      <w:pPr>
        <w:ind w:firstLine="640" w:firstLineChars="200"/>
        <w:jc w:val="both"/>
        <w:rPr>
          <w:rFonts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lang w:val="en-US" w:eastAsia="zh-CN"/>
        </w:rPr>
        <w:t>5.</w:t>
      </w:r>
      <w:r>
        <w:rPr>
          <w:rFonts w:hint="eastAsia" w:ascii="仿宋_GB2312" w:hAnsi="Calibri" w:eastAsia="仿宋_GB2312" w:cs="仿宋"/>
          <w:color w:val="000000"/>
          <w:kern w:val="0"/>
          <w:sz w:val="32"/>
          <w:szCs w:val="32"/>
          <w:highlight w:val="none"/>
        </w:rPr>
        <w:t>一般公共服务</w:t>
      </w:r>
      <w:r>
        <w:rPr>
          <w:rFonts w:hint="eastAsia" w:ascii="仿宋_GB2312" w:eastAsia="仿宋_GB2312" w:cs="仿宋"/>
          <w:color w:val="000000"/>
          <w:kern w:val="0"/>
          <w:sz w:val="32"/>
          <w:szCs w:val="32"/>
          <w:highlight w:val="none"/>
        </w:rPr>
        <w:t>（</w:t>
      </w:r>
      <w:r>
        <w:rPr>
          <w:rStyle w:val="19"/>
          <w:rFonts w:hint="eastAsia" w:ascii="仿宋" w:hAnsi="仿宋" w:eastAsia="仿宋"/>
          <w:b w:val="0"/>
          <w:color w:val="000000"/>
          <w:sz w:val="32"/>
          <w:szCs w:val="32"/>
          <w:highlight w:val="none"/>
          <w:lang w:val="en-US" w:eastAsia="zh-CN"/>
        </w:rPr>
        <w:t>201</w:t>
      </w:r>
      <w:r>
        <w:rPr>
          <w:rFonts w:hint="eastAsia" w:ascii="仿宋_GB2312" w:eastAsia="仿宋_GB2312" w:cs="仿宋"/>
          <w:color w:val="000000"/>
          <w:kern w:val="0"/>
          <w:sz w:val="32"/>
          <w:szCs w:val="32"/>
          <w:highlight w:val="none"/>
        </w:rPr>
        <w:t>）统战事务（</w:t>
      </w:r>
      <w:r>
        <w:rPr>
          <w:rFonts w:hint="eastAsia" w:ascii="仿宋_GB2312" w:eastAsia="仿宋_GB2312" w:cs="仿宋"/>
          <w:color w:val="000000"/>
          <w:kern w:val="0"/>
          <w:sz w:val="32"/>
          <w:szCs w:val="32"/>
          <w:highlight w:val="none"/>
          <w:lang w:val="en-US" w:eastAsia="zh-CN"/>
        </w:rPr>
        <w:t>34</w:t>
      </w:r>
      <w:r>
        <w:rPr>
          <w:rFonts w:hint="eastAsia" w:ascii="仿宋_GB2312" w:eastAsia="仿宋_GB2312" w:cs="仿宋"/>
          <w:color w:val="000000"/>
          <w:kern w:val="0"/>
          <w:sz w:val="32"/>
          <w:szCs w:val="32"/>
          <w:highlight w:val="none"/>
        </w:rPr>
        <w:t>）行政运行（</w:t>
      </w:r>
      <w:r>
        <w:rPr>
          <w:rFonts w:hint="eastAsia" w:ascii="仿宋_GB2312" w:eastAsia="仿宋_GB2312" w:cs="仿宋"/>
          <w:color w:val="000000"/>
          <w:kern w:val="0"/>
          <w:sz w:val="32"/>
          <w:szCs w:val="32"/>
          <w:highlight w:val="none"/>
          <w:lang w:val="en-US" w:eastAsia="zh-CN"/>
        </w:rPr>
        <w:t>01</w:t>
      </w:r>
      <w:r>
        <w:rPr>
          <w:rFonts w:hint="eastAsia" w:ascii="仿宋_GB2312"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lang w:val="en-US" w:eastAsia="zh-CN" w:bidi="ar-SA"/>
        </w:rPr>
        <w:t>指行政单位（包括实行公务员管理的事业单位）的基本支出。</w:t>
      </w:r>
    </w:p>
    <w:p>
      <w:pPr>
        <w:ind w:firstLine="640" w:firstLineChars="200"/>
        <w:jc w:val="both"/>
        <w:rPr>
          <w:rFonts w:hint="eastAsia" w:ascii="仿宋_GB2312" w:hAnsi="Calibri" w:eastAsia="仿宋_GB2312" w:cs="仿宋"/>
          <w:color w:val="000000"/>
          <w:kern w:val="0"/>
          <w:sz w:val="32"/>
          <w:szCs w:val="32"/>
          <w:highlight w:val="none"/>
          <w:lang w:eastAsia="zh-CN"/>
        </w:rPr>
      </w:pPr>
      <w:r>
        <w:rPr>
          <w:rFonts w:hint="eastAsia" w:ascii="仿宋_GB2312" w:hAnsi="Calibri" w:eastAsia="仿宋_GB2312" w:cs="仿宋"/>
          <w:color w:val="000000"/>
          <w:kern w:val="0"/>
          <w:sz w:val="32"/>
          <w:szCs w:val="32"/>
          <w:highlight w:val="none"/>
          <w:lang w:val="en-US" w:eastAsia="zh-CN"/>
        </w:rPr>
        <w:t>6</w:t>
      </w:r>
      <w:r>
        <w:rPr>
          <w:rFonts w:hint="eastAsia" w:ascii="仿宋_GB2312" w:hAnsi="Calibri" w:eastAsia="仿宋_GB2312" w:cs="仿宋"/>
          <w:color w:val="000000"/>
          <w:kern w:val="0"/>
          <w:sz w:val="32"/>
          <w:szCs w:val="32"/>
          <w:highlight w:val="none"/>
        </w:rPr>
        <w:t>.一般公共服务</w:t>
      </w:r>
      <w:r>
        <w:rPr>
          <w:rFonts w:hint="eastAsia" w:ascii="仿宋_GB2312" w:eastAsia="仿宋_GB2312" w:cs="仿宋"/>
          <w:color w:val="000000"/>
          <w:kern w:val="0"/>
          <w:sz w:val="32"/>
          <w:szCs w:val="32"/>
          <w:highlight w:val="none"/>
        </w:rPr>
        <w:t>（</w:t>
      </w:r>
      <w:r>
        <w:rPr>
          <w:rStyle w:val="19"/>
          <w:rFonts w:hint="eastAsia" w:ascii="仿宋" w:hAnsi="仿宋" w:eastAsia="仿宋"/>
          <w:b w:val="0"/>
          <w:color w:val="000000"/>
          <w:sz w:val="32"/>
          <w:szCs w:val="32"/>
          <w:highlight w:val="none"/>
          <w:lang w:val="en-US" w:eastAsia="zh-CN"/>
        </w:rPr>
        <w:t>201</w:t>
      </w:r>
      <w:r>
        <w:rPr>
          <w:rFonts w:hint="eastAsia" w:ascii="仿宋_GB2312" w:eastAsia="仿宋_GB2312" w:cs="仿宋"/>
          <w:color w:val="000000"/>
          <w:kern w:val="0"/>
          <w:sz w:val="32"/>
          <w:szCs w:val="32"/>
          <w:highlight w:val="none"/>
        </w:rPr>
        <w:t>）统战事务（</w:t>
      </w:r>
      <w:r>
        <w:rPr>
          <w:rFonts w:hint="eastAsia" w:ascii="仿宋_GB2312" w:eastAsia="仿宋_GB2312" w:cs="仿宋"/>
          <w:color w:val="000000"/>
          <w:kern w:val="0"/>
          <w:sz w:val="32"/>
          <w:szCs w:val="32"/>
          <w:highlight w:val="none"/>
          <w:lang w:val="en-US" w:eastAsia="zh-CN"/>
        </w:rPr>
        <w:t>34</w:t>
      </w:r>
      <w:r>
        <w:rPr>
          <w:rFonts w:hint="eastAsia" w:ascii="仿宋_GB2312"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rPr>
        <w:t>一般行政管理事务（</w:t>
      </w:r>
      <w:r>
        <w:rPr>
          <w:rFonts w:hint="eastAsia" w:ascii="仿宋_GB2312" w:hAnsi="Calibri" w:eastAsia="仿宋_GB2312" w:cs="仿宋"/>
          <w:color w:val="000000"/>
          <w:kern w:val="0"/>
          <w:sz w:val="32"/>
          <w:szCs w:val="32"/>
          <w:highlight w:val="none"/>
          <w:lang w:val="en-US" w:eastAsia="zh-CN"/>
        </w:rPr>
        <w:t>02</w:t>
      </w:r>
      <w:r>
        <w:rPr>
          <w:rFonts w:hint="eastAsia" w:ascii="仿宋_GB2312" w:hAnsi="Calibri" w:eastAsia="仿宋_GB2312" w:cs="仿宋"/>
          <w:color w:val="000000"/>
          <w:kern w:val="0"/>
          <w:sz w:val="32"/>
          <w:szCs w:val="32"/>
          <w:highlight w:val="none"/>
        </w:rPr>
        <w:t>）：指</w:t>
      </w:r>
      <w:r>
        <w:rPr>
          <w:rFonts w:hint="eastAsia" w:ascii="仿宋_GB2312" w:hAnsi="Calibri" w:eastAsia="仿宋_GB2312" w:cs="仿宋"/>
          <w:color w:val="000000"/>
          <w:kern w:val="0"/>
          <w:sz w:val="32"/>
          <w:szCs w:val="32"/>
          <w:highlight w:val="none"/>
          <w:lang w:eastAsia="zh-CN"/>
        </w:rPr>
        <w:t>行政单位（包括实行公务员管理的事业单位）未单独设置项级科目的其他项目支出。</w:t>
      </w:r>
    </w:p>
    <w:p>
      <w:pPr>
        <w:pStyle w:val="38"/>
        <w:keepNext w:val="0"/>
        <w:keepLines w:val="0"/>
        <w:pageBreakBefore w:val="0"/>
        <w:widowControl/>
        <w:kinsoku/>
        <w:wordWrap/>
        <w:overflowPunct/>
        <w:topLinePunct w:val="0"/>
        <w:autoSpaceDE/>
        <w:autoSpaceDN/>
        <w:bidi w:val="0"/>
        <w:adjustRightInd/>
        <w:snapToGrid/>
        <w:spacing w:before="0" w:after="0" w:line="323" w:lineRule="atLeast"/>
        <w:ind w:left="0" w:leftChars="0" w:right="-119" w:rightChars="0" w:firstLine="640" w:firstLineChars="200"/>
        <w:jc w:val="both"/>
        <w:textAlignment w:val="baseline"/>
        <w:outlineLvl w:val="9"/>
        <w:rPr>
          <w:rFonts w:hint="eastAsia" w:ascii="仿宋_GB2312" w:hAnsi="Calibri" w:eastAsia="仿宋_GB2312" w:cs="仿宋"/>
          <w:color w:val="auto"/>
          <w:kern w:val="0"/>
          <w:sz w:val="32"/>
          <w:szCs w:val="32"/>
          <w:highlight w:val="none"/>
          <w:lang w:eastAsia="zh-CN"/>
        </w:rPr>
      </w:pPr>
      <w:r>
        <w:rPr>
          <w:rFonts w:hint="eastAsia" w:ascii="仿宋_GB2312" w:hAnsi="Calibri" w:eastAsia="仿宋_GB2312" w:cs="仿宋"/>
          <w:color w:val="000000"/>
          <w:kern w:val="0"/>
          <w:sz w:val="32"/>
          <w:szCs w:val="32"/>
          <w:highlight w:val="none"/>
          <w:lang w:val="en-US" w:eastAsia="zh-CN"/>
        </w:rPr>
        <w:t>7</w:t>
      </w:r>
      <w:r>
        <w:rPr>
          <w:rFonts w:hint="eastAsia" w:ascii="仿宋_GB2312" w:hAnsi="Calibri" w:eastAsia="仿宋_GB2312" w:cs="仿宋"/>
          <w:color w:val="000000"/>
          <w:kern w:val="0"/>
          <w:sz w:val="32"/>
          <w:szCs w:val="32"/>
          <w:highlight w:val="none"/>
        </w:rPr>
        <w:t>.一般公共服务</w:t>
      </w:r>
      <w:r>
        <w:rPr>
          <w:rFonts w:hint="eastAsia" w:ascii="仿宋_GB2312" w:eastAsia="仿宋_GB2312" w:cs="仿宋"/>
          <w:color w:val="000000"/>
          <w:kern w:val="0"/>
          <w:sz w:val="32"/>
          <w:szCs w:val="32"/>
          <w:highlight w:val="none"/>
        </w:rPr>
        <w:t>（</w:t>
      </w:r>
      <w:r>
        <w:rPr>
          <w:rStyle w:val="19"/>
          <w:rFonts w:hint="eastAsia" w:ascii="仿宋" w:hAnsi="仿宋" w:eastAsia="仿宋"/>
          <w:b w:val="0"/>
          <w:color w:val="000000"/>
          <w:sz w:val="32"/>
          <w:szCs w:val="32"/>
          <w:highlight w:val="none"/>
          <w:lang w:val="en-US" w:eastAsia="zh-CN"/>
        </w:rPr>
        <w:t>201</w:t>
      </w:r>
      <w:r>
        <w:rPr>
          <w:rFonts w:hint="eastAsia" w:ascii="仿宋_GB2312" w:eastAsia="仿宋_GB2312" w:cs="仿宋"/>
          <w:color w:val="000000"/>
          <w:kern w:val="0"/>
          <w:sz w:val="32"/>
          <w:szCs w:val="32"/>
          <w:highlight w:val="none"/>
        </w:rPr>
        <w:t>）统战事务（</w:t>
      </w:r>
      <w:r>
        <w:rPr>
          <w:rFonts w:hint="eastAsia" w:ascii="仿宋_GB2312" w:eastAsia="仿宋_GB2312" w:cs="仿宋"/>
          <w:color w:val="000000"/>
          <w:kern w:val="0"/>
          <w:sz w:val="32"/>
          <w:szCs w:val="32"/>
          <w:highlight w:val="none"/>
          <w:lang w:val="en-US" w:eastAsia="zh-CN"/>
        </w:rPr>
        <w:t>34</w:t>
      </w:r>
      <w:r>
        <w:rPr>
          <w:rFonts w:hint="eastAsia" w:ascii="仿宋_GB2312"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rPr>
        <w:t>事业运行（</w:t>
      </w:r>
      <w:r>
        <w:rPr>
          <w:rFonts w:hint="eastAsia" w:ascii="仿宋_GB2312" w:hAnsi="Calibri" w:eastAsia="仿宋_GB2312" w:cs="仿宋"/>
          <w:color w:val="000000"/>
          <w:kern w:val="0"/>
          <w:sz w:val="32"/>
          <w:szCs w:val="32"/>
          <w:highlight w:val="none"/>
          <w:lang w:val="en-US" w:eastAsia="zh-CN"/>
        </w:rPr>
        <w:t>50</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auto"/>
          <w:kern w:val="0"/>
          <w:sz w:val="32"/>
          <w:szCs w:val="32"/>
          <w:highlight w:val="none"/>
        </w:rPr>
        <w:t>指事业单位的基本支出</w:t>
      </w:r>
      <w:r>
        <w:rPr>
          <w:rFonts w:hint="eastAsia" w:ascii="仿宋_GB2312" w:hAnsi="Calibri" w:eastAsia="仿宋_GB2312" w:cs="仿宋"/>
          <w:color w:val="auto"/>
          <w:kern w:val="0"/>
          <w:sz w:val="32"/>
          <w:szCs w:val="32"/>
          <w:highlight w:val="none"/>
          <w:lang w:eastAsia="zh-CN"/>
        </w:rPr>
        <w:t>，不包括行政单位</w:t>
      </w:r>
      <w:r>
        <w:rPr>
          <w:rFonts w:hint="eastAsia" w:ascii="仿宋_GB2312" w:hAnsi="Calibri" w:eastAsia="仿宋_GB2312" w:cs="仿宋"/>
          <w:color w:val="000000"/>
          <w:kern w:val="0"/>
          <w:sz w:val="32"/>
          <w:szCs w:val="32"/>
          <w:highlight w:val="none"/>
          <w:lang w:eastAsia="zh-CN"/>
        </w:rPr>
        <w:t>（包括实行公务员管理的事业单位）后勤服务中心、医疗室等附属事业单位</w:t>
      </w:r>
      <w:r>
        <w:rPr>
          <w:rFonts w:hint="eastAsia" w:ascii="仿宋_GB2312" w:hAnsi="Calibri" w:eastAsia="仿宋_GB2312" w:cs="仿宋"/>
          <w:color w:val="auto"/>
          <w:kern w:val="0"/>
          <w:sz w:val="32"/>
          <w:szCs w:val="32"/>
          <w:highlight w:val="none"/>
          <w:lang w:eastAsia="zh-CN"/>
        </w:rPr>
        <w:t>。</w:t>
      </w:r>
    </w:p>
    <w:p>
      <w:pPr>
        <w:pStyle w:val="39"/>
        <w:ind w:firstLine="640" w:firstLineChars="200"/>
        <w:jc w:val="both"/>
        <w:rPr>
          <w:rFonts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lang w:val="en-US" w:eastAsia="zh-CN"/>
        </w:rPr>
        <w:t>8</w:t>
      </w:r>
      <w:r>
        <w:rPr>
          <w:rFonts w:hint="eastAsia" w:ascii="仿宋_GB2312" w:hAnsi="Calibri" w:eastAsia="仿宋_GB2312" w:cs="仿宋"/>
          <w:color w:val="000000"/>
          <w:kern w:val="0"/>
          <w:sz w:val="32"/>
          <w:szCs w:val="32"/>
          <w:highlight w:val="none"/>
        </w:rPr>
        <w:t>.社会保障和就业（</w:t>
      </w:r>
      <w:r>
        <w:rPr>
          <w:rFonts w:hint="eastAsia" w:ascii="仿宋_GB2312" w:eastAsia="仿宋_GB2312" w:cs="仿宋"/>
          <w:color w:val="000000"/>
          <w:kern w:val="0"/>
          <w:sz w:val="32"/>
          <w:szCs w:val="32"/>
          <w:highlight w:val="none"/>
          <w:lang w:val="en-US" w:eastAsia="zh-CN"/>
        </w:rPr>
        <w:t>208</w:t>
      </w:r>
      <w:r>
        <w:rPr>
          <w:rFonts w:hint="eastAsia" w:ascii="仿宋_GB2312" w:hAnsi="Calibri" w:eastAsia="仿宋_GB2312" w:cs="仿宋"/>
          <w:color w:val="000000"/>
          <w:kern w:val="0"/>
          <w:sz w:val="32"/>
          <w:szCs w:val="32"/>
          <w:highlight w:val="none"/>
        </w:rPr>
        <w:t>）行政事业单位养老支出（</w:t>
      </w:r>
      <w:r>
        <w:rPr>
          <w:rFonts w:hint="eastAsia" w:ascii="仿宋_GB2312"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）行政单位离退休（</w:t>
      </w:r>
      <w:r>
        <w:rPr>
          <w:rFonts w:hint="eastAsia" w:ascii="仿宋_GB2312" w:hAnsi="Calibri" w:eastAsia="仿宋_GB2312" w:cs="仿宋"/>
          <w:color w:val="000000"/>
          <w:kern w:val="0"/>
          <w:sz w:val="32"/>
          <w:szCs w:val="32"/>
          <w:highlight w:val="none"/>
          <w:lang w:val="en-US" w:eastAsia="zh-CN"/>
        </w:rPr>
        <w:t>01</w:t>
      </w:r>
      <w:r>
        <w:rPr>
          <w:rFonts w:hint="eastAsia" w:ascii="仿宋_GB2312" w:hAnsi="Calibri" w:eastAsia="仿宋_GB2312" w:cs="仿宋"/>
          <w:color w:val="000000"/>
          <w:kern w:val="0"/>
          <w:sz w:val="32"/>
          <w:szCs w:val="32"/>
          <w:highlight w:val="none"/>
        </w:rPr>
        <w:t>）：指</w:t>
      </w:r>
      <w:r>
        <w:rPr>
          <w:rFonts w:hint="eastAsia" w:ascii="仿宋_GB2312" w:hAnsi="Calibri" w:eastAsia="仿宋_GB2312" w:cs="仿宋"/>
          <w:color w:val="000000"/>
          <w:kern w:val="0"/>
          <w:sz w:val="32"/>
          <w:szCs w:val="32"/>
          <w:highlight w:val="none"/>
          <w:lang w:eastAsia="zh-CN"/>
        </w:rPr>
        <w:t>行政单位（包括实行公务员管理的事业单位）开支的离退休经费</w:t>
      </w:r>
      <w:r>
        <w:rPr>
          <w:rFonts w:hint="eastAsia" w:ascii="仿宋_GB2312" w:hAnsi="Calibri" w:eastAsia="仿宋_GB2312" w:cs="仿宋"/>
          <w:color w:val="000000"/>
          <w:kern w:val="0"/>
          <w:sz w:val="32"/>
          <w:szCs w:val="32"/>
          <w:highlight w:val="none"/>
        </w:rPr>
        <w:t>。</w:t>
      </w:r>
    </w:p>
    <w:p>
      <w:pPr>
        <w:ind w:firstLine="640" w:firstLineChars="200"/>
        <w:jc w:val="both"/>
        <w:rPr>
          <w:rFonts w:hint="eastAsia" w:ascii="仿宋_GB2312" w:hAnsi="Calibri" w:eastAsia="仿宋_GB2312" w:cs="仿宋"/>
          <w:color w:val="000000"/>
          <w:kern w:val="0"/>
          <w:sz w:val="32"/>
          <w:szCs w:val="32"/>
          <w:highlight w:val="none"/>
          <w:lang w:val="en-US" w:eastAsia="zh-CN"/>
        </w:rPr>
      </w:pPr>
      <w:r>
        <w:rPr>
          <w:rFonts w:hint="eastAsia" w:ascii="仿宋_GB2312" w:hAnsi="Calibri" w:eastAsia="仿宋_GB2312" w:cs="仿宋"/>
          <w:color w:val="000000"/>
          <w:kern w:val="0"/>
          <w:sz w:val="32"/>
          <w:szCs w:val="32"/>
          <w:highlight w:val="none"/>
          <w:lang w:val="en-US" w:eastAsia="zh-CN"/>
        </w:rPr>
        <w:t>9.</w:t>
      </w:r>
      <w:r>
        <w:rPr>
          <w:rFonts w:hint="eastAsia" w:ascii="仿宋_GB2312" w:hAnsi="Calibri" w:eastAsia="仿宋_GB2312" w:cs="仿宋"/>
          <w:color w:val="000000"/>
          <w:kern w:val="0"/>
          <w:sz w:val="32"/>
          <w:szCs w:val="32"/>
          <w:highlight w:val="none"/>
        </w:rPr>
        <w:t>社会保障和就业（</w:t>
      </w:r>
      <w:r>
        <w:rPr>
          <w:rFonts w:hint="eastAsia" w:ascii="仿宋_GB2312" w:eastAsia="仿宋_GB2312" w:cs="仿宋"/>
          <w:color w:val="000000"/>
          <w:kern w:val="0"/>
          <w:sz w:val="32"/>
          <w:szCs w:val="32"/>
          <w:highlight w:val="none"/>
          <w:lang w:val="en-US" w:eastAsia="zh-CN"/>
        </w:rPr>
        <w:t>208</w:t>
      </w:r>
      <w:r>
        <w:rPr>
          <w:rFonts w:hint="eastAsia" w:ascii="仿宋_GB2312" w:hAnsi="Calibri" w:eastAsia="仿宋_GB2312" w:cs="仿宋"/>
          <w:color w:val="000000"/>
          <w:kern w:val="0"/>
          <w:sz w:val="32"/>
          <w:szCs w:val="32"/>
          <w:highlight w:val="none"/>
        </w:rPr>
        <w:t>）行政事业单位养老支出（</w:t>
      </w:r>
      <w:r>
        <w:rPr>
          <w:rFonts w:hint="eastAsia" w:ascii="仿宋_GB2312"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）机关事业单位基本养老保险缴费支出（</w:t>
      </w:r>
      <w:r>
        <w:rPr>
          <w:rFonts w:hint="eastAsia" w:ascii="仿宋_GB2312" w:hAnsi="Calibri"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w:t>
      </w:r>
      <w:r>
        <w:rPr>
          <w:rFonts w:hint="eastAsia" w:ascii="仿宋_GB2312" w:eastAsia="仿宋_GB2312"/>
          <w:color w:val="auto"/>
          <w:sz w:val="32"/>
          <w:szCs w:val="32"/>
          <w:highlight w:val="none"/>
        </w:rPr>
        <w:t>指</w:t>
      </w:r>
      <w:r>
        <w:rPr>
          <w:rFonts w:hint="eastAsia" w:ascii="仿宋_GB2312" w:hAnsi="Calibri" w:eastAsia="仿宋_GB2312" w:cs="仿宋"/>
          <w:color w:val="000000"/>
          <w:kern w:val="0"/>
          <w:sz w:val="32"/>
          <w:szCs w:val="32"/>
          <w:highlight w:val="none"/>
          <w:lang w:eastAsia="zh-CN"/>
        </w:rPr>
        <w:t>机关事业单位</w:t>
      </w:r>
      <w:r>
        <w:rPr>
          <w:rFonts w:hint="eastAsia" w:ascii="仿宋_GB2312" w:hAnsi="Calibri" w:eastAsia="仿宋_GB2312" w:cs="仿宋"/>
          <w:color w:val="000000"/>
          <w:kern w:val="0"/>
          <w:sz w:val="32"/>
          <w:szCs w:val="32"/>
          <w:highlight w:val="none"/>
        </w:rPr>
        <w:t>实施养老保险制度由单位缴纳的</w:t>
      </w:r>
      <w:r>
        <w:rPr>
          <w:rFonts w:hint="eastAsia" w:ascii="仿宋_GB2312" w:eastAsia="仿宋_GB2312"/>
          <w:color w:val="auto"/>
          <w:sz w:val="32"/>
          <w:szCs w:val="32"/>
          <w:highlight w:val="none"/>
          <w:lang w:eastAsia="zh-CN"/>
        </w:rPr>
        <w:t>基本养老保险费</w:t>
      </w:r>
      <w:r>
        <w:rPr>
          <w:rFonts w:hint="eastAsia" w:ascii="仿宋_GB2312" w:hAnsi="Calibri" w:eastAsia="仿宋_GB2312" w:cs="仿宋"/>
          <w:color w:val="000000"/>
          <w:kern w:val="0"/>
          <w:sz w:val="32"/>
          <w:szCs w:val="32"/>
          <w:highlight w:val="none"/>
        </w:rPr>
        <w:t>支出。</w:t>
      </w:r>
    </w:p>
    <w:p>
      <w:pPr>
        <w:ind w:firstLine="640" w:firstLineChars="200"/>
        <w:jc w:val="both"/>
        <w:rPr>
          <w:rFonts w:hint="eastAsia" w:ascii="仿宋_GB2312" w:hAnsi="Calibri" w:eastAsia="仿宋_GB2312" w:cs="仿宋"/>
          <w:color w:val="000000"/>
          <w:kern w:val="0"/>
          <w:sz w:val="32"/>
          <w:szCs w:val="32"/>
          <w:highlight w:val="none"/>
          <w:lang w:val="en-US" w:eastAsia="zh-CN"/>
        </w:rPr>
      </w:pPr>
      <w:r>
        <w:rPr>
          <w:rFonts w:hint="eastAsia" w:ascii="仿宋_GB2312" w:hAnsi="Calibri" w:eastAsia="仿宋_GB2312" w:cs="仿宋"/>
          <w:color w:val="000000"/>
          <w:kern w:val="0"/>
          <w:sz w:val="32"/>
          <w:szCs w:val="32"/>
          <w:highlight w:val="none"/>
          <w:lang w:val="en-US" w:eastAsia="zh-CN"/>
        </w:rPr>
        <w:t>10.</w:t>
      </w:r>
      <w:r>
        <w:rPr>
          <w:rFonts w:hint="eastAsia" w:ascii="仿宋_GB2312" w:hAnsi="Calibri" w:eastAsia="仿宋_GB2312" w:cs="仿宋"/>
          <w:color w:val="000000"/>
          <w:kern w:val="0"/>
          <w:sz w:val="32"/>
          <w:szCs w:val="32"/>
          <w:highlight w:val="none"/>
        </w:rPr>
        <w:t>社会保障和就业（</w:t>
      </w:r>
      <w:r>
        <w:rPr>
          <w:rFonts w:hint="eastAsia" w:ascii="仿宋_GB2312" w:eastAsia="仿宋_GB2312" w:cs="仿宋"/>
          <w:color w:val="000000"/>
          <w:kern w:val="0"/>
          <w:sz w:val="32"/>
          <w:szCs w:val="32"/>
          <w:highlight w:val="none"/>
          <w:lang w:val="en-US" w:eastAsia="zh-CN"/>
        </w:rPr>
        <w:t>208</w:t>
      </w:r>
      <w:r>
        <w:rPr>
          <w:rFonts w:hint="eastAsia" w:ascii="仿宋_GB2312" w:hAnsi="Calibri" w:eastAsia="仿宋_GB2312" w:cs="仿宋"/>
          <w:color w:val="000000"/>
          <w:kern w:val="0"/>
          <w:sz w:val="32"/>
          <w:szCs w:val="32"/>
          <w:highlight w:val="none"/>
        </w:rPr>
        <w:t>）残疾人事业（</w:t>
      </w:r>
      <w:r>
        <w:rPr>
          <w:rFonts w:hint="eastAsia" w:ascii="仿宋_GB2312" w:eastAsia="仿宋_GB2312" w:cs="仿宋"/>
          <w:color w:val="000000"/>
          <w:kern w:val="0"/>
          <w:sz w:val="32"/>
          <w:szCs w:val="32"/>
          <w:highlight w:val="none"/>
          <w:lang w:val="en-US" w:eastAsia="zh-CN"/>
        </w:rPr>
        <w:t>11</w:t>
      </w:r>
      <w:r>
        <w:rPr>
          <w:rFonts w:hint="eastAsia" w:ascii="仿宋_GB2312" w:hAnsi="Calibri" w:eastAsia="仿宋_GB2312" w:cs="仿宋"/>
          <w:color w:val="000000"/>
          <w:kern w:val="0"/>
          <w:sz w:val="32"/>
          <w:szCs w:val="32"/>
          <w:highlight w:val="none"/>
        </w:rPr>
        <w:t>）残疾人就业（</w:t>
      </w:r>
      <w:r>
        <w:rPr>
          <w:rFonts w:hint="eastAsia" w:ascii="仿宋_GB2312" w:hAnsi="Calibri"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w:t>
      </w:r>
      <w:r>
        <w:rPr>
          <w:rFonts w:hint="eastAsia" w:ascii="仿宋_GB2312" w:eastAsia="仿宋_GB2312"/>
          <w:color w:val="auto"/>
          <w:sz w:val="32"/>
          <w:szCs w:val="32"/>
          <w:highlight w:val="none"/>
        </w:rPr>
        <w:t>指</w:t>
      </w:r>
      <w:r>
        <w:rPr>
          <w:rFonts w:hint="eastAsia" w:ascii="仿宋_GB2312" w:hAnsi="Calibri" w:eastAsia="仿宋_GB2312" w:cs="仿宋"/>
          <w:color w:val="000000"/>
          <w:kern w:val="0"/>
          <w:sz w:val="32"/>
          <w:szCs w:val="32"/>
          <w:highlight w:val="none"/>
          <w:lang w:eastAsia="zh-CN"/>
        </w:rPr>
        <w:t>残疾人联合会用于残疾人就业方面的支出</w:t>
      </w:r>
      <w:r>
        <w:rPr>
          <w:rFonts w:hint="eastAsia" w:ascii="仿宋_GB2312" w:hAnsi="Calibri" w:eastAsia="仿宋_GB2312" w:cs="仿宋"/>
          <w:color w:val="000000"/>
          <w:kern w:val="0"/>
          <w:sz w:val="32"/>
          <w:szCs w:val="32"/>
          <w:highlight w:val="none"/>
        </w:rPr>
        <w:t>。</w:t>
      </w:r>
    </w:p>
    <w:p>
      <w:pPr>
        <w:ind w:firstLine="640" w:firstLineChars="200"/>
        <w:jc w:val="both"/>
        <w:rPr>
          <w:rFonts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rPr>
        <w:t>1</w:t>
      </w:r>
      <w:r>
        <w:rPr>
          <w:rFonts w:hint="eastAsia" w:ascii="仿宋_GB2312" w:hAnsi="Calibri" w:eastAsia="仿宋_GB2312" w:cs="仿宋"/>
          <w:color w:val="000000"/>
          <w:kern w:val="0"/>
          <w:sz w:val="32"/>
          <w:szCs w:val="32"/>
          <w:highlight w:val="none"/>
          <w:lang w:val="en-US" w:eastAsia="zh-CN"/>
        </w:rPr>
        <w:t>1</w:t>
      </w:r>
      <w:r>
        <w:rPr>
          <w:rFonts w:hint="eastAsia" w:ascii="仿宋_GB2312" w:hAnsi="Calibri" w:eastAsia="仿宋_GB2312" w:cs="仿宋"/>
          <w:color w:val="000000"/>
          <w:kern w:val="0"/>
          <w:sz w:val="32"/>
          <w:szCs w:val="32"/>
          <w:highlight w:val="none"/>
        </w:rPr>
        <w:t>.社会保障和就业（</w:t>
      </w:r>
      <w:r>
        <w:rPr>
          <w:rFonts w:hint="eastAsia" w:ascii="仿宋_GB2312" w:eastAsia="仿宋_GB2312" w:cs="仿宋"/>
          <w:color w:val="000000"/>
          <w:kern w:val="0"/>
          <w:sz w:val="32"/>
          <w:szCs w:val="32"/>
          <w:highlight w:val="none"/>
          <w:lang w:val="en-US" w:eastAsia="zh-CN"/>
        </w:rPr>
        <w:t>208</w:t>
      </w:r>
      <w:r>
        <w:rPr>
          <w:rFonts w:hint="eastAsia" w:ascii="仿宋_GB2312" w:hAnsi="Calibri" w:eastAsia="仿宋_GB2312" w:cs="仿宋"/>
          <w:color w:val="000000"/>
          <w:kern w:val="0"/>
          <w:sz w:val="32"/>
          <w:szCs w:val="32"/>
          <w:highlight w:val="none"/>
        </w:rPr>
        <w:t>）其他社会保障和就业</w:t>
      </w:r>
      <w:r>
        <w:rPr>
          <w:rFonts w:hint="eastAsia" w:ascii="仿宋_GB2312" w:hAnsi="Calibri" w:eastAsia="仿宋_GB2312" w:cs="仿宋"/>
          <w:color w:val="000000"/>
          <w:kern w:val="0"/>
          <w:sz w:val="32"/>
          <w:szCs w:val="32"/>
          <w:highlight w:val="none"/>
          <w:lang w:eastAsia="zh-CN"/>
        </w:rPr>
        <w:t>支出</w:t>
      </w:r>
      <w:r>
        <w:rPr>
          <w:rFonts w:hint="eastAsia" w:ascii="仿宋_GB2312" w:hAnsi="Calibri" w:eastAsia="仿宋_GB2312" w:cs="仿宋"/>
          <w:color w:val="000000"/>
          <w:kern w:val="0"/>
          <w:sz w:val="32"/>
          <w:szCs w:val="32"/>
          <w:highlight w:val="none"/>
        </w:rPr>
        <w:t>（</w:t>
      </w:r>
      <w:r>
        <w:rPr>
          <w:rFonts w:hint="eastAsia" w:ascii="仿宋_GB2312" w:eastAsia="仿宋_GB2312" w:cs="仿宋"/>
          <w:color w:val="000000"/>
          <w:kern w:val="0"/>
          <w:sz w:val="32"/>
          <w:szCs w:val="32"/>
          <w:highlight w:val="none"/>
          <w:lang w:val="en-US" w:eastAsia="zh-CN"/>
        </w:rPr>
        <w:t>99</w:t>
      </w:r>
      <w:r>
        <w:rPr>
          <w:rFonts w:hint="eastAsia" w:ascii="仿宋_GB2312" w:hAnsi="Calibri" w:eastAsia="仿宋_GB2312" w:cs="仿宋"/>
          <w:color w:val="000000"/>
          <w:kern w:val="0"/>
          <w:sz w:val="32"/>
          <w:szCs w:val="32"/>
          <w:highlight w:val="none"/>
        </w:rPr>
        <w:t>）其他社会保障和就业支出（</w:t>
      </w:r>
      <w:r>
        <w:rPr>
          <w:rFonts w:hint="eastAsia" w:ascii="仿宋_GB2312" w:hAnsi="Calibri" w:eastAsia="仿宋_GB2312" w:cs="仿宋"/>
          <w:color w:val="000000"/>
          <w:kern w:val="0"/>
          <w:sz w:val="32"/>
          <w:szCs w:val="32"/>
          <w:highlight w:val="none"/>
          <w:lang w:val="en-US" w:eastAsia="zh-CN"/>
        </w:rPr>
        <w:t>99</w:t>
      </w:r>
      <w:r>
        <w:rPr>
          <w:rFonts w:hint="eastAsia" w:ascii="仿宋_GB2312" w:hAnsi="Calibri" w:eastAsia="仿宋_GB2312" w:cs="仿宋"/>
          <w:color w:val="000000"/>
          <w:kern w:val="0"/>
          <w:sz w:val="32"/>
          <w:szCs w:val="32"/>
          <w:highlight w:val="none"/>
        </w:rPr>
        <w:t>）：指除上述项目外其他用于社会保障和就业方面的支出。</w:t>
      </w:r>
    </w:p>
    <w:p>
      <w:pPr>
        <w:ind w:firstLine="640" w:firstLineChars="200"/>
        <w:jc w:val="both"/>
        <w:rPr>
          <w:rFonts w:ascii="仿宋_GB2312" w:hAnsi="Calibri" w:eastAsia="仿宋_GB2312" w:cs="仿宋"/>
          <w:color w:val="auto"/>
          <w:kern w:val="0"/>
          <w:sz w:val="32"/>
          <w:szCs w:val="32"/>
          <w:highlight w:val="none"/>
        </w:rPr>
      </w:pPr>
      <w:r>
        <w:rPr>
          <w:rFonts w:hint="eastAsia" w:ascii="仿宋_GB2312" w:hAnsi="Calibri" w:eastAsia="仿宋_GB2312" w:cs="仿宋"/>
          <w:color w:val="000000"/>
          <w:kern w:val="0"/>
          <w:sz w:val="32"/>
          <w:szCs w:val="32"/>
          <w:highlight w:val="none"/>
        </w:rPr>
        <w:t>1</w:t>
      </w:r>
      <w:r>
        <w:rPr>
          <w:rFonts w:hint="eastAsia" w:ascii="仿宋_GB2312" w:hAnsi="Calibri" w:eastAsia="仿宋_GB2312" w:cs="仿宋"/>
          <w:color w:val="000000"/>
          <w:kern w:val="0"/>
          <w:sz w:val="32"/>
          <w:szCs w:val="32"/>
          <w:highlight w:val="none"/>
          <w:lang w:val="en-US" w:eastAsia="zh-CN"/>
        </w:rPr>
        <w:t>2</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auto"/>
          <w:kern w:val="0"/>
          <w:sz w:val="32"/>
          <w:szCs w:val="32"/>
          <w:highlight w:val="none"/>
        </w:rPr>
        <w:t>卫生健康（</w:t>
      </w:r>
      <w:r>
        <w:rPr>
          <w:rFonts w:hint="eastAsia" w:ascii="仿宋_GB2312" w:hAnsi="Calibri" w:eastAsia="仿宋_GB2312" w:cs="仿宋"/>
          <w:color w:val="auto"/>
          <w:kern w:val="0"/>
          <w:sz w:val="32"/>
          <w:szCs w:val="32"/>
          <w:highlight w:val="none"/>
          <w:lang w:val="en-US" w:eastAsia="zh-CN"/>
        </w:rPr>
        <w:t>210</w:t>
      </w:r>
      <w:r>
        <w:rPr>
          <w:rFonts w:hint="eastAsia" w:ascii="仿宋_GB2312" w:hAnsi="Calibri"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）行政单位医疗（</w:t>
      </w:r>
      <w:r>
        <w:rPr>
          <w:rFonts w:hint="eastAsia" w:ascii="仿宋_GB2312" w:hAnsi="Calibri" w:eastAsia="仿宋_GB2312" w:cs="仿宋"/>
          <w:color w:val="auto"/>
          <w:kern w:val="0"/>
          <w:sz w:val="32"/>
          <w:szCs w:val="32"/>
          <w:highlight w:val="none"/>
          <w:lang w:val="en-US" w:eastAsia="zh-CN"/>
        </w:rPr>
        <w:t>01</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财政单位安排的行政单位（</w:t>
      </w:r>
      <w:r>
        <w:rPr>
          <w:rFonts w:hint="eastAsia" w:ascii="仿宋_GB2312" w:hAnsi="Calibri" w:eastAsia="仿宋_GB2312" w:cs="仿宋"/>
          <w:color w:val="000000"/>
          <w:kern w:val="0"/>
          <w:sz w:val="32"/>
          <w:szCs w:val="32"/>
          <w:highlight w:val="none"/>
          <w:lang w:eastAsia="zh-CN"/>
        </w:rPr>
        <w:t>包括实行公务员管理的事业单位）基本医疗保险缴费经费，未参加医疗保险的行政单位的公费医疗经费，按国家规定享受离休人员、红军老战士待遇人员的医疗经费</w:t>
      </w:r>
      <w:r>
        <w:rPr>
          <w:rFonts w:hint="eastAsia" w:ascii="仿宋_GB2312" w:hAnsi="Calibri" w:eastAsia="仿宋_GB2312" w:cs="仿宋"/>
          <w:color w:val="auto"/>
          <w:kern w:val="0"/>
          <w:sz w:val="32"/>
          <w:szCs w:val="32"/>
          <w:highlight w:val="none"/>
        </w:rPr>
        <w:t>。</w:t>
      </w:r>
    </w:p>
    <w:p>
      <w:pPr>
        <w:ind w:firstLine="640" w:firstLineChars="200"/>
        <w:jc w:val="both"/>
        <w:rPr>
          <w:rFonts w:hint="eastAsia" w:ascii="仿宋_GB2312" w:hAnsi="Calibri" w:eastAsia="仿宋_GB2312" w:cs="仿宋"/>
          <w:color w:val="auto"/>
          <w:kern w:val="0"/>
          <w:sz w:val="32"/>
          <w:szCs w:val="32"/>
          <w:highlight w:val="none"/>
        </w:rPr>
      </w:pPr>
      <w:r>
        <w:rPr>
          <w:rFonts w:hint="eastAsia" w:ascii="仿宋_GB2312" w:hAnsi="Calibri" w:eastAsia="仿宋_GB2312" w:cs="仿宋"/>
          <w:color w:val="000000"/>
          <w:kern w:val="0"/>
          <w:sz w:val="32"/>
          <w:szCs w:val="32"/>
          <w:highlight w:val="none"/>
        </w:rPr>
        <w:t>1</w:t>
      </w:r>
      <w:r>
        <w:rPr>
          <w:rFonts w:hint="eastAsia" w:ascii="仿宋_GB2312" w:hAnsi="Calibri" w:eastAsia="仿宋_GB2312" w:cs="仿宋"/>
          <w:color w:val="000000"/>
          <w:kern w:val="0"/>
          <w:sz w:val="32"/>
          <w:szCs w:val="32"/>
          <w:highlight w:val="none"/>
          <w:lang w:val="en-US" w:eastAsia="zh-CN"/>
        </w:rPr>
        <w:t>3</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auto"/>
          <w:kern w:val="0"/>
          <w:sz w:val="32"/>
          <w:szCs w:val="32"/>
          <w:highlight w:val="none"/>
        </w:rPr>
        <w:t>卫生健康（</w:t>
      </w:r>
      <w:r>
        <w:rPr>
          <w:rFonts w:hint="eastAsia" w:ascii="仿宋_GB2312" w:hAnsi="Calibri" w:eastAsia="仿宋_GB2312" w:cs="仿宋"/>
          <w:color w:val="auto"/>
          <w:kern w:val="0"/>
          <w:sz w:val="32"/>
          <w:szCs w:val="32"/>
          <w:highlight w:val="none"/>
          <w:lang w:val="en-US" w:eastAsia="zh-CN"/>
        </w:rPr>
        <w:t>210</w:t>
      </w:r>
      <w:r>
        <w:rPr>
          <w:rFonts w:hint="eastAsia" w:ascii="仿宋_GB2312" w:hAnsi="Calibri"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w:t>
      </w:r>
      <w:r>
        <w:rPr>
          <w:rFonts w:hint="eastAsia" w:ascii="仿宋_GB2312" w:hAnsi="Calibri" w:eastAsia="仿宋_GB2312" w:cs="仿宋"/>
          <w:color w:val="auto"/>
          <w:kern w:val="0"/>
          <w:sz w:val="32"/>
          <w:szCs w:val="32"/>
          <w:highlight w:val="none"/>
          <w:lang w:eastAsia="zh-CN"/>
        </w:rPr>
        <w:t>事业</w:t>
      </w:r>
      <w:r>
        <w:rPr>
          <w:rFonts w:hint="eastAsia" w:ascii="仿宋_GB2312" w:hAnsi="Calibri" w:eastAsia="仿宋_GB2312" w:cs="仿宋"/>
          <w:color w:val="auto"/>
          <w:kern w:val="0"/>
          <w:sz w:val="32"/>
          <w:szCs w:val="32"/>
          <w:highlight w:val="none"/>
        </w:rPr>
        <w:t>单位医疗（</w:t>
      </w:r>
      <w:r>
        <w:rPr>
          <w:rFonts w:hint="eastAsia" w:ascii="仿宋_GB2312" w:hAnsi="Calibri" w:eastAsia="仿宋_GB2312" w:cs="仿宋"/>
          <w:color w:val="auto"/>
          <w:kern w:val="0"/>
          <w:sz w:val="32"/>
          <w:szCs w:val="32"/>
          <w:highlight w:val="none"/>
          <w:lang w:val="en-US" w:eastAsia="zh-CN"/>
        </w:rPr>
        <w:t>02</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财政单位安排的事业单位</w:t>
      </w:r>
      <w:r>
        <w:rPr>
          <w:rFonts w:hint="eastAsia" w:ascii="仿宋_GB2312" w:hAnsi="Calibri" w:eastAsia="仿宋_GB2312" w:cs="仿宋"/>
          <w:color w:val="000000"/>
          <w:kern w:val="0"/>
          <w:sz w:val="32"/>
          <w:szCs w:val="32"/>
          <w:highlight w:val="none"/>
          <w:lang w:eastAsia="zh-CN"/>
        </w:rPr>
        <w:t>基本医疗保险缴费经费，未参加医疗保险的事业单位的公费医疗经费，按国家规定享受离休人员待遇的医疗经费</w:t>
      </w:r>
      <w:r>
        <w:rPr>
          <w:rFonts w:hint="eastAsia" w:ascii="仿宋_GB2312" w:hAnsi="Calibri" w:eastAsia="仿宋_GB2312" w:cs="仿宋"/>
          <w:color w:val="auto"/>
          <w:kern w:val="0"/>
          <w:sz w:val="32"/>
          <w:szCs w:val="32"/>
          <w:highlight w:val="none"/>
        </w:rPr>
        <w:t>。</w:t>
      </w:r>
    </w:p>
    <w:p>
      <w:pPr>
        <w:ind w:firstLine="640" w:firstLineChars="200"/>
        <w:jc w:val="both"/>
        <w:rPr>
          <w:rFonts w:ascii="仿宋_GB2312" w:hAnsi="Calibri" w:eastAsia="仿宋_GB2312" w:cs="仿宋"/>
          <w:color w:val="000000"/>
          <w:kern w:val="0"/>
          <w:sz w:val="32"/>
          <w:szCs w:val="32"/>
          <w:highlight w:val="none"/>
        </w:rPr>
      </w:pPr>
      <w:r>
        <w:rPr>
          <w:rFonts w:hint="eastAsia" w:ascii="仿宋_GB2312" w:hAnsi="Calibri" w:eastAsia="仿宋_GB2312" w:cs="仿宋"/>
          <w:color w:val="auto"/>
          <w:kern w:val="0"/>
          <w:sz w:val="32"/>
          <w:szCs w:val="32"/>
          <w:highlight w:val="none"/>
        </w:rPr>
        <w:t>1</w:t>
      </w:r>
      <w:r>
        <w:rPr>
          <w:rFonts w:hint="eastAsia" w:ascii="仿宋_GB2312" w:hAnsi="Calibri" w:eastAsia="仿宋_GB2312" w:cs="仿宋"/>
          <w:color w:val="auto"/>
          <w:kern w:val="0"/>
          <w:sz w:val="32"/>
          <w:szCs w:val="32"/>
          <w:highlight w:val="none"/>
          <w:lang w:val="en-US" w:eastAsia="zh-CN"/>
        </w:rPr>
        <w:t>4</w:t>
      </w:r>
      <w:r>
        <w:rPr>
          <w:rFonts w:hint="eastAsia" w:ascii="仿宋_GB2312" w:hAnsi="Calibri" w:eastAsia="仿宋_GB2312" w:cs="仿宋"/>
          <w:color w:val="auto"/>
          <w:kern w:val="0"/>
          <w:sz w:val="32"/>
          <w:szCs w:val="32"/>
          <w:highlight w:val="none"/>
        </w:rPr>
        <w:t>.卫生健康（</w:t>
      </w:r>
      <w:r>
        <w:rPr>
          <w:rFonts w:hint="eastAsia" w:ascii="仿宋_GB2312" w:hAnsi="Calibri" w:eastAsia="仿宋_GB2312" w:cs="仿宋"/>
          <w:color w:val="auto"/>
          <w:kern w:val="0"/>
          <w:sz w:val="32"/>
          <w:szCs w:val="32"/>
          <w:highlight w:val="none"/>
          <w:lang w:val="en-US" w:eastAsia="zh-CN"/>
        </w:rPr>
        <w:t>210</w:t>
      </w:r>
      <w:r>
        <w:rPr>
          <w:rFonts w:hint="eastAsia" w:ascii="仿宋_GB2312" w:hAnsi="Calibri"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）公务员医疗补助（</w:t>
      </w:r>
      <w:r>
        <w:rPr>
          <w:rFonts w:hint="eastAsia" w:ascii="仿宋_GB2312" w:eastAsia="仿宋_GB2312" w:cs="仿宋"/>
          <w:color w:val="auto"/>
          <w:kern w:val="0"/>
          <w:sz w:val="32"/>
          <w:szCs w:val="32"/>
          <w:highlight w:val="none"/>
          <w:lang w:val="en-US" w:eastAsia="zh-CN"/>
        </w:rPr>
        <w:t>03</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000000"/>
          <w:kern w:val="0"/>
          <w:sz w:val="32"/>
          <w:szCs w:val="32"/>
          <w:highlight w:val="none"/>
          <w:lang w:eastAsia="zh-CN"/>
        </w:rPr>
        <w:t>财政单位安排的</w:t>
      </w:r>
      <w:r>
        <w:rPr>
          <w:rFonts w:hint="eastAsia" w:ascii="仿宋_GB2312" w:hAnsi="Calibri" w:eastAsia="仿宋_GB2312" w:cs="仿宋"/>
          <w:color w:val="000000"/>
          <w:kern w:val="0"/>
          <w:sz w:val="32"/>
          <w:szCs w:val="32"/>
          <w:highlight w:val="none"/>
        </w:rPr>
        <w:t>公务员医疗补助</w:t>
      </w:r>
      <w:r>
        <w:rPr>
          <w:rFonts w:hint="eastAsia" w:ascii="仿宋_GB2312" w:hAnsi="Calibri" w:eastAsia="仿宋_GB2312" w:cs="仿宋"/>
          <w:color w:val="000000"/>
          <w:kern w:val="0"/>
          <w:sz w:val="32"/>
          <w:szCs w:val="32"/>
          <w:highlight w:val="none"/>
          <w:lang w:eastAsia="zh-CN"/>
        </w:rPr>
        <w:t>经费</w:t>
      </w:r>
      <w:r>
        <w:rPr>
          <w:rFonts w:hint="eastAsia" w:ascii="仿宋_GB2312" w:hAnsi="Calibri" w:eastAsia="仿宋_GB2312" w:cs="仿宋"/>
          <w:color w:val="000000"/>
          <w:kern w:val="0"/>
          <w:sz w:val="32"/>
          <w:szCs w:val="32"/>
          <w:highlight w:val="none"/>
        </w:rPr>
        <w:t>。</w:t>
      </w:r>
    </w:p>
    <w:p>
      <w:pPr>
        <w:spacing w:line="600" w:lineRule="exact"/>
        <w:ind w:firstLine="640"/>
        <w:jc w:val="both"/>
        <w:rPr>
          <w:rFonts w:hint="eastAsia" w:ascii="仿宋_GB2312" w:hAnsi="Calibri" w:eastAsia="仿宋_GB2312" w:cs="仿宋"/>
          <w:color w:val="000000"/>
          <w:kern w:val="0"/>
          <w:sz w:val="32"/>
          <w:szCs w:val="32"/>
          <w:highlight w:val="none"/>
          <w:lang w:val="en-US" w:eastAsia="zh-CN"/>
        </w:rPr>
      </w:pPr>
      <w:r>
        <w:rPr>
          <w:rFonts w:hint="eastAsia" w:ascii="仿宋_GB2312" w:hAnsi="Calibri" w:eastAsia="仿宋_GB2312" w:cs="仿宋"/>
          <w:color w:val="000000"/>
          <w:kern w:val="0"/>
          <w:sz w:val="32"/>
          <w:szCs w:val="32"/>
          <w:highlight w:val="none"/>
          <w:lang w:val="en-US" w:eastAsia="zh-CN"/>
        </w:rPr>
        <w:t>15.</w:t>
      </w:r>
      <w:r>
        <w:rPr>
          <w:rFonts w:hint="eastAsia" w:ascii="仿宋_GB2312" w:hAnsi="Calibri" w:eastAsia="仿宋_GB2312" w:cs="仿宋"/>
          <w:color w:val="000000"/>
          <w:kern w:val="0"/>
          <w:sz w:val="32"/>
          <w:szCs w:val="32"/>
          <w:highlight w:val="none"/>
        </w:rPr>
        <w:t>农林水（</w:t>
      </w:r>
      <w:r>
        <w:rPr>
          <w:rFonts w:hint="eastAsia" w:ascii="仿宋_GB2312" w:hAnsi="Calibri" w:eastAsia="仿宋_GB2312" w:cs="仿宋"/>
          <w:color w:val="000000"/>
          <w:kern w:val="0"/>
          <w:sz w:val="32"/>
          <w:szCs w:val="32"/>
          <w:highlight w:val="none"/>
          <w:lang w:val="en-US" w:eastAsia="zh-CN"/>
        </w:rPr>
        <w:t>213</w:t>
      </w:r>
      <w:r>
        <w:rPr>
          <w:rFonts w:hint="eastAsia" w:ascii="仿宋_GB2312" w:hAnsi="Calibri" w:eastAsia="仿宋_GB2312" w:cs="仿宋"/>
          <w:color w:val="000000"/>
          <w:kern w:val="0"/>
          <w:sz w:val="32"/>
          <w:szCs w:val="32"/>
          <w:highlight w:val="none"/>
        </w:rPr>
        <w:t>）巩固</w:t>
      </w:r>
      <w:r>
        <w:rPr>
          <w:rFonts w:hint="eastAsia" w:ascii="仿宋_GB2312" w:hAnsi="Calibri" w:eastAsia="仿宋_GB2312" w:cs="仿宋"/>
          <w:color w:val="000000"/>
          <w:kern w:val="0"/>
          <w:sz w:val="32"/>
          <w:szCs w:val="32"/>
          <w:highlight w:val="none"/>
          <w:lang w:eastAsia="zh-CN"/>
        </w:rPr>
        <w:t>拓展</w:t>
      </w:r>
      <w:r>
        <w:rPr>
          <w:rFonts w:hint="eastAsia" w:ascii="仿宋_GB2312" w:hAnsi="Calibri" w:eastAsia="仿宋_GB2312" w:cs="仿宋"/>
          <w:color w:val="000000"/>
          <w:kern w:val="0"/>
          <w:sz w:val="32"/>
          <w:szCs w:val="32"/>
          <w:highlight w:val="none"/>
        </w:rPr>
        <w:t>脱贫攻坚成果衔接乡村振兴（</w:t>
      </w:r>
      <w:r>
        <w:rPr>
          <w:rFonts w:hint="eastAsia" w:ascii="仿宋_GB2312" w:hAnsi="Calibri"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）其他巩固</w:t>
      </w:r>
      <w:r>
        <w:rPr>
          <w:rFonts w:hint="eastAsia" w:ascii="仿宋_GB2312" w:hAnsi="Calibri" w:eastAsia="仿宋_GB2312" w:cs="仿宋"/>
          <w:color w:val="000000"/>
          <w:kern w:val="0"/>
          <w:sz w:val="32"/>
          <w:szCs w:val="32"/>
          <w:highlight w:val="none"/>
          <w:lang w:eastAsia="zh-CN"/>
        </w:rPr>
        <w:t>拓展</w:t>
      </w:r>
      <w:r>
        <w:rPr>
          <w:rFonts w:hint="eastAsia" w:ascii="仿宋_GB2312" w:hAnsi="Calibri" w:eastAsia="仿宋_GB2312" w:cs="仿宋"/>
          <w:color w:val="000000"/>
          <w:kern w:val="0"/>
          <w:sz w:val="32"/>
          <w:szCs w:val="32"/>
          <w:highlight w:val="none"/>
        </w:rPr>
        <w:t>脱贫攻坚成果衔接乡村振兴支出（</w:t>
      </w:r>
      <w:r>
        <w:rPr>
          <w:rFonts w:hint="eastAsia" w:ascii="仿宋_GB2312" w:hAnsi="Calibri" w:eastAsia="仿宋_GB2312" w:cs="仿宋"/>
          <w:color w:val="000000"/>
          <w:kern w:val="0"/>
          <w:sz w:val="32"/>
          <w:szCs w:val="32"/>
          <w:highlight w:val="none"/>
          <w:lang w:val="en-US" w:eastAsia="zh-CN"/>
        </w:rPr>
        <w:t>99</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lang w:eastAsia="zh-CN"/>
        </w:rPr>
        <w:t>指其他用于</w:t>
      </w:r>
      <w:r>
        <w:rPr>
          <w:rFonts w:hint="eastAsia" w:ascii="仿宋_GB2312" w:hAnsi="Calibri" w:eastAsia="仿宋_GB2312" w:cs="仿宋"/>
          <w:color w:val="000000"/>
          <w:kern w:val="0"/>
          <w:sz w:val="32"/>
          <w:szCs w:val="32"/>
          <w:highlight w:val="none"/>
        </w:rPr>
        <w:t>巩固</w:t>
      </w:r>
      <w:r>
        <w:rPr>
          <w:rFonts w:hint="eastAsia" w:ascii="仿宋_GB2312" w:hAnsi="Calibri" w:eastAsia="仿宋_GB2312" w:cs="仿宋"/>
          <w:color w:val="000000"/>
          <w:kern w:val="0"/>
          <w:sz w:val="32"/>
          <w:szCs w:val="32"/>
          <w:highlight w:val="none"/>
          <w:lang w:eastAsia="zh-CN"/>
        </w:rPr>
        <w:t>拓展脱贫</w:t>
      </w:r>
      <w:r>
        <w:rPr>
          <w:rFonts w:hint="eastAsia" w:ascii="仿宋_GB2312" w:hAnsi="Calibri" w:eastAsia="仿宋_GB2312" w:cs="仿宋"/>
          <w:color w:val="000000"/>
          <w:kern w:val="0"/>
          <w:sz w:val="32"/>
          <w:szCs w:val="32"/>
          <w:highlight w:val="none"/>
        </w:rPr>
        <w:t>攻坚成果</w:t>
      </w:r>
      <w:r>
        <w:rPr>
          <w:rFonts w:hint="eastAsia" w:ascii="仿宋_GB2312" w:hAnsi="Calibri" w:eastAsia="仿宋_GB2312" w:cs="仿宋"/>
          <w:color w:val="000000"/>
          <w:kern w:val="0"/>
          <w:sz w:val="32"/>
          <w:szCs w:val="32"/>
          <w:highlight w:val="none"/>
          <w:lang w:eastAsia="zh-CN"/>
        </w:rPr>
        <w:t>同乡村振兴有效</w:t>
      </w:r>
      <w:r>
        <w:rPr>
          <w:rFonts w:hint="eastAsia" w:ascii="仿宋_GB2312" w:hAnsi="Calibri" w:eastAsia="仿宋_GB2312" w:cs="仿宋"/>
          <w:color w:val="000000"/>
          <w:kern w:val="0"/>
          <w:sz w:val="32"/>
          <w:szCs w:val="32"/>
          <w:highlight w:val="none"/>
        </w:rPr>
        <w:t>衔接</w:t>
      </w:r>
      <w:r>
        <w:rPr>
          <w:rFonts w:hint="eastAsia" w:ascii="仿宋_GB2312" w:hAnsi="Calibri" w:eastAsia="仿宋_GB2312" w:cs="仿宋"/>
          <w:color w:val="000000"/>
          <w:kern w:val="0"/>
          <w:sz w:val="32"/>
          <w:szCs w:val="32"/>
          <w:highlight w:val="none"/>
          <w:lang w:eastAsia="zh-CN"/>
        </w:rPr>
        <w:t>方面的</w:t>
      </w:r>
      <w:r>
        <w:rPr>
          <w:rFonts w:hint="eastAsia" w:ascii="仿宋_GB2312" w:hAnsi="Calibri" w:eastAsia="仿宋_GB2312" w:cs="仿宋"/>
          <w:color w:val="000000"/>
          <w:kern w:val="0"/>
          <w:sz w:val="32"/>
          <w:szCs w:val="32"/>
          <w:highlight w:val="none"/>
        </w:rPr>
        <w:t>支出</w:t>
      </w:r>
      <w:r>
        <w:rPr>
          <w:rFonts w:hint="eastAsia" w:ascii="仿宋_GB2312" w:hAnsi="Calibri" w:eastAsia="仿宋_GB2312" w:cs="仿宋"/>
          <w:color w:val="000000"/>
          <w:kern w:val="0"/>
          <w:sz w:val="32"/>
          <w:szCs w:val="32"/>
          <w:highlight w:val="none"/>
          <w:lang w:eastAsia="zh-CN"/>
        </w:rPr>
        <w:t>。</w:t>
      </w:r>
    </w:p>
    <w:p>
      <w:pPr>
        <w:spacing w:line="600" w:lineRule="exact"/>
        <w:ind w:firstLine="640"/>
        <w:jc w:val="both"/>
        <w:rPr>
          <w:rFonts w:hint="eastAsia"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rPr>
        <w:t>1</w:t>
      </w:r>
      <w:r>
        <w:rPr>
          <w:rFonts w:hint="eastAsia" w:ascii="仿宋_GB2312" w:hAnsi="Calibri" w:eastAsia="仿宋_GB2312" w:cs="仿宋"/>
          <w:color w:val="000000"/>
          <w:kern w:val="0"/>
          <w:sz w:val="32"/>
          <w:szCs w:val="32"/>
          <w:highlight w:val="none"/>
          <w:lang w:val="en-US" w:eastAsia="zh-CN"/>
        </w:rPr>
        <w:t>6</w:t>
      </w:r>
      <w:r>
        <w:rPr>
          <w:rFonts w:hint="eastAsia" w:ascii="仿宋_GB2312" w:hAnsi="Calibri" w:eastAsia="仿宋_GB2312" w:cs="仿宋"/>
          <w:color w:val="000000"/>
          <w:kern w:val="0"/>
          <w:sz w:val="32"/>
          <w:szCs w:val="32"/>
          <w:highlight w:val="none"/>
        </w:rPr>
        <w:t>.住房保障（</w:t>
      </w:r>
      <w:r>
        <w:rPr>
          <w:rFonts w:hint="eastAsia" w:ascii="仿宋_GB2312" w:hAnsi="Calibri" w:eastAsia="仿宋_GB2312" w:cs="仿宋"/>
          <w:color w:val="000000"/>
          <w:kern w:val="0"/>
          <w:sz w:val="32"/>
          <w:szCs w:val="32"/>
          <w:highlight w:val="none"/>
          <w:lang w:val="en-US" w:eastAsia="zh-CN"/>
        </w:rPr>
        <w:t>221</w:t>
      </w:r>
      <w:r>
        <w:rPr>
          <w:rFonts w:hint="eastAsia" w:ascii="仿宋_GB2312" w:hAnsi="Calibri" w:eastAsia="仿宋_GB2312" w:cs="仿宋"/>
          <w:color w:val="000000"/>
          <w:kern w:val="0"/>
          <w:sz w:val="32"/>
          <w:szCs w:val="32"/>
          <w:highlight w:val="none"/>
        </w:rPr>
        <w:t>）住房改革支出（</w:t>
      </w:r>
      <w:r>
        <w:rPr>
          <w:rFonts w:hint="eastAsia" w:ascii="仿宋_GB2312" w:hAnsi="Calibri" w:eastAsia="仿宋_GB2312" w:cs="仿宋"/>
          <w:color w:val="000000"/>
          <w:kern w:val="0"/>
          <w:sz w:val="32"/>
          <w:szCs w:val="32"/>
          <w:highlight w:val="none"/>
          <w:lang w:val="en-US" w:eastAsia="zh-CN"/>
        </w:rPr>
        <w:t>02</w:t>
      </w:r>
      <w:r>
        <w:rPr>
          <w:rFonts w:hint="eastAsia" w:ascii="仿宋_GB2312" w:hAnsi="Calibri" w:eastAsia="仿宋_GB2312" w:cs="仿宋"/>
          <w:color w:val="000000"/>
          <w:kern w:val="0"/>
          <w:sz w:val="32"/>
          <w:szCs w:val="32"/>
          <w:highlight w:val="none"/>
        </w:rPr>
        <w:t>）住房公积金（</w:t>
      </w:r>
      <w:r>
        <w:rPr>
          <w:rFonts w:hint="eastAsia" w:ascii="仿宋_GB2312" w:hAnsi="Calibri" w:eastAsia="仿宋_GB2312" w:cs="仿宋"/>
          <w:color w:val="000000"/>
          <w:kern w:val="0"/>
          <w:sz w:val="32"/>
          <w:szCs w:val="32"/>
          <w:highlight w:val="none"/>
          <w:lang w:val="en-US" w:eastAsia="zh-CN"/>
        </w:rPr>
        <w:t>01</w:t>
      </w:r>
      <w:r>
        <w:rPr>
          <w:rFonts w:hint="eastAsia" w:ascii="仿宋_GB2312" w:hAnsi="Calibri" w:eastAsia="仿宋_GB2312" w:cs="仿宋"/>
          <w:color w:val="000000"/>
          <w:kern w:val="0"/>
          <w:sz w:val="32"/>
          <w:szCs w:val="32"/>
          <w:highlight w:val="none"/>
        </w:rPr>
        <w:t>）：指</w:t>
      </w:r>
      <w:r>
        <w:rPr>
          <w:rFonts w:hint="eastAsia" w:ascii="仿宋_GB2312" w:hAnsi="Calibri" w:eastAsia="仿宋_GB2312" w:cs="仿宋"/>
          <w:color w:val="000000"/>
          <w:kern w:val="0"/>
          <w:sz w:val="32"/>
          <w:szCs w:val="32"/>
          <w:highlight w:val="none"/>
          <w:lang w:eastAsia="zh-CN"/>
        </w:rPr>
        <w:t>行政事业单位按人力资源和社会保障部、财政部规定的基本工资和津贴补贴以及按规定比例为职工缴纳的住房公积金</w:t>
      </w:r>
      <w:r>
        <w:rPr>
          <w:rFonts w:hint="eastAsia" w:ascii="仿宋_GB2312" w:hAnsi="Calibri" w:eastAsia="仿宋_GB2312" w:cs="仿宋"/>
          <w:color w:val="000000"/>
          <w:kern w:val="0"/>
          <w:sz w:val="32"/>
          <w:szCs w:val="32"/>
          <w:highlight w:val="none"/>
        </w:rPr>
        <w:t>。</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color w:val="auto"/>
          <w:sz w:val="44"/>
          <w:szCs w:val="44"/>
          <w:highlight w:val="none"/>
        </w:rPr>
        <w:sectPr>
          <w:headerReference r:id="rId5" w:type="default"/>
          <w:footerReference r:id="rId6" w:type="default"/>
          <w:pgSz w:w="11906" w:h="16838"/>
          <w:pgMar w:top="1440" w:right="1803" w:bottom="1440" w:left="1803" w:header="851" w:footer="992" w:gutter="0"/>
          <w:pgNumType w:fmt="decimal" w:start="1"/>
          <w:cols w:space="0" w:num="1"/>
          <w:rtlGutter w:val="0"/>
          <w:docGrid w:type="lines" w:linePitch="319" w:charSpace="0"/>
        </w:sectPr>
      </w:pPr>
      <w:bookmarkStart w:id="71" w:name="_Toc15377226"/>
      <w:r>
        <w:rPr>
          <w:rFonts w:ascii="宋体"/>
          <w:b/>
          <w:color w:val="auto"/>
          <w:sz w:val="44"/>
          <w:szCs w:val="44"/>
          <w:highlight w:val="none"/>
        </w:rPr>
        <w:br w:type="page"/>
      </w:r>
      <w:bookmarkStart w:id="72" w:name="_Toc15396614"/>
      <w:bookmarkStart w:id="73" w:name="_Toc25069"/>
    </w:p>
    <w:p>
      <w:pPr>
        <w:spacing w:line="600" w:lineRule="exact"/>
        <w:jc w:val="center"/>
        <w:outlineLvl w:val="0"/>
        <w:rPr>
          <w:rStyle w:val="31"/>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72"/>
      <w:bookmarkEnd w:id="73"/>
    </w:p>
    <w:p>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hAnsi="仿宋_GB2312" w:eastAsia="仿宋_GB2312" w:cs="仿宋_GB2312"/>
          <w:b w:val="0"/>
          <w:bCs w:val="0"/>
          <w:kern w:val="0"/>
          <w:position w:val="0"/>
          <w:sz w:val="32"/>
          <w:szCs w:val="32"/>
          <w:highlight w:val="none"/>
          <w:lang w:val="en-US" w:eastAsia="zh-CN" w:bidi="ar-SA"/>
        </w:rPr>
      </w:pPr>
      <w:r>
        <w:rPr>
          <w:rFonts w:hint="eastAsia" w:hAnsi="仿宋_GB2312" w:eastAsia="仿宋_GB2312" w:cs="仿宋_GB2312"/>
          <w:b w:val="0"/>
          <w:bCs w:val="0"/>
          <w:kern w:val="0"/>
          <w:position w:val="0"/>
          <w:sz w:val="32"/>
          <w:szCs w:val="32"/>
          <w:highlight w:val="none"/>
          <w:lang w:val="en-US" w:eastAsia="zh-CN" w:bidi="ar-SA"/>
        </w:rPr>
        <w:t>附表：</w:t>
      </w:r>
    </w:p>
    <w:tbl>
      <w:tblPr>
        <w:tblStyle w:val="17"/>
        <w:tblW w:w="12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791"/>
        <w:gridCol w:w="1557"/>
        <w:gridCol w:w="1978"/>
        <w:gridCol w:w="466"/>
        <w:gridCol w:w="1472"/>
        <w:gridCol w:w="756"/>
        <w:gridCol w:w="976"/>
        <w:gridCol w:w="549"/>
        <w:gridCol w:w="576"/>
        <w:gridCol w:w="2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51090322T000000350278-党外人士实践、活动经费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c>
          <w:tcPr>
            <w:tcW w:w="9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发现、培养党外代表人士，统筹推进全区统一战线宣传和意识形态工作,不断提升统战干部理论水平,通过该项目的实施，提高党外代表人士凝聚力、向心力及社会影响力。</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通过实践调研活动的开展，提高了党外代表人士凝聚力、向心力及社会影响力。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组织我区党外代表人士开展各种实践、调研活动，先后选派27名党外干部到项目建设、招商引资、乡村振兴等一线工作；成立遂宁市第三人民医院党外知识分子联谊会、船山区妇幼保健院党外知识分子联谊会，支持引导区知联会、区新联会开展公益活动20余场次，先后捐赠爱心物资8万余元。开展学习贯彻习近平新时代中国特色社会主义思想主题教育，不断提升统战干部理论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社会服务、调研活动开展及时率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开展社会服务</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组织党派成员开展实践、调研</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社会服务、调研活动参与率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社会服务、调研活动覆盖率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因时间冲突和人员变动，实践活动未覆盖到部分党派</w:t>
            </w:r>
            <w:r>
              <w:rPr>
                <w:rFonts w:hint="eastAsia" w:ascii="宋体" w:hAnsi="宋体" w:cs="宋体"/>
                <w:i w:val="0"/>
                <w:iCs w:val="0"/>
                <w:color w:val="000000"/>
                <w:kern w:val="0"/>
                <w:sz w:val="18"/>
                <w:szCs w:val="18"/>
                <w:u w:val="none"/>
                <w:lang w:val="en-US" w:eastAsia="zh-CN" w:bidi="ar"/>
              </w:rPr>
              <w:t>下属</w:t>
            </w:r>
            <w:r>
              <w:rPr>
                <w:rFonts w:ascii="宋体" w:hAnsi="宋体" w:eastAsia="宋体" w:cs="宋体"/>
                <w:i w:val="0"/>
                <w:iCs w:val="0"/>
                <w:color w:val="000000"/>
                <w:kern w:val="0"/>
                <w:sz w:val="18"/>
                <w:szCs w:val="18"/>
                <w:u w:val="none"/>
                <w:lang w:val="en-US" w:eastAsia="zh-CN" w:bidi="ar"/>
              </w:rPr>
              <w:t>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党派成员影响率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民主党派基层组织满意度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社会服务、调研活动参与人员满意度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社会服务、调研活动成本</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2023年财政批复预算为5万元，截止2023年12月31日，项目资金实际到位5万元，资金到位率100%，实际支付5万元，项目预算执行率100%，综合得分95分。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未考虑到各党派的具体情况，因时间冲突，实践活动未覆盖到部分党派下属支部一级。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建议加强年初民主党派实践、调研活动的时间和规划，将任务下至各党派总支，争取将实践、调研活动覆盖到各党派下属</w:t>
            </w:r>
            <w:bookmarkStart w:id="102" w:name="_GoBack"/>
            <w:bookmarkEnd w:id="102"/>
            <w:r>
              <w:rPr>
                <w:rFonts w:hint="eastAsia" w:ascii="微软雅黑" w:hAnsi="微软雅黑" w:eastAsia="微软雅黑" w:cs="微软雅黑"/>
                <w:i w:val="0"/>
                <w:iCs w:val="0"/>
                <w:color w:val="000000"/>
                <w:kern w:val="0"/>
                <w:sz w:val="16"/>
                <w:szCs w:val="16"/>
                <w:u w:val="none"/>
                <w:lang w:val="en-US" w:eastAsia="zh-CN" w:bidi="ar"/>
              </w:rPr>
              <w:t>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项目负责人：何菁</w:t>
            </w: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51090322T000000350294-六党派、新联会、知联会活动经费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c>
          <w:tcPr>
            <w:tcW w:w="9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保障区内六个民主党派开展党派活动，区内新联会、知联会的活动经费。通过开展活动加强党外人士自身建设，凝聚人心。</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本年度区内六党派、新联会、知联会开展了各类活动，建言献策，该经费保障了各类活动的及时开展，通过开展活动传达了中省市精神、提高了民主党派参政议政影响力、加强了民主党派自身建设、凝聚了人心。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六党派、新联会、知联会活动经费项目年初预算44万元，均为区级财政资金，实际到位支付44万元，预算执行率100%。其中六党派分别为民革、民盟、民建、民进、农工党、无党派，活动经费分别为6.5万元，各自用于开展党派活动；新联会活动经费3万元用于新的社会阶层人士联谊会开展活动及维持基本开支；知联会活动经费2万元用于党外知识分子联谊会开展活动及维持基本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活动开展次数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建言献策数量</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经费保障党派数量</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党派保障准确率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活动参与率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活动开展及时率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党派成员覆盖率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部分党派成员旅居外地，无法及时参与相关党派活动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提高参政议政影响力</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中省市精神传达率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党派成员满意度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党外知识分子、新阶层人士满意度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活动经费</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2023年度该项目财政批复预算为44万元，项目实际到位支付44万元，资金到位率100%，项目预算执行率100%。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2023年度该项目未专门制定相关项目管理制度，内控健全性待完善。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建议加强年初预算编制工作，增强年初预算的科学性和预见性，充分发挥支出标准在预算编制和管理中的基础支撑作用，同时加强对本单位预算绩效管理的组织领导，加强预算绩效管理力量。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项目负责人：邹蜀宁</w:t>
            </w: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51090322T000000350308-党派、新的社会阶层联系工作经费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c>
          <w:tcPr>
            <w:tcW w:w="9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协调统一战线各方面关系，联系、培养新的社会阶层</w:t>
            </w:r>
            <w:r>
              <w:rPr>
                <w:rFonts w:hint="eastAsia" w:ascii="宋体" w:hAnsi="宋体" w:cs="宋体"/>
                <w:i w:val="0"/>
                <w:iCs w:val="0"/>
                <w:color w:val="000000"/>
                <w:kern w:val="0"/>
                <w:sz w:val="18"/>
                <w:szCs w:val="18"/>
                <w:u w:val="none"/>
                <w:lang w:val="en-US" w:eastAsia="zh-CN" w:bidi="ar"/>
              </w:rPr>
              <w:t>代表</w:t>
            </w:r>
            <w:r>
              <w:rPr>
                <w:rFonts w:ascii="宋体" w:hAnsi="宋体" w:eastAsia="宋体" w:cs="宋体"/>
                <w:i w:val="0"/>
                <w:iCs w:val="0"/>
                <w:color w:val="000000"/>
                <w:kern w:val="0"/>
                <w:sz w:val="18"/>
                <w:szCs w:val="18"/>
                <w:u w:val="none"/>
                <w:lang w:val="en-US" w:eastAsia="zh-CN" w:bidi="ar"/>
              </w:rPr>
              <w:t>人士，指导社会组织开展新的社会阶层人士统战工作；引导党派成员和无党派代表人士工作，促进党派成员和无党派人士健康成长。</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根据年度工作安排和财政预算批复，按实际履职情况拨付、使用，为党派、新的社会阶层联系工作提供了资金保障。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全覆盖开展党外知识分子和新的社会阶层人士摸排，成立遂宁市第三人民医院党外知识分子联谊会、船山区妇幼保健院党外知识分子联谊会。支持引导区知联会、区新联会开展公益活动20余场次，先后捐赠爱心物资8万余元。支持新的社会阶层人士开展“凝心铸魂强根基、团结奋进新征程”主题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10.54</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10.54</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会议及活动开展及时率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召开会议次数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活动参与人数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活动参与率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参会人员到位率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民主党派成员影响提升率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部分党派成员旅居外地，无法及时参与相关党派活动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民主党派成员、新阶层人士满意度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项目总体成本</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10.54</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2023年财政批复预算为12万元，财政收回指标0.46万元，截止2023年12月31日，项目资金实际到位10.54万元，实际支付10.54万元，资金到位率100%，项目预算执行率100%，综合得分96分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部分党派成员旅居外地，无法及时参与相关党派活动，导致民主党派成员影响提升率不够。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建议加强与旅居外地党派成员的联系联络，尽量邀请他们积极参与活动，如实在无法回船山参与，可以视频连线等形式参加，提高民主党派成员影响提升率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项目负责人：邹蜀宁</w:t>
            </w: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51090322T000000350321-台侨工作经费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c>
          <w:tcPr>
            <w:tcW w:w="9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召开台务座谈会、联席会、协商会等会议，走访慰问台侨人员，团结凝聚我区台侨方面的力量，</w:t>
            </w:r>
            <w:r>
              <w:rPr>
                <w:rFonts w:hint="eastAsia" w:ascii="宋体" w:hAnsi="宋体" w:cs="宋体"/>
                <w:i w:val="0"/>
                <w:iCs w:val="0"/>
                <w:color w:val="000000"/>
                <w:kern w:val="0"/>
                <w:sz w:val="18"/>
                <w:szCs w:val="18"/>
                <w:u w:val="none"/>
                <w:lang w:val="en-US" w:eastAsia="zh-CN" w:bidi="ar"/>
              </w:rPr>
              <w:t>增强</w:t>
            </w:r>
            <w:r>
              <w:rPr>
                <w:rFonts w:ascii="宋体" w:hAnsi="宋体" w:eastAsia="宋体" w:cs="宋体"/>
                <w:i w:val="0"/>
                <w:iCs w:val="0"/>
                <w:color w:val="000000"/>
                <w:kern w:val="0"/>
                <w:sz w:val="18"/>
                <w:szCs w:val="18"/>
                <w:u w:val="none"/>
                <w:lang w:val="en-US" w:eastAsia="zh-CN" w:bidi="ar"/>
              </w:rPr>
              <w:t>台侨群体对祖国的认同感和归属感，提升台侨群体在国内外的社会地位和影响力，促进台侨群体与当地社会的融合。</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度该项目能全面准确了解和掌握各居归侨侨眷人员的详细情况，补充、更新和完善详情数据资料，把台侨工作提高一个新水平，更好地落实党的相关政策，让每一位侨民喜在心里，团结凝聚侨民力量，促进社会的稳定和谐，社会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成功举办2023海峡两岸养心文化协作交流会，签约合作项目3个。组织港澳台侨界代表人士开展迎新春联谊活动、“至善天府 弘益为民”义诊等活动，走访、慰问在遂港澳台胞、台属、归侨侨眷及台资企业30余人。组织台侨企业参加“面对面 键对键”会议，搜集并积极协调解决问题2个。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慰问对象准确率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开展活动召开会议次数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慰问对象人数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人/年</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项目开展及时率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会议参与率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台侨属影响增长率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慰问对象覆盖率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台侨属满意度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项目总体成本</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2023年财政批复预算为1.5万元，截止2023年12月31日，项目资金实际到位1.5万元，实际支付1.5万元，项目预算执行率100%，综合得分97.1分。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由于绩效管理的经验不足，项目的进度与支出过程中存在不对等关系；部分成果无法用指标方式表示；在绩效考评指标的设计上流于形式，有待完善；未专门制定相关项目管理制度。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建议加强年初预算编制工作，增强年初预算的科学性和预见性，充分发挥支出标准在预算编制和管理中的基础支撑作用，同时加强对本单位预算绩效管理的组织领导，加强预算绩效管理力量。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项目负责人：陈煜坤</w:t>
            </w: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51090322T000000350336-宗教工作“四项”经费民宗维稳协调经费、民宗工作经费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c>
          <w:tcPr>
            <w:tcW w:w="9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宗教工作四项经费主要用于宗教活动场所维修补助，困难宗教教职人员生活补助，宗教团体工作经费补助，宗教界人士慰问。少数民族工作经费主要用于保障我区散杂居少数民族工作，宗教维稳经费主要用于我区宗教协调维稳工作，宗教工作经费主要用于保障大船山基层宗教工作正常开展方面；少数民族发展基金主要用于支持散杂居少数民族群众发展生产。</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按实际履职情况拨付、使用，为宗教工作“四项”经费民宗维稳协调、民宗工作提供了资金保障，加强了宗教与社会的对话、合作和交流，推动了传统宗教与现代化社会的和谐共存。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在宗教界深入开展宣讲活动14场次，覆盖教职人员及信教群众1000余人。开展基督教私设聚会点专项治理工作督导4次。对全区宗教场所进行全覆盖检查9次。给予船山区天主教堂围墙排危维修、基督教福音堂排危补助经费4万元。在宗教界深入开展宣讲活动14场次，覆盖教职人员及信教群众1000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5人婚迁，移居等原因，无法慰问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宗教活动场所维修</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慰问对象准确率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宗教活动场所维修补助准确率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少数民族、宗教界人士群众影响率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矛盾纠纷调解率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宗教教职人员及信众满意度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2023年财政批复预算为12万元，财政收回指标0.46万元，截止2023年12月31日，项目资金实际到位19.31万元，资金到位率100%，实际支付19.31万元，项目预算执行率100%，综合得分98分。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年初计划本年度慰问重病、残疾，困难等少数民族群众25人，但因婚迁，移居等原因只慰问了20人，慰问率80%。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建议加强年初预算编制工作，增强年初预算的科学性和预见性，以及在指标设置时应当考虑部分指标的弹性。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项目负责人：顾媛媛</w:t>
            </w: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51090322T000000350344-乡镇统战工作经费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c>
          <w:tcPr>
            <w:tcW w:w="9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对乡镇统战工作督察，做实新乡贤统战工作，团结新乡贤力量，带动当地经济发展。</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对各乡镇统战工作的开展进行了督察，团结了新乡贤力量促进了乡村振兴工作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本年度开展了区内乡镇统战工作，督察做实新乡贤统战工作，团结新乡贤力量，带动当地经济发展，主要用于督察工作差旅费、租车费等办公费用，确保督察乡镇统战工作的认真有序</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督察工作覆盖率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全年下乡督察次数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督察工作开展及时性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新乡贤督察工作保障率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长效管理制度健全性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统战成员满意度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督查成本</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2023年财政批复预算为1.2万元，截止2023年12月31日，项目资金实际到位1.2万元，实际支付1.2万元，项目预算执行率100%，综合得分97.1分。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由于绩效管理的经验不足，项目的进度与支出过程中存在不对等关系；部分成果无法用指标方式表示；在绩效考评指标的设计上流于形式，有待完善；未专门制定相关项目管理制度。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建议加强年初预算编制工作，增强年初预算的科学性和预见性，充分发挥支出标准在预算编制和管理中的基础支撑作用，同时加强对本单位预算绩效管理的组织领导，加强预算绩效管理力量。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项目负责人：张莉</w:t>
            </w: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51090323T000008998275-2023年春节慰问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c>
          <w:tcPr>
            <w:tcW w:w="9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慰问重点统战对象、困难统战对象、少数民族、侨胞共计70户，每户慰问金额500元</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2023年度该项目让重点统战对象、困难统战对象、少数民族、侨胞度过一个祥和温暖的春节。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本年度该项目春节期间慰问重点统战对象、困难统战对象、少数民族、侨胞共计70户，每户慰问金额500元，共计3.5万元。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任务完成及时率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慰问对象准确率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慰问人数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重点统战对象影响率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内控制度健全性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重点统战对象满意度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帮扶对象满意度指标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困难统战对象满意度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项目成本</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2023年财政批复预算为3.5万元，截止2023年12月31日，项目资金实际到位3.5万元，实际支付3.5万元，项目预算执行率100%，综合得分97.1分。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由于绩效管理的经验不足，项目的进度与支出过程中存在不对等关系；部分成果无法用指标方式表示；在绩效考评指标的设计上流于形式，有待完善；未专门制定相关项目管理制度。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建议加强年初预算编制工作，增强年初预算的科学性和预见性，充分发挥支出标准在预算编制和管理中的基础支撑作用，同时加强对本单位预算绩效管理的组织领导，加强预算绩效管理力量。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项目负责人：邹蜀宁</w:t>
            </w: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51090323T000009754278-信访维稳资金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c>
          <w:tcPr>
            <w:tcW w:w="9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宗教团体作用，全力做好宗教领域稳定工作，防止利用宗教活动场所进行非法、违法及邪教活动事件的发生。在宗教领域宣传相关法律法规，定期开展对非法宗教活动、宗教渗透势力排查及安全风险隐患的</w:t>
            </w:r>
            <w:r>
              <w:rPr>
                <w:rFonts w:hint="eastAsia" w:ascii="宋体" w:hAnsi="宋体" w:cs="宋体"/>
                <w:i w:val="0"/>
                <w:iCs w:val="0"/>
                <w:color w:val="000000"/>
                <w:kern w:val="0"/>
                <w:sz w:val="18"/>
                <w:szCs w:val="18"/>
                <w:u w:val="none"/>
                <w:lang w:val="en-US" w:eastAsia="zh-CN" w:bidi="ar"/>
              </w:rPr>
              <w:t>防范</w:t>
            </w:r>
            <w:r>
              <w:rPr>
                <w:rFonts w:ascii="宋体" w:hAnsi="宋体" w:eastAsia="宋体" w:cs="宋体"/>
                <w:i w:val="0"/>
                <w:iCs w:val="0"/>
                <w:color w:val="000000"/>
                <w:kern w:val="0"/>
                <w:sz w:val="18"/>
                <w:szCs w:val="18"/>
                <w:u w:val="none"/>
                <w:lang w:val="en-US" w:eastAsia="zh-CN" w:bidi="ar"/>
              </w:rPr>
              <w:t>化解，引导教职人员、信众爱国爱党、学法守法，切实维护宗教领域和谐稳定。</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2023年度该项目防止了利用宗教活动场所进行非法、违法及邪教活动事件的发生，引导了教职人员、信众爱国爱党、学法守法，切实维护了宗教领域和谐稳定。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在宗教界深入开展宣讲活动14场次，开展基督教私设聚会点专项治理工作督导4次，对全区宗教场所进行全覆盖检查9次。指导区佛教协会赴江西、浙江开展爱国主义教育暨参访学习活动。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维稳对象准确率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宗教场所维稳数量</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任务完成及时率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教职人员、信众影响率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矛盾纠纷调解率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教职人员、信众满意率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项目成本</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2023年财政批复预算为10万元，截止2023年12月31日，项目资金实际到位10万元，实际支付10万元，项目预算执行率100%，综合得分97.1分。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由于绩效管理的经验不足，项目的进度与支出过程中存在不对等关系；部分成果无法用指标方式表示；在绩效考评指标的设计上流于形式，有待完善；未专门制定相关项目管理制度。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建议加强年初预算编制工作，增强年初预算的科学性和预见性，充分发挥支出标准在预算编制和管理中的基础支撑作用，同时加强对本单位预算绩效管理的组织领导，加强预算绩效管理力量。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项目负责人：顾媛媛</w:t>
            </w: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51090324T000010077684-老池镇龙泉村产业发展建设项目资金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c>
          <w:tcPr>
            <w:tcW w:w="9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项目总投资66.54万元，其中申请财政资金50万元，业主自筹16.54万元，建设内容及规模为：硬化生产道路0.44千米,新建肉牛养殖棚900平方米</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为老池镇龙泉村硬化生产道路0.44千米,新建肉牛养殖棚900平方米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了项目谋划储备工作，加强项目前置性工作审查。建立事前、事中、事后的全环节绩效管理评价体系，强化绩效过程监管，积极落实项目竣工验收。严格执行乡（镇）、村信息公开和公告公示制度。二是坚决做好项目实施前中后“三个公示”制度。三是制定模板明确公示内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16.54</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硬化生产道路</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千米</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新建肉牛养殖棚</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影响农户人口数量</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项目建成年均产值上万元，帮助少数民族增收人口</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部分少数民族外出打工，未受益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农户满意率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66.54</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2023年财政预算为50万元，业主自筹16.54万元。截止2023年12月31日，项目资金实际到位66.54万元，实际支付66.54万元，项目预算执行率100%，综合得分98分。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部分青壮年少数民族农户外出打工，项目建成未帮助其增加收入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项目实施前应对项目所在村的少数民族进行入户调查，充分了解每人的个人规划和意愿，再根据实际情况编制预算，增强年初预算的科学性和预见性，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项目负责人：顾媛媛</w:t>
            </w: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bl>
    <w:p>
      <w:pPr>
        <w:rPr>
          <w:rFonts w:hint="default"/>
          <w:lang w:val="en-US" w:eastAsia="zh-CN"/>
        </w:rPr>
      </w:pPr>
    </w:p>
    <w:p>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rPr>
          <w:rFonts w:hint="eastAsia" w:hAnsi="宋体" w:cs="宋体"/>
          <w:color w:val="FF0000"/>
          <w:kern w:val="0"/>
          <w:sz w:val="32"/>
          <w:szCs w:val="32"/>
          <w:highlight w:val="yellow"/>
          <w:shd w:val="clear" w:color="auto" w:fill="FFFFFF"/>
          <w:lang w:val="zh-CN"/>
        </w:rPr>
      </w:pPr>
    </w:p>
    <w:p>
      <w:pPr>
        <w:rPr>
          <w:rFonts w:hint="eastAsia" w:ascii="黑体" w:hAnsi="黑体" w:eastAsia="黑体"/>
          <w:color w:val="auto"/>
          <w:sz w:val="44"/>
          <w:szCs w:val="44"/>
          <w:highlight w:val="none"/>
        </w:rPr>
        <w:sectPr>
          <w:pgSz w:w="16838" w:h="11906" w:orient="landscape"/>
          <w:pgMar w:top="1803" w:right="1440" w:bottom="1803" w:left="1440" w:header="851" w:footer="992" w:gutter="0"/>
          <w:pgNumType w:fmt="decimal"/>
          <w:cols w:space="0" w:num="1"/>
          <w:rtlGutter w:val="0"/>
          <w:docGrid w:type="lines" w:linePitch="319" w:charSpace="0"/>
        </w:sectPr>
      </w:pPr>
      <w:r>
        <w:rPr>
          <w:rStyle w:val="31"/>
          <w:rFonts w:ascii="黑体" w:hAnsi="黑体" w:eastAsia="黑体"/>
          <w:b w:val="0"/>
          <w:color w:val="auto"/>
          <w:highlight w:val="none"/>
        </w:rPr>
        <w:br w:type="page"/>
      </w:r>
      <w:bookmarkStart w:id="74" w:name="_Toc15396618"/>
    </w:p>
    <w:p>
      <w:pPr>
        <w:spacing w:line="600" w:lineRule="exact"/>
        <w:jc w:val="center"/>
        <w:outlineLvl w:val="0"/>
        <w:rPr>
          <w:rFonts w:hint="eastAsia" w:ascii="仿宋" w:hAnsi="仿宋" w:eastAsia="仿宋"/>
          <w:b w:val="0"/>
          <w:color w:val="auto"/>
          <w:highlight w:val="none"/>
        </w:rPr>
      </w:pPr>
      <w:bookmarkStart w:id="75" w:name="_Toc11570"/>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71"/>
      <w:bookmarkEnd w:id="74"/>
      <w:bookmarkEnd w:id="75"/>
      <w:bookmarkStart w:id="76" w:name="_Toc15396619"/>
    </w:p>
    <w:p>
      <w:pPr>
        <w:pStyle w:val="2"/>
        <w:rPr>
          <w:rFonts w:ascii="仿宋" w:hAnsi="仿宋" w:eastAsia="仿宋"/>
          <w:color w:val="auto"/>
          <w:highlight w:val="none"/>
        </w:rPr>
      </w:pPr>
      <w:bookmarkStart w:id="77" w:name="_Toc30281"/>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76"/>
      <w:bookmarkEnd w:id="77"/>
    </w:p>
    <w:p>
      <w:pPr>
        <w:pStyle w:val="2"/>
        <w:rPr>
          <w:rFonts w:ascii="仿宋" w:hAnsi="仿宋" w:eastAsia="仿宋"/>
          <w:color w:val="auto"/>
          <w:highlight w:val="none"/>
        </w:rPr>
      </w:pPr>
      <w:bookmarkStart w:id="78" w:name="_Toc15396620"/>
      <w:bookmarkStart w:id="79" w:name="_Toc6236"/>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78"/>
      <w:bookmarkEnd w:id="79"/>
    </w:p>
    <w:p>
      <w:pPr>
        <w:pStyle w:val="2"/>
        <w:rPr>
          <w:rFonts w:ascii="仿宋" w:hAnsi="仿宋" w:eastAsia="仿宋"/>
          <w:color w:val="auto"/>
          <w:highlight w:val="none"/>
        </w:rPr>
      </w:pPr>
      <w:bookmarkStart w:id="80" w:name="_Toc15396621"/>
      <w:bookmarkStart w:id="81" w:name="_Toc3340"/>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80"/>
      <w:bookmarkEnd w:id="81"/>
    </w:p>
    <w:p>
      <w:pPr>
        <w:pStyle w:val="2"/>
        <w:rPr>
          <w:rFonts w:ascii="仿宋" w:hAnsi="仿宋" w:eastAsia="仿宋"/>
          <w:b w:val="0"/>
          <w:color w:val="auto"/>
          <w:highlight w:val="none"/>
        </w:rPr>
      </w:pPr>
      <w:bookmarkStart w:id="82" w:name="_Toc15396622"/>
      <w:bookmarkStart w:id="83" w:name="_Toc2597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82"/>
      <w:bookmarkEnd w:id="83"/>
    </w:p>
    <w:p>
      <w:pPr>
        <w:pStyle w:val="2"/>
        <w:rPr>
          <w:rStyle w:val="32"/>
          <w:rFonts w:ascii="仿宋" w:hAnsi="仿宋" w:eastAsia="仿宋"/>
          <w:b w:val="0"/>
          <w:bCs w:val="0"/>
          <w:color w:val="auto"/>
          <w:highlight w:val="none"/>
        </w:rPr>
      </w:pPr>
      <w:bookmarkStart w:id="84" w:name="_Toc9030"/>
      <w:bookmarkStart w:id="85" w:name="_Toc1539662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84"/>
      <w:bookmarkEnd w:id="85"/>
      <w:bookmarkStart w:id="86" w:name="_Toc15396624"/>
    </w:p>
    <w:p>
      <w:pPr>
        <w:pStyle w:val="2"/>
        <w:rPr>
          <w:rFonts w:ascii="仿宋" w:hAnsi="仿宋" w:eastAsia="仿宋"/>
          <w:color w:val="auto"/>
          <w:highlight w:val="none"/>
        </w:rPr>
      </w:pPr>
      <w:bookmarkStart w:id="87" w:name="_Toc5478"/>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86"/>
      <w:bookmarkEnd w:id="87"/>
    </w:p>
    <w:p>
      <w:pPr>
        <w:pStyle w:val="2"/>
        <w:rPr>
          <w:rFonts w:ascii="仿宋" w:hAnsi="仿宋" w:eastAsia="仿宋"/>
          <w:color w:val="auto"/>
          <w:highlight w:val="none"/>
        </w:rPr>
      </w:pPr>
      <w:bookmarkStart w:id="88" w:name="_Toc31281"/>
      <w:bookmarkStart w:id="89"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88"/>
      <w:bookmarkEnd w:id="89"/>
    </w:p>
    <w:p>
      <w:pPr>
        <w:pStyle w:val="2"/>
        <w:rPr>
          <w:rFonts w:ascii="仿宋" w:hAnsi="仿宋" w:eastAsia="仿宋"/>
          <w:color w:val="auto"/>
          <w:highlight w:val="none"/>
        </w:rPr>
      </w:pPr>
      <w:bookmarkStart w:id="90" w:name="_Toc15396626"/>
      <w:bookmarkStart w:id="91" w:name="_Toc8317"/>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90"/>
      <w:bookmarkEnd w:id="91"/>
    </w:p>
    <w:p>
      <w:pPr>
        <w:pStyle w:val="2"/>
        <w:rPr>
          <w:rFonts w:ascii="仿宋" w:hAnsi="仿宋" w:eastAsia="仿宋"/>
          <w:color w:val="auto"/>
          <w:highlight w:val="none"/>
        </w:rPr>
      </w:pPr>
      <w:bookmarkStart w:id="92" w:name="_Toc23810"/>
      <w:bookmarkStart w:id="93"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92"/>
      <w:bookmarkEnd w:id="93"/>
    </w:p>
    <w:p>
      <w:pPr>
        <w:pStyle w:val="2"/>
        <w:rPr>
          <w:rFonts w:ascii="仿宋" w:hAnsi="仿宋" w:eastAsia="仿宋"/>
          <w:color w:val="auto"/>
          <w:highlight w:val="none"/>
        </w:rPr>
      </w:pPr>
      <w:bookmarkStart w:id="94" w:name="_Toc15396628"/>
      <w:bookmarkStart w:id="95" w:name="_Toc20710"/>
      <w:r>
        <w:rPr>
          <w:rStyle w:val="32"/>
          <w:rFonts w:hint="eastAsia" w:ascii="仿宋" w:hAnsi="仿宋" w:eastAsia="仿宋"/>
          <w:b w:val="0"/>
          <w:bCs w:val="0"/>
          <w:color w:val="auto"/>
          <w:highlight w:val="none"/>
        </w:rPr>
        <w:t>十、</w:t>
      </w:r>
      <w:bookmarkEnd w:id="94"/>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95"/>
    </w:p>
    <w:p>
      <w:pPr>
        <w:pStyle w:val="2"/>
        <w:rPr>
          <w:rFonts w:ascii="仿宋" w:hAnsi="仿宋" w:eastAsia="仿宋"/>
          <w:color w:val="auto"/>
          <w:highlight w:val="none"/>
        </w:rPr>
      </w:pPr>
      <w:bookmarkStart w:id="96" w:name="_Toc15396629"/>
      <w:bookmarkStart w:id="97" w:name="_Toc4564"/>
      <w:r>
        <w:rPr>
          <w:rStyle w:val="32"/>
          <w:rFonts w:hint="eastAsia" w:ascii="仿宋" w:hAnsi="仿宋" w:eastAsia="仿宋"/>
          <w:b w:val="0"/>
          <w:bCs w:val="0"/>
          <w:color w:val="auto"/>
          <w:highlight w:val="none"/>
        </w:rPr>
        <w:t>十一、</w:t>
      </w:r>
      <w:bookmarkEnd w:id="96"/>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97"/>
    </w:p>
    <w:p>
      <w:pPr>
        <w:pStyle w:val="2"/>
        <w:rPr>
          <w:rFonts w:ascii="仿宋" w:hAnsi="仿宋" w:eastAsia="仿宋"/>
          <w:color w:val="auto"/>
          <w:highlight w:val="none"/>
        </w:rPr>
      </w:pPr>
      <w:bookmarkStart w:id="98" w:name="_Toc15396630"/>
      <w:bookmarkStart w:id="99" w:name="_Toc28263"/>
      <w:r>
        <w:rPr>
          <w:rStyle w:val="32"/>
          <w:rFonts w:hint="eastAsia" w:ascii="仿宋" w:hAnsi="仿宋" w:eastAsia="仿宋"/>
          <w:b w:val="0"/>
          <w:bCs w:val="0"/>
          <w:color w:val="auto"/>
          <w:highlight w:val="none"/>
        </w:rPr>
        <w:t>十二、</w:t>
      </w:r>
      <w:bookmarkEnd w:id="98"/>
      <w:r>
        <w:rPr>
          <w:rStyle w:val="32"/>
          <w:rFonts w:hint="eastAsia" w:ascii="仿宋" w:hAnsi="仿宋" w:eastAsia="仿宋"/>
          <w:b w:val="0"/>
          <w:bCs w:val="0"/>
          <w:color w:val="auto"/>
          <w:highlight w:val="none"/>
          <w:lang w:eastAsia="zh-CN"/>
        </w:rPr>
        <w:t>国有资本经营预算财政拨款支出决算表</w:t>
      </w:r>
      <w:bookmarkEnd w:id="99"/>
    </w:p>
    <w:p>
      <w:pPr>
        <w:pStyle w:val="2"/>
        <w:rPr>
          <w:rFonts w:hint="eastAsia" w:eastAsia="仿宋"/>
          <w:color w:val="auto"/>
          <w:highlight w:val="none"/>
          <w:lang w:eastAsia="zh-CN"/>
        </w:rPr>
      </w:pPr>
      <w:bookmarkStart w:id="100" w:name="_Toc15396631"/>
      <w:bookmarkStart w:id="101" w:name="_Toc23302"/>
      <w:r>
        <w:rPr>
          <w:rStyle w:val="32"/>
          <w:rFonts w:hint="eastAsia" w:ascii="仿宋" w:hAnsi="仿宋" w:eastAsia="仿宋"/>
          <w:b w:val="0"/>
          <w:bCs w:val="0"/>
          <w:color w:val="auto"/>
          <w:highlight w:val="none"/>
        </w:rPr>
        <w:t>十三、</w:t>
      </w:r>
      <w:bookmarkEnd w:id="100"/>
      <w:r>
        <w:rPr>
          <w:rStyle w:val="32"/>
          <w:rFonts w:hint="eastAsia" w:ascii="仿宋" w:hAnsi="仿宋" w:eastAsia="仿宋"/>
          <w:b w:val="0"/>
          <w:bCs w:val="0"/>
          <w:color w:val="auto"/>
          <w:highlight w:val="none"/>
          <w:lang w:eastAsia="zh-CN"/>
        </w:rPr>
        <w:t>财政拨款“三公”经费支出决算表</w:t>
      </w:r>
      <w:bookmarkEnd w:id="101"/>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13E2"/>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FA544C"/>
    <w:rsid w:val="02143E91"/>
    <w:rsid w:val="066E0107"/>
    <w:rsid w:val="07996F6E"/>
    <w:rsid w:val="0A2032A3"/>
    <w:rsid w:val="0C164DF4"/>
    <w:rsid w:val="0F98263C"/>
    <w:rsid w:val="101860EC"/>
    <w:rsid w:val="10C055FF"/>
    <w:rsid w:val="118107EC"/>
    <w:rsid w:val="13D50BC4"/>
    <w:rsid w:val="16BB723D"/>
    <w:rsid w:val="1BE8440E"/>
    <w:rsid w:val="1D155CEE"/>
    <w:rsid w:val="1FF35744"/>
    <w:rsid w:val="21A071AD"/>
    <w:rsid w:val="23860B96"/>
    <w:rsid w:val="240371BF"/>
    <w:rsid w:val="2912335F"/>
    <w:rsid w:val="29FD04D3"/>
    <w:rsid w:val="2C8A61B5"/>
    <w:rsid w:val="2DF04E50"/>
    <w:rsid w:val="2F040D46"/>
    <w:rsid w:val="319F7F4E"/>
    <w:rsid w:val="3304709D"/>
    <w:rsid w:val="345044B3"/>
    <w:rsid w:val="358712D8"/>
    <w:rsid w:val="35EF7064"/>
    <w:rsid w:val="36AA5135"/>
    <w:rsid w:val="376D39B2"/>
    <w:rsid w:val="37E16F03"/>
    <w:rsid w:val="37FE6F57"/>
    <w:rsid w:val="38D469F0"/>
    <w:rsid w:val="3D98207C"/>
    <w:rsid w:val="3DDD0231"/>
    <w:rsid w:val="3E78745D"/>
    <w:rsid w:val="3FDF7428"/>
    <w:rsid w:val="4266391C"/>
    <w:rsid w:val="434223BE"/>
    <w:rsid w:val="44E268DA"/>
    <w:rsid w:val="47AE3605"/>
    <w:rsid w:val="4A5C67AA"/>
    <w:rsid w:val="4A627F82"/>
    <w:rsid w:val="4B0E749A"/>
    <w:rsid w:val="4B4F25DA"/>
    <w:rsid w:val="4BE068DB"/>
    <w:rsid w:val="4D577224"/>
    <w:rsid w:val="4EAB630A"/>
    <w:rsid w:val="4ECE2238"/>
    <w:rsid w:val="537E6D0A"/>
    <w:rsid w:val="59027FBC"/>
    <w:rsid w:val="5AF92295"/>
    <w:rsid w:val="5C1E7BAD"/>
    <w:rsid w:val="5CD71FC4"/>
    <w:rsid w:val="5EFE1C8F"/>
    <w:rsid w:val="6AFD43F4"/>
    <w:rsid w:val="6C4A05C8"/>
    <w:rsid w:val="6E7E3605"/>
    <w:rsid w:val="6FF5CC65"/>
    <w:rsid w:val="70632F9C"/>
    <w:rsid w:val="715C0E4B"/>
    <w:rsid w:val="72734D90"/>
    <w:rsid w:val="73AD73D5"/>
    <w:rsid w:val="73B6EB34"/>
    <w:rsid w:val="744731E5"/>
    <w:rsid w:val="76E3355F"/>
    <w:rsid w:val="778769C8"/>
    <w:rsid w:val="79C6533F"/>
    <w:rsid w:val="79EE5BA4"/>
    <w:rsid w:val="7A203203"/>
    <w:rsid w:val="7A894339"/>
    <w:rsid w:val="7EC07883"/>
    <w:rsid w:val="7EEF11D3"/>
    <w:rsid w:val="7FA30C79"/>
    <w:rsid w:val="7FB7269E"/>
    <w:rsid w:val="7FC96657"/>
    <w:rsid w:val="AFFB69C0"/>
    <w:rsid w:val="D7F911FF"/>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index 6"/>
    <w:basedOn w:val="1"/>
    <w:next w:val="1"/>
    <w:semiHidden/>
    <w:unhideWhenUsed/>
    <w:qFormat/>
    <w:uiPriority w:val="99"/>
    <w:pPr>
      <w:ind w:left="2100"/>
    </w:pPr>
    <w:rPr>
      <w:rFonts w:ascii="Times New Roman" w:hAnsi="Times New Roman" w:eastAsia="黑体"/>
      <w:sz w:val="32"/>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unhideWhenUsed/>
    <w:qFormat/>
    <w:uiPriority w:val="99"/>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常用样式（方正仿宋简）"/>
    <w:basedOn w:val="1"/>
    <w:qFormat/>
    <w:uiPriority w:val="0"/>
    <w:pPr>
      <w:spacing w:line="560" w:lineRule="exact"/>
      <w:ind w:firstLine="640" w:firstLineChars="200"/>
    </w:p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2"/>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1"/>
    <w:semiHidden/>
    <w:qFormat/>
    <w:uiPriority w:val="99"/>
    <w:rPr>
      <w:rFonts w:ascii="Times New Roman" w:hAnsi="Times New Roman"/>
      <w:kern w:val="2"/>
      <w:sz w:val="18"/>
      <w:szCs w:val="18"/>
    </w:rPr>
  </w:style>
  <w:style w:type="character" w:customStyle="1" w:styleId="35">
    <w:name w:val="标题 3 Char"/>
    <w:basedOn w:val="18"/>
    <w:link w:val="4"/>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章标题"/>
    <w:basedOn w:val="1"/>
    <w:next w:val="39"/>
    <w:qFormat/>
    <w:uiPriority w:val="99"/>
    <w:pPr>
      <w:widowControl/>
      <w:spacing w:before="158" w:after="153" w:line="323" w:lineRule="atLeast"/>
      <w:ind w:right="-120"/>
      <w:jc w:val="center"/>
      <w:textAlignment w:val="baseline"/>
    </w:pPr>
    <w:rPr>
      <w:color w:val="FF0000"/>
      <w:sz w:val="18"/>
    </w:rPr>
  </w:style>
  <w:style w:type="paragraph" w:customStyle="1" w:styleId="39">
    <w:name w:val="节标题"/>
    <w:basedOn w:val="1"/>
    <w:next w:val="1"/>
    <w:qFormat/>
    <w:uiPriority w:val="99"/>
    <w:pPr>
      <w:widowControl/>
      <w:spacing w:line="289" w:lineRule="atLeast"/>
      <w:jc w:val="center"/>
      <w:textAlignment w:val="baseline"/>
    </w:pPr>
    <w:rPr>
      <w:color w:val="000000"/>
      <w:sz w:val="28"/>
    </w:rPr>
  </w:style>
  <w:style w:type="character" w:customStyle="1" w:styleId="40">
    <w:name w:val="font21"/>
    <w:basedOn w:val="18"/>
    <w:qFormat/>
    <w:uiPriority w:val="0"/>
    <w:rPr>
      <w:rFonts w:hint="default" w:ascii="Times New Roman" w:hAnsi="Times New Roman" w:cs="Times New Roman"/>
      <w:color w:val="000000"/>
      <w:sz w:val="44"/>
      <w:szCs w:val="44"/>
      <w:u w:val="none"/>
    </w:rPr>
  </w:style>
  <w:style w:type="character" w:customStyle="1" w:styleId="41">
    <w:name w:val="font71"/>
    <w:basedOn w:val="18"/>
    <w:qFormat/>
    <w:uiPriority w:val="0"/>
    <w:rPr>
      <w:rFonts w:ascii="方正小标宋简体" w:hAnsi="方正小标宋简体" w:eastAsia="方正小标宋简体" w:cs="方正小标宋简体"/>
      <w:color w:val="000000"/>
      <w:sz w:val="44"/>
      <w:szCs w:val="44"/>
      <w:u w:val="none"/>
    </w:rPr>
  </w:style>
  <w:style w:type="character" w:customStyle="1" w:styleId="42">
    <w:name w:val="font41"/>
    <w:basedOn w:val="18"/>
    <w:qFormat/>
    <w:uiPriority w:val="0"/>
    <w:rPr>
      <w:rFonts w:hint="eastAsia" w:ascii="宋体" w:hAnsi="宋体" w:eastAsia="宋体" w:cs="宋体"/>
      <w:b/>
      <w:bCs/>
      <w:color w:val="000000"/>
      <w:sz w:val="22"/>
      <w:szCs w:val="22"/>
      <w:u w:val="none"/>
    </w:rPr>
  </w:style>
  <w:style w:type="character" w:customStyle="1" w:styleId="43">
    <w:name w:val="font51"/>
    <w:basedOn w:val="18"/>
    <w:qFormat/>
    <w:uiPriority w:val="0"/>
    <w:rPr>
      <w:rFonts w:hint="default" w:ascii="Times New Roman" w:hAnsi="Times New Roman" w:cs="Times New Roman"/>
      <w:color w:val="000000"/>
      <w:sz w:val="18"/>
      <w:szCs w:val="18"/>
      <w:u w:val="none"/>
    </w:rPr>
  </w:style>
  <w:style w:type="character" w:customStyle="1" w:styleId="44">
    <w:name w:val="font81"/>
    <w:basedOn w:val="18"/>
    <w:qFormat/>
    <w:uiPriority w:val="0"/>
    <w:rPr>
      <w:rFonts w:hint="eastAsia" w:ascii="宋体" w:hAnsi="宋体" w:eastAsia="宋体" w:cs="宋体"/>
      <w:color w:val="000000"/>
      <w:sz w:val="28"/>
      <w:szCs w:val="28"/>
      <w:u w:val="none"/>
    </w:rPr>
  </w:style>
  <w:style w:type="character" w:customStyle="1" w:styleId="45">
    <w:name w:val="font121"/>
    <w:basedOn w:val="18"/>
    <w:qFormat/>
    <w:uiPriority w:val="0"/>
    <w:rPr>
      <w:rFonts w:hint="eastAsia" w:ascii="宋体" w:hAnsi="宋体" w:eastAsia="宋体" w:cs="宋体"/>
      <w:b/>
      <w:bCs/>
      <w:color w:val="FF0000"/>
      <w:sz w:val="22"/>
      <w:szCs w:val="22"/>
      <w:u w:val="none"/>
    </w:rPr>
  </w:style>
  <w:style w:type="character" w:customStyle="1" w:styleId="46">
    <w:name w:val="font131"/>
    <w:basedOn w:val="18"/>
    <w:qFormat/>
    <w:uiPriority w:val="0"/>
    <w:rPr>
      <w:rFonts w:hint="eastAsia" w:ascii="宋体" w:hAnsi="宋体" w:eastAsia="宋体" w:cs="宋体"/>
      <w:color w:val="FF0000"/>
      <w:sz w:val="28"/>
      <w:szCs w:val="28"/>
      <w:u w:val="none"/>
    </w:rPr>
  </w:style>
  <w:style w:type="character" w:customStyle="1" w:styleId="47">
    <w:name w:val="UserStyle_1"/>
    <w:semiHidden/>
    <w:qFormat/>
    <w:uiPriority w:val="0"/>
    <w:rPr>
      <w:rFonts w:ascii="Times New Roman" w:hAnsi="Times New Roman" w:eastAsia="宋体" w:cs="Times New Roman"/>
      <w:kern w:val="2"/>
      <w:sz w:val="21"/>
      <w:szCs w:val="24"/>
      <w:lang w:val="en-US" w:eastAsia="zh-CN" w:bidi="ar-SA"/>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_ * #,##0.00_ ;_ * \-#,##0.00_ ;_ * "-"??_ ;_ @_ </c:formatCode>
                <c:ptCount val="2"/>
                <c:pt idx="0">
                  <c:v>395.88</c:v>
                </c:pt>
                <c:pt idx="1">
                  <c:v>463.2</c:v>
                </c:pt>
              </c:numCache>
            </c:numRef>
          </c:val>
        </c:ser>
        <c:dLbls>
          <c:showLegendKey val="0"/>
          <c:showVal val="1"/>
          <c:showCatName val="0"/>
          <c:showSerName val="0"/>
          <c:showPercent val="0"/>
          <c:showBubbleSize val="0"/>
        </c:dLbls>
        <c:gapWidth val="219"/>
        <c:overlap val="-27"/>
        <c:axId val="476824572"/>
        <c:axId val="845297438"/>
      </c:barChart>
      <c:catAx>
        <c:axId val="4768245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297438"/>
        <c:crosses val="autoZero"/>
        <c:auto val="1"/>
        <c:lblAlgn val="ctr"/>
        <c:lblOffset val="100"/>
        <c:noMultiLvlLbl val="0"/>
      </c:catAx>
      <c:valAx>
        <c:axId val="845297438"/>
        <c:scaling>
          <c:orientation val="minMax"/>
          <c:max val="500"/>
          <c:min val="100"/>
        </c:scaling>
        <c:delete val="0"/>
        <c:axPos val="l"/>
        <c:majorGridlines>
          <c:spPr>
            <a:ln w="9525" cap="flat" cmpd="sng" algn="ctr">
              <a:solidFill>
                <a:schemeClr val="tx1">
                  <a:lumMod val="15000"/>
                  <a:lumOff val="850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6824572"/>
        <c:crosses val="autoZero"/>
        <c:crossBetween val="between"/>
        <c:majorUnit val="1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0.6828</c:v>
                </c:pt>
                <c:pt idx="1">
                  <c:v>0.3172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389.96</c:v>
                </c:pt>
                <c:pt idx="1">
                  <c:v>457.28</c:v>
                </c:pt>
              </c:numCache>
            </c:numRef>
          </c:val>
        </c:ser>
        <c:dLbls>
          <c:showLegendKey val="0"/>
          <c:showVal val="1"/>
          <c:showCatName val="0"/>
          <c:showSerName val="0"/>
          <c:showPercent val="0"/>
          <c:showBubbleSize val="0"/>
        </c:dLbls>
        <c:gapWidth val="219"/>
        <c:overlap val="-27"/>
        <c:axId val="65342225"/>
        <c:axId val="529659609"/>
      </c:barChart>
      <c:catAx>
        <c:axId val="6534222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9659609"/>
        <c:crosses val="autoZero"/>
        <c:auto val="1"/>
        <c:lblAlgn val="ctr"/>
        <c:lblOffset val="100"/>
        <c:noMultiLvlLbl val="0"/>
      </c:catAx>
      <c:valAx>
        <c:axId val="529659609"/>
        <c:scaling>
          <c:orientation val="minMax"/>
          <c:max val="50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3422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69"/>
          <c:y val="0.053357865685372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389.96</c:v>
                </c:pt>
                <c:pt idx="1">
                  <c:v>457.28</c:v>
                </c:pt>
              </c:numCache>
            </c:numRef>
          </c:val>
        </c:ser>
        <c:dLbls>
          <c:showLegendKey val="0"/>
          <c:showVal val="1"/>
          <c:showCatName val="0"/>
          <c:showSerName val="0"/>
          <c:showPercent val="0"/>
          <c:showBubbleSize val="0"/>
        </c:dLbls>
        <c:gapWidth val="219"/>
        <c:overlap val="-27"/>
        <c:axId val="965785447"/>
        <c:axId val="519151320"/>
      </c:barChart>
      <c:catAx>
        <c:axId val="96578544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151320"/>
        <c:crosses val="autoZero"/>
        <c:auto val="1"/>
        <c:lblAlgn val="ctr"/>
        <c:lblOffset val="100"/>
        <c:noMultiLvlLbl val="0"/>
      </c:catAx>
      <c:valAx>
        <c:axId val="519151320"/>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785447"/>
        <c:crosses val="autoZero"/>
        <c:crossBetween val="between"/>
        <c:majorUnit val="8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517502990832476"/>
                  <c:y val="0.019981743486676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41809359910954"/>
                  <c:y val="0.039717821932438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90866547822853"/>
                  <c:y val="0.07368913029071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0.00%</c:formatCode>
                <c:ptCount val="5"/>
                <c:pt idx="0">
                  <c:v>0.747</c:v>
                </c:pt>
                <c:pt idx="1">
                  <c:v>0.0682</c:v>
                </c:pt>
                <c:pt idx="2">
                  <c:v>0.025</c:v>
                </c:pt>
                <c:pt idx="3">
                  <c:v>0.1093</c:v>
                </c:pt>
                <c:pt idx="4">
                  <c:v>0.0505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87</Pages>
  <Words>23357</Words>
  <Characters>25285</Characters>
  <Lines>61</Lines>
  <Paragraphs>17</Paragraphs>
  <TotalTime>9</TotalTime>
  <ScaleCrop>false</ScaleCrop>
  <LinksUpToDate>false</LinksUpToDate>
  <CharactersWithSpaces>25697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TZB06</cp:lastModifiedBy>
  <cp:lastPrinted>2023-08-01T02:35:00Z</cp:lastPrinted>
  <dcterms:modified xsi:type="dcterms:W3CDTF">2024-09-12T11:50:57Z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389FDF88EA72430FA53127D3BEF905A2_12</vt:lpwstr>
  </property>
</Properties>
</file>