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pStyle w:val="2"/>
        <w:rPr>
          <w:rFonts w:hint="eastAsia"/>
          <w:lang w:val="en-US" w:eastAsia="zh-CN"/>
        </w:rPr>
      </w:pPr>
    </w:p>
    <w:p>
      <w:pPr>
        <w:spacing w:line="700" w:lineRule="exact"/>
        <w:jc w:val="center"/>
        <w:rPr>
          <w:rFonts w:hint="eastAsia" w:ascii="方正小标宋简体" w:hAnsi="Times New Roman" w:eastAsia="方正小标宋简体"/>
          <w:sz w:val="44"/>
          <w:szCs w:val="44"/>
        </w:rPr>
      </w:pPr>
      <w:r>
        <w:rPr>
          <w:rFonts w:hint="eastAsia" w:ascii="方正小标宋简体" w:hAnsi="Times New Roman" w:eastAsia="方正小标宋简体"/>
          <w:sz w:val="44"/>
          <w:szCs w:val="44"/>
          <w:lang w:eastAsia="zh-CN"/>
        </w:rPr>
        <w:t>关于</w:t>
      </w:r>
      <w:r>
        <w:rPr>
          <w:rFonts w:hint="eastAsia" w:ascii="方正小标宋简体" w:hAnsi="Times New Roman" w:eastAsia="方正小标宋简体"/>
          <w:sz w:val="44"/>
          <w:szCs w:val="44"/>
        </w:rPr>
        <w:t>遂宁市船山区202</w:t>
      </w:r>
      <w:r>
        <w:rPr>
          <w:rFonts w:hint="eastAsia" w:ascii="方正小标宋简体" w:hAnsi="Times New Roman" w:eastAsia="方正小标宋简体"/>
          <w:sz w:val="44"/>
          <w:szCs w:val="44"/>
          <w:lang w:val="en-US" w:eastAsia="zh-CN"/>
        </w:rPr>
        <w:t>3</w:t>
      </w:r>
      <w:r>
        <w:rPr>
          <w:rFonts w:hint="eastAsia" w:ascii="方正小标宋简体" w:hAnsi="Times New Roman" w:eastAsia="方正小标宋简体"/>
          <w:sz w:val="44"/>
          <w:szCs w:val="44"/>
        </w:rPr>
        <w:t>年财政</w:t>
      </w:r>
    </w:p>
    <w:p>
      <w:pPr>
        <w:spacing w:line="700" w:lineRule="exact"/>
        <w:jc w:val="center"/>
        <w:rPr>
          <w:rFonts w:hint="eastAsia" w:ascii="方正小标宋简体" w:hAnsi="Times New Roman" w:eastAsia="方正小标宋简体"/>
          <w:sz w:val="44"/>
          <w:szCs w:val="44"/>
        </w:rPr>
      </w:pPr>
      <w:r>
        <w:rPr>
          <w:rFonts w:hint="eastAsia" w:ascii="方正小标宋简体" w:hAnsi="Times New Roman" w:eastAsia="方正小标宋简体"/>
          <w:sz w:val="44"/>
          <w:szCs w:val="44"/>
        </w:rPr>
        <w:t>决算（草案）</w:t>
      </w:r>
      <w:r>
        <w:rPr>
          <w:rFonts w:hint="eastAsia" w:ascii="方正小标宋简体" w:hAnsi="Times New Roman" w:eastAsia="方正小标宋简体"/>
          <w:sz w:val="44"/>
          <w:szCs w:val="44"/>
          <w:lang w:eastAsia="zh-CN"/>
        </w:rPr>
        <w:t>的</w:t>
      </w:r>
      <w:r>
        <w:rPr>
          <w:rFonts w:hint="eastAsia" w:ascii="方正小标宋简体" w:hAnsi="Times New Roman" w:eastAsia="方正小标宋简体"/>
          <w:sz w:val="44"/>
          <w:szCs w:val="44"/>
        </w:rPr>
        <w:t>报告</w:t>
      </w:r>
    </w:p>
    <w:p>
      <w:pPr>
        <w:spacing w:line="600" w:lineRule="exact"/>
        <w:jc w:val="center"/>
        <w:rPr>
          <w:rFonts w:hint="eastAsia" w:ascii="楷体" w:hAnsi="楷体" w:eastAsia="楷体" w:cs="楷体"/>
          <w:b/>
          <w:bCs/>
          <w:sz w:val="28"/>
          <w:szCs w:val="28"/>
        </w:rPr>
      </w:pPr>
      <w:r>
        <w:rPr>
          <w:rFonts w:hint="eastAsia" w:ascii="楷体" w:hAnsi="楷体" w:eastAsia="楷体" w:cs="楷体"/>
          <w:b/>
          <w:bCs/>
          <w:sz w:val="28"/>
          <w:szCs w:val="28"/>
        </w:rPr>
        <w:t>2024年8月</w:t>
      </w:r>
      <w:r>
        <w:rPr>
          <w:rFonts w:hint="eastAsia" w:ascii="楷体" w:hAnsi="楷体" w:eastAsia="楷体" w:cs="楷体"/>
          <w:b/>
          <w:bCs/>
          <w:sz w:val="28"/>
          <w:szCs w:val="28"/>
          <w:lang w:val="en-US" w:eastAsia="zh-CN"/>
        </w:rPr>
        <w:t>27</w:t>
      </w:r>
      <w:r>
        <w:rPr>
          <w:rFonts w:hint="eastAsia" w:ascii="楷体" w:hAnsi="楷体" w:eastAsia="楷体" w:cs="楷体"/>
          <w:b/>
          <w:bCs/>
          <w:sz w:val="28"/>
          <w:szCs w:val="28"/>
        </w:rPr>
        <w:t>日在遂宁市船山区第五届人大常委会第二十五次会议上</w:t>
      </w:r>
    </w:p>
    <w:p>
      <w:pPr>
        <w:spacing w:line="600" w:lineRule="exact"/>
        <w:jc w:val="center"/>
        <w:rPr>
          <w:rFonts w:ascii="Times New Roman" w:hAnsi="Times New Roman" w:eastAsia="楷体_GB2312"/>
          <w:b/>
          <w:color w:val="000000"/>
          <w:sz w:val="32"/>
          <w:szCs w:val="32"/>
        </w:rPr>
      </w:pPr>
      <w:r>
        <w:rPr>
          <w:rFonts w:ascii="Times New Roman" w:hAnsi="Times New Roman" w:eastAsia="楷体_GB2312"/>
          <w:b/>
          <w:color w:val="000000"/>
          <w:sz w:val="32"/>
          <w:szCs w:val="32"/>
        </w:rPr>
        <w:t xml:space="preserve">区财政局局长  </w:t>
      </w:r>
      <w:r>
        <w:rPr>
          <w:rFonts w:ascii="Times New Roman" w:hAnsi="Times New Roman" w:eastAsia="楷体_GB2312" w:cs="Times New Roman"/>
          <w:b/>
          <w:color w:val="000000"/>
          <w:sz w:val="32"/>
          <w:szCs w:val="32"/>
        </w:rPr>
        <w:t>刘</w:t>
      </w:r>
      <w:r>
        <w:rPr>
          <w:rFonts w:hint="eastAsia" w:ascii="Times New Roman" w:hAnsi="Times New Roman" w:eastAsia="楷体_GB2312" w:cs="Times New Roman"/>
          <w:b/>
          <w:color w:val="000000"/>
          <w:sz w:val="32"/>
          <w:szCs w:val="32"/>
          <w:lang w:val="en-US" w:eastAsia="zh-CN"/>
        </w:rPr>
        <w:t xml:space="preserve">  </w:t>
      </w:r>
      <w:r>
        <w:rPr>
          <w:rFonts w:ascii="Times New Roman" w:hAnsi="Times New Roman" w:eastAsia="楷体_GB2312" w:cs="Times New Roman"/>
          <w:b/>
          <w:color w:val="000000"/>
          <w:sz w:val="32"/>
          <w:szCs w:val="32"/>
        </w:rPr>
        <w:t>萍</w:t>
      </w:r>
    </w:p>
    <w:p>
      <w:pPr>
        <w:spacing w:line="600" w:lineRule="exact"/>
        <w:rPr>
          <w:rFonts w:ascii="Times New Roman" w:hAnsi="Times New Roman" w:eastAsia="仿宋_GB2312" w:cs="Times New Roman"/>
          <w:sz w:val="32"/>
          <w:szCs w:val="32"/>
        </w:rPr>
      </w:pPr>
    </w:p>
    <w:p>
      <w:pPr>
        <w:spacing w:line="600" w:lineRule="exact"/>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主任、副主任</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各位委员：</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按照有关法律规定和区人大常委会安排，受区政府委托，</w:t>
      </w:r>
      <w:r>
        <w:rPr>
          <w:rFonts w:hint="eastAsia" w:ascii="Times New Roman" w:hAnsi="Times New Roman" w:eastAsia="仿宋_GB2312" w:cs="Times New Roman"/>
          <w:sz w:val="32"/>
          <w:szCs w:val="32"/>
          <w:lang w:eastAsia="zh-CN"/>
        </w:rPr>
        <w:t>现将</w:t>
      </w:r>
      <w:r>
        <w:rPr>
          <w:rFonts w:hint="eastAsia" w:ascii="Times New Roman" w:hAnsi="Times New Roman" w:eastAsia="仿宋_GB2312" w:cs="Times New Roman"/>
          <w:sz w:val="32"/>
          <w:szCs w:val="32"/>
        </w:rPr>
        <w:t>遂宁市</w:t>
      </w:r>
      <w:r>
        <w:rPr>
          <w:rFonts w:ascii="Times New Roman" w:hAnsi="Times New Roman" w:eastAsia="仿宋_GB2312" w:cs="Times New Roman"/>
          <w:sz w:val="32"/>
          <w:szCs w:val="32"/>
        </w:rPr>
        <w:t>船山区</w:t>
      </w:r>
      <w:r>
        <w:rPr>
          <w:rFonts w:hint="eastAsia" w:ascii="Times New Roman" w:hAnsi="Times New Roman" w:eastAsia="仿宋_GB2312" w:cs="Times New Roman"/>
          <w:sz w:val="32"/>
          <w:szCs w:val="32"/>
        </w:rPr>
        <w:t>2023年财政决算（草案）情况报告如下，</w:t>
      </w:r>
      <w:r>
        <w:rPr>
          <w:rFonts w:ascii="Times New Roman" w:hAnsi="Times New Roman" w:eastAsia="仿宋_GB2312" w:cs="Times New Roman"/>
          <w:sz w:val="32"/>
          <w:szCs w:val="32"/>
        </w:rPr>
        <w:t>请审议。</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2023年是</w:t>
      </w:r>
      <w:r>
        <w:rPr>
          <w:rFonts w:hint="eastAsia" w:ascii="Times New Roman" w:hAnsi="Times New Roman" w:eastAsia="仿宋_GB2312"/>
          <w:sz w:val="32"/>
          <w:szCs w:val="32"/>
        </w:rPr>
        <w:t>全面贯彻党的二十大精神的开局之年</w:t>
      </w:r>
      <w:r>
        <w:rPr>
          <w:rFonts w:ascii="Times New Roman" w:hAnsi="Times New Roman" w:eastAsia="仿宋_GB2312"/>
          <w:sz w:val="32"/>
          <w:szCs w:val="32"/>
        </w:rPr>
        <w:t>。面对复杂的经济形势和超预期增支压力，全区各部门在区委的坚强领导下，坚持以习近平新时代中国特色社会主义思想作为全部工作的鲜明主题和贯穿始终的突出主线，深入贯彻落实党的二十大精神和习近平总书记对四川工作系列重要指示精神，紧紧围绕区委的工作部署和各项工作目标任务，坚持稳字当头、稳中求进，坚决扛牢稳大盘责任，推动积极财政政策加力提效，加强财政收支管理，有效推动全区经济社会平稳健康发展。在此基础上，全年预算执行情况总体平稳。</w:t>
      </w:r>
    </w:p>
    <w:p>
      <w:pPr>
        <w:spacing w:line="600" w:lineRule="exact"/>
        <w:ind w:firstLine="640" w:firstLineChars="200"/>
        <w:rPr>
          <w:rFonts w:ascii="Times New Roman" w:hAnsi="Times New Roman" w:eastAsia="黑体"/>
          <w:sz w:val="32"/>
          <w:szCs w:val="32"/>
          <w:lang w:bidi="ar"/>
        </w:rPr>
      </w:pPr>
      <w:r>
        <w:rPr>
          <w:rFonts w:ascii="Times New Roman" w:hAnsi="黑体" w:eastAsia="黑体"/>
          <w:bCs/>
          <w:sz w:val="32"/>
        </w:rPr>
        <w:t>一、财政决算情况</w:t>
      </w:r>
    </w:p>
    <w:p>
      <w:pPr>
        <w:spacing w:line="600" w:lineRule="exact"/>
        <w:ind w:firstLine="643" w:firstLineChars="200"/>
        <w:rPr>
          <w:rFonts w:ascii="Times New Roman" w:hAnsi="Times New Roman" w:eastAsia="仿宋_GB2312"/>
          <w:b/>
          <w:sz w:val="32"/>
          <w:highlight w:val="yellow"/>
        </w:rPr>
      </w:pPr>
      <w:r>
        <w:rPr>
          <w:rFonts w:ascii="Times New Roman" w:hAnsi="Times New Roman" w:eastAsia="楷体_GB2312"/>
          <w:b/>
          <w:sz w:val="32"/>
          <w:szCs w:val="32"/>
          <w:highlight w:val="none"/>
          <w:lang w:bidi="ar"/>
        </w:rPr>
        <w:t>（一）一般公共预算收支决算情况。</w:t>
      </w:r>
      <w:r>
        <w:rPr>
          <w:rFonts w:ascii="Times New Roman" w:hAnsi="Times New Roman" w:eastAsia="仿宋_GB2312"/>
          <w:sz w:val="32"/>
          <w:szCs w:val="32"/>
          <w:highlight w:val="none"/>
          <w:lang w:bidi="ar"/>
        </w:rPr>
        <w:t>202</w:t>
      </w:r>
      <w:r>
        <w:rPr>
          <w:rFonts w:hint="eastAsia" w:ascii="Times New Roman" w:hAnsi="Times New Roman" w:eastAsia="仿宋_GB2312"/>
          <w:sz w:val="32"/>
          <w:szCs w:val="32"/>
          <w:highlight w:val="none"/>
          <w:lang w:val="en-US" w:eastAsia="zh-CN" w:bidi="ar"/>
        </w:rPr>
        <w:t>3</w:t>
      </w:r>
      <w:r>
        <w:rPr>
          <w:rFonts w:ascii="Times New Roman" w:hAnsi="Times New Roman" w:eastAsia="仿宋_GB2312"/>
          <w:sz w:val="32"/>
          <w:szCs w:val="32"/>
          <w:highlight w:val="none"/>
          <w:lang w:bidi="ar"/>
        </w:rPr>
        <w:t>年，全区地方一般公共预算收入实现</w:t>
      </w:r>
      <w:r>
        <w:rPr>
          <w:rFonts w:hint="eastAsia" w:ascii="Times New Roman" w:hAnsi="Times New Roman" w:eastAsia="仿宋_GB2312"/>
          <w:sz w:val="32"/>
          <w:szCs w:val="32"/>
          <w:highlight w:val="none"/>
          <w:lang w:val="en-US" w:eastAsia="zh-CN"/>
        </w:rPr>
        <w:t>48,635</w:t>
      </w:r>
      <w:r>
        <w:rPr>
          <w:rFonts w:ascii="Times New Roman" w:hAnsi="Times New Roman" w:eastAsia="仿宋_GB2312"/>
          <w:sz w:val="32"/>
          <w:szCs w:val="32"/>
          <w:highlight w:val="none"/>
          <w:lang w:bidi="ar"/>
        </w:rPr>
        <w:t>万元，完成调整预算的100.1%，同比增长</w:t>
      </w:r>
      <w:r>
        <w:rPr>
          <w:rFonts w:hint="eastAsia" w:ascii="Times New Roman" w:hAnsi="Times New Roman" w:eastAsia="仿宋_GB2312"/>
          <w:sz w:val="32"/>
          <w:szCs w:val="32"/>
          <w:highlight w:val="none"/>
          <w:lang w:val="en-US" w:eastAsia="zh-CN"/>
        </w:rPr>
        <w:t>10.12</w:t>
      </w:r>
      <w:r>
        <w:rPr>
          <w:rFonts w:ascii="Times New Roman" w:hAnsi="Times New Roman" w:eastAsia="仿宋_GB2312"/>
          <w:sz w:val="32"/>
          <w:szCs w:val="32"/>
          <w:highlight w:val="none"/>
        </w:rPr>
        <w:t>%</w:t>
      </w:r>
      <w:r>
        <w:rPr>
          <w:rFonts w:ascii="Times New Roman" w:hAnsi="Times New Roman" w:eastAsia="仿宋_GB2312"/>
          <w:sz w:val="32"/>
          <w:szCs w:val="32"/>
          <w:highlight w:val="none"/>
          <w:lang w:bidi="ar"/>
        </w:rPr>
        <w:t>。其中</w:t>
      </w:r>
      <w:r>
        <w:rPr>
          <w:rFonts w:hint="eastAsia" w:ascii="Times New Roman" w:hAnsi="Times New Roman" w:eastAsia="仿宋_GB2312"/>
          <w:sz w:val="32"/>
          <w:szCs w:val="32"/>
          <w:highlight w:val="none"/>
          <w:lang w:eastAsia="zh-CN" w:bidi="ar"/>
        </w:rPr>
        <w:t>，</w:t>
      </w:r>
      <w:r>
        <w:rPr>
          <w:rFonts w:ascii="Times New Roman" w:hAnsi="Times New Roman" w:eastAsia="仿宋_GB2312"/>
          <w:sz w:val="32"/>
          <w:szCs w:val="32"/>
          <w:highlight w:val="none"/>
          <w:lang w:bidi="ar"/>
        </w:rPr>
        <w:t>税收收入</w:t>
      </w:r>
      <w:r>
        <w:rPr>
          <w:rFonts w:hint="eastAsia" w:ascii="Times New Roman" w:hAnsi="Times New Roman" w:eastAsia="仿宋_GB2312"/>
          <w:sz w:val="32"/>
          <w:szCs w:val="32"/>
          <w:highlight w:val="none"/>
          <w:lang w:val="en-US" w:eastAsia="zh-CN" w:bidi="ar"/>
        </w:rPr>
        <w:t>25,473</w:t>
      </w:r>
      <w:r>
        <w:rPr>
          <w:rFonts w:ascii="Times New Roman" w:hAnsi="Times New Roman" w:eastAsia="仿宋_GB2312"/>
          <w:sz w:val="32"/>
          <w:szCs w:val="32"/>
          <w:highlight w:val="none"/>
          <w:lang w:bidi="ar"/>
        </w:rPr>
        <w:t>万元，完成调整预算的</w:t>
      </w:r>
      <w:r>
        <w:rPr>
          <w:rFonts w:hint="eastAsia" w:ascii="Times New Roman" w:hAnsi="Times New Roman" w:eastAsia="仿宋_GB2312"/>
          <w:sz w:val="32"/>
          <w:szCs w:val="32"/>
          <w:highlight w:val="none"/>
          <w:lang w:val="en-US" w:eastAsia="zh-CN" w:bidi="ar"/>
        </w:rPr>
        <w:t>100.29</w:t>
      </w:r>
      <w:r>
        <w:rPr>
          <w:rFonts w:ascii="Times New Roman" w:hAnsi="Times New Roman" w:eastAsia="仿宋_GB2312"/>
          <w:sz w:val="32"/>
          <w:szCs w:val="32"/>
          <w:highlight w:val="none"/>
          <w:lang w:bidi="ar"/>
        </w:rPr>
        <w:t>%，同比增长</w:t>
      </w:r>
      <w:r>
        <w:rPr>
          <w:rFonts w:hint="eastAsia" w:ascii="Times New Roman" w:hAnsi="Times New Roman" w:eastAsia="仿宋_GB2312"/>
          <w:sz w:val="32"/>
          <w:szCs w:val="32"/>
          <w:highlight w:val="none"/>
          <w:lang w:val="en-US" w:eastAsia="zh-CN" w:bidi="ar"/>
        </w:rPr>
        <w:t>0.34</w:t>
      </w:r>
      <w:r>
        <w:rPr>
          <w:rFonts w:ascii="Times New Roman" w:hAnsi="Times New Roman" w:eastAsia="仿宋_GB2312"/>
          <w:sz w:val="32"/>
          <w:szCs w:val="32"/>
          <w:highlight w:val="none"/>
          <w:lang w:bidi="ar"/>
        </w:rPr>
        <w:t>%，税收占比为</w:t>
      </w:r>
      <w:r>
        <w:rPr>
          <w:rFonts w:hint="eastAsia" w:ascii="Times New Roman" w:hAnsi="Times New Roman" w:eastAsia="仿宋_GB2312"/>
          <w:sz w:val="32"/>
          <w:szCs w:val="32"/>
          <w:highlight w:val="none"/>
          <w:lang w:val="en-US" w:eastAsia="zh-CN" w:bidi="ar"/>
        </w:rPr>
        <w:t>52.38</w:t>
      </w:r>
      <w:r>
        <w:rPr>
          <w:rFonts w:ascii="Times New Roman" w:hAnsi="Times New Roman" w:eastAsia="仿宋_GB2312"/>
          <w:sz w:val="32"/>
          <w:szCs w:val="32"/>
          <w:highlight w:val="none"/>
          <w:lang w:bidi="ar"/>
        </w:rPr>
        <w:t>%；非税收入</w:t>
      </w:r>
      <w:r>
        <w:rPr>
          <w:rFonts w:hint="eastAsia" w:ascii="Times New Roman" w:hAnsi="Times New Roman" w:eastAsia="仿宋_GB2312"/>
          <w:sz w:val="32"/>
          <w:szCs w:val="32"/>
          <w:highlight w:val="none"/>
          <w:lang w:val="en-US" w:eastAsia="zh-CN" w:bidi="ar"/>
        </w:rPr>
        <w:t>23,162</w:t>
      </w:r>
      <w:r>
        <w:rPr>
          <w:rFonts w:ascii="Times New Roman" w:hAnsi="Times New Roman" w:eastAsia="仿宋_GB2312"/>
          <w:sz w:val="32"/>
          <w:szCs w:val="32"/>
          <w:highlight w:val="none"/>
          <w:lang w:bidi="ar"/>
        </w:rPr>
        <w:t>万元，完成调整预算的</w:t>
      </w:r>
      <w:r>
        <w:rPr>
          <w:rFonts w:hint="eastAsia" w:ascii="Times New Roman" w:hAnsi="Times New Roman" w:eastAsia="仿宋_GB2312"/>
          <w:sz w:val="32"/>
          <w:szCs w:val="32"/>
          <w:highlight w:val="none"/>
          <w:lang w:val="en-US" w:eastAsia="zh-CN" w:bidi="ar"/>
        </w:rPr>
        <w:t>99.91</w:t>
      </w:r>
      <w:r>
        <w:rPr>
          <w:rFonts w:ascii="Times New Roman" w:hAnsi="Times New Roman" w:eastAsia="仿宋_GB2312"/>
          <w:sz w:val="32"/>
          <w:szCs w:val="32"/>
          <w:highlight w:val="none"/>
          <w:lang w:bidi="ar"/>
        </w:rPr>
        <w:t>%，同比增长</w:t>
      </w:r>
      <w:r>
        <w:rPr>
          <w:rFonts w:hint="eastAsia" w:ascii="Times New Roman" w:hAnsi="Times New Roman" w:eastAsia="仿宋_GB2312"/>
          <w:sz w:val="32"/>
          <w:szCs w:val="32"/>
          <w:highlight w:val="none"/>
          <w:lang w:val="en-US" w:eastAsia="zh-CN" w:bidi="ar"/>
        </w:rPr>
        <w:t>23.33</w:t>
      </w:r>
      <w:r>
        <w:rPr>
          <w:rFonts w:ascii="Times New Roman" w:hAnsi="Times New Roman" w:eastAsia="仿宋_GB2312"/>
          <w:sz w:val="32"/>
          <w:szCs w:val="32"/>
          <w:highlight w:val="none"/>
          <w:lang w:bidi="ar"/>
        </w:rPr>
        <w:t>%。全区一般公共预算支出实现</w:t>
      </w:r>
      <w:r>
        <w:rPr>
          <w:rFonts w:hint="eastAsia" w:ascii="Times New Roman" w:hAnsi="Times New Roman" w:eastAsia="仿宋_GB2312"/>
          <w:sz w:val="32"/>
          <w:szCs w:val="32"/>
          <w:highlight w:val="none"/>
          <w:lang w:val="en-US" w:eastAsia="zh-CN" w:bidi="ar"/>
        </w:rPr>
        <w:t>280,528</w:t>
      </w:r>
      <w:r>
        <w:rPr>
          <w:rFonts w:ascii="Times New Roman" w:hAnsi="Times New Roman" w:eastAsia="仿宋_GB2312"/>
          <w:sz w:val="32"/>
          <w:szCs w:val="32"/>
          <w:highlight w:val="none"/>
          <w:lang w:bidi="ar"/>
        </w:rPr>
        <w:t>万元，同比</w:t>
      </w:r>
      <w:r>
        <w:rPr>
          <w:rFonts w:hint="eastAsia" w:ascii="Times New Roman" w:hAnsi="Times New Roman" w:eastAsia="仿宋_GB2312"/>
          <w:sz w:val="32"/>
          <w:szCs w:val="32"/>
          <w:highlight w:val="none"/>
          <w:lang w:eastAsia="zh-CN" w:bidi="ar"/>
        </w:rPr>
        <w:t>减少</w:t>
      </w:r>
      <w:r>
        <w:rPr>
          <w:rFonts w:hint="eastAsia" w:ascii="Times New Roman" w:hAnsi="Times New Roman" w:eastAsia="仿宋_GB2312"/>
          <w:sz w:val="32"/>
          <w:szCs w:val="32"/>
          <w:highlight w:val="none"/>
          <w:lang w:val="en-US" w:eastAsia="zh-CN" w:bidi="ar"/>
        </w:rPr>
        <w:t>8.17</w:t>
      </w:r>
      <w:r>
        <w:rPr>
          <w:rFonts w:ascii="Times New Roman" w:hAnsi="Times New Roman" w:eastAsia="仿宋_GB2312"/>
          <w:sz w:val="32"/>
          <w:szCs w:val="32"/>
          <w:highlight w:val="none"/>
          <w:lang w:bidi="ar"/>
        </w:rPr>
        <w:t>%。本级收入</w:t>
      </w:r>
      <w:r>
        <w:rPr>
          <w:rFonts w:hint="eastAsia" w:ascii="Times New Roman" w:hAnsi="Times New Roman" w:eastAsia="仿宋_GB2312"/>
          <w:sz w:val="32"/>
          <w:szCs w:val="32"/>
          <w:highlight w:val="none"/>
          <w:lang w:val="en-US" w:eastAsia="zh-CN"/>
        </w:rPr>
        <w:t>48,635</w:t>
      </w:r>
      <w:r>
        <w:rPr>
          <w:rFonts w:ascii="Times New Roman" w:hAnsi="Times New Roman" w:eastAsia="仿宋_GB2312"/>
          <w:sz w:val="32"/>
          <w:szCs w:val="32"/>
          <w:highlight w:val="none"/>
          <w:lang w:bidi="ar"/>
        </w:rPr>
        <w:t>万元，加上税收返还收入4,843万元，一般性转移支付补助收入</w:t>
      </w:r>
      <w:r>
        <w:rPr>
          <w:rFonts w:hint="eastAsia" w:ascii="Times New Roman" w:hAnsi="Times New Roman" w:eastAsia="仿宋_GB2312"/>
          <w:sz w:val="32"/>
          <w:szCs w:val="32"/>
          <w:highlight w:val="none"/>
          <w:lang w:val="en-US" w:eastAsia="zh-CN" w:bidi="ar"/>
        </w:rPr>
        <w:t>149,505</w:t>
      </w:r>
      <w:r>
        <w:rPr>
          <w:rFonts w:ascii="Times New Roman" w:hAnsi="Times New Roman" w:eastAsia="仿宋_GB2312"/>
          <w:sz w:val="32"/>
          <w:szCs w:val="32"/>
          <w:highlight w:val="none"/>
          <w:lang w:bidi="ar"/>
        </w:rPr>
        <w:t>万元，专项转移支付补助收入</w:t>
      </w:r>
      <w:r>
        <w:rPr>
          <w:rFonts w:hint="eastAsia" w:ascii="Times New Roman" w:hAnsi="Times New Roman" w:eastAsia="仿宋_GB2312"/>
          <w:sz w:val="32"/>
          <w:szCs w:val="32"/>
          <w:highlight w:val="none"/>
          <w:lang w:val="en-US" w:eastAsia="zh-CN" w:bidi="ar"/>
        </w:rPr>
        <w:t>25,632</w:t>
      </w:r>
      <w:r>
        <w:rPr>
          <w:rFonts w:ascii="Times New Roman" w:hAnsi="Times New Roman" w:eastAsia="仿宋_GB2312"/>
          <w:sz w:val="32"/>
          <w:szCs w:val="32"/>
          <w:highlight w:val="none"/>
          <w:lang w:bidi="ar"/>
        </w:rPr>
        <w:t>万元，地方政府一般债务转贷收入</w:t>
      </w:r>
      <w:r>
        <w:rPr>
          <w:rFonts w:hint="eastAsia" w:ascii="Times New Roman" w:hAnsi="Times New Roman" w:eastAsia="仿宋_GB2312"/>
          <w:sz w:val="32"/>
          <w:szCs w:val="32"/>
          <w:highlight w:val="none"/>
          <w:lang w:val="en-US" w:eastAsia="zh-CN" w:bidi="ar"/>
        </w:rPr>
        <w:t>45,163</w:t>
      </w:r>
      <w:r>
        <w:rPr>
          <w:rFonts w:ascii="Times New Roman" w:hAnsi="Times New Roman" w:eastAsia="仿宋_GB2312"/>
          <w:sz w:val="32"/>
          <w:szCs w:val="32"/>
          <w:highlight w:val="none"/>
          <w:lang w:bidi="ar"/>
        </w:rPr>
        <w:t>万元，调入资金</w:t>
      </w:r>
      <w:r>
        <w:rPr>
          <w:rFonts w:hint="eastAsia" w:ascii="Times New Roman" w:hAnsi="Times New Roman" w:eastAsia="仿宋_GB2312"/>
          <w:sz w:val="32"/>
          <w:szCs w:val="32"/>
          <w:highlight w:val="none"/>
          <w:lang w:val="en-US" w:eastAsia="zh-CN" w:bidi="ar"/>
        </w:rPr>
        <w:t>78,694</w:t>
      </w:r>
      <w:r>
        <w:rPr>
          <w:rFonts w:ascii="Times New Roman" w:hAnsi="Times New Roman" w:eastAsia="仿宋_GB2312"/>
          <w:sz w:val="32"/>
          <w:szCs w:val="32"/>
          <w:highlight w:val="none"/>
          <w:lang w:bidi="ar"/>
        </w:rPr>
        <w:t>万元，动用预算稳定调节基金</w:t>
      </w:r>
      <w:r>
        <w:rPr>
          <w:rFonts w:hint="eastAsia" w:ascii="Times New Roman" w:hAnsi="Times New Roman" w:eastAsia="仿宋_GB2312"/>
          <w:sz w:val="32"/>
          <w:szCs w:val="32"/>
          <w:highlight w:val="none"/>
          <w:lang w:val="en-US" w:eastAsia="zh-CN" w:bidi="ar"/>
        </w:rPr>
        <w:t>29,639</w:t>
      </w:r>
      <w:r>
        <w:rPr>
          <w:rFonts w:ascii="Times New Roman" w:hAnsi="Times New Roman" w:eastAsia="仿宋_GB2312"/>
          <w:sz w:val="32"/>
          <w:szCs w:val="32"/>
          <w:highlight w:val="none"/>
          <w:lang w:bidi="ar"/>
        </w:rPr>
        <w:t>万元，上年结余</w:t>
      </w:r>
      <w:r>
        <w:rPr>
          <w:rFonts w:hint="eastAsia" w:ascii="Times New Roman" w:hAnsi="Times New Roman" w:eastAsia="仿宋_GB2312"/>
          <w:sz w:val="32"/>
          <w:szCs w:val="32"/>
          <w:highlight w:val="none"/>
          <w:lang w:val="en-US" w:eastAsia="zh-CN" w:bidi="ar"/>
        </w:rPr>
        <w:t>66,549</w:t>
      </w:r>
      <w:r>
        <w:rPr>
          <w:rFonts w:ascii="Times New Roman" w:hAnsi="Times New Roman" w:eastAsia="仿宋_GB2312"/>
          <w:sz w:val="32"/>
          <w:szCs w:val="32"/>
          <w:highlight w:val="none"/>
          <w:lang w:bidi="ar"/>
        </w:rPr>
        <w:t>万元，全年总收入</w:t>
      </w:r>
      <w:r>
        <w:rPr>
          <w:rFonts w:hint="eastAsia" w:ascii="Times New Roman" w:hAnsi="Times New Roman" w:eastAsia="仿宋_GB2312"/>
          <w:sz w:val="32"/>
          <w:szCs w:val="32"/>
          <w:highlight w:val="none"/>
          <w:lang w:val="en-US" w:eastAsia="zh-CN" w:bidi="ar"/>
        </w:rPr>
        <w:t>448,660</w:t>
      </w:r>
      <w:r>
        <w:rPr>
          <w:rFonts w:ascii="Times New Roman" w:hAnsi="Times New Roman" w:eastAsia="仿宋_GB2312"/>
          <w:sz w:val="32"/>
          <w:szCs w:val="32"/>
          <w:highlight w:val="none"/>
          <w:lang w:bidi="ar"/>
        </w:rPr>
        <w:t>万元。总收入减去当年一般公共预算支出</w:t>
      </w:r>
      <w:r>
        <w:rPr>
          <w:rFonts w:hint="eastAsia" w:ascii="Times New Roman" w:hAnsi="Times New Roman" w:eastAsia="仿宋_GB2312"/>
          <w:sz w:val="32"/>
          <w:szCs w:val="32"/>
          <w:highlight w:val="none"/>
          <w:lang w:val="en-US" w:eastAsia="zh-CN" w:bidi="ar"/>
        </w:rPr>
        <w:t>280,528</w:t>
      </w:r>
      <w:r>
        <w:rPr>
          <w:rFonts w:ascii="Times New Roman" w:hAnsi="Times New Roman" w:eastAsia="仿宋_GB2312"/>
          <w:sz w:val="32"/>
          <w:szCs w:val="32"/>
          <w:highlight w:val="none"/>
          <w:lang w:bidi="ar"/>
        </w:rPr>
        <w:t>万元，地方政府债券还本</w:t>
      </w:r>
      <w:r>
        <w:rPr>
          <w:rFonts w:hint="eastAsia" w:ascii="Times New Roman" w:hAnsi="Times New Roman" w:eastAsia="仿宋_GB2312"/>
          <w:sz w:val="32"/>
          <w:szCs w:val="32"/>
          <w:highlight w:val="none"/>
          <w:lang w:val="en-US" w:eastAsia="zh-CN" w:bidi="ar"/>
        </w:rPr>
        <w:t>39,062</w:t>
      </w:r>
      <w:r>
        <w:rPr>
          <w:rFonts w:ascii="Times New Roman" w:hAnsi="Times New Roman" w:eastAsia="仿宋_GB2312"/>
          <w:sz w:val="32"/>
          <w:szCs w:val="32"/>
          <w:highlight w:val="none"/>
          <w:lang w:bidi="ar"/>
        </w:rPr>
        <w:t>万元，上解支出</w:t>
      </w:r>
      <w:r>
        <w:rPr>
          <w:rFonts w:hint="eastAsia" w:ascii="Times New Roman" w:hAnsi="Times New Roman" w:eastAsia="仿宋_GB2312"/>
          <w:sz w:val="32"/>
          <w:szCs w:val="32"/>
          <w:highlight w:val="none"/>
          <w:lang w:val="en-US" w:eastAsia="zh-CN" w:bidi="ar"/>
        </w:rPr>
        <w:t>10,143</w:t>
      </w:r>
      <w:r>
        <w:rPr>
          <w:rFonts w:ascii="Times New Roman" w:hAnsi="Times New Roman" w:eastAsia="仿宋_GB2312"/>
          <w:sz w:val="32"/>
          <w:szCs w:val="32"/>
          <w:highlight w:val="none"/>
          <w:lang w:bidi="ar"/>
        </w:rPr>
        <w:t>万元，安排预算稳定调节基金</w:t>
      </w:r>
      <w:r>
        <w:rPr>
          <w:rFonts w:hint="eastAsia" w:ascii="Times New Roman" w:hAnsi="Times New Roman" w:eastAsia="仿宋_GB2312"/>
          <w:sz w:val="32"/>
          <w:szCs w:val="32"/>
          <w:highlight w:val="none"/>
          <w:lang w:val="en-US" w:eastAsia="zh-CN" w:bidi="ar"/>
        </w:rPr>
        <w:t>64,156</w:t>
      </w:r>
      <w:r>
        <w:rPr>
          <w:rFonts w:ascii="Times New Roman" w:hAnsi="Times New Roman" w:eastAsia="仿宋_GB2312"/>
          <w:sz w:val="32"/>
          <w:szCs w:val="32"/>
          <w:highlight w:val="none"/>
          <w:lang w:bidi="ar"/>
        </w:rPr>
        <w:t>万元，结转下年支出</w:t>
      </w:r>
      <w:r>
        <w:rPr>
          <w:rFonts w:hint="eastAsia" w:ascii="Times New Roman" w:hAnsi="Times New Roman" w:eastAsia="仿宋_GB2312"/>
          <w:sz w:val="32"/>
          <w:szCs w:val="32"/>
          <w:highlight w:val="none"/>
          <w:lang w:val="en-US" w:eastAsia="zh-CN" w:bidi="ar"/>
        </w:rPr>
        <w:t>54,771</w:t>
      </w:r>
      <w:r>
        <w:rPr>
          <w:rFonts w:ascii="Times New Roman" w:hAnsi="Times New Roman" w:eastAsia="仿宋_GB2312"/>
          <w:sz w:val="32"/>
          <w:szCs w:val="32"/>
          <w:highlight w:val="none"/>
          <w:lang w:bidi="ar"/>
        </w:rPr>
        <w:t>万元，实现收支平衡。</w:t>
      </w:r>
    </w:p>
    <w:p>
      <w:pPr>
        <w:spacing w:line="600" w:lineRule="exact"/>
        <w:ind w:firstLine="643" w:firstLineChars="200"/>
        <w:rPr>
          <w:rFonts w:ascii="Times New Roman" w:hAnsi="Times New Roman" w:eastAsia="仿宋_GB2312"/>
          <w:b/>
          <w:sz w:val="32"/>
          <w:highlight w:val="yellow"/>
        </w:rPr>
      </w:pPr>
      <w:r>
        <w:rPr>
          <w:rFonts w:ascii="Times New Roman" w:hAnsi="Times New Roman" w:eastAsia="楷体_GB2312"/>
          <w:b/>
          <w:sz w:val="32"/>
          <w:szCs w:val="32"/>
          <w:highlight w:val="none"/>
          <w:lang w:bidi="ar"/>
        </w:rPr>
        <w:t>（二）政府性基金预算收支决算情况。</w:t>
      </w:r>
      <w:r>
        <w:rPr>
          <w:rFonts w:ascii="Times New Roman" w:hAnsi="Times New Roman" w:eastAsia="仿宋_GB2312"/>
          <w:sz w:val="32"/>
          <w:szCs w:val="32"/>
          <w:highlight w:val="none"/>
          <w:lang w:bidi="ar"/>
        </w:rPr>
        <w:t>202</w:t>
      </w:r>
      <w:r>
        <w:rPr>
          <w:rFonts w:hint="eastAsia" w:ascii="Times New Roman" w:hAnsi="Times New Roman" w:eastAsia="仿宋_GB2312"/>
          <w:sz w:val="32"/>
          <w:szCs w:val="32"/>
          <w:highlight w:val="none"/>
          <w:lang w:val="en-US" w:eastAsia="zh-CN" w:bidi="ar"/>
        </w:rPr>
        <w:t>3</w:t>
      </w:r>
      <w:r>
        <w:rPr>
          <w:rFonts w:ascii="Times New Roman" w:hAnsi="Times New Roman" w:eastAsia="仿宋_GB2312"/>
          <w:sz w:val="32"/>
          <w:szCs w:val="32"/>
          <w:highlight w:val="none"/>
          <w:lang w:bidi="ar"/>
        </w:rPr>
        <w:t>年，全区政府性基金预算收入实现</w:t>
      </w:r>
      <w:r>
        <w:rPr>
          <w:rFonts w:hint="eastAsia" w:ascii="Times New Roman" w:hAnsi="Times New Roman" w:eastAsia="仿宋_GB2312"/>
          <w:sz w:val="32"/>
          <w:szCs w:val="32"/>
          <w:highlight w:val="none"/>
          <w:lang w:val="en-US" w:eastAsia="zh-CN" w:bidi="ar"/>
        </w:rPr>
        <w:t>45,422</w:t>
      </w:r>
      <w:r>
        <w:rPr>
          <w:rFonts w:ascii="Times New Roman" w:hAnsi="Times New Roman" w:eastAsia="仿宋_GB2312"/>
          <w:sz w:val="32"/>
          <w:szCs w:val="32"/>
          <w:highlight w:val="none"/>
          <w:lang w:bidi="ar"/>
        </w:rPr>
        <w:t>万元，完成调整预算的</w:t>
      </w:r>
      <w:r>
        <w:rPr>
          <w:rFonts w:hint="eastAsia" w:ascii="Times New Roman" w:hAnsi="Times New Roman" w:eastAsia="仿宋_GB2312"/>
          <w:sz w:val="32"/>
          <w:szCs w:val="32"/>
          <w:highlight w:val="none"/>
          <w:lang w:val="en-US" w:eastAsia="zh-CN" w:bidi="ar"/>
        </w:rPr>
        <w:t>99.09</w:t>
      </w:r>
      <w:r>
        <w:rPr>
          <w:rFonts w:ascii="Times New Roman" w:hAnsi="Times New Roman" w:eastAsia="仿宋_GB2312"/>
          <w:sz w:val="32"/>
          <w:szCs w:val="32"/>
          <w:highlight w:val="none"/>
          <w:lang w:bidi="ar"/>
        </w:rPr>
        <w:t>%，同比下降</w:t>
      </w:r>
      <w:r>
        <w:rPr>
          <w:rFonts w:hint="eastAsia" w:ascii="Times New Roman" w:hAnsi="Times New Roman" w:eastAsia="仿宋_GB2312"/>
          <w:sz w:val="32"/>
          <w:szCs w:val="32"/>
          <w:highlight w:val="none"/>
          <w:lang w:val="en-US" w:eastAsia="zh-CN" w:bidi="ar"/>
        </w:rPr>
        <w:t>50.81</w:t>
      </w:r>
      <w:r>
        <w:rPr>
          <w:rFonts w:ascii="Times New Roman" w:hAnsi="Times New Roman" w:eastAsia="仿宋_GB2312"/>
          <w:sz w:val="32"/>
          <w:szCs w:val="32"/>
          <w:highlight w:val="none"/>
          <w:lang w:bidi="ar"/>
        </w:rPr>
        <w:t>%。全区政府性基金预算支出</w:t>
      </w:r>
      <w:r>
        <w:rPr>
          <w:rFonts w:hint="eastAsia" w:ascii="Times New Roman" w:hAnsi="Times New Roman" w:eastAsia="仿宋_GB2312"/>
          <w:sz w:val="32"/>
          <w:szCs w:val="32"/>
          <w:highlight w:val="none"/>
          <w:lang w:val="en-US" w:eastAsia="zh-CN" w:bidi="ar"/>
        </w:rPr>
        <w:t>138,429</w:t>
      </w:r>
      <w:r>
        <w:rPr>
          <w:rFonts w:ascii="Times New Roman" w:hAnsi="Times New Roman" w:eastAsia="仿宋_GB2312"/>
          <w:sz w:val="32"/>
          <w:szCs w:val="32"/>
          <w:highlight w:val="none"/>
          <w:lang w:bidi="ar"/>
        </w:rPr>
        <w:t>万元，同比</w:t>
      </w:r>
      <w:r>
        <w:rPr>
          <w:rFonts w:hint="eastAsia" w:ascii="Times New Roman" w:hAnsi="Times New Roman" w:eastAsia="仿宋_GB2312"/>
          <w:sz w:val="32"/>
          <w:szCs w:val="32"/>
          <w:highlight w:val="none"/>
          <w:lang w:eastAsia="zh-CN" w:bidi="ar"/>
        </w:rPr>
        <w:t>减少</w:t>
      </w:r>
      <w:r>
        <w:rPr>
          <w:rFonts w:hint="eastAsia" w:ascii="Times New Roman" w:hAnsi="Times New Roman" w:eastAsia="仿宋_GB2312"/>
          <w:sz w:val="32"/>
          <w:szCs w:val="32"/>
          <w:highlight w:val="none"/>
          <w:lang w:val="en-US" w:eastAsia="zh-CN" w:bidi="ar"/>
        </w:rPr>
        <w:t>39.55</w:t>
      </w:r>
      <w:r>
        <w:rPr>
          <w:rFonts w:ascii="Times New Roman" w:hAnsi="Times New Roman" w:eastAsia="仿宋_GB2312"/>
          <w:sz w:val="32"/>
          <w:szCs w:val="32"/>
          <w:highlight w:val="none"/>
          <w:lang w:bidi="ar"/>
        </w:rPr>
        <w:t>%。本级收入</w:t>
      </w:r>
      <w:r>
        <w:rPr>
          <w:rFonts w:hint="eastAsia" w:ascii="Times New Roman" w:hAnsi="Times New Roman" w:eastAsia="仿宋_GB2312"/>
          <w:sz w:val="32"/>
          <w:szCs w:val="32"/>
          <w:highlight w:val="none"/>
          <w:lang w:val="en-US" w:eastAsia="zh-CN" w:bidi="ar"/>
        </w:rPr>
        <w:t>45,422</w:t>
      </w:r>
      <w:r>
        <w:rPr>
          <w:rFonts w:ascii="Times New Roman" w:hAnsi="Times New Roman" w:eastAsia="仿宋_GB2312"/>
          <w:sz w:val="32"/>
          <w:szCs w:val="32"/>
          <w:highlight w:val="none"/>
          <w:lang w:bidi="ar"/>
        </w:rPr>
        <w:t>万元，加上上级补助收入</w:t>
      </w:r>
      <w:r>
        <w:rPr>
          <w:rFonts w:hint="eastAsia" w:ascii="Times New Roman" w:hAnsi="Times New Roman" w:eastAsia="仿宋_GB2312"/>
          <w:sz w:val="32"/>
          <w:szCs w:val="32"/>
          <w:highlight w:val="none"/>
          <w:lang w:val="en-US" w:eastAsia="zh-CN" w:bidi="ar"/>
        </w:rPr>
        <w:t>9,490</w:t>
      </w:r>
      <w:r>
        <w:rPr>
          <w:rFonts w:ascii="Times New Roman" w:hAnsi="Times New Roman" w:eastAsia="仿宋_GB2312"/>
          <w:sz w:val="32"/>
          <w:szCs w:val="32"/>
          <w:highlight w:val="none"/>
          <w:lang w:bidi="ar"/>
        </w:rPr>
        <w:t>万元，地方政府债券转贷收入</w:t>
      </w:r>
      <w:r>
        <w:rPr>
          <w:rFonts w:hint="eastAsia" w:ascii="Times New Roman" w:hAnsi="Times New Roman" w:eastAsia="仿宋_GB2312"/>
          <w:sz w:val="32"/>
          <w:szCs w:val="32"/>
          <w:highlight w:val="none"/>
          <w:lang w:val="en-US" w:eastAsia="zh-CN" w:bidi="ar"/>
        </w:rPr>
        <w:t>140,121</w:t>
      </w:r>
      <w:r>
        <w:rPr>
          <w:rFonts w:ascii="Times New Roman" w:hAnsi="Times New Roman" w:eastAsia="仿宋_GB2312"/>
          <w:sz w:val="32"/>
          <w:szCs w:val="32"/>
          <w:highlight w:val="none"/>
          <w:lang w:bidi="ar"/>
        </w:rPr>
        <w:t>万元，调入资金</w:t>
      </w:r>
      <w:r>
        <w:rPr>
          <w:rFonts w:hint="eastAsia" w:ascii="Times New Roman" w:hAnsi="Times New Roman" w:eastAsia="仿宋_GB2312"/>
          <w:sz w:val="32"/>
          <w:szCs w:val="32"/>
          <w:highlight w:val="none"/>
          <w:lang w:val="en-US" w:eastAsia="zh-CN" w:bidi="ar"/>
        </w:rPr>
        <w:t>13,318</w:t>
      </w:r>
      <w:r>
        <w:rPr>
          <w:rFonts w:ascii="Times New Roman" w:hAnsi="Times New Roman" w:eastAsia="仿宋_GB2312"/>
          <w:sz w:val="32"/>
          <w:szCs w:val="32"/>
          <w:highlight w:val="none"/>
          <w:lang w:bidi="ar"/>
        </w:rPr>
        <w:t>万元，上年结余</w:t>
      </w:r>
      <w:r>
        <w:rPr>
          <w:rFonts w:hint="eastAsia" w:ascii="Times New Roman" w:hAnsi="Times New Roman" w:eastAsia="仿宋_GB2312"/>
          <w:sz w:val="32"/>
          <w:szCs w:val="32"/>
          <w:highlight w:val="none"/>
          <w:lang w:val="en-US" w:eastAsia="zh-CN" w:bidi="ar"/>
        </w:rPr>
        <w:t>12,953</w:t>
      </w:r>
      <w:r>
        <w:rPr>
          <w:rFonts w:ascii="Times New Roman" w:hAnsi="Times New Roman" w:eastAsia="仿宋_GB2312"/>
          <w:sz w:val="32"/>
          <w:szCs w:val="32"/>
          <w:highlight w:val="none"/>
          <w:lang w:bidi="ar"/>
        </w:rPr>
        <w:t>万元，全年总收入</w:t>
      </w:r>
      <w:r>
        <w:rPr>
          <w:rFonts w:hint="eastAsia" w:ascii="Times New Roman" w:hAnsi="Times New Roman" w:eastAsia="仿宋_GB2312"/>
          <w:sz w:val="32"/>
          <w:szCs w:val="32"/>
          <w:highlight w:val="none"/>
          <w:lang w:val="en-US" w:eastAsia="zh-CN" w:bidi="ar"/>
        </w:rPr>
        <w:t>221,304</w:t>
      </w:r>
      <w:r>
        <w:rPr>
          <w:rFonts w:ascii="Times New Roman" w:hAnsi="Times New Roman" w:eastAsia="仿宋_GB2312"/>
          <w:sz w:val="32"/>
          <w:szCs w:val="32"/>
          <w:highlight w:val="none"/>
          <w:lang w:bidi="ar"/>
        </w:rPr>
        <w:t>万元。总收入减去当年支出</w:t>
      </w:r>
      <w:r>
        <w:rPr>
          <w:rFonts w:hint="eastAsia" w:ascii="Times New Roman" w:hAnsi="Times New Roman" w:eastAsia="仿宋_GB2312"/>
          <w:sz w:val="32"/>
          <w:szCs w:val="32"/>
          <w:highlight w:val="none"/>
          <w:lang w:val="en-US" w:eastAsia="zh-CN" w:bidi="ar"/>
        </w:rPr>
        <w:t>138,429</w:t>
      </w:r>
      <w:r>
        <w:rPr>
          <w:rFonts w:ascii="Times New Roman" w:hAnsi="Times New Roman" w:eastAsia="仿宋_GB2312"/>
          <w:sz w:val="32"/>
          <w:szCs w:val="32"/>
          <w:highlight w:val="none"/>
          <w:lang w:bidi="ar"/>
        </w:rPr>
        <w:t>万元，地方政府债券还本</w:t>
      </w:r>
      <w:r>
        <w:rPr>
          <w:rFonts w:hint="eastAsia" w:ascii="Times New Roman" w:hAnsi="Times New Roman" w:eastAsia="仿宋_GB2312"/>
          <w:sz w:val="32"/>
          <w:szCs w:val="32"/>
          <w:highlight w:val="none"/>
          <w:lang w:val="en-US" w:eastAsia="zh-CN" w:bidi="ar"/>
        </w:rPr>
        <w:t>27,021</w:t>
      </w:r>
      <w:r>
        <w:rPr>
          <w:rFonts w:ascii="Times New Roman" w:hAnsi="Times New Roman" w:eastAsia="仿宋_GB2312"/>
          <w:sz w:val="32"/>
          <w:szCs w:val="32"/>
          <w:highlight w:val="none"/>
          <w:lang w:bidi="ar"/>
        </w:rPr>
        <w:t>万元，调出资金</w:t>
      </w:r>
      <w:r>
        <w:rPr>
          <w:rFonts w:hint="eastAsia" w:ascii="Times New Roman" w:hAnsi="Times New Roman" w:eastAsia="仿宋_GB2312"/>
          <w:sz w:val="32"/>
          <w:szCs w:val="32"/>
          <w:highlight w:val="none"/>
          <w:lang w:val="en-US" w:eastAsia="zh-CN" w:bidi="ar"/>
        </w:rPr>
        <w:t>43,577</w:t>
      </w:r>
      <w:r>
        <w:rPr>
          <w:rFonts w:ascii="Times New Roman" w:hAnsi="Times New Roman" w:eastAsia="仿宋_GB2312"/>
          <w:sz w:val="32"/>
          <w:szCs w:val="32"/>
          <w:highlight w:val="none"/>
          <w:lang w:bidi="ar"/>
        </w:rPr>
        <w:t>万元，结转下年支出</w:t>
      </w:r>
      <w:r>
        <w:rPr>
          <w:rFonts w:hint="eastAsia" w:ascii="Times New Roman" w:hAnsi="Times New Roman" w:eastAsia="仿宋_GB2312"/>
          <w:sz w:val="32"/>
          <w:szCs w:val="32"/>
          <w:highlight w:val="none"/>
          <w:lang w:val="en-US" w:eastAsia="zh-CN" w:bidi="ar"/>
        </w:rPr>
        <w:t>12,277</w:t>
      </w:r>
      <w:r>
        <w:rPr>
          <w:rFonts w:ascii="Times New Roman" w:hAnsi="Times New Roman" w:eastAsia="仿宋_GB2312"/>
          <w:sz w:val="32"/>
          <w:szCs w:val="32"/>
          <w:highlight w:val="none"/>
          <w:lang w:bidi="ar"/>
        </w:rPr>
        <w:t>万元，实现收支平衡。</w:t>
      </w:r>
    </w:p>
    <w:p>
      <w:pPr>
        <w:spacing w:line="600" w:lineRule="exact"/>
        <w:ind w:firstLine="643" w:firstLineChars="200"/>
        <w:rPr>
          <w:rFonts w:ascii="Times New Roman" w:hAnsi="Times New Roman" w:eastAsia="仿宋_GB2312"/>
          <w:sz w:val="32"/>
          <w:szCs w:val="32"/>
          <w:highlight w:val="none"/>
          <w:lang w:bidi="ar"/>
        </w:rPr>
      </w:pPr>
      <w:r>
        <w:rPr>
          <w:rFonts w:ascii="Times New Roman" w:hAnsi="Times New Roman" w:eastAsia="楷体_GB2312"/>
          <w:b/>
          <w:sz w:val="32"/>
          <w:szCs w:val="32"/>
          <w:highlight w:val="none"/>
          <w:lang w:bidi="ar"/>
        </w:rPr>
        <w:t>（三）国有资本经营预算收支决算情况。</w:t>
      </w:r>
      <w:r>
        <w:rPr>
          <w:rFonts w:ascii="Times New Roman" w:hAnsi="Times New Roman" w:eastAsia="仿宋_GB2312"/>
          <w:sz w:val="32"/>
          <w:szCs w:val="32"/>
          <w:highlight w:val="none"/>
          <w:lang w:bidi="ar"/>
        </w:rPr>
        <w:t>202</w:t>
      </w:r>
      <w:r>
        <w:rPr>
          <w:rFonts w:hint="eastAsia" w:ascii="Times New Roman" w:hAnsi="Times New Roman" w:eastAsia="仿宋_GB2312"/>
          <w:sz w:val="32"/>
          <w:szCs w:val="32"/>
          <w:highlight w:val="none"/>
          <w:lang w:val="en-US" w:eastAsia="zh-CN" w:bidi="ar"/>
        </w:rPr>
        <w:t>3</w:t>
      </w:r>
      <w:r>
        <w:rPr>
          <w:rFonts w:ascii="Times New Roman" w:hAnsi="Times New Roman" w:eastAsia="仿宋_GB2312"/>
          <w:sz w:val="32"/>
          <w:szCs w:val="32"/>
          <w:highlight w:val="none"/>
          <w:lang w:bidi="ar"/>
        </w:rPr>
        <w:t>年，全区国有资本经营预算实现收入</w:t>
      </w:r>
      <w:r>
        <w:rPr>
          <w:rFonts w:hint="eastAsia" w:ascii="Times New Roman" w:hAnsi="Times New Roman" w:eastAsia="仿宋_GB2312"/>
          <w:sz w:val="32"/>
          <w:szCs w:val="32"/>
          <w:highlight w:val="none"/>
          <w:lang w:val="en-US" w:eastAsia="zh-CN" w:bidi="ar"/>
        </w:rPr>
        <w:t>10,</w:t>
      </w:r>
      <w:r>
        <w:rPr>
          <w:rFonts w:ascii="Times New Roman" w:hAnsi="Times New Roman" w:eastAsia="仿宋_GB2312"/>
          <w:sz w:val="32"/>
          <w:szCs w:val="32"/>
          <w:highlight w:val="none"/>
          <w:lang w:bidi="ar"/>
        </w:rPr>
        <w:t>000万元，完成调整预算的100%。本级收入</w:t>
      </w:r>
      <w:r>
        <w:rPr>
          <w:rFonts w:hint="eastAsia" w:ascii="Times New Roman" w:hAnsi="Times New Roman" w:eastAsia="仿宋_GB2312"/>
          <w:sz w:val="32"/>
          <w:szCs w:val="32"/>
          <w:highlight w:val="none"/>
          <w:lang w:val="en-US" w:eastAsia="zh-CN" w:bidi="ar"/>
        </w:rPr>
        <w:t>10,0</w:t>
      </w:r>
      <w:r>
        <w:rPr>
          <w:rFonts w:ascii="Times New Roman" w:hAnsi="Times New Roman" w:eastAsia="仿宋_GB2312"/>
          <w:sz w:val="32"/>
          <w:szCs w:val="32"/>
          <w:highlight w:val="none"/>
          <w:lang w:bidi="ar"/>
        </w:rPr>
        <w:t>00万元，加上上级补助收入</w:t>
      </w:r>
      <w:r>
        <w:rPr>
          <w:rFonts w:hint="eastAsia" w:ascii="Times New Roman" w:hAnsi="Times New Roman" w:eastAsia="仿宋_GB2312"/>
          <w:sz w:val="32"/>
          <w:szCs w:val="32"/>
          <w:highlight w:val="none"/>
          <w:lang w:val="en-US" w:eastAsia="zh-CN" w:bidi="ar"/>
        </w:rPr>
        <w:t>74</w:t>
      </w:r>
      <w:r>
        <w:rPr>
          <w:rFonts w:ascii="Times New Roman" w:hAnsi="Times New Roman" w:eastAsia="仿宋_GB2312"/>
          <w:sz w:val="32"/>
          <w:szCs w:val="32"/>
          <w:highlight w:val="none"/>
          <w:lang w:bidi="ar"/>
        </w:rPr>
        <w:t>万元，</w:t>
      </w:r>
      <w:r>
        <w:rPr>
          <w:rFonts w:hint="eastAsia" w:ascii="Times New Roman" w:hAnsi="Times New Roman" w:eastAsia="仿宋_GB2312"/>
          <w:sz w:val="32"/>
          <w:szCs w:val="32"/>
          <w:highlight w:val="none"/>
          <w:lang w:eastAsia="zh-CN" w:bidi="ar"/>
        </w:rPr>
        <w:t>上年结转</w:t>
      </w:r>
      <w:r>
        <w:rPr>
          <w:rFonts w:hint="eastAsia" w:ascii="Times New Roman" w:hAnsi="Times New Roman" w:eastAsia="仿宋_GB2312"/>
          <w:sz w:val="32"/>
          <w:szCs w:val="32"/>
          <w:highlight w:val="none"/>
          <w:lang w:val="en-US" w:eastAsia="zh-CN" w:bidi="ar"/>
        </w:rPr>
        <w:t>76万元，</w:t>
      </w:r>
      <w:r>
        <w:rPr>
          <w:rFonts w:ascii="Times New Roman" w:hAnsi="Times New Roman" w:eastAsia="仿宋_GB2312"/>
          <w:sz w:val="32"/>
          <w:szCs w:val="32"/>
          <w:highlight w:val="none"/>
          <w:lang w:bidi="ar"/>
        </w:rPr>
        <w:t>全年总收入</w:t>
      </w:r>
      <w:r>
        <w:rPr>
          <w:rFonts w:hint="eastAsia" w:ascii="Times New Roman" w:hAnsi="Times New Roman" w:eastAsia="仿宋_GB2312"/>
          <w:sz w:val="32"/>
          <w:szCs w:val="32"/>
          <w:highlight w:val="none"/>
          <w:lang w:val="en-US" w:eastAsia="zh-CN" w:bidi="ar"/>
        </w:rPr>
        <w:t>10,150</w:t>
      </w:r>
      <w:r>
        <w:rPr>
          <w:rFonts w:ascii="Times New Roman" w:hAnsi="Times New Roman" w:eastAsia="仿宋_GB2312"/>
          <w:sz w:val="32"/>
          <w:szCs w:val="32"/>
          <w:highlight w:val="none"/>
          <w:lang w:bidi="ar"/>
        </w:rPr>
        <w:t>万元。总收入减去当年支出</w:t>
      </w:r>
      <w:r>
        <w:rPr>
          <w:rFonts w:hint="eastAsia" w:ascii="Times New Roman" w:hAnsi="Times New Roman" w:eastAsia="仿宋_GB2312"/>
          <w:sz w:val="32"/>
          <w:szCs w:val="32"/>
          <w:highlight w:val="none"/>
          <w:lang w:val="en-US" w:eastAsia="zh-CN" w:bidi="ar"/>
        </w:rPr>
        <w:t>89</w:t>
      </w:r>
      <w:r>
        <w:rPr>
          <w:rFonts w:ascii="Times New Roman" w:hAnsi="Times New Roman" w:eastAsia="仿宋_GB2312"/>
          <w:sz w:val="32"/>
          <w:szCs w:val="32"/>
          <w:highlight w:val="none"/>
          <w:lang w:bidi="ar"/>
        </w:rPr>
        <w:t>万元，调出资金</w:t>
      </w:r>
      <w:r>
        <w:rPr>
          <w:rFonts w:hint="eastAsia" w:ascii="Times New Roman" w:hAnsi="Times New Roman" w:eastAsia="仿宋_GB2312"/>
          <w:sz w:val="32"/>
          <w:szCs w:val="32"/>
          <w:highlight w:val="none"/>
          <w:lang w:val="en-US" w:eastAsia="zh-CN" w:bidi="ar"/>
        </w:rPr>
        <w:t>10,000</w:t>
      </w:r>
      <w:r>
        <w:rPr>
          <w:rFonts w:ascii="Times New Roman" w:hAnsi="Times New Roman" w:eastAsia="仿宋_GB2312"/>
          <w:sz w:val="32"/>
          <w:szCs w:val="32"/>
          <w:highlight w:val="none"/>
          <w:lang w:bidi="ar"/>
        </w:rPr>
        <w:t>万元，结转下年支出</w:t>
      </w:r>
      <w:r>
        <w:rPr>
          <w:rFonts w:hint="eastAsia" w:ascii="Times New Roman" w:hAnsi="Times New Roman" w:eastAsia="仿宋_GB2312"/>
          <w:sz w:val="32"/>
          <w:szCs w:val="32"/>
          <w:highlight w:val="none"/>
          <w:lang w:val="en-US" w:eastAsia="zh-CN" w:bidi="ar"/>
        </w:rPr>
        <w:t>61</w:t>
      </w:r>
      <w:r>
        <w:rPr>
          <w:rFonts w:ascii="Times New Roman" w:hAnsi="Times New Roman" w:eastAsia="仿宋_GB2312"/>
          <w:sz w:val="32"/>
          <w:szCs w:val="32"/>
          <w:highlight w:val="none"/>
          <w:lang w:bidi="ar"/>
        </w:rPr>
        <w:t>万元，实现收支平衡。</w:t>
      </w:r>
    </w:p>
    <w:p>
      <w:pPr>
        <w:spacing w:line="600" w:lineRule="exact"/>
        <w:ind w:firstLine="640" w:firstLineChars="200"/>
        <w:rPr>
          <w:rFonts w:ascii="Times New Roman" w:hAnsi="Times New Roman" w:eastAsia="仿宋_GB2312"/>
          <w:b/>
          <w:sz w:val="32"/>
          <w:szCs w:val="32"/>
          <w:highlight w:val="none"/>
          <w:lang w:bidi="ar"/>
        </w:rPr>
      </w:pPr>
      <w:r>
        <w:rPr>
          <w:rFonts w:ascii="Times New Roman" w:hAnsi="黑体" w:eastAsia="黑体"/>
          <w:bCs/>
          <w:sz w:val="32"/>
          <w:highlight w:val="none"/>
        </w:rPr>
        <w:t>二、地方政府债务情况</w:t>
      </w:r>
    </w:p>
    <w:p>
      <w:pPr>
        <w:spacing w:line="600" w:lineRule="exact"/>
        <w:ind w:firstLine="643" w:firstLineChars="200"/>
        <w:rPr>
          <w:rFonts w:hint="eastAsia" w:ascii="Times New Roman" w:hAnsi="Times New Roman" w:eastAsia="仿宋_GB2312" w:cs="Times New Roman"/>
          <w:sz w:val="32"/>
          <w:szCs w:val="32"/>
          <w:highlight w:val="none"/>
        </w:rPr>
      </w:pPr>
      <w:r>
        <w:rPr>
          <w:rFonts w:ascii="Times New Roman" w:hAnsi="Times New Roman" w:eastAsia="楷体_GB2312"/>
          <w:b/>
          <w:sz w:val="32"/>
          <w:szCs w:val="32"/>
          <w:highlight w:val="none"/>
          <w:lang w:bidi="ar"/>
        </w:rPr>
        <w:t>（一）政府债务余额情况。</w:t>
      </w:r>
      <w:r>
        <w:rPr>
          <w:rFonts w:hint="eastAsia" w:ascii="Times New Roman" w:hAnsi="Times New Roman" w:eastAsia="仿宋_GB2312" w:cs="Times New Roman"/>
          <w:sz w:val="32"/>
          <w:szCs w:val="32"/>
          <w:highlight w:val="none"/>
        </w:rPr>
        <w:t>2023年12月底，我区政府债务余额718,513.23万元，其中一般债务241</w:t>
      </w:r>
      <w:r>
        <w:rPr>
          <w:rFonts w:hint="eastAsia"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rPr>
        <w:t>059.94万元，专项债务477</w:t>
      </w:r>
      <w:r>
        <w:rPr>
          <w:rFonts w:hint="eastAsia"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rPr>
        <w:t>453.29万元。地方政府债务限额722,101.76万元，其中一般债务限额243,972万元、专项债务限额478,129.76万元。政府债务余额低于财政厅下达的债务限额3,588.53万元。</w:t>
      </w:r>
    </w:p>
    <w:p>
      <w:pPr>
        <w:spacing w:line="600" w:lineRule="exact"/>
        <w:ind w:firstLine="643" w:firstLineChars="200"/>
        <w:rPr>
          <w:rFonts w:ascii="宋体" w:hAnsi="宋体" w:eastAsia="宋体" w:cs="宋体"/>
          <w:sz w:val="24"/>
          <w:szCs w:val="24"/>
          <w:highlight w:val="none"/>
        </w:rPr>
      </w:pPr>
      <w:r>
        <w:rPr>
          <w:rFonts w:ascii="Times New Roman" w:hAnsi="Times New Roman" w:eastAsia="楷体_GB2312"/>
          <w:b/>
          <w:sz w:val="32"/>
          <w:szCs w:val="32"/>
          <w:highlight w:val="none"/>
          <w:lang w:bidi="ar"/>
        </w:rPr>
        <w:t>（二）资金使用管理情况。</w:t>
      </w:r>
      <w:r>
        <w:rPr>
          <w:rFonts w:hint="eastAsia" w:ascii="Times New Roman" w:hAnsi="Times New Roman" w:eastAsia="仿宋_GB2312" w:cs="Times New Roman"/>
          <w:sz w:val="32"/>
          <w:szCs w:val="32"/>
          <w:highlight w:val="none"/>
        </w:rPr>
        <w:t>2023年，我区通过财政厅代发地方政府债券185</w:t>
      </w:r>
      <w:r>
        <w:rPr>
          <w:rFonts w:hint="eastAsia"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rPr>
        <w:t>283.71万元，其中新增债券135</w:t>
      </w:r>
      <w:r>
        <w:rPr>
          <w:rFonts w:hint="eastAsia"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rPr>
        <w:t>748万元（一般债券13</w:t>
      </w:r>
      <w:r>
        <w:rPr>
          <w:rFonts w:hint="eastAsia"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rPr>
        <w:t>573万元、专项债券122</w:t>
      </w:r>
      <w:r>
        <w:rPr>
          <w:rFonts w:hint="eastAsia"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rPr>
        <w:t>175万元），再融资债券49</w:t>
      </w:r>
      <w:r>
        <w:rPr>
          <w:rFonts w:hint="eastAsia"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rPr>
        <w:t>535.71万元（债券的借新还旧不占用本年新增债务限额）。新增一般债券6</w:t>
      </w:r>
      <w:r>
        <w:rPr>
          <w:rFonts w:hint="eastAsia"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rPr>
        <w:t>148万元主要用于教育、医疗卫生、水利等项目；新增专项债券113</w:t>
      </w:r>
      <w:r>
        <w:rPr>
          <w:rFonts w:hint="eastAsia"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rPr>
        <w:t>100万元主要用于产业园区基础设施建设、老旧小区改造、供排水、公共卫生等建设项目。再融资债券49</w:t>
      </w:r>
      <w:r>
        <w:rPr>
          <w:rFonts w:hint="eastAsia"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rPr>
        <w:t>535.71万元全部用于偿还到期地方政府债券本金。</w:t>
      </w:r>
    </w:p>
    <w:p>
      <w:pPr>
        <w:spacing w:line="600" w:lineRule="exact"/>
        <w:ind w:firstLine="643" w:firstLineChars="200"/>
        <w:rPr>
          <w:rFonts w:ascii="Times New Roman" w:hAnsi="Times New Roman" w:eastAsia="仿宋_GB2312"/>
          <w:color w:val="auto"/>
          <w:sz w:val="32"/>
          <w:szCs w:val="32"/>
          <w:highlight w:val="none"/>
        </w:rPr>
      </w:pPr>
      <w:r>
        <w:rPr>
          <w:rFonts w:ascii="Times New Roman" w:hAnsi="Times New Roman" w:eastAsia="楷体_GB2312"/>
          <w:b/>
          <w:sz w:val="32"/>
          <w:szCs w:val="32"/>
          <w:highlight w:val="none"/>
          <w:lang w:bidi="ar"/>
        </w:rPr>
        <w:t>（三）债务风险管控情况。</w:t>
      </w:r>
      <w:r>
        <w:rPr>
          <w:rFonts w:hint="eastAsia" w:ascii="Times New Roman" w:hAnsi="Times New Roman" w:eastAsia="仿宋_GB2312" w:cs="Times New Roman"/>
          <w:color w:val="auto"/>
          <w:sz w:val="32"/>
          <w:szCs w:val="32"/>
          <w:highlight w:val="none"/>
        </w:rPr>
        <w:t>2023年，我区地方政府综合财力为430,960万元，政府法定债务率166.71%，债务风险等级为黄色（≥120%，＜200%）。我区</w:t>
      </w:r>
      <w:r>
        <w:rPr>
          <w:rFonts w:hint="eastAsia" w:ascii="Times New Roman" w:hAnsi="Times New Roman" w:eastAsia="仿宋_GB2312" w:cs="Times New Roman"/>
          <w:color w:val="auto"/>
          <w:sz w:val="32"/>
          <w:szCs w:val="32"/>
          <w:highlight w:val="none"/>
          <w:lang w:eastAsia="zh-CN"/>
        </w:rPr>
        <w:t>债务余额低于核定的地方政府债务限额，</w:t>
      </w:r>
      <w:r>
        <w:rPr>
          <w:rFonts w:hint="eastAsia" w:ascii="Times New Roman" w:hAnsi="Times New Roman" w:eastAsia="仿宋_GB2312" w:cs="Times New Roman"/>
          <w:color w:val="auto"/>
          <w:sz w:val="32"/>
          <w:szCs w:val="32"/>
          <w:highlight w:val="none"/>
        </w:rPr>
        <w:t>政府债务风险</w:t>
      </w:r>
      <w:r>
        <w:rPr>
          <w:rFonts w:hint="eastAsia" w:ascii="Times New Roman" w:hAnsi="Times New Roman" w:eastAsia="仿宋_GB2312" w:cs="Times New Roman"/>
          <w:color w:val="auto"/>
          <w:sz w:val="32"/>
          <w:szCs w:val="32"/>
          <w:highlight w:val="none"/>
          <w:lang w:eastAsia="zh-CN"/>
        </w:rPr>
        <w:t>总体</w:t>
      </w:r>
      <w:r>
        <w:rPr>
          <w:rFonts w:hint="eastAsia" w:ascii="Times New Roman" w:hAnsi="Times New Roman" w:eastAsia="仿宋_GB2312" w:cs="Times New Roman"/>
          <w:color w:val="auto"/>
          <w:sz w:val="32"/>
          <w:szCs w:val="32"/>
          <w:highlight w:val="none"/>
        </w:rPr>
        <w:t>可控。</w:t>
      </w:r>
    </w:p>
    <w:p>
      <w:pPr>
        <w:spacing w:line="600" w:lineRule="exact"/>
        <w:ind w:firstLine="640" w:firstLineChars="200"/>
        <w:rPr>
          <w:rFonts w:ascii="Times New Roman" w:hAnsi="Times New Roman" w:eastAsia="黑体"/>
          <w:bCs/>
          <w:sz w:val="32"/>
          <w:highlight w:val="none"/>
        </w:rPr>
      </w:pPr>
      <w:r>
        <w:rPr>
          <w:rFonts w:ascii="Times New Roman" w:hAnsi="黑体" w:eastAsia="黑体"/>
          <w:bCs/>
          <w:sz w:val="32"/>
          <w:highlight w:val="none"/>
        </w:rPr>
        <w:t>三、落实区人大预算决议及主要财政工作情况</w:t>
      </w:r>
    </w:p>
    <w:p>
      <w:pPr>
        <w:spacing w:line="600"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2023年，全区各部门认真贯彻落实《中华人民共和国预算法》《中华人民共和国预算法实施条例》《四川省预算审查监督条例》等有关规定，聚焦“222”奋斗目标，大力实施“六大对标跨越行动”，全力以赴拼经济、搞建设，严格落实区五届人大三次会议</w:t>
      </w:r>
      <w:r>
        <w:rPr>
          <w:rFonts w:hint="eastAsia" w:ascii="Times New Roman" w:hAnsi="Times New Roman" w:eastAsia="仿宋_GB2312"/>
          <w:sz w:val="32"/>
          <w:szCs w:val="32"/>
          <w:highlight w:val="none"/>
        </w:rPr>
        <w:t>各项</w:t>
      </w:r>
      <w:r>
        <w:rPr>
          <w:rFonts w:ascii="Times New Roman" w:hAnsi="Times New Roman" w:eastAsia="仿宋_GB2312"/>
          <w:sz w:val="32"/>
          <w:szCs w:val="32"/>
          <w:highlight w:val="none"/>
        </w:rPr>
        <w:t>决议</w:t>
      </w:r>
      <w:r>
        <w:rPr>
          <w:rFonts w:hint="eastAsia" w:ascii="Times New Roman" w:hAnsi="Times New Roman" w:eastAsia="仿宋_GB2312"/>
          <w:sz w:val="32"/>
          <w:szCs w:val="32"/>
          <w:highlight w:val="none"/>
        </w:rPr>
        <w:t>要求</w:t>
      </w:r>
      <w:r>
        <w:rPr>
          <w:rFonts w:ascii="Times New Roman" w:hAnsi="Times New Roman" w:eastAsia="仿宋_GB2312"/>
          <w:sz w:val="32"/>
          <w:szCs w:val="32"/>
          <w:highlight w:val="none"/>
        </w:rPr>
        <w:t>，主动接受人大代表监督指导，认真办理人大代表建议，积极听取并吸纳代表提出的意见，进一步强化财政管理，深化财税体制改革，统筹运用各种财政资源、政策工具，着力做好重点领域支出保障，为全区经济实现质的有效提升和量的合理增长提供了有力支撑。</w:t>
      </w:r>
    </w:p>
    <w:p>
      <w:pPr>
        <w:spacing w:line="600" w:lineRule="exact"/>
        <w:ind w:firstLine="643" w:firstLineChars="200"/>
        <w:rPr>
          <w:rFonts w:ascii="Times New Roman" w:hAnsi="Times New Roman" w:eastAsia="仿宋_GB2312"/>
          <w:sz w:val="32"/>
          <w:szCs w:val="32"/>
          <w:highlight w:val="none"/>
        </w:rPr>
      </w:pPr>
      <w:r>
        <w:rPr>
          <w:rFonts w:ascii="Times New Roman" w:hAnsi="Times New Roman" w:eastAsia="楷体_GB2312"/>
          <w:b/>
          <w:sz w:val="32"/>
          <w:szCs w:val="32"/>
          <w:highlight w:val="none"/>
        </w:rPr>
        <w:t>（一）强化“以政领财”意识，全力以赴拼经济。</w:t>
      </w:r>
      <w:r>
        <w:rPr>
          <w:rFonts w:ascii="Times New Roman" w:hAnsi="Times New Roman" w:eastAsia="仿宋_GB2312"/>
          <w:sz w:val="32"/>
          <w:szCs w:val="32"/>
          <w:highlight w:val="none"/>
        </w:rPr>
        <w:t>落实积极的财政政策，想方设法降低宏观经济下行、组合式减税降费政策等因素带来的影响，紧盯收入组织和财源建设，强化重点行业、重点税源、重点企业监管，财政收入平稳运行，全年全区地方一般公共预算收入完成</w:t>
      </w:r>
      <w:r>
        <w:rPr>
          <w:rFonts w:hint="eastAsia" w:ascii="Times New Roman" w:hAnsi="Times New Roman" w:eastAsia="仿宋_GB2312"/>
          <w:sz w:val="32"/>
          <w:szCs w:val="32"/>
          <w:highlight w:val="none"/>
          <w:lang w:val="en-US" w:eastAsia="zh-CN"/>
        </w:rPr>
        <w:t>48,635</w:t>
      </w:r>
      <w:r>
        <w:rPr>
          <w:rFonts w:ascii="Times New Roman" w:hAnsi="Times New Roman" w:eastAsia="仿宋_GB2312"/>
          <w:sz w:val="32"/>
          <w:szCs w:val="32"/>
          <w:highlight w:val="none"/>
        </w:rPr>
        <w:t>万元，同比增长</w:t>
      </w:r>
      <w:r>
        <w:rPr>
          <w:rFonts w:hint="eastAsia" w:ascii="Times New Roman" w:hAnsi="Times New Roman" w:eastAsia="仿宋_GB2312"/>
          <w:sz w:val="32"/>
          <w:szCs w:val="32"/>
          <w:highlight w:val="none"/>
        </w:rPr>
        <w:t>10.</w:t>
      </w:r>
      <w:r>
        <w:rPr>
          <w:rFonts w:hint="eastAsia" w:ascii="Times New Roman" w:hAnsi="Times New Roman" w:eastAsia="仿宋_GB2312"/>
          <w:sz w:val="32"/>
          <w:szCs w:val="32"/>
          <w:highlight w:val="none"/>
          <w:lang w:val="en-US" w:eastAsia="zh-CN"/>
        </w:rPr>
        <w:t>12</w:t>
      </w:r>
      <w:r>
        <w:rPr>
          <w:rFonts w:ascii="Times New Roman" w:hAnsi="Times New Roman" w:eastAsia="仿宋_GB2312"/>
          <w:sz w:val="32"/>
          <w:szCs w:val="32"/>
          <w:highlight w:val="none"/>
        </w:rPr>
        <w:t>%。持续打好财金政策资金组合拳，全年兑付企业各项扶持资金5,304万元，引导金融机构发放普惠小微贷款17,870万元，切实缓解企业生产经营困难，实现稳增长、稳就业、保供给。争取新增地方政府专项债券资金113,100万元，有力保障23个重大项目推进，有效发挥财政资金投资拉动作用，带动社会投资金额21,100万元。加大政府采购支持中小企业力度，增加中小企业合同规模，全年全区政府采购共授予中小企业合同金额</w:t>
      </w:r>
      <w:r>
        <w:rPr>
          <w:rFonts w:hint="eastAsia" w:ascii="Times New Roman" w:hAnsi="Times New Roman" w:eastAsia="仿宋_GB2312"/>
          <w:sz w:val="32"/>
          <w:szCs w:val="32"/>
          <w:highlight w:val="none"/>
        </w:rPr>
        <w:t>14,917</w:t>
      </w:r>
      <w:r>
        <w:rPr>
          <w:rFonts w:ascii="Times New Roman" w:hAnsi="Times New Roman" w:eastAsia="仿宋_GB2312"/>
          <w:sz w:val="32"/>
          <w:szCs w:val="32"/>
          <w:highlight w:val="none"/>
        </w:rPr>
        <w:t>万元，占合同总额的</w:t>
      </w:r>
      <w:r>
        <w:rPr>
          <w:rFonts w:hint="eastAsia" w:ascii="Times New Roman" w:hAnsi="Times New Roman" w:eastAsia="仿宋_GB2312"/>
          <w:sz w:val="32"/>
          <w:szCs w:val="32"/>
          <w:highlight w:val="none"/>
        </w:rPr>
        <w:t>80</w:t>
      </w:r>
      <w:r>
        <w:rPr>
          <w:rFonts w:ascii="Times New Roman" w:hAnsi="Times New Roman" w:eastAsia="仿宋_GB2312"/>
          <w:sz w:val="32"/>
          <w:szCs w:val="32"/>
          <w:highlight w:val="none"/>
        </w:rPr>
        <w:t>%。</w:t>
      </w:r>
    </w:p>
    <w:p>
      <w:pPr>
        <w:spacing w:line="600" w:lineRule="exact"/>
        <w:ind w:firstLine="643" w:firstLineChars="200"/>
        <w:rPr>
          <w:rFonts w:ascii="Times New Roman" w:hAnsi="Times New Roman" w:eastAsia="仿宋_GB2312"/>
          <w:sz w:val="32"/>
          <w:szCs w:val="32"/>
          <w:highlight w:val="none"/>
        </w:rPr>
      </w:pPr>
      <w:r>
        <w:rPr>
          <w:rFonts w:ascii="Times New Roman" w:hAnsi="Times New Roman" w:eastAsia="楷体_GB2312"/>
          <w:b/>
          <w:sz w:val="32"/>
          <w:szCs w:val="32"/>
          <w:highlight w:val="none"/>
        </w:rPr>
        <w:t>（二）树牢“以财辅政”理念，全力以赴保重点。</w:t>
      </w:r>
      <w:r>
        <w:rPr>
          <w:rFonts w:ascii="Times New Roman" w:hAnsi="Times New Roman" w:eastAsia="仿宋_GB2312"/>
          <w:sz w:val="32"/>
          <w:szCs w:val="32"/>
          <w:highlight w:val="none"/>
        </w:rPr>
        <w:t>深入把握国家和省上政策导向，找准与我区发展需求的契合点，主动汇报衔接，不失时机抓项目、争资金，全年向上争取无偿资金</w:t>
      </w:r>
      <w:r>
        <w:rPr>
          <w:rFonts w:hint="eastAsia" w:ascii="Times New Roman" w:hAnsi="Times New Roman" w:eastAsia="仿宋_GB2312"/>
          <w:sz w:val="32"/>
          <w:szCs w:val="32"/>
          <w:highlight w:val="none"/>
        </w:rPr>
        <w:t>24</w:t>
      </w:r>
      <w:r>
        <w:rPr>
          <w:rFonts w:hint="eastAsia" w:ascii="Times New Roman" w:hAnsi="Times New Roman" w:eastAsia="仿宋_GB2312"/>
          <w:sz w:val="32"/>
          <w:szCs w:val="32"/>
          <w:highlight w:val="none"/>
          <w:lang w:val="en-US" w:eastAsia="zh-CN"/>
        </w:rPr>
        <w:t>6</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t>501</w:t>
      </w:r>
      <w:r>
        <w:rPr>
          <w:rFonts w:ascii="Times New Roman" w:hAnsi="Times New Roman" w:eastAsia="仿宋_GB2312"/>
          <w:sz w:val="32"/>
          <w:szCs w:val="32"/>
          <w:highlight w:val="none"/>
        </w:rPr>
        <w:t>万元，为区委重大战略、重大部署、重大任务提供了坚实的财力支撑。推进现代化基础设施建设，投入12,953万元用于梓桐沟水库、城市燃气管道等老化更新改造、防灾减灾能力建设等重大项目建设。推进产业提质增效，投入1,713万元用于支持现代服务业体系整体提升。落实常态化盘活存量资金制度，结余资金及连续两年未用完的结转资金全部清理收回，全年盘活存量资金2,5</w:t>
      </w:r>
      <w:r>
        <w:rPr>
          <w:rFonts w:hint="eastAsia" w:ascii="Times New Roman" w:hAnsi="Times New Roman" w:eastAsia="仿宋_GB2312"/>
          <w:sz w:val="32"/>
          <w:szCs w:val="32"/>
          <w:highlight w:val="none"/>
        </w:rPr>
        <w:t>85</w:t>
      </w:r>
      <w:r>
        <w:rPr>
          <w:rFonts w:ascii="Times New Roman" w:hAnsi="Times New Roman" w:eastAsia="仿宋_GB2312"/>
          <w:sz w:val="32"/>
          <w:szCs w:val="32"/>
          <w:highlight w:val="none"/>
        </w:rPr>
        <w:t>万元，统筹用于“三保”支出及重要任务落实。</w:t>
      </w:r>
    </w:p>
    <w:p>
      <w:pPr>
        <w:spacing w:line="600" w:lineRule="exact"/>
        <w:ind w:firstLine="643" w:firstLineChars="200"/>
        <w:rPr>
          <w:rFonts w:ascii="Times New Roman" w:hAnsi="Times New Roman" w:eastAsia="仿宋_GB2312"/>
          <w:sz w:val="32"/>
          <w:szCs w:val="32"/>
          <w:highlight w:val="none"/>
        </w:rPr>
      </w:pPr>
      <w:r>
        <w:rPr>
          <w:rFonts w:ascii="Times New Roman" w:hAnsi="Times New Roman" w:eastAsia="楷体_GB2312"/>
          <w:b/>
          <w:sz w:val="32"/>
          <w:szCs w:val="32"/>
          <w:highlight w:val="none"/>
        </w:rPr>
        <w:t>（三）坚持“以人民为中心”</w:t>
      </w:r>
      <w:bookmarkStart w:id="0" w:name="_GoBack"/>
      <w:bookmarkEnd w:id="0"/>
      <w:r>
        <w:rPr>
          <w:rFonts w:ascii="Times New Roman" w:hAnsi="Times New Roman" w:eastAsia="楷体_GB2312"/>
          <w:b/>
          <w:sz w:val="32"/>
          <w:szCs w:val="32"/>
          <w:highlight w:val="none"/>
        </w:rPr>
        <w:t>思想，全力以赴为民生。</w:t>
      </w:r>
      <w:r>
        <w:rPr>
          <w:rFonts w:ascii="Times New Roman" w:hAnsi="Times New Roman" w:eastAsia="仿宋_GB2312"/>
          <w:sz w:val="32"/>
          <w:szCs w:val="32"/>
          <w:highlight w:val="none"/>
        </w:rPr>
        <w:t>始终把民生支出作为财政保障的重中之重，全力推动各项民生政策落地落实，加大财政民生投入，新增财力优先保障各类民生政策性支出，全年投入</w:t>
      </w:r>
      <w:r>
        <w:rPr>
          <w:rFonts w:hint="eastAsia" w:ascii="Times New Roman" w:hAnsi="Times New Roman" w:eastAsia="仿宋_GB2312"/>
          <w:sz w:val="32"/>
          <w:szCs w:val="32"/>
          <w:highlight w:val="none"/>
        </w:rPr>
        <w:t>20</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329</w:t>
      </w:r>
      <w:r>
        <w:rPr>
          <w:rFonts w:ascii="Times New Roman" w:hAnsi="Times New Roman" w:eastAsia="仿宋_GB2312"/>
          <w:sz w:val="32"/>
          <w:szCs w:val="32"/>
          <w:highlight w:val="none"/>
        </w:rPr>
        <w:t>万元继续实施</w:t>
      </w:r>
      <w:r>
        <w:rPr>
          <w:rFonts w:hint="eastAsia" w:ascii="Times New Roman" w:hAnsi="Times New Roman" w:eastAsia="仿宋_GB2312"/>
          <w:sz w:val="32"/>
          <w:szCs w:val="32"/>
          <w:highlight w:val="none"/>
          <w:lang w:val="en-US" w:eastAsia="zh-CN"/>
        </w:rPr>
        <w:t>26</w:t>
      </w:r>
      <w:r>
        <w:rPr>
          <w:rFonts w:ascii="Times New Roman" w:hAnsi="Times New Roman" w:eastAsia="仿宋_GB2312"/>
          <w:sz w:val="32"/>
          <w:szCs w:val="32"/>
          <w:highlight w:val="none"/>
        </w:rPr>
        <w:t>件民生实事。持续推进脱贫攻坚成果与乡村振兴有效衔接，全年投入32,707万元，统筹整合涉农资金42,107万元。纵深推进优质均衡教育，全年投入54</w:t>
      </w:r>
      <w:r>
        <w:rPr>
          <w:rFonts w:hint="eastAsia" w:ascii="Times New Roman" w:hAnsi="Times New Roman" w:eastAsia="仿宋_GB2312"/>
          <w:sz w:val="32"/>
          <w:szCs w:val="32"/>
          <w:highlight w:val="none"/>
        </w:rPr>
        <w:t>,</w:t>
      </w:r>
      <w:r>
        <w:rPr>
          <w:rFonts w:ascii="Times New Roman" w:hAnsi="Times New Roman" w:eastAsia="仿宋_GB2312"/>
          <w:sz w:val="32"/>
          <w:szCs w:val="32"/>
          <w:highlight w:val="none"/>
        </w:rPr>
        <w:t>966万元，新（改、扩）建城乡公办幼儿园4所、义务教育学校2所、购买民办小学学位1所，新增义务教育公办学位3,000个。推动旅游业提质增效，全年投入资金4</w:t>
      </w:r>
      <w:r>
        <w:rPr>
          <w:rFonts w:hint="eastAsia" w:ascii="Times New Roman" w:hAnsi="Times New Roman" w:eastAsia="仿宋_GB2312"/>
          <w:sz w:val="32"/>
          <w:szCs w:val="32"/>
          <w:highlight w:val="none"/>
        </w:rPr>
        <w:t>,</w:t>
      </w:r>
      <w:r>
        <w:rPr>
          <w:rFonts w:ascii="Times New Roman" w:hAnsi="Times New Roman" w:eastAsia="仿宋_GB2312"/>
          <w:sz w:val="32"/>
          <w:szCs w:val="32"/>
          <w:highlight w:val="none"/>
        </w:rPr>
        <w:t>318万元，支持公共文化服务体系建设、文化遗产传承保护、旅游宣传营销、融媒体建设等，巩固和提升全国文明城市创建成果。全面落实稳就业政策，全年投入1,928万元，支持就业创业及职业技能培训等，</w:t>
      </w:r>
      <w:r>
        <w:rPr>
          <w:rFonts w:hint="eastAsia" w:ascii="Times New Roman" w:hAnsi="Times New Roman" w:eastAsia="仿宋_GB2312"/>
          <w:sz w:val="32"/>
          <w:szCs w:val="32"/>
          <w:highlight w:val="none"/>
          <w:lang w:eastAsia="zh-CN"/>
        </w:rPr>
        <w:t>预计</w:t>
      </w:r>
      <w:r>
        <w:rPr>
          <w:rFonts w:ascii="Times New Roman" w:hAnsi="Times New Roman" w:eastAsia="仿宋_GB2312"/>
          <w:sz w:val="32"/>
          <w:szCs w:val="32"/>
          <w:highlight w:val="none"/>
        </w:rPr>
        <w:t>实现全区城镇新增就业7,</w:t>
      </w:r>
      <w:r>
        <w:rPr>
          <w:rFonts w:hint="eastAsia" w:ascii="Times New Roman" w:hAnsi="Times New Roman" w:eastAsia="仿宋_GB2312"/>
          <w:sz w:val="32"/>
          <w:szCs w:val="32"/>
          <w:highlight w:val="none"/>
          <w:lang w:val="en-US" w:eastAsia="zh-CN"/>
        </w:rPr>
        <w:t>986</w:t>
      </w:r>
      <w:r>
        <w:rPr>
          <w:rFonts w:ascii="Times New Roman" w:hAnsi="Times New Roman" w:eastAsia="仿宋_GB2312"/>
          <w:sz w:val="32"/>
          <w:szCs w:val="32"/>
          <w:highlight w:val="none"/>
        </w:rPr>
        <w:t>人。健全养老托幼等社会保障体系，持续提高城乡居民基本养老保险补助标准，累计发放困难群众救助、优抚对象抚恤等资金</w:t>
      </w:r>
      <w:r>
        <w:rPr>
          <w:rFonts w:hint="eastAsia" w:ascii="Times New Roman" w:hAnsi="Times New Roman" w:eastAsia="仿宋_GB2312"/>
          <w:sz w:val="32"/>
          <w:szCs w:val="32"/>
          <w:highlight w:val="none"/>
        </w:rPr>
        <w:t>12</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943</w:t>
      </w:r>
      <w:r>
        <w:rPr>
          <w:rFonts w:ascii="Times New Roman" w:hAnsi="Times New Roman" w:eastAsia="仿宋_GB2312"/>
          <w:sz w:val="32"/>
          <w:szCs w:val="32"/>
          <w:highlight w:val="none"/>
        </w:rPr>
        <w:t>万元。</w:t>
      </w:r>
    </w:p>
    <w:p>
      <w:pPr>
        <w:spacing w:line="600" w:lineRule="exact"/>
        <w:ind w:firstLine="643" w:firstLineChars="200"/>
        <w:rPr>
          <w:rFonts w:ascii="Times New Roman" w:hAnsi="Times New Roman" w:eastAsia="仿宋_GB2312"/>
          <w:sz w:val="32"/>
          <w:szCs w:val="32"/>
          <w:highlight w:val="none"/>
        </w:rPr>
      </w:pPr>
      <w:r>
        <w:rPr>
          <w:rFonts w:ascii="Times New Roman" w:hAnsi="Times New Roman" w:eastAsia="楷体_GB2312"/>
          <w:b/>
          <w:sz w:val="32"/>
          <w:szCs w:val="32"/>
          <w:highlight w:val="none"/>
        </w:rPr>
        <w:t>（四）抓住“强化预算管理”主线，全力以赴增效益。</w:t>
      </w:r>
      <w:r>
        <w:rPr>
          <w:rFonts w:ascii="Times New Roman" w:hAnsi="Times New Roman" w:eastAsia="仿宋_GB2312"/>
          <w:sz w:val="32"/>
          <w:szCs w:val="32"/>
          <w:highlight w:val="none"/>
        </w:rPr>
        <w:t>深化以绩效为导向的预算管理制度改革，运用预算一体化系统强化预算项目全生命周期监管，</w:t>
      </w:r>
      <w:r>
        <w:rPr>
          <w:rFonts w:hint="eastAsia" w:ascii="Times New Roman" w:hAnsi="Times New Roman" w:eastAsia="仿宋_GB2312"/>
          <w:sz w:val="32"/>
          <w:szCs w:val="32"/>
          <w:highlight w:val="none"/>
          <w:lang w:eastAsia="zh-CN"/>
        </w:rPr>
        <w:t>强</w:t>
      </w:r>
      <w:r>
        <w:rPr>
          <w:rFonts w:ascii="Times New Roman" w:hAnsi="Times New Roman" w:eastAsia="仿宋_GB2312"/>
          <w:sz w:val="32"/>
          <w:szCs w:val="32"/>
          <w:highlight w:val="none"/>
        </w:rPr>
        <w:t>化预算约束，严格预算执行。全面实施预算绩效管理，对2023年度全区部门整体支出和项目（政策）支出实施全覆盖绩效自评；组织对10个部门整体支出、25个财政项目（政策）开展区级财政支出重点绩效评价，涉及预算资金41,119万元，采取绩效评价结果与预算安排有机衔接方式，进一步提高财政资金使用效益。强化中央直达资金管理，推动预算单位尽快形成实际支出，提升财政支出配置效率和使用效益。全年直达资金完成支付3</w:t>
      </w:r>
      <w:r>
        <w:rPr>
          <w:rFonts w:hint="eastAsia" w:ascii="Times New Roman" w:hAnsi="Times New Roman" w:eastAsia="仿宋_GB2312"/>
          <w:sz w:val="32"/>
          <w:szCs w:val="32"/>
          <w:highlight w:val="none"/>
        </w:rPr>
        <w:t>9</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099</w:t>
      </w:r>
      <w:r>
        <w:rPr>
          <w:rFonts w:ascii="Times New Roman" w:hAnsi="Times New Roman" w:eastAsia="仿宋_GB2312"/>
          <w:sz w:val="32"/>
          <w:szCs w:val="32"/>
          <w:highlight w:val="none"/>
        </w:rPr>
        <w:t>万元。</w:t>
      </w:r>
    </w:p>
    <w:p>
      <w:pPr>
        <w:pStyle w:val="10"/>
        <w:widowControl w:val="0"/>
        <w:spacing w:before="0" w:beforeAutospacing="0" w:after="0" w:afterAutospacing="0" w:line="600" w:lineRule="exact"/>
        <w:ind w:firstLine="643" w:firstLineChars="200"/>
        <w:jc w:val="both"/>
        <w:rPr>
          <w:rFonts w:ascii="Times New Roman" w:hAnsi="Times New Roman" w:eastAsia="仿宋_GB2312" w:cs="Times New Roman"/>
          <w:sz w:val="32"/>
          <w:szCs w:val="32"/>
          <w:highlight w:val="none"/>
        </w:rPr>
      </w:pPr>
      <w:r>
        <w:rPr>
          <w:rFonts w:ascii="Times New Roman" w:hAnsi="Times New Roman" w:eastAsia="楷体_GB2312" w:cs="Times New Roman"/>
          <w:b/>
          <w:sz w:val="32"/>
          <w:szCs w:val="32"/>
          <w:highlight w:val="none"/>
        </w:rPr>
        <w:t>（五）抓实“强化风险防控”主业，全力以赴守安全。</w:t>
      </w:r>
      <w:r>
        <w:rPr>
          <w:rFonts w:ascii="Times New Roman" w:hAnsi="Times New Roman" w:eastAsia="仿宋_GB2312" w:cs="Times New Roman"/>
          <w:sz w:val="32"/>
          <w:szCs w:val="32"/>
          <w:highlight w:val="none"/>
        </w:rPr>
        <w:t>抓实抓细常态化债务风险防控工作，坚决遏制隐性债务增量，妥善化解债务存量，将年度偿债资金全部纳入财政预算，全年累计偿还</w:t>
      </w:r>
      <w:r>
        <w:rPr>
          <w:rFonts w:hint="eastAsia" w:ascii="Times New Roman" w:hAnsi="Times New Roman" w:eastAsia="仿宋_GB2312" w:cs="Times New Roman"/>
          <w:sz w:val="32"/>
          <w:szCs w:val="32"/>
          <w:highlight w:val="none"/>
        </w:rPr>
        <w:t>政府</w:t>
      </w:r>
      <w:r>
        <w:rPr>
          <w:rFonts w:ascii="Times New Roman" w:hAnsi="Times New Roman" w:eastAsia="仿宋_GB2312" w:cs="Times New Roman"/>
          <w:sz w:val="32"/>
          <w:szCs w:val="32"/>
          <w:highlight w:val="none"/>
        </w:rPr>
        <w:t>债务本息70,</w:t>
      </w:r>
      <w:r>
        <w:rPr>
          <w:rFonts w:hint="eastAsia" w:ascii="Times New Roman" w:hAnsi="Times New Roman" w:eastAsia="仿宋_GB2312" w:cs="Times New Roman"/>
          <w:sz w:val="32"/>
          <w:szCs w:val="32"/>
          <w:highlight w:val="none"/>
        </w:rPr>
        <w:t>845</w:t>
      </w:r>
      <w:r>
        <w:rPr>
          <w:rFonts w:ascii="Times New Roman" w:hAnsi="Times New Roman" w:eastAsia="仿宋_GB2312" w:cs="Times New Roman"/>
          <w:sz w:val="32"/>
          <w:szCs w:val="32"/>
          <w:highlight w:val="none"/>
        </w:rPr>
        <w:t>万元，有力保障了政府信用，全区债务风险总体可控。始终把“三保”作为维护经济运行秩序和稳定大局的“压舱石”，树牢底线思维，足额将“三保”资金纳入预算优先保障，全年实现“三保”支出1</w:t>
      </w:r>
      <w:r>
        <w:rPr>
          <w:rFonts w:hint="eastAsia" w:ascii="Times New Roman" w:hAnsi="Times New Roman" w:eastAsia="仿宋_GB2312" w:cs="Times New Roman"/>
          <w:sz w:val="32"/>
          <w:szCs w:val="32"/>
          <w:highlight w:val="none"/>
        </w:rPr>
        <w:t>29</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519</w:t>
      </w:r>
      <w:r>
        <w:rPr>
          <w:rFonts w:ascii="Times New Roman" w:hAnsi="Times New Roman" w:eastAsia="仿宋_GB2312" w:cs="Times New Roman"/>
          <w:sz w:val="32"/>
          <w:szCs w:val="32"/>
          <w:highlight w:val="none"/>
        </w:rPr>
        <w:t>万元。将库款安全摆在突出位置，做好库款运行监测，加强对新出政策的资金测算，及时保障资金需求，避免出现兑现缺口，确保国库资金平稳运行。发挥财政监督职能，继续做好违规乱发财物、会计信息质量检查等监督检查工作，严肃查处违反财经纪律行为。</w:t>
      </w:r>
    </w:p>
    <w:p>
      <w:pPr>
        <w:spacing w:line="600" w:lineRule="exact"/>
        <w:ind w:firstLine="640" w:firstLineChars="200"/>
        <w:rPr>
          <w:rFonts w:ascii="Times New Roman" w:hAnsi="Times New Roman" w:eastAsia="黑体"/>
          <w:bCs/>
          <w:sz w:val="32"/>
          <w:highlight w:val="none"/>
        </w:rPr>
      </w:pPr>
      <w:r>
        <w:rPr>
          <w:rFonts w:ascii="Times New Roman" w:hAnsi="黑体" w:eastAsia="黑体"/>
          <w:bCs/>
          <w:sz w:val="32"/>
          <w:highlight w:val="none"/>
        </w:rPr>
        <w:t>四、面临的困难和问题</w:t>
      </w:r>
    </w:p>
    <w:p>
      <w:pPr>
        <w:pStyle w:val="10"/>
        <w:widowControl w:val="0"/>
        <w:spacing w:before="0" w:beforeAutospacing="0" w:after="0" w:afterAutospacing="0" w:line="600" w:lineRule="exact"/>
        <w:ind w:firstLine="640" w:firstLineChars="200"/>
        <w:jc w:val="both"/>
        <w:rPr>
          <w:rFonts w:ascii="Times New Roman" w:hAnsi="Times New Roman" w:eastAsia="仿宋_GB2312" w:cs="Times New Roman"/>
          <w:color w:val="auto"/>
          <w:kern w:val="2"/>
          <w:sz w:val="32"/>
          <w:szCs w:val="32"/>
          <w:highlight w:val="none"/>
        </w:rPr>
      </w:pPr>
      <w:r>
        <w:rPr>
          <w:rFonts w:ascii="Times New Roman" w:hAnsi="Times New Roman" w:eastAsia="仿宋_GB2312" w:cs="Times New Roman"/>
          <w:color w:val="auto"/>
          <w:kern w:val="2"/>
          <w:sz w:val="32"/>
          <w:szCs w:val="32"/>
          <w:highlight w:val="none"/>
        </w:rPr>
        <w:t>2023年，我区财政运行总体平稳，</w:t>
      </w:r>
      <w:r>
        <w:rPr>
          <w:rFonts w:hint="eastAsia" w:ascii="Times New Roman" w:hAnsi="Times New Roman" w:eastAsia="仿宋_GB2312" w:cs="Times New Roman"/>
          <w:color w:val="auto"/>
          <w:kern w:val="2"/>
          <w:sz w:val="32"/>
          <w:szCs w:val="32"/>
          <w:highlight w:val="none"/>
          <w:lang w:eastAsia="zh-CN"/>
        </w:rPr>
        <w:t>决算</w:t>
      </w:r>
      <w:r>
        <w:rPr>
          <w:rFonts w:ascii="Times New Roman" w:hAnsi="Times New Roman" w:eastAsia="仿宋_GB2312" w:cs="Times New Roman"/>
          <w:color w:val="auto"/>
          <w:kern w:val="2"/>
          <w:sz w:val="32"/>
          <w:szCs w:val="32"/>
          <w:highlight w:val="none"/>
        </w:rPr>
        <w:t>情况总体较好，</w:t>
      </w:r>
      <w:r>
        <w:rPr>
          <w:rFonts w:hint="eastAsia" w:ascii="Times New Roman" w:hAnsi="Times New Roman" w:eastAsia="仿宋_GB2312" w:cs="Times New Roman"/>
          <w:color w:val="auto"/>
          <w:kern w:val="2"/>
          <w:sz w:val="32"/>
          <w:szCs w:val="32"/>
          <w:highlight w:val="none"/>
          <w:lang w:eastAsia="zh-CN"/>
        </w:rPr>
        <w:t>但还存在一些需要解决的问题，区人大预算工委对此提出了许多宝贵的意见和建议，区审计局也指出了存在的问题和不足，包括</w:t>
      </w:r>
      <w:r>
        <w:rPr>
          <w:rFonts w:ascii="Times New Roman" w:hAnsi="Times New Roman" w:eastAsia="仿宋_GB2312" w:cs="Times New Roman"/>
          <w:color w:val="auto"/>
          <w:kern w:val="2"/>
          <w:sz w:val="32"/>
          <w:szCs w:val="32"/>
          <w:highlight w:val="none"/>
        </w:rPr>
        <w:t>：因全区产业结构不优、工业极度薄弱导致的财政收入稳定增长面临较大挑战；抓发展、惠民生、保安全等重点领域支出需求增长，财政平衡面临较大挑战</w:t>
      </w:r>
      <w:r>
        <w:rPr>
          <w:rFonts w:hint="eastAsia" w:ascii="Times New Roman" w:hAnsi="Times New Roman" w:eastAsia="仿宋_GB2312" w:cs="Times New Roman"/>
          <w:color w:val="auto"/>
          <w:kern w:val="2"/>
          <w:sz w:val="32"/>
          <w:szCs w:val="32"/>
          <w:highlight w:val="none"/>
        </w:rPr>
        <w:t>；</w:t>
      </w:r>
      <w:r>
        <w:rPr>
          <w:rFonts w:ascii="Times New Roman" w:hAnsi="Times New Roman" w:eastAsia="仿宋_GB2312" w:cs="Times New Roman"/>
          <w:color w:val="auto"/>
          <w:kern w:val="2"/>
          <w:sz w:val="32"/>
          <w:szCs w:val="32"/>
          <w:highlight w:val="none"/>
        </w:rPr>
        <w:t>资金使用绩效有待提高</w:t>
      </w:r>
      <w:r>
        <w:rPr>
          <w:rFonts w:hint="eastAsia" w:ascii="Times New Roman" w:hAnsi="Times New Roman" w:eastAsia="仿宋_GB2312" w:cs="Times New Roman"/>
          <w:color w:val="auto"/>
          <w:kern w:val="2"/>
          <w:sz w:val="32"/>
          <w:szCs w:val="32"/>
          <w:highlight w:val="none"/>
        </w:rPr>
        <w:t>；</w:t>
      </w:r>
      <w:r>
        <w:rPr>
          <w:rFonts w:ascii="Times New Roman" w:hAnsi="Times New Roman" w:eastAsia="仿宋_GB2312" w:cs="Times New Roman"/>
          <w:color w:val="auto"/>
          <w:kern w:val="2"/>
          <w:sz w:val="32"/>
          <w:szCs w:val="32"/>
          <w:highlight w:val="none"/>
        </w:rPr>
        <w:t>政府债务的集中到期、政府支出责任不断加大带来的防风险问题不容忽视</w:t>
      </w:r>
      <w:r>
        <w:rPr>
          <w:rFonts w:hint="eastAsia" w:ascii="Times New Roman" w:hAnsi="Times New Roman" w:eastAsia="仿宋_GB2312" w:cs="Times New Roman"/>
          <w:color w:val="auto"/>
          <w:kern w:val="2"/>
          <w:sz w:val="32"/>
          <w:szCs w:val="32"/>
          <w:highlight w:val="none"/>
          <w:lang w:eastAsia="zh-CN"/>
        </w:rPr>
        <w:t>等</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lang w:eastAsia="zh-CN"/>
        </w:rPr>
        <w:t>我们高度重视这些问题，结合区人大预算工委和区审计局提出的意见建议</w:t>
      </w:r>
      <w:r>
        <w:rPr>
          <w:rFonts w:ascii="Times New Roman" w:hAnsi="Times New Roman" w:eastAsia="仿宋_GB2312" w:cs="Times New Roman"/>
          <w:color w:val="auto"/>
          <w:kern w:val="2"/>
          <w:sz w:val="32"/>
          <w:szCs w:val="32"/>
          <w:highlight w:val="none"/>
        </w:rPr>
        <w:t>，积极采取有效措施逐步加以解决。</w:t>
      </w:r>
    </w:p>
    <w:p>
      <w:pPr>
        <w:spacing w:line="600" w:lineRule="exact"/>
        <w:ind w:firstLine="640" w:firstLineChars="200"/>
        <w:rPr>
          <w:rFonts w:ascii="Times New Roman" w:hAnsi="Times New Roman" w:eastAsia="黑体"/>
          <w:bCs/>
          <w:sz w:val="32"/>
          <w:highlight w:val="none"/>
        </w:rPr>
      </w:pPr>
      <w:r>
        <w:rPr>
          <w:rFonts w:ascii="Times New Roman" w:hAnsi="黑体" w:eastAsia="黑体"/>
          <w:bCs/>
          <w:sz w:val="32"/>
          <w:highlight w:val="none"/>
        </w:rPr>
        <w:t>五、下步财政重点工作</w:t>
      </w:r>
    </w:p>
    <w:p>
      <w:pPr>
        <w:spacing w:line="600" w:lineRule="exact"/>
        <w:ind w:firstLine="640" w:firstLineChars="200"/>
        <w:rPr>
          <w:rFonts w:ascii="Times New Roman" w:hAnsi="Times New Roman" w:eastAsia="仿宋_GB2312"/>
          <w:kern w:val="0"/>
          <w:sz w:val="32"/>
          <w:szCs w:val="32"/>
          <w:highlight w:val="none"/>
        </w:rPr>
      </w:pPr>
      <w:r>
        <w:rPr>
          <w:rFonts w:ascii="Times New Roman" w:hAnsi="Times New Roman" w:eastAsia="仿宋_GB2312"/>
          <w:sz w:val="32"/>
          <w:szCs w:val="32"/>
          <w:highlight w:val="none"/>
        </w:rPr>
        <w:t>下一步，</w:t>
      </w:r>
      <w:r>
        <w:rPr>
          <w:rFonts w:ascii="Times New Roman" w:hAnsi="Times New Roman" w:eastAsia="仿宋_GB2312"/>
          <w:kern w:val="0"/>
          <w:sz w:val="32"/>
          <w:szCs w:val="32"/>
          <w:highlight w:val="none"/>
        </w:rPr>
        <w:t>我们将坚决贯彻中央和省、市、区各项决策部署，积极发挥财政职能作用，</w:t>
      </w:r>
      <w:r>
        <w:rPr>
          <w:rFonts w:ascii="Times New Roman" w:hAnsi="Times New Roman" w:eastAsia="仿宋_GB2312"/>
          <w:sz w:val="32"/>
          <w:szCs w:val="32"/>
          <w:highlight w:val="none"/>
        </w:rPr>
        <w:t>聚焦“抓收入” “优支出”“提质效”和“防风险”，</w:t>
      </w:r>
      <w:r>
        <w:rPr>
          <w:rFonts w:ascii="Times New Roman" w:hAnsi="Times New Roman" w:eastAsia="仿宋_GB2312"/>
          <w:kern w:val="0"/>
          <w:sz w:val="32"/>
          <w:szCs w:val="32"/>
          <w:highlight w:val="none"/>
        </w:rPr>
        <w:t>扎实做好各项财政重点工作，努力完成各项财政收支预期目标。</w:t>
      </w:r>
    </w:p>
    <w:p>
      <w:pPr>
        <w:spacing w:line="600" w:lineRule="exact"/>
        <w:ind w:firstLine="643" w:firstLineChars="200"/>
        <w:rPr>
          <w:rFonts w:ascii="Times New Roman" w:hAnsi="Times New Roman" w:eastAsia="仿宋_GB2312"/>
          <w:sz w:val="32"/>
          <w:szCs w:val="32"/>
          <w:highlight w:val="none"/>
        </w:rPr>
      </w:pPr>
      <w:r>
        <w:rPr>
          <w:rFonts w:ascii="Times New Roman" w:hAnsi="Times New Roman" w:eastAsia="楷体_GB2312"/>
          <w:b/>
          <w:bCs/>
          <w:sz w:val="32"/>
          <w:szCs w:val="32"/>
          <w:highlight w:val="none"/>
        </w:rPr>
        <w:t>（一）打好“组织收入”主动战，确保财政平稳增收。</w:t>
      </w:r>
      <w:r>
        <w:rPr>
          <w:rFonts w:ascii="Times New Roman" w:hAnsi="Times New Roman" w:eastAsia="仿宋_GB2312"/>
          <w:sz w:val="32"/>
          <w:szCs w:val="32"/>
          <w:highlight w:val="none"/>
        </w:rPr>
        <w:t>抓好财税征收，健全完善财政与税务等部门工作协调机制，做好重点行业、重点税源监测分析，规范和强化收入征管措施，确保财政收入质的有效提升和量的合理增长。深入分析研究上级政策资金扶持方向，找准与我区发展的结合点，有针对性地</w:t>
      </w:r>
      <w:r>
        <w:rPr>
          <w:rFonts w:hint="eastAsia" w:ascii="Times New Roman" w:hAnsi="Times New Roman" w:eastAsia="仿宋_GB2312"/>
          <w:sz w:val="32"/>
          <w:szCs w:val="32"/>
          <w:highlight w:val="none"/>
          <w:lang w:eastAsia="zh-CN"/>
        </w:rPr>
        <w:t>做</w:t>
      </w:r>
      <w:r>
        <w:rPr>
          <w:rFonts w:ascii="Times New Roman" w:hAnsi="Times New Roman" w:eastAsia="仿宋_GB2312"/>
          <w:sz w:val="32"/>
          <w:szCs w:val="32"/>
          <w:highlight w:val="none"/>
        </w:rPr>
        <w:t>好项目申报和资金争取工作，保障区委重大决策部署的财力持续增强。用足用好债券额度，做好项目储备包装，优化债券投向结构，加大政府债券对重点领域和薄弱环节的支持力度，加快债券资金支出进度，形成对经济的有效拉动。</w:t>
      </w:r>
    </w:p>
    <w:p>
      <w:pPr>
        <w:spacing w:line="600" w:lineRule="exact"/>
        <w:ind w:firstLine="643" w:firstLineChars="200"/>
        <w:rPr>
          <w:rFonts w:ascii="Times New Roman" w:hAnsi="Times New Roman" w:eastAsia="仿宋_GB2312"/>
          <w:sz w:val="32"/>
          <w:szCs w:val="32"/>
          <w:highlight w:val="none"/>
        </w:rPr>
      </w:pPr>
      <w:r>
        <w:rPr>
          <w:rFonts w:ascii="Times New Roman" w:hAnsi="Times New Roman" w:eastAsia="楷体_GB2312"/>
          <w:b/>
          <w:bCs/>
          <w:sz w:val="32"/>
          <w:szCs w:val="32"/>
          <w:highlight w:val="none"/>
        </w:rPr>
        <w:t>（二）打好“开源节流”攻坚战，提高资金使用效益。</w:t>
      </w:r>
      <w:r>
        <w:rPr>
          <w:rFonts w:ascii="Times New Roman" w:hAnsi="Times New Roman" w:eastAsia="仿宋_GB2312"/>
          <w:sz w:val="32"/>
          <w:szCs w:val="32"/>
          <w:highlight w:val="none"/>
        </w:rPr>
        <w:t>严格预算执行，坚持“先有预算、后有支出”，强化预算刚性约束。落实党政机关过紧日子要求，从严从紧控制一般性支出。常态抓好闲置沉淀资金、结转结余资金、低效无效资金清理，推动财政支出提进度、保强度。持续深化预算绩效管理，把绩效作为配置财政资源、制定财政政策、分配财政资金的重要依据；落实重大项目绩效目标实质性审核，进一步完善与部门整体绩效相挂钩的预算分配机制和奖惩机制，提高绩效评价的约束力。</w:t>
      </w:r>
    </w:p>
    <w:p>
      <w:pPr>
        <w:spacing w:line="600" w:lineRule="exact"/>
        <w:ind w:firstLine="643" w:firstLineChars="200"/>
        <w:rPr>
          <w:rFonts w:ascii="Times New Roman" w:hAnsi="Times New Roman" w:eastAsia="仿宋_GB2312"/>
          <w:sz w:val="32"/>
          <w:szCs w:val="32"/>
          <w:highlight w:val="none"/>
        </w:rPr>
      </w:pPr>
      <w:r>
        <w:rPr>
          <w:rFonts w:ascii="Times New Roman" w:hAnsi="Times New Roman" w:eastAsia="楷体_GB2312"/>
          <w:b/>
          <w:bCs/>
          <w:sz w:val="32"/>
          <w:szCs w:val="32"/>
          <w:highlight w:val="none"/>
        </w:rPr>
        <w:t>（三）打好“民生保障”巩固战，加大民生领域投入。</w:t>
      </w:r>
      <w:r>
        <w:rPr>
          <w:rFonts w:ascii="Times New Roman" w:hAnsi="Times New Roman" w:eastAsia="仿宋_GB2312"/>
          <w:sz w:val="32"/>
          <w:szCs w:val="32"/>
          <w:highlight w:val="none"/>
        </w:rPr>
        <w:t>聚焦民生短板弱项，加大民生领域投入力度，增强民生政策可持续性。按照“三保”保障内容和标准实行清单化管理，优先、足额保障“三保”支出，做到足额编列，不留缺口。推动巩固拓展脱贫攻坚成果同乡村振兴有效衔接，全力支持农业生产，改善农村人居环境。统筹做好资金调度，优先保障社会医疗保障、教育事业发展、公共住房保障、粮食安全等方面的资金，全面提升社会民生保障水平。</w:t>
      </w:r>
    </w:p>
    <w:p>
      <w:pPr>
        <w:spacing w:line="600" w:lineRule="exact"/>
        <w:ind w:firstLine="643" w:firstLineChars="200"/>
        <w:rPr>
          <w:rFonts w:ascii="Times New Roman" w:hAnsi="Times New Roman" w:eastAsia="仿宋_GB2312"/>
          <w:sz w:val="32"/>
          <w:szCs w:val="32"/>
          <w:highlight w:val="none"/>
        </w:rPr>
      </w:pPr>
      <w:r>
        <w:rPr>
          <w:rFonts w:ascii="Times New Roman" w:hAnsi="Times New Roman" w:eastAsia="楷体_GB2312"/>
          <w:b/>
          <w:bCs/>
          <w:sz w:val="32"/>
          <w:szCs w:val="32"/>
          <w:highlight w:val="none"/>
        </w:rPr>
        <w:t>（四）打好“财政风险”防御战，稳固财政运行根基。</w:t>
      </w:r>
      <w:r>
        <w:rPr>
          <w:rFonts w:ascii="Times New Roman" w:hAnsi="Times New Roman" w:eastAsia="仿宋_GB2312"/>
          <w:sz w:val="32"/>
          <w:szCs w:val="32"/>
          <w:highlight w:val="none"/>
        </w:rPr>
        <w:t>坚持把“三保”放在支出的绝对优先位置，确保逐项足额编制“三保”预算，不留财力缺口。加强“三保”支出执行监控，严禁拖欠、挪用、挤占“三保”资金，坚决兜牢兜实“三保”底线。全力防范化解政府债务风险，着重抓好法定债务预警、隐性债务红色、财政重整三大风险防控，将政府债务还本付息资金足额纳入预算，压紧压实相关部门偿债主体责任，坚决遏制新增隐性债务。守住财经纪律红线，进一步发挥财会监督在监督体系中的重要作用，强化部门内控建设，让财经纪律成为不可触碰的“高压线”。</w:t>
      </w:r>
    </w:p>
    <w:p>
      <w:pPr>
        <w:pStyle w:val="2"/>
        <w:rPr>
          <w:rFonts w:ascii="Times New Roman" w:hAnsi="Times New Roman" w:cs="Times New Roman"/>
          <w:lang w:bidi="ar"/>
        </w:rPr>
      </w:pPr>
    </w:p>
    <w:sectPr>
      <w:headerReference r:id="rId3" w:type="default"/>
      <w:footerReference r:id="rId4" w:type="default"/>
      <w:pgSz w:w="11906" w:h="16838"/>
      <w:pgMar w:top="1701" w:right="1474" w:bottom="1701" w:left="1588" w:header="851" w:footer="113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Helvetica">
    <w:panose1 w:val="020B0504020202030204"/>
    <w:charset w:val="00"/>
    <w:family w:val="auto"/>
    <w:pitch w:val="default"/>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ascii="Times New Roman" w:hAnsi="Times New Roman"/>
        <w:sz w:val="28"/>
        <w:szCs w:val="28"/>
      </w:rPr>
    </w:pPr>
    <w:r>
      <w:rPr>
        <w:rFonts w:ascii="Times New Roman" w:hAnsi="Times New Roman"/>
        <w:kern w:val="0"/>
        <w:sz w:val="28"/>
        <w:szCs w:val="28"/>
      </w:rPr>
      <w:t>—</w:t>
    </w:r>
    <w:r>
      <w:rPr>
        <w:rFonts w:ascii="宋体" w:hAnsi="宋体"/>
        <w:kern w:val="0"/>
        <w:sz w:val="28"/>
        <w:szCs w:val="28"/>
      </w:rPr>
      <w:t xml:space="preserve"> </w:t>
    </w:r>
    <w:r>
      <w:rPr>
        <w:rFonts w:ascii="Times New Roman" w:hAnsi="Times New Roman"/>
        <w:kern w:val="0"/>
        <w:sz w:val="28"/>
        <w:szCs w:val="28"/>
      </w:rPr>
      <w:fldChar w:fldCharType="begin"/>
    </w:r>
    <w:r>
      <w:rPr>
        <w:rFonts w:ascii="Times New Roman" w:hAnsi="Times New Roman"/>
        <w:kern w:val="0"/>
        <w:sz w:val="28"/>
        <w:szCs w:val="28"/>
      </w:rPr>
      <w:instrText xml:space="preserve"> PAGE </w:instrText>
    </w:r>
    <w:r>
      <w:rPr>
        <w:rFonts w:ascii="Times New Roman" w:hAnsi="Times New Roman"/>
        <w:kern w:val="0"/>
        <w:sz w:val="28"/>
        <w:szCs w:val="28"/>
      </w:rPr>
      <w:fldChar w:fldCharType="separate"/>
    </w:r>
    <w:r>
      <w:rPr>
        <w:rFonts w:ascii="Times New Roman" w:hAnsi="Times New Roman"/>
        <w:kern w:val="0"/>
        <w:sz w:val="28"/>
        <w:szCs w:val="28"/>
      </w:rPr>
      <w:t>1</w:t>
    </w:r>
    <w:r>
      <w:rPr>
        <w:rFonts w:ascii="Times New Roman" w:hAnsi="Times New Roman"/>
        <w:kern w:val="0"/>
        <w:sz w:val="28"/>
        <w:szCs w:val="28"/>
      </w:rPr>
      <w:fldChar w:fldCharType="end"/>
    </w:r>
    <w:r>
      <w:rPr>
        <w:rFonts w:ascii="宋体" w:hAnsi="宋体"/>
        <w:kern w:val="0"/>
        <w:sz w:val="28"/>
        <w:szCs w:val="28"/>
      </w:rPr>
      <w:t xml:space="preserve"> </w:t>
    </w:r>
    <w:r>
      <w:rPr>
        <w:rFonts w:ascii="Times New Roman" w:hAnsi="Times New Roman"/>
        <w:kern w:val="0"/>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xOGNiMWUzYmY2MjhmMDg0NWM2YzA4MDM1Y2Y3ZGEifQ=="/>
  </w:docVars>
  <w:rsids>
    <w:rsidRoot w:val="00615063"/>
    <w:rsid w:val="000015FE"/>
    <w:rsid w:val="00033DA9"/>
    <w:rsid w:val="00064662"/>
    <w:rsid w:val="0007729A"/>
    <w:rsid w:val="00087D35"/>
    <w:rsid w:val="000C10B9"/>
    <w:rsid w:val="000C1791"/>
    <w:rsid w:val="000F37F2"/>
    <w:rsid w:val="000F78C9"/>
    <w:rsid w:val="00135F12"/>
    <w:rsid w:val="00181863"/>
    <w:rsid w:val="001921B5"/>
    <w:rsid w:val="001D5E38"/>
    <w:rsid w:val="001E0924"/>
    <w:rsid w:val="001F1281"/>
    <w:rsid w:val="00215489"/>
    <w:rsid w:val="00270040"/>
    <w:rsid w:val="0027006A"/>
    <w:rsid w:val="002972B3"/>
    <w:rsid w:val="002C7735"/>
    <w:rsid w:val="002D3AF0"/>
    <w:rsid w:val="002F393B"/>
    <w:rsid w:val="00365C90"/>
    <w:rsid w:val="003728CA"/>
    <w:rsid w:val="0037789E"/>
    <w:rsid w:val="0039184C"/>
    <w:rsid w:val="003B1671"/>
    <w:rsid w:val="003D096E"/>
    <w:rsid w:val="003E6EE3"/>
    <w:rsid w:val="003F3DFF"/>
    <w:rsid w:val="003F6105"/>
    <w:rsid w:val="00417D5C"/>
    <w:rsid w:val="00424BCE"/>
    <w:rsid w:val="004842ED"/>
    <w:rsid w:val="004F5F32"/>
    <w:rsid w:val="00502116"/>
    <w:rsid w:val="00504075"/>
    <w:rsid w:val="0050530D"/>
    <w:rsid w:val="00517144"/>
    <w:rsid w:val="005450C9"/>
    <w:rsid w:val="005F054B"/>
    <w:rsid w:val="005F3B0C"/>
    <w:rsid w:val="005F70F8"/>
    <w:rsid w:val="00615063"/>
    <w:rsid w:val="00615965"/>
    <w:rsid w:val="00633D04"/>
    <w:rsid w:val="006421E6"/>
    <w:rsid w:val="00662B86"/>
    <w:rsid w:val="00677098"/>
    <w:rsid w:val="00677549"/>
    <w:rsid w:val="006D27D9"/>
    <w:rsid w:val="006D2E54"/>
    <w:rsid w:val="006E7D6A"/>
    <w:rsid w:val="006F64BD"/>
    <w:rsid w:val="007104BE"/>
    <w:rsid w:val="007458E9"/>
    <w:rsid w:val="007E2623"/>
    <w:rsid w:val="00820893"/>
    <w:rsid w:val="0088265B"/>
    <w:rsid w:val="008C1B58"/>
    <w:rsid w:val="008C55EA"/>
    <w:rsid w:val="009139EC"/>
    <w:rsid w:val="009333D6"/>
    <w:rsid w:val="00983032"/>
    <w:rsid w:val="009E548B"/>
    <w:rsid w:val="00B628DE"/>
    <w:rsid w:val="00B9190C"/>
    <w:rsid w:val="00B94BE3"/>
    <w:rsid w:val="00C26C70"/>
    <w:rsid w:val="00C6098A"/>
    <w:rsid w:val="00C63AA6"/>
    <w:rsid w:val="00C724CB"/>
    <w:rsid w:val="00CD30D4"/>
    <w:rsid w:val="00CF0429"/>
    <w:rsid w:val="00D31C23"/>
    <w:rsid w:val="00D56F6E"/>
    <w:rsid w:val="00D802A5"/>
    <w:rsid w:val="00DA0FB8"/>
    <w:rsid w:val="00DB293B"/>
    <w:rsid w:val="00DC6D2B"/>
    <w:rsid w:val="00DF0FA0"/>
    <w:rsid w:val="00E23883"/>
    <w:rsid w:val="00E8424B"/>
    <w:rsid w:val="00EB0735"/>
    <w:rsid w:val="00EF59F1"/>
    <w:rsid w:val="00EF6D2D"/>
    <w:rsid w:val="00F04C63"/>
    <w:rsid w:val="00F12143"/>
    <w:rsid w:val="00F6353A"/>
    <w:rsid w:val="00F97AFD"/>
    <w:rsid w:val="00FA776F"/>
    <w:rsid w:val="00FB0B70"/>
    <w:rsid w:val="031A755F"/>
    <w:rsid w:val="03ED1CC1"/>
    <w:rsid w:val="046A49A1"/>
    <w:rsid w:val="04E24E94"/>
    <w:rsid w:val="06913258"/>
    <w:rsid w:val="07FB3A3F"/>
    <w:rsid w:val="12FA2ABC"/>
    <w:rsid w:val="13C53B2A"/>
    <w:rsid w:val="13E02D0B"/>
    <w:rsid w:val="159A4FC7"/>
    <w:rsid w:val="17267DF6"/>
    <w:rsid w:val="177D26CD"/>
    <w:rsid w:val="18E544DC"/>
    <w:rsid w:val="1B491547"/>
    <w:rsid w:val="1CD87D5A"/>
    <w:rsid w:val="1D726189"/>
    <w:rsid w:val="1DB178DF"/>
    <w:rsid w:val="204C731E"/>
    <w:rsid w:val="23F32749"/>
    <w:rsid w:val="23F71314"/>
    <w:rsid w:val="24E266DD"/>
    <w:rsid w:val="26A504B7"/>
    <w:rsid w:val="270F3098"/>
    <w:rsid w:val="2883083C"/>
    <w:rsid w:val="28A03EA3"/>
    <w:rsid w:val="2A215A4D"/>
    <w:rsid w:val="2B866B34"/>
    <w:rsid w:val="2CBD64F3"/>
    <w:rsid w:val="2FA51975"/>
    <w:rsid w:val="305F7A78"/>
    <w:rsid w:val="30722FAF"/>
    <w:rsid w:val="389B1DC8"/>
    <w:rsid w:val="39363030"/>
    <w:rsid w:val="3A4305FA"/>
    <w:rsid w:val="3AEF3ACE"/>
    <w:rsid w:val="3B2E0BF3"/>
    <w:rsid w:val="3B667BE2"/>
    <w:rsid w:val="3C277297"/>
    <w:rsid w:val="3F6B6259"/>
    <w:rsid w:val="40E80B4A"/>
    <w:rsid w:val="428A24E6"/>
    <w:rsid w:val="42C31C9B"/>
    <w:rsid w:val="43E309F0"/>
    <w:rsid w:val="448C7C68"/>
    <w:rsid w:val="44BD69EB"/>
    <w:rsid w:val="46AF15A0"/>
    <w:rsid w:val="46CC1A4F"/>
    <w:rsid w:val="47E87ECB"/>
    <w:rsid w:val="480126A1"/>
    <w:rsid w:val="4A4970E6"/>
    <w:rsid w:val="4EDF6373"/>
    <w:rsid w:val="4F03730B"/>
    <w:rsid w:val="4F3877A3"/>
    <w:rsid w:val="4F443F90"/>
    <w:rsid w:val="4F881859"/>
    <w:rsid w:val="50AE005D"/>
    <w:rsid w:val="51431A8C"/>
    <w:rsid w:val="521042DB"/>
    <w:rsid w:val="53BC1798"/>
    <w:rsid w:val="55E92876"/>
    <w:rsid w:val="57EB66BA"/>
    <w:rsid w:val="5AA72177"/>
    <w:rsid w:val="5C283D30"/>
    <w:rsid w:val="5C8B6098"/>
    <w:rsid w:val="613C1D02"/>
    <w:rsid w:val="616B2266"/>
    <w:rsid w:val="61F83328"/>
    <w:rsid w:val="62DA7A71"/>
    <w:rsid w:val="62DF4E6F"/>
    <w:rsid w:val="6962282C"/>
    <w:rsid w:val="6CB60617"/>
    <w:rsid w:val="6DB00A02"/>
    <w:rsid w:val="6FE811CA"/>
    <w:rsid w:val="70ED7E94"/>
    <w:rsid w:val="71BE26C2"/>
    <w:rsid w:val="73FA2E9B"/>
    <w:rsid w:val="74BD438E"/>
    <w:rsid w:val="74C61436"/>
    <w:rsid w:val="77152DF6"/>
    <w:rsid w:val="77B902EB"/>
    <w:rsid w:val="78B15558"/>
    <w:rsid w:val="78CA49F1"/>
    <w:rsid w:val="78F36E0F"/>
    <w:rsid w:val="79E206D1"/>
    <w:rsid w:val="7AF470B9"/>
    <w:rsid w:val="7BB06AF8"/>
    <w:rsid w:val="7BDE7B61"/>
    <w:rsid w:val="7C410446"/>
    <w:rsid w:val="7D5513D3"/>
    <w:rsid w:val="7D8034D9"/>
    <w:rsid w:val="7E33660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efault"/>
    <w:basedOn w:val="1"/>
    <w:qFormat/>
    <w:uiPriority w:val="0"/>
    <w:pPr>
      <w:autoSpaceDE w:val="0"/>
      <w:autoSpaceDN w:val="0"/>
    </w:pPr>
    <w:rPr>
      <w:rFonts w:ascii="Calibri" w:hAnsi="Calibri" w:cs="宋体"/>
      <w:color w:val="000000"/>
      <w:sz w:val="24"/>
    </w:rPr>
  </w:style>
  <w:style w:type="paragraph" w:styleId="3">
    <w:name w:val="Salutation"/>
    <w:basedOn w:val="1"/>
    <w:next w:val="1"/>
    <w:qFormat/>
    <w:uiPriority w:val="0"/>
  </w:style>
  <w:style w:type="paragraph" w:styleId="4">
    <w:name w:val="Balloon Text"/>
    <w:basedOn w:val="1"/>
    <w:link w:val="9"/>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批注框文本 字符"/>
    <w:link w:val="4"/>
    <w:qFormat/>
    <w:uiPriority w:val="0"/>
    <w:rPr>
      <w:rFonts w:ascii="Calibri" w:hAnsi="Calibri"/>
      <w:kern w:val="2"/>
      <w:sz w:val="18"/>
      <w:szCs w:val="18"/>
    </w:rPr>
  </w:style>
  <w:style w:type="paragraph" w:customStyle="1" w:styleId="10">
    <w:name w:val="text-tag"/>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1">
    <w:name w:val="font01"/>
    <w:basedOn w:val="8"/>
    <w:qFormat/>
    <w:uiPriority w:val="0"/>
    <w:rPr>
      <w:rFonts w:hint="eastAsia" w:ascii="宋体" w:hAnsi="宋体" w:eastAsia="宋体"/>
      <w:color w:val="000000"/>
      <w:sz w:val="22"/>
      <w:szCs w:val="22"/>
      <w:u w:val="none"/>
    </w:rPr>
  </w:style>
  <w:style w:type="character" w:customStyle="1" w:styleId="12">
    <w:name w:val="font131"/>
    <w:basedOn w:val="8"/>
    <w:qFormat/>
    <w:uiPriority w:val="0"/>
    <w:rPr>
      <w:rFonts w:hint="eastAsia" w:ascii="宋体" w:hAnsi="宋体" w:eastAsia="宋体"/>
      <w:color w:val="000000"/>
      <w:sz w:val="22"/>
      <w:szCs w:val="22"/>
      <w:u w:val="none"/>
    </w:rPr>
  </w:style>
  <w:style w:type="character" w:customStyle="1" w:styleId="13">
    <w:name w:val="font81"/>
    <w:basedOn w:val="8"/>
    <w:qFormat/>
    <w:uiPriority w:val="0"/>
    <w:rPr>
      <w:rFonts w:hint="default" w:ascii="Times New Roman" w:hAnsi="Times New Roman" w:cs="Times New Roman"/>
      <w:color w:val="000000"/>
      <w:sz w:val="22"/>
      <w:szCs w:val="22"/>
      <w:u w:val="none"/>
    </w:rPr>
  </w:style>
  <w:style w:type="character" w:customStyle="1" w:styleId="14">
    <w:name w:val="font11"/>
    <w:basedOn w:val="8"/>
    <w:qFormat/>
    <w:uiPriority w:val="0"/>
    <w:rPr>
      <w:rFonts w:hint="eastAsia" w:ascii="宋体" w:hAnsi="宋体" w:eastAsia="宋体"/>
      <w:color w:val="000000"/>
      <w:sz w:val="22"/>
      <w:szCs w:val="22"/>
      <w:u w:val="none"/>
    </w:rPr>
  </w:style>
  <w:style w:type="character" w:customStyle="1" w:styleId="15">
    <w:name w:val="font41"/>
    <w:basedOn w:val="8"/>
    <w:qFormat/>
    <w:uiPriority w:val="0"/>
    <w:rPr>
      <w:rFonts w:hint="eastAsia" w:ascii="宋体" w:hAnsi="宋体" w:eastAsia="宋体" w:cs="宋体"/>
      <w:b/>
      <w:bCs/>
      <w:color w:val="000000"/>
      <w:sz w:val="22"/>
      <w:szCs w:val="22"/>
      <w:u w:val="none"/>
    </w:rPr>
  </w:style>
  <w:style w:type="character" w:customStyle="1" w:styleId="16">
    <w:name w:val="font31"/>
    <w:basedOn w:val="8"/>
    <w:qFormat/>
    <w:uiPriority w:val="0"/>
    <w:rPr>
      <w:rFonts w:hint="default" w:ascii="Times New Roman" w:hAnsi="Times New Roman" w:cs="Times New Roman"/>
      <w:color w:val="000000"/>
      <w:sz w:val="22"/>
      <w:szCs w:val="22"/>
      <w:u w:val="none"/>
    </w:rPr>
  </w:style>
  <w:style w:type="character" w:customStyle="1" w:styleId="17">
    <w:name w:val="font21"/>
    <w:basedOn w:val="8"/>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9070</Words>
  <Characters>11454</Characters>
  <Lines>88</Lines>
  <Paragraphs>24</Paragraphs>
  <TotalTime>5</TotalTime>
  <ScaleCrop>false</ScaleCrop>
  <LinksUpToDate>false</LinksUpToDate>
  <CharactersWithSpaces>13023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2023-08-23T07:41:00Z</dcterms:created>
  <dc:creator>Administrator</dc:creator>
  <cp:lastModifiedBy>Administrator</cp:lastModifiedBy>
  <cp:lastPrinted>2023-08-24T02:53:00Z</cp:lastPrinted>
  <dcterms:modified xsi:type="dcterms:W3CDTF">2024-09-11T08:44:58Z</dcterms:modified>
  <dc:title>关于遂宁市船山区2022年财政决算</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5BC3718442174FDDB35232513EDA8C94_13</vt:lpwstr>
  </property>
</Properties>
</file>