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黑体" w:hAnsi="黑体" w:eastAsia="黑体" w:cs="黑体"/>
          <w:bCs/>
          <w:sz w:val="32"/>
          <w:szCs w:val="32"/>
        </w:rPr>
      </w:pPr>
      <w:r>
        <w:rPr>
          <w:rFonts w:hint="eastAsia" w:ascii="黑体" w:hAnsi="黑体" w:eastAsia="黑体" w:cs="黑体"/>
          <w:bCs/>
          <w:sz w:val="32"/>
          <w:szCs w:val="32"/>
        </w:rPr>
        <w:t>附件42</w:t>
      </w:r>
    </w:p>
    <w:p>
      <w:pPr>
        <w:spacing w:line="700" w:lineRule="exact"/>
        <w:jc w:val="center"/>
        <w:rPr>
          <w:rFonts w:eastAsia="方正小标宋_GBK"/>
          <w:b/>
          <w:sz w:val="44"/>
          <w:szCs w:val="44"/>
        </w:rPr>
      </w:pP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关于202</w:t>
      </w:r>
      <w:r>
        <w:rPr>
          <w:rFonts w:hint="eastAsia" w:ascii="方正小标宋_GBK" w:hAnsi="方正小标宋_GBK" w:eastAsia="方正小标宋_GBK" w:cs="方正小标宋_GBK"/>
          <w:bCs/>
          <w:color w:val="000000"/>
          <w:sz w:val="44"/>
          <w:szCs w:val="44"/>
          <w:lang w:val="en-US" w:eastAsia="zh-CN"/>
        </w:rPr>
        <w:t>3</w:t>
      </w:r>
      <w:r>
        <w:rPr>
          <w:rFonts w:hint="eastAsia" w:ascii="方正小标宋_GBK" w:hAnsi="方正小标宋_GBK" w:eastAsia="方正小标宋_GBK" w:cs="方正小标宋_GBK"/>
          <w:bCs/>
          <w:color w:val="000000"/>
          <w:sz w:val="44"/>
          <w:szCs w:val="44"/>
        </w:rPr>
        <w:t>年遂宁市船山区一般公共预算</w:t>
      </w: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支出的情况说明</w:t>
      </w:r>
    </w:p>
    <w:p>
      <w:pPr>
        <w:spacing w:line="700" w:lineRule="exact"/>
        <w:ind w:firstLine="640" w:firstLineChars="200"/>
        <w:jc w:val="left"/>
        <w:rPr>
          <w:rFonts w:eastAsia="方正小标宋_GBK"/>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当年一般公共预算支出</w:t>
      </w:r>
      <w:r>
        <w:rPr>
          <w:rFonts w:hint="eastAsia" w:ascii="仿宋" w:hAnsi="仿宋" w:eastAsia="仿宋" w:cs="仿宋"/>
          <w:color w:val="000000"/>
          <w:sz w:val="32"/>
          <w:szCs w:val="32"/>
          <w:lang w:val="en-US" w:eastAsia="zh-CN"/>
        </w:rPr>
        <w:t>280528</w:t>
      </w:r>
      <w:r>
        <w:rPr>
          <w:rFonts w:hint="eastAsia" w:ascii="仿宋" w:hAnsi="仿宋" w:eastAsia="仿宋" w:cs="仿宋"/>
          <w:color w:val="000000"/>
          <w:sz w:val="32"/>
          <w:szCs w:val="32"/>
        </w:rPr>
        <w:t>万元，为预算的</w:t>
      </w:r>
      <w:r>
        <w:rPr>
          <w:rFonts w:hint="eastAsia" w:ascii="仿宋" w:hAnsi="仿宋" w:eastAsia="仿宋" w:cs="仿宋"/>
          <w:color w:val="000000"/>
          <w:sz w:val="32"/>
          <w:szCs w:val="32"/>
          <w:lang w:val="en-US" w:eastAsia="zh-CN"/>
        </w:rPr>
        <w:t>83.67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同比减少8.17%</w:t>
      </w:r>
      <w:r>
        <w:rPr>
          <w:rFonts w:hint="eastAsia" w:ascii="仿宋" w:hAnsi="仿宋" w:eastAsia="仿宋" w:cs="仿宋"/>
          <w:color w:val="000000"/>
          <w:sz w:val="32"/>
          <w:szCs w:val="32"/>
        </w:rPr>
        <w:t>。其中：</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一、一般公共服务支出决算数为</w:t>
      </w:r>
      <w:r>
        <w:rPr>
          <w:rFonts w:hint="eastAsia" w:ascii="仿宋" w:hAnsi="仿宋" w:eastAsia="仿宋" w:cs="仿宋"/>
          <w:color w:val="000000"/>
          <w:sz w:val="32"/>
          <w:szCs w:val="32"/>
          <w:lang w:val="en-US" w:eastAsia="zh-CN"/>
        </w:rPr>
        <w:t>32253</w:t>
      </w:r>
      <w:r>
        <w:rPr>
          <w:rFonts w:hint="eastAsia" w:ascii="仿宋" w:hAnsi="仿宋" w:eastAsia="仿宋" w:cs="仿宋"/>
          <w:color w:val="000000"/>
          <w:sz w:val="32"/>
          <w:szCs w:val="32"/>
        </w:rPr>
        <w:t>万元，为预算的</w:t>
      </w:r>
      <w:r>
        <w:rPr>
          <w:rFonts w:hint="eastAsia" w:ascii="仿宋" w:hAnsi="仿宋" w:eastAsia="仿宋" w:cs="仿宋"/>
          <w:color w:val="000000"/>
          <w:sz w:val="32"/>
          <w:szCs w:val="32"/>
          <w:lang w:val="en-US" w:eastAsia="zh-CN"/>
        </w:rPr>
        <w:t>95.52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同比减少8.15</w:t>
      </w:r>
      <w:r>
        <w:rPr>
          <w:rFonts w:hint="eastAsia" w:ascii="仿宋" w:hAnsi="仿宋" w:eastAsia="仿宋" w:cs="仿宋"/>
          <w:color w:val="000000"/>
          <w:sz w:val="32"/>
          <w:szCs w:val="32"/>
        </w:rPr>
        <w:t>%。</w:t>
      </w:r>
    </w:p>
    <w:p>
      <w:pPr>
        <w:pStyle w:val="7"/>
        <w:ind w:firstLine="640" w:firstLineChars="200"/>
        <w:rPr>
          <w:rFonts w:ascii="仿宋" w:hAnsi="仿宋" w:eastAsia="仿宋" w:cs="仿宋"/>
          <w:sz w:val="32"/>
          <w:szCs w:val="32"/>
        </w:rPr>
      </w:pPr>
      <w:r>
        <w:rPr>
          <w:rFonts w:hint="eastAsia" w:ascii="仿宋" w:hAnsi="仿宋" w:eastAsia="仿宋" w:cs="仿宋"/>
          <w:sz w:val="32"/>
          <w:szCs w:val="32"/>
        </w:rPr>
        <w:t>二、国防支出决算数为</w:t>
      </w:r>
      <w:r>
        <w:rPr>
          <w:rFonts w:hint="eastAsia" w:ascii="仿宋" w:hAnsi="仿宋" w:eastAsia="仿宋" w:cs="仿宋"/>
          <w:sz w:val="32"/>
          <w:szCs w:val="32"/>
          <w:lang w:val="en-US" w:eastAsia="zh-CN"/>
        </w:rPr>
        <w:t>268</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57.26</w:t>
      </w:r>
      <w:r>
        <w:rPr>
          <w:rFonts w:hint="eastAsia" w:ascii="仿宋" w:hAnsi="仿宋" w:eastAsia="仿宋" w:cs="仿宋"/>
          <w:sz w:val="32"/>
          <w:szCs w:val="32"/>
        </w:rPr>
        <w:t>%，</w:t>
      </w:r>
      <w:bookmarkStart w:id="0" w:name="OLE_LINK9"/>
      <w:r>
        <w:rPr>
          <w:rFonts w:hint="eastAsia" w:ascii="仿宋" w:hAnsi="仿宋" w:eastAsia="仿宋" w:cs="仿宋"/>
          <w:color w:val="000000"/>
          <w:sz w:val="32"/>
          <w:szCs w:val="32"/>
          <w:lang w:val="en-US" w:eastAsia="zh-CN"/>
        </w:rPr>
        <w:t>同比增加</w:t>
      </w:r>
      <w:bookmarkEnd w:id="0"/>
      <w:r>
        <w:rPr>
          <w:rFonts w:hint="eastAsia" w:ascii="仿宋" w:hAnsi="仿宋" w:eastAsia="仿宋" w:cs="仿宋"/>
          <w:color w:val="000000"/>
          <w:sz w:val="32"/>
          <w:szCs w:val="32"/>
          <w:lang w:val="en-US" w:eastAsia="zh-CN"/>
        </w:rPr>
        <w:t>1.</w:t>
      </w:r>
      <w:r>
        <w:rPr>
          <w:rFonts w:hint="eastAsia" w:ascii="仿宋" w:hAnsi="仿宋" w:eastAsia="仿宋" w:cs="仿宋"/>
          <w:sz w:val="32"/>
          <w:szCs w:val="32"/>
          <w:lang w:val="en-US" w:eastAsia="zh-CN"/>
        </w:rPr>
        <w:t>52</w:t>
      </w:r>
      <w:r>
        <w:rPr>
          <w:rFonts w:hint="eastAsia" w:ascii="仿宋" w:hAnsi="仿宋" w:eastAsia="仿宋" w:cs="仿宋"/>
          <w:sz w:val="32"/>
          <w:szCs w:val="32"/>
        </w:rPr>
        <w:t>%。</w:t>
      </w:r>
    </w:p>
    <w:p>
      <w:pPr>
        <w:pStyle w:val="7"/>
        <w:ind w:firstLine="645"/>
        <w:rPr>
          <w:rFonts w:ascii="仿宋" w:hAnsi="仿宋" w:eastAsia="仿宋" w:cs="仿宋"/>
          <w:sz w:val="32"/>
          <w:szCs w:val="32"/>
        </w:rPr>
      </w:pPr>
      <w:r>
        <w:rPr>
          <w:rFonts w:hint="eastAsia" w:ascii="仿宋" w:hAnsi="仿宋" w:eastAsia="仿宋" w:cs="仿宋"/>
          <w:sz w:val="32"/>
          <w:szCs w:val="32"/>
        </w:rPr>
        <w:t>三、公共安全支出决算数为</w:t>
      </w:r>
      <w:r>
        <w:rPr>
          <w:rFonts w:hint="eastAsia" w:ascii="仿宋" w:hAnsi="仿宋" w:eastAsia="仿宋" w:cs="仿宋"/>
          <w:sz w:val="32"/>
          <w:szCs w:val="32"/>
          <w:lang w:val="en-US" w:eastAsia="zh-CN"/>
        </w:rPr>
        <w:t>12071</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91.59</w:t>
      </w:r>
      <w:r>
        <w:rPr>
          <w:rFonts w:hint="eastAsia" w:ascii="仿宋" w:hAnsi="仿宋" w:eastAsia="仿宋" w:cs="仿宋"/>
          <w:sz w:val="32"/>
          <w:szCs w:val="32"/>
        </w:rPr>
        <w:t>%，</w:t>
      </w:r>
      <w:bookmarkStart w:id="1" w:name="OLE_LINK10"/>
      <w:r>
        <w:rPr>
          <w:rFonts w:hint="eastAsia" w:ascii="仿宋" w:hAnsi="仿宋" w:eastAsia="仿宋" w:cs="仿宋"/>
          <w:color w:val="000000"/>
          <w:sz w:val="32"/>
          <w:szCs w:val="32"/>
          <w:lang w:val="en-US" w:eastAsia="zh-CN"/>
        </w:rPr>
        <w:t>同比减少</w:t>
      </w:r>
      <w:bookmarkEnd w:id="1"/>
      <w:r>
        <w:rPr>
          <w:rFonts w:hint="eastAsia" w:ascii="仿宋" w:hAnsi="仿宋" w:eastAsia="仿宋" w:cs="仿宋"/>
          <w:sz w:val="32"/>
          <w:szCs w:val="32"/>
          <w:lang w:val="en-US" w:eastAsia="zh-CN"/>
        </w:rPr>
        <w:t>6.61</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四、教育支出决算数为</w:t>
      </w:r>
      <w:r>
        <w:rPr>
          <w:rFonts w:hint="eastAsia" w:ascii="仿宋" w:hAnsi="仿宋" w:eastAsia="仿宋" w:cs="仿宋"/>
          <w:sz w:val="32"/>
          <w:szCs w:val="32"/>
          <w:lang w:val="en-US" w:eastAsia="zh-CN"/>
        </w:rPr>
        <w:t>51663</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93.99</w:t>
      </w:r>
      <w:r>
        <w:rPr>
          <w:rFonts w:hint="eastAsia" w:ascii="仿宋" w:hAnsi="仿宋" w:eastAsia="仿宋" w:cs="仿宋"/>
          <w:sz w:val="32"/>
          <w:szCs w:val="32"/>
        </w:rPr>
        <w:t>%，</w:t>
      </w:r>
      <w:bookmarkStart w:id="2" w:name="OLE_LINK11"/>
      <w:r>
        <w:rPr>
          <w:rFonts w:hint="eastAsia" w:ascii="仿宋" w:hAnsi="仿宋" w:eastAsia="仿宋" w:cs="仿宋"/>
          <w:color w:val="000000"/>
          <w:sz w:val="32"/>
          <w:szCs w:val="32"/>
          <w:lang w:val="en-US" w:eastAsia="zh-CN"/>
        </w:rPr>
        <w:t>同比增加</w:t>
      </w:r>
      <w:r>
        <w:rPr>
          <w:rFonts w:hint="eastAsia" w:ascii="仿宋" w:hAnsi="仿宋" w:eastAsia="仿宋" w:cs="仿宋"/>
          <w:sz w:val="32"/>
          <w:szCs w:val="32"/>
          <w:lang w:val="en-US" w:eastAsia="zh-CN"/>
        </w:rPr>
        <w:t>0.26</w:t>
      </w:r>
      <w:bookmarkEnd w:id="2"/>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五、科学技术支出决算数为184万元，为预算的</w:t>
      </w:r>
      <w:r>
        <w:rPr>
          <w:rFonts w:hint="eastAsia" w:ascii="仿宋" w:hAnsi="仿宋" w:eastAsia="仿宋" w:cs="仿宋"/>
          <w:sz w:val="32"/>
          <w:szCs w:val="32"/>
          <w:lang w:val="en-US" w:eastAsia="zh-CN"/>
        </w:rPr>
        <w:t>85.58</w:t>
      </w:r>
      <w:r>
        <w:rPr>
          <w:rFonts w:hint="eastAsia" w:ascii="仿宋" w:hAnsi="仿宋" w:eastAsia="仿宋" w:cs="仿宋"/>
          <w:sz w:val="32"/>
          <w:szCs w:val="32"/>
        </w:rPr>
        <w:t>%，</w:t>
      </w:r>
      <w:r>
        <w:rPr>
          <w:rFonts w:hint="eastAsia" w:ascii="仿宋" w:hAnsi="仿宋" w:eastAsia="仿宋" w:cs="仿宋"/>
          <w:sz w:val="32"/>
          <w:szCs w:val="32"/>
          <w:lang w:val="en-US" w:eastAsia="zh-CN"/>
        </w:rPr>
        <w:t>与上年持平</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六、文化体育与传媒支出决算数为</w:t>
      </w:r>
      <w:r>
        <w:rPr>
          <w:rFonts w:hint="eastAsia" w:ascii="仿宋" w:hAnsi="仿宋" w:eastAsia="仿宋" w:cs="仿宋"/>
          <w:sz w:val="32"/>
          <w:szCs w:val="32"/>
          <w:lang w:val="en-US" w:eastAsia="zh-CN"/>
        </w:rPr>
        <w:t>2989</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69.22</w:t>
      </w:r>
      <w:r>
        <w:rPr>
          <w:rFonts w:hint="eastAsia" w:ascii="仿宋" w:hAnsi="仿宋" w:eastAsia="仿宋" w:cs="仿宋"/>
          <w:sz w:val="32"/>
          <w:szCs w:val="32"/>
        </w:rPr>
        <w:t>%，</w:t>
      </w:r>
      <w:bookmarkStart w:id="3" w:name="OLE_LINK12"/>
      <w:r>
        <w:rPr>
          <w:rFonts w:hint="eastAsia" w:ascii="仿宋" w:hAnsi="仿宋" w:eastAsia="仿宋" w:cs="仿宋"/>
          <w:color w:val="000000"/>
          <w:sz w:val="32"/>
          <w:szCs w:val="32"/>
          <w:lang w:val="en-US" w:eastAsia="zh-CN"/>
        </w:rPr>
        <w:t>同比减少</w:t>
      </w:r>
      <w:bookmarkEnd w:id="3"/>
      <w:r>
        <w:rPr>
          <w:rFonts w:hint="eastAsia" w:ascii="仿宋" w:hAnsi="仿宋" w:eastAsia="仿宋" w:cs="仿宋"/>
          <w:color w:val="000000"/>
          <w:sz w:val="32"/>
          <w:szCs w:val="32"/>
          <w:lang w:val="en-US" w:eastAsia="zh-CN"/>
        </w:rPr>
        <w:t>57.30</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七、社会保障和就业支出决算数为</w:t>
      </w:r>
      <w:r>
        <w:rPr>
          <w:rFonts w:hint="eastAsia" w:ascii="仿宋" w:hAnsi="仿宋" w:eastAsia="仿宋" w:cs="仿宋"/>
          <w:sz w:val="32"/>
          <w:szCs w:val="32"/>
          <w:lang w:val="en-US" w:eastAsia="zh-CN"/>
        </w:rPr>
        <w:t>36253</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95.29</w:t>
      </w:r>
      <w:r>
        <w:rPr>
          <w:rFonts w:hint="eastAsia" w:ascii="仿宋" w:hAnsi="仿宋" w:eastAsia="仿宋" w:cs="仿宋"/>
          <w:sz w:val="32"/>
          <w:szCs w:val="32"/>
        </w:rPr>
        <w:t>%，</w:t>
      </w:r>
      <w:bookmarkStart w:id="4" w:name="OLE_LINK13"/>
      <w:r>
        <w:rPr>
          <w:rFonts w:hint="eastAsia" w:ascii="仿宋" w:hAnsi="仿宋" w:eastAsia="仿宋" w:cs="仿宋"/>
          <w:color w:val="000000"/>
          <w:sz w:val="32"/>
          <w:szCs w:val="32"/>
          <w:lang w:val="en-US" w:eastAsia="zh-CN"/>
        </w:rPr>
        <w:t>同比增加</w:t>
      </w:r>
      <w:bookmarkEnd w:id="4"/>
      <w:r>
        <w:rPr>
          <w:rFonts w:hint="eastAsia" w:ascii="仿宋" w:hAnsi="仿宋" w:eastAsia="仿宋" w:cs="仿宋"/>
          <w:sz w:val="32"/>
          <w:szCs w:val="32"/>
          <w:lang w:val="en-US" w:eastAsia="zh-CN"/>
        </w:rPr>
        <w:t>4.20</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八、卫生健康支出决算数为</w:t>
      </w:r>
      <w:r>
        <w:rPr>
          <w:rFonts w:hint="eastAsia" w:ascii="仿宋" w:hAnsi="仿宋" w:eastAsia="仿宋" w:cs="仿宋"/>
          <w:sz w:val="32"/>
          <w:szCs w:val="32"/>
          <w:lang w:val="en-US" w:eastAsia="zh-CN"/>
        </w:rPr>
        <w:t>20890</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89.74</w:t>
      </w:r>
      <w:r>
        <w:rPr>
          <w:rFonts w:hint="eastAsia" w:ascii="仿宋" w:hAnsi="仿宋" w:eastAsia="仿宋" w:cs="仿宋"/>
          <w:sz w:val="32"/>
          <w:szCs w:val="32"/>
        </w:rPr>
        <w:t>%，</w:t>
      </w:r>
      <w:bookmarkStart w:id="5" w:name="OLE_LINK16"/>
      <w:r>
        <w:rPr>
          <w:rFonts w:hint="eastAsia" w:ascii="仿宋" w:hAnsi="仿宋" w:eastAsia="仿宋" w:cs="仿宋"/>
          <w:color w:val="000000"/>
          <w:sz w:val="32"/>
          <w:szCs w:val="32"/>
          <w:lang w:val="en-US" w:eastAsia="zh-CN"/>
        </w:rPr>
        <w:t>同比减少</w:t>
      </w:r>
      <w:bookmarkEnd w:id="5"/>
      <w:r>
        <w:rPr>
          <w:rFonts w:hint="eastAsia" w:ascii="仿宋" w:hAnsi="仿宋" w:eastAsia="仿宋" w:cs="仿宋"/>
          <w:sz w:val="32"/>
          <w:szCs w:val="32"/>
          <w:lang w:val="en-US" w:eastAsia="zh-CN"/>
        </w:rPr>
        <w:t>23.93</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九、节能环保支出决算数</w:t>
      </w:r>
      <w:r>
        <w:rPr>
          <w:rFonts w:hint="eastAsia" w:ascii="仿宋" w:hAnsi="仿宋" w:eastAsia="仿宋" w:cs="仿宋"/>
          <w:sz w:val="32"/>
          <w:szCs w:val="32"/>
          <w:lang w:val="en-US" w:eastAsia="zh-CN"/>
        </w:rPr>
        <w:t>10590</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64.40</w:t>
      </w:r>
      <w:r>
        <w:rPr>
          <w:rFonts w:hint="eastAsia" w:ascii="仿宋" w:hAnsi="仿宋" w:eastAsia="仿宋" w:cs="仿宋"/>
          <w:sz w:val="32"/>
          <w:szCs w:val="32"/>
        </w:rPr>
        <w:t>%，</w:t>
      </w:r>
      <w:bookmarkStart w:id="6" w:name="OLE_LINK14"/>
      <w:r>
        <w:rPr>
          <w:rFonts w:hint="eastAsia" w:ascii="仿宋" w:hAnsi="仿宋" w:eastAsia="仿宋" w:cs="仿宋"/>
          <w:color w:val="000000"/>
          <w:sz w:val="32"/>
          <w:szCs w:val="32"/>
          <w:lang w:val="en-US" w:eastAsia="zh-CN"/>
        </w:rPr>
        <w:t>同比增加</w:t>
      </w:r>
      <w:bookmarkEnd w:id="6"/>
      <w:r>
        <w:rPr>
          <w:rFonts w:hint="eastAsia" w:ascii="仿宋" w:hAnsi="仿宋" w:eastAsia="仿宋" w:cs="仿宋"/>
          <w:color w:val="000000"/>
          <w:sz w:val="32"/>
          <w:szCs w:val="32"/>
          <w:lang w:val="en-US" w:eastAsia="zh-CN"/>
        </w:rPr>
        <w:t>120.17</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十、城乡社区支出决算数</w:t>
      </w:r>
      <w:r>
        <w:rPr>
          <w:rFonts w:hint="eastAsia" w:ascii="仿宋" w:hAnsi="仿宋" w:eastAsia="仿宋" w:cs="仿宋"/>
          <w:sz w:val="32"/>
          <w:szCs w:val="32"/>
          <w:lang w:val="en-US" w:eastAsia="zh-CN"/>
        </w:rPr>
        <w:t>22187</w:t>
      </w:r>
      <w:r>
        <w:rPr>
          <w:rFonts w:hint="eastAsia" w:ascii="仿宋" w:hAnsi="仿宋" w:eastAsia="仿宋" w:cs="仿宋"/>
          <w:sz w:val="32"/>
          <w:szCs w:val="32"/>
        </w:rPr>
        <w:t>万元，为预算的81.</w:t>
      </w:r>
      <w:r>
        <w:rPr>
          <w:rFonts w:hint="eastAsia" w:ascii="仿宋" w:hAnsi="仿宋" w:eastAsia="仿宋" w:cs="仿宋"/>
          <w:sz w:val="32"/>
          <w:szCs w:val="32"/>
          <w:lang w:val="en-US" w:eastAsia="zh-CN"/>
        </w:rPr>
        <w:t>01</w:t>
      </w:r>
      <w:r>
        <w:rPr>
          <w:rFonts w:hint="eastAsia" w:ascii="仿宋" w:hAnsi="仿宋" w:eastAsia="仿宋" w:cs="仿宋"/>
          <w:sz w:val="32"/>
          <w:szCs w:val="32"/>
        </w:rPr>
        <w:t>%，</w:t>
      </w:r>
      <w:bookmarkStart w:id="7" w:name="OLE_LINK15"/>
      <w:r>
        <w:rPr>
          <w:rFonts w:hint="eastAsia" w:ascii="仿宋" w:hAnsi="仿宋" w:eastAsia="仿宋" w:cs="仿宋"/>
          <w:color w:val="000000"/>
          <w:sz w:val="32"/>
          <w:szCs w:val="32"/>
          <w:lang w:val="en-US" w:eastAsia="zh-CN"/>
        </w:rPr>
        <w:t>同比增加</w:t>
      </w:r>
      <w:bookmarkEnd w:id="7"/>
      <w:r>
        <w:rPr>
          <w:rFonts w:hint="eastAsia" w:ascii="仿宋" w:hAnsi="仿宋" w:eastAsia="仿宋" w:cs="仿宋"/>
          <w:sz w:val="32"/>
          <w:szCs w:val="32"/>
          <w:lang w:val="en-US" w:eastAsia="zh-CN"/>
        </w:rPr>
        <w:t>8.36</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十一、农林水支出决算数</w:t>
      </w:r>
      <w:r>
        <w:rPr>
          <w:rFonts w:hint="eastAsia" w:ascii="仿宋" w:hAnsi="仿宋" w:eastAsia="仿宋" w:cs="仿宋"/>
          <w:sz w:val="32"/>
          <w:szCs w:val="32"/>
          <w:lang w:val="en-US" w:eastAsia="zh-CN"/>
        </w:rPr>
        <w:t>43448</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73.00</w:t>
      </w:r>
      <w:r>
        <w:rPr>
          <w:rFonts w:hint="eastAsia" w:ascii="仿宋" w:hAnsi="仿宋" w:eastAsia="仿宋" w:cs="仿宋"/>
          <w:sz w:val="32"/>
          <w:szCs w:val="32"/>
        </w:rPr>
        <w:t>%，</w:t>
      </w:r>
      <w:bookmarkStart w:id="8" w:name="OLE_LINK19"/>
      <w:r>
        <w:rPr>
          <w:rFonts w:hint="eastAsia" w:ascii="仿宋" w:hAnsi="仿宋" w:eastAsia="仿宋" w:cs="仿宋"/>
          <w:color w:val="000000"/>
          <w:sz w:val="32"/>
          <w:szCs w:val="32"/>
          <w:lang w:val="en-US" w:eastAsia="zh-CN"/>
        </w:rPr>
        <w:t>同比增加</w:t>
      </w:r>
      <w:r>
        <w:rPr>
          <w:rFonts w:hint="eastAsia" w:ascii="仿宋" w:hAnsi="仿宋" w:eastAsia="仿宋" w:cs="仿宋"/>
          <w:sz w:val="32"/>
          <w:szCs w:val="32"/>
          <w:lang w:val="en-US" w:eastAsia="zh-CN"/>
        </w:rPr>
        <w:t>3</w:t>
      </w:r>
      <w:bookmarkEnd w:id="8"/>
      <w:r>
        <w:rPr>
          <w:rFonts w:hint="eastAsia" w:ascii="仿宋" w:hAnsi="仿宋" w:eastAsia="仿宋" w:cs="仿宋"/>
          <w:sz w:val="32"/>
          <w:szCs w:val="32"/>
          <w:lang w:val="en-US" w:eastAsia="zh-CN"/>
        </w:rPr>
        <w:t>.26</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十二、交通运输支出决算数</w:t>
      </w:r>
      <w:r>
        <w:rPr>
          <w:rFonts w:hint="eastAsia" w:ascii="仿宋" w:hAnsi="仿宋" w:eastAsia="仿宋" w:cs="仿宋"/>
          <w:sz w:val="32"/>
          <w:szCs w:val="32"/>
          <w:lang w:val="en-US" w:eastAsia="zh-CN"/>
        </w:rPr>
        <w:t>9883</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63.26</w:t>
      </w:r>
      <w:r>
        <w:rPr>
          <w:rFonts w:hint="eastAsia" w:ascii="仿宋" w:hAnsi="仿宋" w:eastAsia="仿宋" w:cs="仿宋"/>
          <w:sz w:val="32"/>
          <w:szCs w:val="32"/>
        </w:rPr>
        <w:t>%，</w:t>
      </w:r>
      <w:bookmarkStart w:id="9" w:name="OLE_LINK17"/>
      <w:r>
        <w:rPr>
          <w:rFonts w:hint="eastAsia" w:ascii="仿宋" w:hAnsi="仿宋" w:eastAsia="仿宋" w:cs="仿宋"/>
          <w:color w:val="000000"/>
          <w:sz w:val="32"/>
          <w:szCs w:val="32"/>
          <w:lang w:val="en-US" w:eastAsia="zh-CN"/>
        </w:rPr>
        <w:t>同比减少</w:t>
      </w:r>
      <w:bookmarkEnd w:id="9"/>
      <w:r>
        <w:rPr>
          <w:rFonts w:hint="eastAsia" w:ascii="仿宋" w:hAnsi="仿宋" w:eastAsia="仿宋" w:cs="仿宋"/>
          <w:color w:val="000000"/>
          <w:sz w:val="32"/>
          <w:szCs w:val="32"/>
          <w:lang w:val="en-US" w:eastAsia="zh-CN"/>
        </w:rPr>
        <w:t>14.65</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十三、资源勘探信息等支出决算数</w:t>
      </w:r>
      <w:r>
        <w:rPr>
          <w:rFonts w:hint="eastAsia" w:ascii="仿宋" w:hAnsi="仿宋" w:eastAsia="仿宋" w:cs="仿宋"/>
          <w:sz w:val="32"/>
          <w:szCs w:val="32"/>
          <w:lang w:val="en-US" w:eastAsia="zh-CN"/>
        </w:rPr>
        <w:t>150</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22.56</w:t>
      </w:r>
      <w:r>
        <w:rPr>
          <w:rFonts w:hint="eastAsia" w:ascii="仿宋" w:hAnsi="仿宋" w:eastAsia="仿宋" w:cs="仿宋"/>
          <w:sz w:val="32"/>
          <w:szCs w:val="32"/>
        </w:rPr>
        <w:t>%，</w:t>
      </w:r>
      <w:bookmarkStart w:id="10" w:name="OLE_LINK18"/>
      <w:r>
        <w:rPr>
          <w:rFonts w:hint="eastAsia" w:ascii="仿宋" w:hAnsi="仿宋" w:eastAsia="仿宋" w:cs="仿宋"/>
          <w:color w:val="000000"/>
          <w:sz w:val="32"/>
          <w:szCs w:val="32"/>
          <w:lang w:val="en-US" w:eastAsia="zh-CN"/>
        </w:rPr>
        <w:t>同比减少</w:t>
      </w:r>
      <w:bookmarkEnd w:id="10"/>
      <w:r>
        <w:rPr>
          <w:rFonts w:hint="eastAsia" w:ascii="仿宋" w:hAnsi="仿宋" w:eastAsia="仿宋" w:cs="仿宋"/>
          <w:sz w:val="32"/>
          <w:szCs w:val="32"/>
          <w:lang w:val="en-US" w:eastAsia="zh-CN"/>
        </w:rPr>
        <w:t>89.83</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十四、商业服务业等支出决算数</w:t>
      </w:r>
      <w:r>
        <w:rPr>
          <w:rFonts w:hint="eastAsia" w:ascii="仿宋" w:hAnsi="仿宋" w:eastAsia="仿宋" w:cs="仿宋"/>
          <w:sz w:val="32"/>
          <w:szCs w:val="32"/>
          <w:lang w:val="en-US" w:eastAsia="zh-CN"/>
        </w:rPr>
        <w:t>1260</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33.63</w:t>
      </w:r>
      <w:r>
        <w:rPr>
          <w:rFonts w:hint="eastAsia" w:ascii="仿宋" w:hAnsi="仿宋" w:eastAsia="仿宋" w:cs="仿宋"/>
          <w:sz w:val="32"/>
          <w:szCs w:val="32"/>
        </w:rPr>
        <w:t>%，</w:t>
      </w:r>
      <w:bookmarkStart w:id="11" w:name="OLE_LINK20"/>
      <w:r>
        <w:rPr>
          <w:rFonts w:hint="eastAsia" w:ascii="仿宋" w:hAnsi="仿宋" w:eastAsia="仿宋" w:cs="仿宋"/>
          <w:color w:val="000000"/>
          <w:sz w:val="32"/>
          <w:szCs w:val="32"/>
          <w:lang w:val="en-US" w:eastAsia="zh-CN"/>
        </w:rPr>
        <w:t>同比减少</w:t>
      </w:r>
      <w:bookmarkEnd w:id="11"/>
      <w:r>
        <w:rPr>
          <w:rFonts w:hint="eastAsia" w:ascii="仿宋" w:hAnsi="仿宋" w:eastAsia="仿宋" w:cs="仿宋"/>
          <w:sz w:val="32"/>
          <w:szCs w:val="32"/>
          <w:lang w:val="en-US" w:eastAsia="zh-CN"/>
        </w:rPr>
        <w:t>16.72</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十五、金融支出决算数</w:t>
      </w:r>
      <w:r>
        <w:rPr>
          <w:rFonts w:hint="eastAsia" w:ascii="仿宋" w:hAnsi="仿宋" w:eastAsia="仿宋" w:cs="仿宋"/>
          <w:sz w:val="32"/>
          <w:szCs w:val="32"/>
          <w:lang w:val="en-US" w:eastAsia="zh-CN"/>
        </w:rPr>
        <w:t>686</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80.99</w:t>
      </w:r>
      <w:r>
        <w:rPr>
          <w:rFonts w:hint="eastAsia" w:ascii="仿宋" w:hAnsi="仿宋" w:eastAsia="仿宋" w:cs="仿宋"/>
          <w:sz w:val="32"/>
          <w:szCs w:val="32"/>
        </w:rPr>
        <w:t>%，</w:t>
      </w:r>
      <w:bookmarkStart w:id="12" w:name="OLE_LINK22"/>
      <w:r>
        <w:rPr>
          <w:rFonts w:hint="eastAsia" w:ascii="仿宋" w:hAnsi="仿宋" w:eastAsia="仿宋" w:cs="仿宋"/>
          <w:color w:val="000000"/>
          <w:sz w:val="32"/>
          <w:szCs w:val="32"/>
          <w:lang w:val="en-US" w:eastAsia="zh-CN"/>
        </w:rPr>
        <w:t>同比增加</w:t>
      </w:r>
      <w:bookmarkEnd w:id="12"/>
      <w:r>
        <w:rPr>
          <w:rFonts w:hint="eastAsia" w:ascii="仿宋" w:hAnsi="仿宋" w:eastAsia="仿宋" w:cs="仿宋"/>
          <w:color w:val="000000"/>
          <w:sz w:val="32"/>
          <w:szCs w:val="32"/>
          <w:lang w:val="en-US" w:eastAsia="zh-CN"/>
        </w:rPr>
        <w:t>2882.61</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十六、自然资源海洋气象等支出决算数</w:t>
      </w:r>
      <w:r>
        <w:rPr>
          <w:rFonts w:hint="eastAsia" w:ascii="仿宋" w:hAnsi="仿宋" w:eastAsia="仿宋" w:cs="仿宋"/>
          <w:sz w:val="32"/>
          <w:szCs w:val="32"/>
          <w:lang w:val="en-US" w:eastAsia="zh-CN"/>
        </w:rPr>
        <w:t>4320</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96.43</w:t>
      </w:r>
      <w:r>
        <w:rPr>
          <w:rFonts w:hint="eastAsia" w:ascii="仿宋" w:hAnsi="仿宋" w:eastAsia="仿宋" w:cs="仿宋"/>
          <w:sz w:val="32"/>
          <w:szCs w:val="32"/>
        </w:rPr>
        <w:t>%，</w:t>
      </w:r>
      <w:r>
        <w:rPr>
          <w:rFonts w:hint="eastAsia" w:ascii="仿宋" w:hAnsi="仿宋" w:eastAsia="仿宋" w:cs="仿宋"/>
          <w:color w:val="000000"/>
          <w:sz w:val="32"/>
          <w:szCs w:val="32"/>
          <w:lang w:val="en-US" w:eastAsia="zh-CN"/>
        </w:rPr>
        <w:t>同比减少50.05</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十七、住房保障支出决算数</w:t>
      </w:r>
      <w:r>
        <w:rPr>
          <w:rFonts w:hint="eastAsia" w:ascii="仿宋" w:hAnsi="仿宋" w:eastAsia="仿宋" w:cs="仿宋"/>
          <w:sz w:val="32"/>
          <w:szCs w:val="32"/>
          <w:lang w:val="en-US" w:eastAsia="zh-CN"/>
        </w:rPr>
        <w:t>19092</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80.85</w:t>
      </w:r>
      <w:r>
        <w:rPr>
          <w:rFonts w:hint="eastAsia" w:ascii="仿宋" w:hAnsi="仿宋" w:eastAsia="仿宋" w:cs="仿宋"/>
          <w:sz w:val="32"/>
          <w:szCs w:val="32"/>
        </w:rPr>
        <w:t>%，</w:t>
      </w:r>
      <w:bookmarkStart w:id="13" w:name="OLE_LINK21"/>
      <w:r>
        <w:rPr>
          <w:rFonts w:hint="eastAsia" w:ascii="仿宋" w:hAnsi="仿宋" w:eastAsia="仿宋" w:cs="仿宋"/>
          <w:color w:val="000000"/>
          <w:sz w:val="32"/>
          <w:szCs w:val="32"/>
          <w:lang w:val="en-US" w:eastAsia="zh-CN"/>
        </w:rPr>
        <w:t>同比减少</w:t>
      </w:r>
      <w:bookmarkEnd w:id="13"/>
      <w:r>
        <w:rPr>
          <w:rFonts w:hint="eastAsia" w:ascii="仿宋" w:hAnsi="仿宋" w:eastAsia="仿宋" w:cs="仿宋"/>
          <w:sz w:val="32"/>
          <w:szCs w:val="32"/>
          <w:lang w:val="en-US" w:eastAsia="zh-CN"/>
        </w:rPr>
        <w:t>44.39</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十八、粮油物资储备支出决算数</w:t>
      </w:r>
      <w:r>
        <w:rPr>
          <w:rFonts w:hint="eastAsia" w:ascii="仿宋" w:hAnsi="仿宋" w:eastAsia="仿宋" w:cs="仿宋"/>
          <w:sz w:val="32"/>
          <w:szCs w:val="32"/>
          <w:lang w:val="en-US" w:eastAsia="zh-CN"/>
        </w:rPr>
        <w:t>210</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12.10</w:t>
      </w:r>
      <w:r>
        <w:rPr>
          <w:rFonts w:hint="eastAsia" w:ascii="仿宋" w:hAnsi="仿宋" w:eastAsia="仿宋" w:cs="仿宋"/>
          <w:sz w:val="32"/>
          <w:szCs w:val="32"/>
        </w:rPr>
        <w:t>%，</w:t>
      </w:r>
      <w:bookmarkStart w:id="14" w:name="OLE_LINK24"/>
      <w:r>
        <w:rPr>
          <w:rFonts w:hint="eastAsia" w:ascii="仿宋" w:hAnsi="仿宋" w:eastAsia="仿宋" w:cs="仿宋"/>
          <w:color w:val="000000"/>
          <w:sz w:val="32"/>
          <w:szCs w:val="32"/>
          <w:lang w:val="en-US" w:eastAsia="zh-CN"/>
        </w:rPr>
        <w:t>同比减少</w:t>
      </w:r>
      <w:bookmarkEnd w:id="14"/>
      <w:r>
        <w:rPr>
          <w:rFonts w:hint="eastAsia" w:ascii="仿宋" w:hAnsi="仿宋" w:eastAsia="仿宋" w:cs="仿宋"/>
          <w:color w:val="000000"/>
          <w:sz w:val="32"/>
          <w:szCs w:val="32"/>
          <w:lang w:val="en-US" w:eastAsia="zh-CN"/>
        </w:rPr>
        <w:t>50.59</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十九、灾害防治及应急管理支出决算数</w:t>
      </w:r>
      <w:r>
        <w:rPr>
          <w:rFonts w:hint="eastAsia" w:ascii="仿宋" w:hAnsi="仿宋" w:eastAsia="仿宋" w:cs="仿宋"/>
          <w:sz w:val="32"/>
          <w:szCs w:val="32"/>
          <w:lang w:val="en-US" w:eastAsia="zh-CN"/>
        </w:rPr>
        <w:t>3403</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81.98</w:t>
      </w:r>
      <w:r>
        <w:rPr>
          <w:rFonts w:hint="eastAsia" w:ascii="仿宋" w:hAnsi="仿宋" w:eastAsia="仿宋" w:cs="仿宋"/>
          <w:sz w:val="32"/>
          <w:szCs w:val="32"/>
        </w:rPr>
        <w:t>%，</w:t>
      </w:r>
      <w:bookmarkStart w:id="15" w:name="OLE_LINK23"/>
      <w:r>
        <w:rPr>
          <w:rFonts w:hint="eastAsia" w:ascii="仿宋" w:hAnsi="仿宋" w:eastAsia="仿宋" w:cs="仿宋"/>
          <w:color w:val="000000"/>
          <w:sz w:val="32"/>
          <w:szCs w:val="32"/>
          <w:lang w:val="en-US" w:eastAsia="zh-CN"/>
        </w:rPr>
        <w:t>同比增加</w:t>
      </w:r>
      <w:bookmarkEnd w:id="15"/>
      <w:r>
        <w:rPr>
          <w:rFonts w:hint="eastAsia" w:ascii="仿宋" w:hAnsi="仿宋" w:eastAsia="仿宋" w:cs="仿宋"/>
          <w:sz w:val="32"/>
          <w:szCs w:val="32"/>
          <w:lang w:val="en-US" w:eastAsia="zh-CN"/>
        </w:rPr>
        <w:t>54.12</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二十、其他支出决算数为</w:t>
      </w:r>
      <w:r>
        <w:rPr>
          <w:rFonts w:hint="eastAsia" w:ascii="仿宋" w:hAnsi="仿宋" w:eastAsia="仿宋" w:cs="仿宋"/>
          <w:sz w:val="32"/>
          <w:szCs w:val="32"/>
          <w:lang w:val="en-US" w:eastAsia="zh-CN"/>
        </w:rPr>
        <w:t>644</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84.40</w:t>
      </w:r>
      <w:r>
        <w:rPr>
          <w:rFonts w:hint="eastAsia" w:ascii="仿宋" w:hAnsi="仿宋" w:eastAsia="仿宋" w:cs="仿宋"/>
          <w:sz w:val="32"/>
          <w:szCs w:val="32"/>
        </w:rPr>
        <w:t>%，</w:t>
      </w:r>
      <w:bookmarkStart w:id="16" w:name="OLE_LINK6"/>
      <w:r>
        <w:rPr>
          <w:rFonts w:hint="eastAsia" w:ascii="仿宋" w:hAnsi="仿宋" w:eastAsia="仿宋" w:cs="仿宋"/>
          <w:color w:val="000000"/>
          <w:sz w:val="32"/>
          <w:szCs w:val="32"/>
          <w:lang w:val="en-US" w:eastAsia="zh-CN"/>
        </w:rPr>
        <w:t>同比增加112.</w:t>
      </w:r>
      <w:bookmarkEnd w:id="16"/>
      <w:r>
        <w:rPr>
          <w:rFonts w:hint="eastAsia" w:ascii="仿宋" w:hAnsi="仿宋" w:eastAsia="仿宋" w:cs="仿宋"/>
          <w:color w:val="000000"/>
          <w:sz w:val="32"/>
          <w:szCs w:val="32"/>
          <w:lang w:val="en-US" w:eastAsia="zh-CN"/>
        </w:rPr>
        <w:t>54</w:t>
      </w:r>
      <w:r>
        <w:rPr>
          <w:rFonts w:hint="eastAsia" w:ascii="仿宋" w:hAnsi="仿宋" w:eastAsia="仿宋" w:cs="仿宋"/>
          <w:sz w:val="32"/>
          <w:szCs w:val="32"/>
        </w:rPr>
        <w:t>%。</w:t>
      </w:r>
    </w:p>
    <w:p>
      <w:pPr>
        <w:pStyle w:val="7"/>
        <w:ind w:firstLine="645"/>
        <w:rPr>
          <w:rFonts w:hint="eastAsia" w:ascii="仿宋" w:hAnsi="仿宋" w:eastAsia="仿宋" w:cs="仿宋"/>
          <w:sz w:val="32"/>
          <w:szCs w:val="32"/>
        </w:rPr>
      </w:pPr>
      <w:r>
        <w:rPr>
          <w:rFonts w:hint="eastAsia" w:ascii="仿宋" w:hAnsi="仿宋" w:eastAsia="仿宋" w:cs="仿宋"/>
          <w:sz w:val="32"/>
          <w:szCs w:val="32"/>
        </w:rPr>
        <w:t>二十一、债务付息支出决算数为</w:t>
      </w:r>
      <w:r>
        <w:rPr>
          <w:rFonts w:hint="eastAsia" w:ascii="仿宋" w:hAnsi="仿宋" w:eastAsia="仿宋" w:cs="仿宋"/>
          <w:sz w:val="32"/>
          <w:szCs w:val="32"/>
          <w:lang w:val="en-US" w:eastAsia="zh-CN"/>
        </w:rPr>
        <w:t>8047</w:t>
      </w:r>
      <w:r>
        <w:rPr>
          <w:rFonts w:hint="eastAsia" w:ascii="仿宋" w:hAnsi="仿宋" w:eastAsia="仿宋" w:cs="仿宋"/>
          <w:sz w:val="32"/>
          <w:szCs w:val="32"/>
        </w:rPr>
        <w:t>万元，为预算的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color w:val="000000"/>
          <w:sz w:val="32"/>
          <w:szCs w:val="32"/>
          <w:lang w:val="en-US" w:eastAsia="zh-CN"/>
        </w:rPr>
        <w:t>同比减少3.15</w:t>
      </w:r>
      <w:r>
        <w:rPr>
          <w:rFonts w:hint="eastAsia" w:ascii="仿宋" w:hAnsi="仿宋" w:eastAsia="仿宋" w:cs="仿宋"/>
          <w:sz w:val="32"/>
          <w:szCs w:val="32"/>
        </w:rPr>
        <w:t>%。</w:t>
      </w:r>
    </w:p>
    <w:p>
      <w:pPr>
        <w:pStyle w:val="7"/>
        <w:ind w:firstLine="645"/>
        <w:rPr>
          <w:rFonts w:ascii="仿宋" w:hAnsi="仿宋" w:eastAsia="仿宋" w:cs="仿宋"/>
          <w:sz w:val="32"/>
          <w:szCs w:val="32"/>
        </w:rPr>
      </w:pPr>
      <w:r>
        <w:rPr>
          <w:rFonts w:hint="eastAsia" w:ascii="仿宋" w:hAnsi="仿宋" w:eastAsia="仿宋" w:cs="仿宋"/>
          <w:sz w:val="32"/>
          <w:szCs w:val="32"/>
        </w:rPr>
        <w:t>二十二、债务发行费支出决算数为37万元，</w:t>
      </w:r>
      <w:r>
        <w:rPr>
          <w:rFonts w:hint="eastAsia" w:ascii="仿宋" w:hAnsi="仿宋" w:eastAsia="仿宋" w:cs="仿宋"/>
          <w:sz w:val="32"/>
          <w:szCs w:val="32"/>
          <w:lang w:val="en-US" w:eastAsia="zh-CN"/>
        </w:rPr>
        <w:t>与上年决算数持平</w:t>
      </w:r>
      <w:r>
        <w:rPr>
          <w:rFonts w:hint="eastAsia" w:ascii="仿宋" w:hAnsi="仿宋" w:eastAsia="仿宋" w:cs="仿宋"/>
          <w:sz w:val="32"/>
          <w:szCs w:val="32"/>
        </w:rPr>
        <w:t>。</w:t>
      </w: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Pr>
        <w:spacing w:line="600" w:lineRule="exact"/>
        <w:ind w:firstLine="640" w:firstLineChars="200"/>
        <w:rPr>
          <w:rFonts w:eastAsia="仿宋"/>
          <w:color w:val="000000"/>
          <w:sz w:val="32"/>
          <w:szCs w:val="32"/>
        </w:rPr>
      </w:pPr>
    </w:p>
    <w:p/>
    <w:p/>
    <w:p/>
    <w:p/>
    <w:p/>
    <w:p/>
    <w:p/>
    <w:p/>
    <w:p/>
    <w:p>
      <w:pPr>
        <w:spacing w:line="700" w:lineRule="exact"/>
        <w:rPr>
          <w:rFonts w:ascii="黑体" w:hAnsi="黑体" w:eastAsia="黑体" w:cs="黑体"/>
          <w:bCs/>
          <w:sz w:val="32"/>
          <w:szCs w:val="32"/>
        </w:rPr>
      </w:pPr>
      <w:r>
        <w:rPr>
          <w:rFonts w:hint="eastAsia" w:ascii="黑体" w:hAnsi="黑体" w:eastAsia="黑体" w:cs="黑体"/>
          <w:bCs/>
          <w:sz w:val="32"/>
          <w:szCs w:val="32"/>
        </w:rPr>
        <w:t>附件43</w:t>
      </w:r>
    </w:p>
    <w:p>
      <w:pPr>
        <w:spacing w:line="600" w:lineRule="exact"/>
        <w:jc w:val="center"/>
        <w:rPr>
          <w:rFonts w:eastAsia="方正小标宋_GBK"/>
          <w:bCs/>
          <w:color w:val="000000"/>
          <w:sz w:val="44"/>
          <w:szCs w:val="44"/>
        </w:rPr>
      </w:pP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关于202</w:t>
      </w:r>
      <w:r>
        <w:rPr>
          <w:rFonts w:hint="eastAsia" w:ascii="方正小标宋_GBK" w:hAnsi="方正小标宋_GBK" w:eastAsia="方正小标宋_GBK" w:cs="方正小标宋_GBK"/>
          <w:bCs/>
          <w:color w:val="000000"/>
          <w:sz w:val="44"/>
          <w:szCs w:val="44"/>
          <w:lang w:val="en-US" w:eastAsia="zh-CN"/>
        </w:rPr>
        <w:t>3</w:t>
      </w:r>
      <w:r>
        <w:rPr>
          <w:rFonts w:hint="eastAsia" w:ascii="方正小标宋_GBK" w:hAnsi="方正小标宋_GBK" w:eastAsia="方正小标宋_GBK" w:cs="方正小标宋_GBK"/>
          <w:bCs/>
          <w:color w:val="000000"/>
          <w:sz w:val="44"/>
          <w:szCs w:val="44"/>
        </w:rPr>
        <w:t>年遂宁市船山区政府性基金预算支出决算的说明</w:t>
      </w:r>
    </w:p>
    <w:p>
      <w:pPr>
        <w:jc w:val="left"/>
        <w:rPr>
          <w:rFonts w:eastAsia="方正小标宋_GBK"/>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年遂宁市船山区政府性基金预算支出决算数为</w:t>
      </w:r>
      <w:r>
        <w:rPr>
          <w:rFonts w:hint="eastAsia" w:ascii="仿宋" w:hAnsi="仿宋" w:eastAsia="仿宋" w:cs="仿宋"/>
          <w:color w:val="000000"/>
          <w:sz w:val="32"/>
          <w:szCs w:val="32"/>
          <w:lang w:val="en-US" w:eastAsia="zh-CN"/>
        </w:rPr>
        <w:t>138429</w:t>
      </w:r>
      <w:r>
        <w:rPr>
          <w:rFonts w:hint="eastAsia" w:ascii="仿宋" w:hAnsi="仿宋" w:eastAsia="仿宋" w:cs="仿宋"/>
          <w:color w:val="000000"/>
          <w:sz w:val="32"/>
          <w:szCs w:val="32"/>
        </w:rPr>
        <w:t>万元，为预算的</w:t>
      </w:r>
      <w:r>
        <w:rPr>
          <w:rFonts w:hint="eastAsia" w:ascii="仿宋" w:hAnsi="仿宋" w:eastAsia="仿宋" w:cs="仿宋"/>
          <w:color w:val="000000"/>
          <w:sz w:val="32"/>
          <w:szCs w:val="32"/>
          <w:lang w:val="en-US" w:eastAsia="zh-CN"/>
        </w:rPr>
        <w:t>91.85</w:t>
      </w:r>
      <w:r>
        <w:rPr>
          <w:rFonts w:hint="eastAsia" w:ascii="仿宋" w:hAnsi="仿宋" w:eastAsia="仿宋" w:cs="仿宋"/>
          <w:color w:val="000000"/>
          <w:sz w:val="32"/>
          <w:szCs w:val="32"/>
        </w:rPr>
        <w:t>%。具体情况如下:</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、社会保障和就业支出决算数为</w:t>
      </w:r>
      <w:r>
        <w:rPr>
          <w:rFonts w:hint="eastAsia" w:ascii="仿宋" w:hAnsi="仿宋" w:eastAsia="仿宋" w:cs="仿宋"/>
          <w:color w:val="000000"/>
          <w:sz w:val="32"/>
          <w:szCs w:val="32"/>
          <w:lang w:val="en-US" w:eastAsia="zh-CN"/>
        </w:rPr>
        <w:t>1745</w:t>
      </w:r>
      <w:r>
        <w:rPr>
          <w:rFonts w:hint="eastAsia" w:ascii="仿宋" w:hAnsi="仿宋" w:eastAsia="仿宋" w:cs="仿宋"/>
          <w:color w:val="000000"/>
          <w:sz w:val="32"/>
          <w:szCs w:val="32"/>
        </w:rPr>
        <w:t>万元，为预算的</w:t>
      </w:r>
      <w:r>
        <w:rPr>
          <w:rFonts w:hint="eastAsia" w:ascii="仿宋" w:hAnsi="仿宋" w:eastAsia="仿宋" w:cs="仿宋"/>
          <w:color w:val="000000"/>
          <w:sz w:val="32"/>
          <w:szCs w:val="32"/>
          <w:lang w:val="en-US" w:eastAsia="zh-CN"/>
        </w:rPr>
        <w:t>46.02</w:t>
      </w:r>
      <w:r>
        <w:rPr>
          <w:rFonts w:hint="eastAsia" w:ascii="仿宋" w:hAnsi="仿宋" w:eastAsia="仿宋" w:cs="仿宋"/>
          <w:color w:val="000000"/>
          <w:sz w:val="32"/>
          <w:szCs w:val="32"/>
        </w:rPr>
        <w:t>%。</w:t>
      </w:r>
    </w:p>
    <w:p>
      <w:pPr>
        <w:spacing w:line="600" w:lineRule="exact"/>
        <w:ind w:firstLine="616"/>
        <w:rPr>
          <w:rFonts w:hint="eastAsia" w:ascii="仿宋" w:hAnsi="仿宋" w:eastAsia="仿宋" w:cs="仿宋"/>
          <w:color w:val="000000"/>
          <w:sz w:val="32"/>
          <w:szCs w:val="32"/>
        </w:rPr>
      </w:pPr>
      <w:r>
        <w:rPr>
          <w:rFonts w:hint="eastAsia" w:ascii="仿宋" w:hAnsi="仿宋" w:eastAsia="仿宋" w:cs="仿宋"/>
          <w:color w:val="000000"/>
          <w:spacing w:val="0"/>
          <w:sz w:val="32"/>
          <w:szCs w:val="32"/>
          <w:lang w:val="en-US" w:eastAsia="zh-CN"/>
        </w:rPr>
        <w:t>二</w:t>
      </w:r>
      <w:r>
        <w:rPr>
          <w:rFonts w:hint="eastAsia" w:ascii="仿宋" w:hAnsi="仿宋" w:eastAsia="仿宋" w:cs="仿宋"/>
          <w:color w:val="000000"/>
          <w:spacing w:val="0"/>
          <w:sz w:val="32"/>
          <w:szCs w:val="32"/>
        </w:rPr>
        <w:t>、城乡社区支出决算数为</w:t>
      </w:r>
      <w:r>
        <w:rPr>
          <w:rFonts w:hint="eastAsia" w:ascii="仿宋" w:hAnsi="仿宋" w:eastAsia="仿宋" w:cs="仿宋"/>
          <w:color w:val="000000"/>
          <w:sz w:val="32"/>
          <w:szCs w:val="32"/>
          <w:lang w:val="en-US" w:eastAsia="zh-CN"/>
        </w:rPr>
        <w:t>13435</w:t>
      </w:r>
      <w:r>
        <w:rPr>
          <w:rFonts w:hint="eastAsia" w:ascii="仿宋" w:hAnsi="仿宋" w:eastAsia="仿宋" w:cs="仿宋"/>
          <w:color w:val="000000"/>
          <w:spacing w:val="0"/>
          <w:sz w:val="32"/>
          <w:szCs w:val="32"/>
        </w:rPr>
        <w:t>万元，</w:t>
      </w:r>
      <w:bookmarkStart w:id="17" w:name="OLE_LINK7"/>
      <w:r>
        <w:rPr>
          <w:rFonts w:hint="eastAsia" w:ascii="仿宋" w:hAnsi="仿宋" w:eastAsia="仿宋" w:cs="仿宋"/>
          <w:color w:val="000000"/>
          <w:spacing w:val="0"/>
          <w:sz w:val="32"/>
          <w:szCs w:val="32"/>
        </w:rPr>
        <w:t>为预算的</w:t>
      </w:r>
      <w:r>
        <w:rPr>
          <w:rFonts w:hint="eastAsia" w:ascii="仿宋" w:hAnsi="仿宋" w:eastAsia="仿宋" w:cs="仿宋"/>
          <w:color w:val="000000"/>
          <w:sz w:val="32"/>
          <w:szCs w:val="32"/>
          <w:lang w:val="en-US" w:eastAsia="zh-CN"/>
        </w:rPr>
        <w:t>86.19</w:t>
      </w:r>
      <w:r>
        <w:rPr>
          <w:rFonts w:hint="eastAsia" w:ascii="仿宋" w:hAnsi="仿宋" w:eastAsia="仿宋" w:cs="仿宋"/>
          <w:color w:val="000000"/>
          <w:sz w:val="32"/>
          <w:szCs w:val="32"/>
        </w:rPr>
        <w:t>%。</w:t>
      </w:r>
      <w:bookmarkEnd w:id="17"/>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pacing w:val="0"/>
          <w:sz w:val="32"/>
          <w:szCs w:val="32"/>
          <w:lang w:val="en-US" w:eastAsia="zh-CN"/>
        </w:rPr>
        <w:t>三</w:t>
      </w:r>
      <w:r>
        <w:rPr>
          <w:rFonts w:hint="eastAsia" w:ascii="仿宋" w:hAnsi="仿宋" w:eastAsia="仿宋" w:cs="仿宋"/>
          <w:color w:val="000000"/>
          <w:spacing w:val="0"/>
          <w:sz w:val="32"/>
          <w:szCs w:val="32"/>
        </w:rPr>
        <w:t>、农林水支出决算数为</w:t>
      </w:r>
      <w:r>
        <w:rPr>
          <w:rFonts w:hint="eastAsia" w:ascii="仿宋" w:hAnsi="仿宋" w:eastAsia="仿宋" w:cs="仿宋"/>
          <w:color w:val="000000"/>
          <w:sz w:val="32"/>
          <w:szCs w:val="32"/>
          <w:lang w:val="en-US" w:eastAsia="zh-CN"/>
        </w:rPr>
        <w:t>137</w:t>
      </w:r>
      <w:r>
        <w:rPr>
          <w:rFonts w:hint="eastAsia" w:ascii="仿宋" w:hAnsi="仿宋" w:eastAsia="仿宋" w:cs="仿宋"/>
          <w:color w:val="000000"/>
          <w:spacing w:val="0"/>
          <w:sz w:val="32"/>
          <w:szCs w:val="32"/>
          <w:lang w:val="en-US" w:eastAsia="zh-CN"/>
        </w:rPr>
        <w:t>3</w:t>
      </w:r>
      <w:r>
        <w:rPr>
          <w:rFonts w:hint="eastAsia" w:ascii="仿宋" w:hAnsi="仿宋" w:eastAsia="仿宋" w:cs="仿宋"/>
          <w:color w:val="000000"/>
          <w:spacing w:val="0"/>
          <w:sz w:val="32"/>
          <w:szCs w:val="32"/>
        </w:rPr>
        <w:t>万元</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为预算的</w:t>
      </w:r>
      <w:r>
        <w:rPr>
          <w:rFonts w:hint="eastAsia" w:ascii="仿宋" w:hAnsi="仿宋" w:eastAsia="仿宋" w:cs="仿宋"/>
          <w:color w:val="000000"/>
          <w:sz w:val="32"/>
          <w:szCs w:val="32"/>
          <w:lang w:val="en-US" w:eastAsia="zh-CN"/>
        </w:rPr>
        <w:t>38.03</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、其他支出决算数为</w:t>
      </w:r>
      <w:r>
        <w:rPr>
          <w:rFonts w:hint="eastAsia" w:ascii="仿宋" w:hAnsi="仿宋" w:eastAsia="仿宋" w:cs="仿宋"/>
          <w:color w:val="000000"/>
          <w:sz w:val="32"/>
          <w:szCs w:val="32"/>
          <w:lang w:val="en-US" w:eastAsia="zh-CN"/>
        </w:rPr>
        <w:t>108558</w:t>
      </w:r>
      <w:r>
        <w:rPr>
          <w:rFonts w:hint="eastAsia" w:ascii="仿宋" w:hAnsi="仿宋" w:eastAsia="仿宋" w:cs="仿宋"/>
          <w:color w:val="000000"/>
          <w:sz w:val="32"/>
          <w:szCs w:val="32"/>
        </w:rPr>
        <w:t>万元，为预算的</w:t>
      </w:r>
      <w:r>
        <w:rPr>
          <w:rFonts w:hint="eastAsia" w:ascii="仿宋" w:hAnsi="仿宋" w:eastAsia="仿宋" w:cs="仿宋"/>
          <w:color w:val="000000"/>
          <w:sz w:val="32"/>
          <w:szCs w:val="32"/>
          <w:lang w:val="en-US" w:eastAsia="zh-CN"/>
        </w:rPr>
        <w:t>94.90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、债务发行费支出决算数为</w:t>
      </w:r>
      <w:r>
        <w:rPr>
          <w:rFonts w:hint="eastAsia" w:ascii="仿宋" w:hAnsi="仿宋" w:eastAsia="仿宋" w:cs="仿宋"/>
          <w:sz w:val="32"/>
          <w:szCs w:val="32"/>
          <w:lang w:val="en-US" w:eastAsia="zh-CN"/>
        </w:rPr>
        <w:t>104</w:t>
      </w:r>
      <w:r>
        <w:rPr>
          <w:rFonts w:hint="eastAsia" w:ascii="仿宋" w:hAnsi="仿宋" w:eastAsia="仿宋" w:cs="仿宋"/>
          <w:sz w:val="32"/>
          <w:szCs w:val="32"/>
        </w:rPr>
        <w:t>万元。</w:t>
      </w:r>
    </w:p>
    <w:p>
      <w:pPr>
        <w:pStyle w:val="7"/>
        <w:rPr>
          <w:rFonts w:hint="eastAsia"/>
        </w:rPr>
      </w:pPr>
    </w:p>
    <w:p>
      <w:pPr>
        <w:pStyle w:val="7"/>
      </w:pPr>
    </w:p>
    <w:p>
      <w:pPr>
        <w:spacing w:line="700" w:lineRule="exact"/>
        <w:jc w:val="left"/>
        <w:rPr>
          <w:rFonts w:eastAsia="方正小标宋_GBK"/>
          <w:sz w:val="32"/>
          <w:szCs w:val="32"/>
        </w:rPr>
      </w:pPr>
    </w:p>
    <w:p/>
    <w:p/>
    <w:p/>
    <w:p/>
    <w:p/>
    <w:p/>
    <w:p/>
    <w:p>
      <w:pPr>
        <w:rPr>
          <w:rFonts w:eastAsia="方正小标宋_GBK"/>
          <w:b/>
          <w:sz w:val="28"/>
          <w:szCs w:val="28"/>
        </w:rPr>
      </w:pPr>
      <w:r>
        <w:rPr>
          <w:rFonts w:hint="eastAsia" w:eastAsia="方正小标宋_GBK"/>
          <w:b/>
          <w:sz w:val="28"/>
          <w:szCs w:val="28"/>
        </w:rPr>
        <w:br w:type="page"/>
      </w:r>
    </w:p>
    <w:p>
      <w:pPr>
        <w:spacing w:line="700" w:lineRule="exact"/>
        <w:rPr>
          <w:rFonts w:ascii="黑体" w:hAnsi="黑体" w:eastAsia="黑体" w:cs="黑体"/>
          <w:bCs/>
          <w:sz w:val="32"/>
          <w:szCs w:val="32"/>
        </w:rPr>
      </w:pPr>
      <w:r>
        <w:rPr>
          <w:rFonts w:hint="eastAsia" w:ascii="黑体" w:hAnsi="黑体" w:eastAsia="黑体" w:cs="黑体"/>
          <w:bCs/>
          <w:sz w:val="32"/>
          <w:szCs w:val="32"/>
        </w:rPr>
        <w:t>附件44</w:t>
      </w:r>
    </w:p>
    <w:p>
      <w:pPr>
        <w:spacing w:line="700" w:lineRule="exact"/>
        <w:jc w:val="center"/>
        <w:rPr>
          <w:rFonts w:eastAsia="方正小标宋_GBK"/>
          <w:b/>
          <w:sz w:val="44"/>
          <w:szCs w:val="44"/>
        </w:rPr>
      </w:pP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遂宁市船山区转移支付情况说明</w:t>
      </w:r>
    </w:p>
    <w:p>
      <w:pPr>
        <w:jc w:val="left"/>
        <w:rPr>
          <w:rFonts w:ascii="方正小标宋_GBK" w:hAnsi="方正小标宋_GBK" w:eastAsia="方正小标宋_GBK" w:cs="方正小标宋_GBK"/>
          <w:bCs/>
          <w:color w:val="000000"/>
          <w:sz w:val="44"/>
          <w:szCs w:val="44"/>
        </w:rPr>
      </w:pPr>
    </w:p>
    <w:p>
      <w:pPr>
        <w:spacing w:line="600" w:lineRule="exact"/>
        <w:ind w:firstLine="640" w:firstLineChars="200"/>
        <w:rPr>
          <w:rFonts w:eastAsia="仿宋"/>
          <w:color w:val="000000"/>
          <w:sz w:val="32"/>
          <w:szCs w:val="32"/>
        </w:rPr>
      </w:pPr>
      <w:r>
        <w:rPr>
          <w:rFonts w:hint="eastAsia" w:eastAsia="仿宋"/>
          <w:color w:val="000000"/>
          <w:sz w:val="32"/>
          <w:szCs w:val="32"/>
        </w:rPr>
        <w:t>因我区对下级(乡镇、街道)实行的“乡财县管”体制，将乡镇和街道作为预算单位进行管理，对下级(乡镇、街道)没有转移支付相关数据。故：附件6：“202</w:t>
      </w:r>
      <w:r>
        <w:rPr>
          <w:rFonts w:hint="eastAsia" w:eastAsia="仿宋"/>
          <w:color w:val="000000"/>
          <w:sz w:val="32"/>
          <w:szCs w:val="32"/>
          <w:lang w:val="en-US" w:eastAsia="zh-CN"/>
        </w:rPr>
        <w:t>3</w:t>
      </w:r>
      <w:r>
        <w:rPr>
          <w:rFonts w:hint="eastAsia" w:eastAsia="仿宋"/>
          <w:color w:val="000000"/>
          <w:sz w:val="32"/>
          <w:szCs w:val="32"/>
        </w:rPr>
        <w:t>年遂宁市船山区对下一般公共预算转移支付和税收返还决算表”，附件21：“202</w:t>
      </w:r>
      <w:r>
        <w:rPr>
          <w:rFonts w:hint="eastAsia" w:eastAsia="仿宋"/>
          <w:color w:val="000000"/>
          <w:sz w:val="32"/>
          <w:szCs w:val="32"/>
          <w:lang w:val="en-US" w:eastAsia="zh-CN"/>
        </w:rPr>
        <w:t>3</w:t>
      </w:r>
      <w:r>
        <w:rPr>
          <w:rFonts w:hint="eastAsia" w:eastAsia="仿宋"/>
          <w:color w:val="000000"/>
          <w:sz w:val="32"/>
          <w:szCs w:val="32"/>
        </w:rPr>
        <w:t>年遂宁市船山区对下级政府性基金预算转移支付决算表”，附件32：“202</w:t>
      </w:r>
      <w:r>
        <w:rPr>
          <w:rFonts w:hint="eastAsia" w:eastAsia="仿宋"/>
          <w:color w:val="000000"/>
          <w:sz w:val="32"/>
          <w:szCs w:val="32"/>
          <w:lang w:val="en-US" w:eastAsia="zh-CN"/>
        </w:rPr>
        <w:t>3</w:t>
      </w:r>
      <w:r>
        <w:rPr>
          <w:rFonts w:hint="eastAsia" w:eastAsia="仿宋"/>
          <w:color w:val="000000"/>
          <w:sz w:val="32"/>
          <w:szCs w:val="32"/>
        </w:rPr>
        <w:t>年遂宁市船山区对下国有资本经营预算转移支付决算表”均无数据。</w:t>
      </w:r>
    </w:p>
    <w:p>
      <w:pPr>
        <w:spacing w:line="600" w:lineRule="exact"/>
        <w:ind w:firstLine="640" w:firstLineChars="200"/>
        <w:rPr>
          <w:rFonts w:eastAsia="仿宋"/>
          <w:color w:val="000000"/>
          <w:sz w:val="32"/>
          <w:szCs w:val="32"/>
        </w:rPr>
      </w:pPr>
      <w:r>
        <w:rPr>
          <w:rFonts w:hint="eastAsia" w:eastAsia="仿宋"/>
          <w:color w:val="000000"/>
          <w:sz w:val="32"/>
          <w:szCs w:val="32"/>
        </w:rPr>
        <w:t>特此说明。</w:t>
      </w:r>
    </w:p>
    <w:p>
      <w:pPr>
        <w:spacing w:line="700" w:lineRule="exact"/>
        <w:jc w:val="left"/>
        <w:rPr>
          <w:rFonts w:eastAsia="方正小标宋_GBK"/>
          <w:b/>
          <w:sz w:val="32"/>
          <w:szCs w:val="32"/>
        </w:rPr>
      </w:pPr>
    </w:p>
    <w:p/>
    <w:p/>
    <w:p/>
    <w:p/>
    <w:p/>
    <w:p/>
    <w:p/>
    <w:p/>
    <w:p/>
    <w:p/>
    <w:p/>
    <w:p/>
    <w:p/>
    <w:p/>
    <w:p/>
    <w:p/>
    <w:p/>
    <w:p>
      <w:pPr>
        <w:spacing w:line="700" w:lineRule="exact"/>
        <w:rPr>
          <w:rFonts w:ascii="黑体" w:hAnsi="黑体" w:eastAsia="黑体" w:cs="黑体"/>
          <w:bCs/>
          <w:sz w:val="32"/>
          <w:szCs w:val="32"/>
          <w:highlight w:val="yellow"/>
        </w:rPr>
      </w:pPr>
      <w:r>
        <w:rPr>
          <w:rFonts w:hint="eastAsia" w:ascii="黑体" w:hAnsi="黑体" w:eastAsia="黑体" w:cs="黑体"/>
          <w:bCs/>
          <w:sz w:val="32"/>
          <w:szCs w:val="32"/>
          <w:highlight w:val="yellow"/>
        </w:rPr>
        <w:t>附件45</w:t>
      </w:r>
    </w:p>
    <w:p>
      <w:pPr>
        <w:spacing w:line="700" w:lineRule="exact"/>
        <w:jc w:val="center"/>
        <w:rPr>
          <w:rFonts w:eastAsia="方正小标宋_GBK"/>
          <w:b/>
          <w:sz w:val="44"/>
          <w:szCs w:val="44"/>
          <w:highlight w:val="yellow"/>
        </w:rPr>
      </w:pPr>
    </w:p>
    <w:p>
      <w:pPr>
        <w:spacing w:line="600" w:lineRule="exact"/>
        <w:jc w:val="center"/>
        <w:rPr>
          <w:rFonts w:ascii="方正小标宋_GBK" w:hAnsi="方正小标宋_GBK" w:eastAsia="方正小标宋_GBK" w:cs="方正小标宋_GBK"/>
          <w:bCs/>
          <w:color w:val="000000"/>
          <w:sz w:val="44"/>
          <w:szCs w:val="44"/>
          <w:highlight w:val="yellow"/>
        </w:rPr>
      </w:pPr>
      <w:r>
        <w:rPr>
          <w:rFonts w:hint="eastAsia" w:ascii="方正小标宋_GBK" w:hAnsi="方正小标宋_GBK" w:eastAsia="方正小标宋_GBK" w:cs="方正小标宋_GBK"/>
          <w:bCs/>
          <w:color w:val="000000"/>
          <w:sz w:val="44"/>
          <w:szCs w:val="44"/>
          <w:highlight w:val="yellow"/>
        </w:rPr>
        <w:t>遂宁市船山区举借债务情况说明</w:t>
      </w:r>
    </w:p>
    <w:p>
      <w:pPr>
        <w:spacing w:line="600" w:lineRule="exact"/>
        <w:ind w:firstLine="640" w:firstLineChars="200"/>
        <w:rPr>
          <w:rFonts w:eastAsia="仿宋"/>
          <w:color w:val="000000"/>
          <w:sz w:val="32"/>
          <w:szCs w:val="32"/>
          <w:highlight w:val="yellow"/>
        </w:rPr>
      </w:pPr>
    </w:p>
    <w:p>
      <w:pPr>
        <w:numPr>
          <w:ilvl w:val="0"/>
          <w:numId w:val="1"/>
        </w:numPr>
        <w:spacing w:line="600" w:lineRule="exact"/>
        <w:ind w:firstLine="643" w:firstLineChars="200"/>
        <w:rPr>
          <w:rFonts w:eastAsia="仿宋"/>
          <w:b/>
          <w:color w:val="000000"/>
          <w:sz w:val="32"/>
          <w:szCs w:val="32"/>
          <w:highlight w:val="yellow"/>
        </w:rPr>
      </w:pPr>
      <w:r>
        <w:rPr>
          <w:rFonts w:hint="eastAsia" w:eastAsia="仿宋"/>
          <w:b/>
          <w:color w:val="000000"/>
          <w:sz w:val="32"/>
          <w:szCs w:val="32"/>
          <w:highlight w:val="yellow"/>
        </w:rPr>
        <w:t>全区政府债务基本情况</w:t>
      </w:r>
    </w:p>
    <w:p>
      <w:pPr>
        <w:spacing w:line="600" w:lineRule="exact"/>
        <w:ind w:firstLine="640" w:firstLineChars="200"/>
        <w:rPr>
          <w:rFonts w:eastAsia="仿宋"/>
          <w:color w:val="000000"/>
          <w:sz w:val="32"/>
          <w:szCs w:val="32"/>
        </w:rPr>
      </w:pPr>
      <w:r>
        <w:rPr>
          <w:rFonts w:hint="eastAsia" w:eastAsia="仿宋"/>
          <w:color w:val="000000"/>
          <w:sz w:val="32"/>
          <w:szCs w:val="32"/>
          <w:highlight w:val="yellow"/>
        </w:rPr>
        <w:t>2022年初，全区政府债务余额472,824.55万元（其中：一般债务226,405.78万元、专项债务246,418.77万元），</w:t>
      </w:r>
      <w:r>
        <w:rPr>
          <w:rFonts w:hint="eastAsia" w:eastAsia="仿宋"/>
          <w:color w:val="000000"/>
          <w:sz w:val="32"/>
          <w:szCs w:val="32"/>
        </w:rPr>
        <w:t>2022年全区新增政府债务158,491.91万元（其中：一般债务44,168.91万元、专项债务114,323万元），一般债务44,168.91万元包括新增一般债券1,133万元，用于遂宁市船山区2022年小型水库安全运行项目133万元、涪江流域联盟河支流（船山段）水环境综合治理项目1000万元；专项债务114,323万</w:t>
      </w:r>
      <w:r>
        <w:rPr>
          <w:rFonts w:hint="eastAsia" w:eastAsia="仿宋"/>
          <w:color w:val="000000"/>
          <w:sz w:val="32"/>
          <w:szCs w:val="32"/>
          <w:lang w:eastAsia="zh-CN"/>
        </w:rPr>
        <w:t>元</w:t>
      </w:r>
      <w:bookmarkStart w:id="23" w:name="_GoBack"/>
      <w:bookmarkEnd w:id="23"/>
      <w:r>
        <w:rPr>
          <w:rFonts w:hint="eastAsia" w:eastAsia="仿宋"/>
          <w:color w:val="000000"/>
          <w:sz w:val="32"/>
          <w:szCs w:val="32"/>
        </w:rPr>
        <w:t>包括新增一般债券110,300万元，主要用于支持项目收益能够完全覆盖债券本息的公益性项目建设，今年主要用于新建成都至达州至万州铁路（遂宁段）项目6,300万元、遂宁市船山区2021年幼儿园校园校舍改造项目1,000万元、遂宁市船山区中医院业务用房改造项目2,000万元、遂宁市船山区凯旋路道路（含南津北路老城区段）及管网改造项目5,000万元、遂宁市船山区临港产业园基础设施建设项目9,950万元、遂宁高新技术产业船山园区科教产业园基础设施建设项目16,000万元、遂宁市船山区循环经济产业园基础设施建设项目14,500万元、遂宁市船山区圣平岛田园综合体项目（一期）10,000万元、船山区老旧小区改造（二期）6,700万元、船山区老旧小区改造（三期）8,900万元、彰德桥棚户区改造项目1,500万元、永河现代农业园区建设项目5,000万元、船山区川浙共建藏区扶贫工业产业园区项目（通港大道及配套停车场建设项目）15,450万元、船山区川浙共建藏区扶贫工业产业园区（工业孵化器-标准厂房项目）6,000万元、船山区城镇供水设施提升改造项目2,000万元。</w:t>
      </w:r>
    </w:p>
    <w:p>
      <w:pPr>
        <w:numPr>
          <w:ilvl w:val="0"/>
          <w:numId w:val="1"/>
        </w:numPr>
        <w:spacing w:line="600" w:lineRule="exact"/>
        <w:ind w:firstLine="643" w:firstLineChars="200"/>
        <w:rPr>
          <w:rFonts w:eastAsia="仿宋"/>
          <w:b/>
          <w:color w:val="000000"/>
          <w:sz w:val="32"/>
          <w:szCs w:val="32"/>
        </w:rPr>
      </w:pPr>
      <w:r>
        <w:rPr>
          <w:rFonts w:hint="eastAsia" w:eastAsia="仿宋"/>
          <w:b/>
          <w:color w:val="000000"/>
          <w:sz w:val="32"/>
          <w:szCs w:val="32"/>
        </w:rPr>
        <w:t>债务偿还情况</w:t>
      </w:r>
    </w:p>
    <w:p>
      <w:pPr>
        <w:spacing w:line="600" w:lineRule="exact"/>
        <w:ind w:firstLine="640" w:firstLineChars="200"/>
        <w:rPr>
          <w:rFonts w:eastAsia="仿宋"/>
          <w:color w:val="000000"/>
          <w:sz w:val="32"/>
          <w:szCs w:val="32"/>
        </w:rPr>
      </w:pPr>
      <w:r>
        <w:rPr>
          <w:rFonts w:hint="eastAsia" w:eastAsia="仿宋"/>
          <w:color w:val="000000"/>
          <w:sz w:val="32"/>
          <w:szCs w:val="32"/>
        </w:rPr>
        <w:t>2022年全区政府债务到期本金48,542.16万元（一般债券到期本金43,035.91万元，专项债券到期本金5,463.33万元，外国政府及国际金融组织贷款到期本金42.92万元）。其中：通过财政预算安排偿还到期债务本金1,483.25万元（专项债券1,440.33万元，外国政府及国际金融组织贷款42.92万元）；通过发行再融资债券偿还到期债券本金48,499.24万元（一般债券43,035.91万元，专项债券4,023万元）</w:t>
      </w:r>
    </w:p>
    <w:p>
      <w:pPr>
        <w:spacing w:line="600" w:lineRule="exact"/>
        <w:ind w:firstLine="640" w:firstLineChars="200"/>
        <w:rPr>
          <w:rFonts w:eastAsia="仿宋"/>
          <w:color w:val="000000"/>
          <w:sz w:val="32"/>
          <w:szCs w:val="32"/>
        </w:rPr>
      </w:pPr>
      <w:r>
        <w:rPr>
          <w:rFonts w:hint="eastAsia" w:eastAsia="仿宋"/>
          <w:color w:val="000000"/>
          <w:sz w:val="32"/>
          <w:szCs w:val="32"/>
        </w:rPr>
        <w:t>截至2022年底，全区政府债务余额582,788.4万元（其中：一般债务227,509.96万元（因外债汇率变化，导致外债余额增加14.1万元），专项债务355,278.44万元），低于2022年全区政府债务限额590,373.76万元。</w:t>
      </w:r>
    </w:p>
    <w:p>
      <w:pPr>
        <w:jc w:val="center"/>
        <w:rPr>
          <w:rFonts w:eastAsia="方正小标宋_GBK"/>
          <w:b/>
          <w:sz w:val="44"/>
          <w:szCs w:val="44"/>
        </w:rPr>
      </w:pPr>
    </w:p>
    <w:p>
      <w:pPr>
        <w:jc w:val="both"/>
        <w:rPr>
          <w:rFonts w:eastAsia="方正小标宋_GBK"/>
          <w:b/>
          <w:sz w:val="44"/>
          <w:szCs w:val="44"/>
        </w:rPr>
      </w:pPr>
    </w:p>
    <w:p>
      <w:pPr>
        <w:spacing w:line="700" w:lineRule="exact"/>
        <w:rPr>
          <w:rFonts w:ascii="黑体" w:hAnsi="黑体" w:eastAsia="黑体" w:cs="黑体"/>
          <w:bCs/>
          <w:sz w:val="32"/>
          <w:szCs w:val="32"/>
        </w:rPr>
      </w:pPr>
      <w:r>
        <w:rPr>
          <w:rFonts w:hint="eastAsia" w:ascii="黑体" w:hAnsi="黑体" w:eastAsia="黑体" w:cs="黑体"/>
          <w:bCs/>
          <w:sz w:val="32"/>
          <w:szCs w:val="32"/>
        </w:rPr>
        <w:t>附件46</w:t>
      </w:r>
    </w:p>
    <w:p>
      <w:pPr>
        <w:spacing w:line="700" w:lineRule="exact"/>
        <w:jc w:val="center"/>
        <w:rPr>
          <w:rFonts w:eastAsia="方正小标宋_GBK"/>
          <w:b/>
          <w:sz w:val="44"/>
          <w:szCs w:val="44"/>
        </w:rPr>
      </w:pP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遂宁市船山区财政局</w:t>
      </w: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关于202</w:t>
      </w:r>
      <w:r>
        <w:rPr>
          <w:rFonts w:hint="eastAsia" w:ascii="方正小标宋_GBK" w:hAnsi="方正小标宋_GBK" w:eastAsia="方正小标宋_GBK" w:cs="方正小标宋_GBK"/>
          <w:bCs/>
          <w:color w:val="000000"/>
          <w:sz w:val="44"/>
          <w:szCs w:val="44"/>
          <w:lang w:val="en-US" w:eastAsia="zh-CN"/>
        </w:rPr>
        <w:t>3</w:t>
      </w:r>
      <w:r>
        <w:rPr>
          <w:rFonts w:hint="eastAsia" w:ascii="方正小标宋_GBK" w:hAnsi="方正小标宋_GBK" w:eastAsia="方正小标宋_GBK" w:cs="方正小标宋_GBK"/>
          <w:bCs/>
          <w:color w:val="000000"/>
          <w:sz w:val="44"/>
          <w:szCs w:val="44"/>
        </w:rPr>
        <w:t>年预算绩效管理工作情况的报告</w:t>
      </w:r>
    </w:p>
    <w:p>
      <w:pPr>
        <w:spacing w:line="560" w:lineRule="exact"/>
        <w:ind w:firstLine="640" w:firstLineChars="200"/>
        <w:rPr>
          <w:rFonts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olor w:val="000000"/>
          <w:sz w:val="32"/>
          <w:szCs w:val="32"/>
        </w:rPr>
      </w:pPr>
      <w:r>
        <w:rPr>
          <w:rFonts w:hint="eastAsia" w:eastAsia="仿宋"/>
          <w:color w:val="000000"/>
          <w:sz w:val="32"/>
          <w:szCs w:val="32"/>
        </w:rPr>
        <w:t>为深入推进全面实施预算绩效管理，切实提高财政资源配置效率和使用效益，增强政府公信力和执行力，结合我区工作实际情况，现将2023年度预算绩效管理工作报告如下。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rPr>
      </w:pPr>
      <w:r>
        <w:rPr>
          <w:rFonts w:hint="eastAsia" w:ascii="楷体" w:hAnsi="楷体" w:eastAsia="楷体" w:cs="楷体"/>
          <w:b/>
          <w:bCs/>
          <w:color w:val="000000"/>
          <w:sz w:val="32"/>
          <w:szCs w:val="32"/>
        </w:rPr>
        <w:t>(一)强化预算绩效目标编制。</w:t>
      </w:r>
      <w:r>
        <w:rPr>
          <w:rFonts w:hint="eastAsia" w:ascii="仿宋" w:hAnsi="仿宋" w:eastAsia="仿宋" w:cs="仿宋"/>
          <w:color w:val="000000"/>
          <w:sz w:val="32"/>
          <w:szCs w:val="32"/>
        </w:rPr>
        <w:t>编制年初预算时，要求各预算单位申报项目和部门整体支出预算必须全部编制绩效目标，无绩效目标的项目一律不纳入年初预算安排，采用线上评审的方式选取53个项目进行绩效目标审核，未通过绩效目标审核的项目和部门整体支出预算将退回重做。区财政局批复下达预算时，通过规范格式同步下达绩效目标，明确部门是预算执行主体，负责实现项目绩效目标。严格执行绩效目标与部门预算“同步编审、同步上会、同步批复、同步公开”,让绩效目标真正成为预算编制的前置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(二)充分开展事前绩效评估。</w:t>
      </w:r>
      <w:r>
        <w:rPr>
          <w:rFonts w:hint="eastAsia" w:eastAsia="仿宋"/>
          <w:color w:val="000000"/>
          <w:sz w:val="32"/>
          <w:szCs w:val="32"/>
        </w:rPr>
        <w:t>在编制年初预算时，各部门对本单位所有项目进行事前绩效自行评估，并将绩效评估报告作为绩效目标申报的重要依据，未进行事前绩效评估的项目不得纳入年初预算安排。区财政局针对新增重大项目支出等，结合船山区实际情况，选择一些社会关注度高、涉及面广、金额较大的项目开展事前绩效评估。2023年选定了生活垃圾分类和处理项目、三名工程等10个区本级预算安排的项目开展事前评估工作，涉及资金总额1048万元。经评估，对其中3个预算项目资金进行调整，调减预算资金180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(三)加强事中绩效监控工作。</w:t>
      </w:r>
      <w:r>
        <w:rPr>
          <w:rFonts w:hint="eastAsia" w:eastAsia="仿宋"/>
          <w:color w:val="000000"/>
          <w:sz w:val="32"/>
          <w:szCs w:val="32"/>
        </w:rPr>
        <w:t>我区按照省市绩效运行监控文件要求，对所有预算项目都开展了绩效执行跟踪监控。全区所有预算单位对2023年度1-9月期中财政资金绩效运行情况进行了全覆盖自查，我局根据各单位上报的运行监控情况选取6个单位的项目进行重点监控。针对项目运行效果不佳的，调整年度预算，共计收回指标1.044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rPr>
      </w:pPr>
      <w:r>
        <w:rPr>
          <w:rFonts w:hint="eastAsia" w:ascii="楷体" w:hAnsi="楷体" w:eastAsia="楷体" w:cs="楷体"/>
          <w:b/>
          <w:bCs/>
          <w:color w:val="000000"/>
          <w:sz w:val="32"/>
          <w:szCs w:val="32"/>
        </w:rPr>
        <w:t>(四)加强财政支出绩效评价。</w:t>
      </w:r>
      <w:r>
        <w:rPr>
          <w:rFonts w:hint="eastAsia" w:ascii="仿宋" w:hAnsi="仿宋" w:eastAsia="仿宋" w:cs="仿宋"/>
          <w:color w:val="000000"/>
          <w:sz w:val="32"/>
          <w:szCs w:val="32"/>
        </w:rPr>
        <w:t>参照省、市财政绩效评价工作要求并结合我区实际，2023年对区本级纳入预算信息公开的部门全部纳入自评范围，要求各部门对本部门财政资金使用情况开展自评并撰写部门整体支出绩效自评报告、项目支出绩效自评报告，并对区商务局、界福路街道办事处、区卫健局等10个部门的整体支出绩效评价情况进行重点抽查，涉及资金总额25714.57万元。同时选取了涉及惠民惠农政策、生态环境治理、农村基层设施补短板等方面的12个项目和1个财政支持政策做现场绩效评价，涉及资金总额40427.6万元；抽选的23个(政策)项目平均得分91.03分，有18个项目得分高于90分，有4个项目得分在80-90分之间，1个项目得分在80分以下；抽选的10个部门整体支出平均得分86.64分，最高得分为93.75分，最低得分为81.9分。通过对22个重点项目进行抽查复评，项目资金安排符合国家政策规定，项目目标完成率较高，实施过程规范有序，项目整体质量基本符合计划及方案要求，较好地实现了项目支出的预期绩效目标；通过对10个重点部门整体支出进行抽查复评，财政下拨资金到位率高，政策执行有力，资金管理情况较为规范，有效发挥了财政资金的使用效率。各部门基本履行了本部门应履行的相关职责，基本能够按照整体规划组织实施，较好地实现了部门支出的预期绩效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(五)做好绩效评价结果运用。</w:t>
      </w:r>
      <w:r>
        <w:rPr>
          <w:rFonts w:hint="eastAsia" w:eastAsia="仿宋"/>
          <w:color w:val="000000"/>
          <w:sz w:val="32"/>
          <w:szCs w:val="32"/>
        </w:rPr>
        <w:t>我区将预算绩效管理工作纳入全区目标绩效管理范畴内，出台了《遂宁市船山区预算绩效管理工作考核暂行办法》、《船山区委区府关于全面实施预算绩效管理的实施意见》等文件，明确了以倒扣分的方式，将各预算单位绩效管理工作的考核结果与年度绩效目标考核结果、次年公用经费、项目经费预算等挂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bookmarkStart w:id="18" w:name="OLE_LINK5"/>
      <w:r>
        <w:rPr>
          <w:rFonts w:hint="eastAsia" w:ascii="楷体" w:hAnsi="楷体" w:eastAsia="楷体" w:cs="楷体"/>
          <w:b/>
          <w:bCs/>
          <w:color w:val="000000"/>
          <w:sz w:val="32"/>
          <w:szCs w:val="32"/>
        </w:rPr>
        <w:t>(六)严格落实绩效信息公开。</w:t>
      </w:r>
      <w:bookmarkEnd w:id="18"/>
      <w:r>
        <w:rPr>
          <w:rFonts w:hint="eastAsia" w:eastAsia="仿宋"/>
          <w:color w:val="000000"/>
          <w:sz w:val="32"/>
          <w:szCs w:val="32"/>
        </w:rPr>
        <w:t>逐步推动各预算单位将绩效目标、自评结果等在政府门户内公开。区财政对一些社会关注度高、影响力大的民生项目和重点项目的绩效情况，逐步依法通过政府门户网站向社会公开。通过在“阳光下”运行，提升绩效管理工作的质量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bookmarkStart w:id="19" w:name="OLE_LINK1"/>
      <w:r>
        <w:rPr>
          <w:rFonts w:hint="eastAsia" w:ascii="黑体" w:hAnsi="黑体" w:eastAsia="黑体" w:cs="黑体"/>
          <w:color w:val="000000"/>
          <w:sz w:val="32"/>
          <w:szCs w:val="32"/>
        </w:rPr>
        <w:t>二、主要经验和存在不足</w:t>
      </w:r>
    </w:p>
    <w:bookmarkEnd w:id="19"/>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(一)主要经验。</w:t>
      </w:r>
      <w:r>
        <w:rPr>
          <w:rFonts w:hint="eastAsia" w:eastAsia="仿宋"/>
          <w:color w:val="000000"/>
          <w:sz w:val="32"/>
          <w:szCs w:val="32"/>
        </w:rPr>
        <w:t>一是逗硬实施考核。我区将财政支出绩效评价工作纳入政府目标绩效考核体系，逗硬考核。2023年，我局严格按照《遂宁市船山区预算绩效管理工作考核暂行办法》对预算绩效管理工作开展不力的单位逗硬扣减目标考核分，同时按比例压减部门整体支出预算和项目支出预算(涉及重点项目、民生支出等不能压减的，同比例压减该部门公用经费)。通过考核，提高预算单位对绩效评价工作的重视程度。二是积极运用考核成果。将绩效评价结果与第二年的预算安排相结合。对评价结果为优秀的单位，在安排预算时给予优先考虑；对评价结果为良、中</w:t>
      </w:r>
      <w:r>
        <w:rPr>
          <w:rFonts w:hint="eastAsia" w:eastAsia="仿宋"/>
          <w:color w:val="000000"/>
          <w:sz w:val="32"/>
          <w:szCs w:val="32"/>
          <w:lang w:eastAsia="zh-CN"/>
        </w:rPr>
        <w:t>、</w:t>
      </w:r>
      <w:r>
        <w:rPr>
          <w:rFonts w:hint="eastAsia" w:eastAsia="仿宋"/>
          <w:color w:val="000000"/>
          <w:sz w:val="32"/>
          <w:szCs w:val="32"/>
        </w:rPr>
        <w:t>差的单位，在安排预算时从紧考虑或不予安排；项目单位未按规定报送预算绩效目标或评价报告的，特别是对跨年度项目，财政部门将暂缓拨付财政资金或调减预算；已申报项目或部门整体支出预算绩效目标但未通过区财政局审核的，将通知相关单位重新进行申报，二次审核仍未通过的，区财政局在审核预算时不予安排。三是创新三方机构合作方式。2023年事后绩效评价开展过程中，我局积极协助区属国有控股代理记账机构参与到绩效评价工作中，由专业的第三方机构采用“传帮带”的方式，系统地学习绩效评价相关专业知识，培养我区自身的绩效评价从业人员，充实地方绩效评价专业人才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(二)存在不足。</w:t>
      </w:r>
      <w:r>
        <w:rPr>
          <w:rFonts w:hint="eastAsia" w:eastAsia="仿宋"/>
          <w:color w:val="000000"/>
          <w:sz w:val="32"/>
          <w:szCs w:val="32"/>
        </w:rPr>
        <w:t>一是部分部门及单位对项目资金管理和绩效评价工作认识和重视不够，对绩效管理的意义认识不清，长期以来形成的“重分配、轻管理”的观念还没有彻底根除，造成专项资金管理制度不健全、项目资金无分配方案，未体现突出重点原则、专项资金结余较多、会计核算不规范、业务主管部门监管不到位，未履行监管职能、项目单位管理不到位，未按项目管理办法监管项目、部门内控制度执行不到位等问题。二是项目绩效目标不明确。部分单位在申报绩效目标及进行绩效自评时没有积极与财政局对口业务股室协调，造成填报的绩效目标申报表和自评报告等资料质量参差不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三、下一步工作改进举措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olor w:val="000000"/>
          <w:sz w:val="32"/>
          <w:szCs w:val="32"/>
        </w:rPr>
      </w:pPr>
      <w:r>
        <w:rPr>
          <w:rFonts w:hint="eastAsia" w:eastAsia="仿宋"/>
          <w:color w:val="000000"/>
          <w:sz w:val="32"/>
          <w:szCs w:val="32"/>
        </w:rPr>
        <w:t>一是根据《中华人民共和国预算法》关于财政预算支出绩效管理要求，进一步落实财政资金项目绩效目标管理制度，细化项目绩效目标内容，加强预算执行考核，在资金分配上按照要求进行科学合理分配，突出重点兼顾公平，符合财政资金改革方向，全方位理解政策，提高项目效益，提高财政资金使用绩效。二是严格按项目资金管理要求规范使用项目资金，按照批准的项目实施方案、项目资金分配计划进行资金拨付和使用，做到专款专用，控制项目支出，按预算文件执行经费开支，避免超支，强化会计核算质量，做好项目支出核对与记录，确保同一项目资金下各个项目支出清晰可查，确保资金安全高效。督促主管部门加强项目验收管理，严格履行监管职责，对项目实施单位进行事前、事中、事后督查，组织相关专家参与项目验收，认真评定建设项目质量等级，通报相关资金使用管理情况，分析出现的问题，研究解决办法措施，确保项目高效完成。三是进一步加强项目绩效管理，完善绩效目标导向机制。从项目资料申报开始，重视绩效目标申报的完整性、合理性、可行性，合理进行预算申报，提高财政资金使用率。积极对项目开展绩效评价自评工作，进行自查自纠，充分完成项目绩效目标。同时，将绩效目标作为项目实施完成的重要依据，为后期绩效追踪、问责提供标准。四是提高单位领导对全面预算管理的重视程度，增强财务人员的预算意识，坚持先有预算、后有支出，没有预算不得支出的理念。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bookmarkStart w:id="20" w:name="OLE_LINK2"/>
      <w:r>
        <w:rPr>
          <w:rFonts w:hint="eastAsia" w:ascii="黑体" w:hAnsi="黑体" w:eastAsia="黑体" w:cs="黑体"/>
          <w:color w:val="000000"/>
          <w:sz w:val="32"/>
          <w:szCs w:val="32"/>
        </w:rPr>
        <w:t>四、建议意见</w:t>
      </w:r>
    </w:p>
    <w:bookmarkEnd w:id="20"/>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(一)高度重视，强化领导。</w:t>
      </w:r>
      <w:r>
        <w:rPr>
          <w:rFonts w:hint="eastAsia" w:eastAsia="仿宋"/>
          <w:color w:val="000000"/>
          <w:sz w:val="32"/>
          <w:szCs w:val="32"/>
        </w:rPr>
        <w:t>要求各单位也成立相应的机构，制定相关办法，进一步充实财政资金绩效管理的工作力量，抽选熟悉业务、工作扎实的同志负责绩效评价日常工作。在区人大、区政协、区审计局、区纪委监委等相关领域聘请人员组成预算绩效管理监督小组，深入基层巡视督查、参与项目绩效评价，适时进行现场督导。加大对重大项</w:t>
      </w:r>
      <w:r>
        <w:rPr>
          <w:rFonts w:hint="eastAsia" w:eastAsia="仿宋"/>
          <w:color w:val="000000"/>
          <w:sz w:val="32"/>
          <w:szCs w:val="32"/>
          <w:lang w:eastAsia="zh-CN"/>
        </w:rPr>
        <w:t>目</w:t>
      </w:r>
      <w:r>
        <w:rPr>
          <w:rFonts w:hint="eastAsia" w:eastAsia="仿宋"/>
          <w:color w:val="000000"/>
          <w:sz w:val="32"/>
          <w:szCs w:val="32"/>
        </w:rPr>
        <w:t>实施公开评审，动态跟踪监控等工作力度，促进预算绩效监控工作取得实质性进展，不断提高项目资金使用绩效，促进预算绩效管理监督工作常态化、全面化。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bookmarkStart w:id="21" w:name="OLE_LINK3"/>
      <w:r>
        <w:rPr>
          <w:rFonts w:hint="eastAsia" w:ascii="楷体" w:hAnsi="楷体" w:eastAsia="楷体" w:cs="楷体"/>
          <w:b/>
          <w:bCs/>
          <w:color w:val="000000"/>
          <w:sz w:val="32"/>
          <w:szCs w:val="32"/>
        </w:rPr>
        <w:t>(二)建立地方专业评价队伍。</w:t>
      </w:r>
      <w:bookmarkEnd w:id="21"/>
      <w:r>
        <w:rPr>
          <w:rFonts w:hint="eastAsia" w:eastAsia="仿宋"/>
          <w:color w:val="000000"/>
          <w:sz w:val="32"/>
          <w:szCs w:val="32"/>
        </w:rPr>
        <w:t>通过选聘专业第三方机构，采取“传帮带”的方式在实际评价过程中对区属国有控股代理记账机构及财政局工作人员进行绩效评价专业知识的培训，“以战代练”,加快本地区、本系统绩效评价专业人才的培养；建立由本地各行业、各部门专家组成的绩效评价人才库，加强财政干部队伍中从事绩效评价人员的培养，探索成立财政支出绩效评价协会，为绩效管理提供智力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bookmarkStart w:id="22" w:name="OLE_LINK4"/>
      <w:r>
        <w:rPr>
          <w:rFonts w:hint="eastAsia" w:ascii="楷体" w:hAnsi="楷体" w:eastAsia="楷体" w:cs="楷体"/>
          <w:b/>
          <w:bCs/>
          <w:color w:val="000000"/>
          <w:sz w:val="32"/>
          <w:szCs w:val="32"/>
        </w:rPr>
        <w:t>(三)完善评价指标体系。</w:t>
      </w:r>
      <w:bookmarkEnd w:id="22"/>
      <w:r>
        <w:rPr>
          <w:rFonts w:hint="eastAsia" w:eastAsia="仿宋"/>
          <w:color w:val="000000"/>
          <w:sz w:val="32"/>
          <w:szCs w:val="32"/>
        </w:rPr>
        <w:t>细化现有的绩效评价指标体系，对共性项目设置共性指标，对农业、教育、扶贫等民生项目设置个性指标，确保项目能得到真实、客观的反映和正确的评价，更好</w:t>
      </w:r>
      <w:r>
        <w:rPr>
          <w:rFonts w:hint="eastAsia" w:eastAsia="仿宋"/>
          <w:color w:val="000000"/>
          <w:sz w:val="32"/>
          <w:szCs w:val="32"/>
          <w:lang w:eastAsia="zh-CN"/>
        </w:rPr>
        <w:t>地</w:t>
      </w:r>
      <w:r>
        <w:rPr>
          <w:rFonts w:hint="eastAsia" w:eastAsia="仿宋"/>
          <w:color w:val="000000"/>
          <w:sz w:val="32"/>
          <w:szCs w:val="32"/>
        </w:rPr>
        <w:t>发挥财政资金的管理水平和效益。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
          <w:color w:val="000000"/>
          <w:sz w:val="32"/>
          <w:szCs w:val="32"/>
        </w:rPr>
      </w:pPr>
      <w:r>
        <w:rPr>
          <w:rFonts w:hint="eastAsia" w:ascii="楷体" w:hAnsi="楷体" w:eastAsia="楷体" w:cs="楷体"/>
          <w:b/>
          <w:bCs/>
          <w:color w:val="000000"/>
          <w:sz w:val="32"/>
          <w:szCs w:val="32"/>
        </w:rPr>
        <w:t>(四)强化绩效问责机制。</w:t>
      </w:r>
      <w:r>
        <w:rPr>
          <w:rFonts w:hint="eastAsia" w:eastAsia="仿宋"/>
          <w:color w:val="000000"/>
          <w:sz w:val="32"/>
          <w:szCs w:val="32"/>
        </w:rPr>
        <w:t>区级财政对绩效评价发现的各类问题以点对点的形式，督促相关单位在项目立项、制</w:t>
      </w:r>
      <w:r>
        <w:rPr>
          <w:rFonts w:hint="eastAsia" w:ascii="仿宋" w:hAnsi="仿宋" w:eastAsia="仿宋" w:cs="仿宋"/>
          <w:color w:val="000000"/>
          <w:sz w:val="32"/>
          <w:szCs w:val="32"/>
        </w:rPr>
        <w:t>度完善、加强管理、问责追责、提高资金绩效等多方面实行“一对一”整改到位，切实将评价结果作为提高管理水平的支撑。同时，区纪委监委、区审计局、区财政局定期或不定期开展项目检查，对项目资金管理不严，使用方向偏离绩效目标的单位和相关人员，按照相关规定进行处理。做到“花钱必问效、无效必问责”,提高全区预算绩效管理整体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14D8F"/>
    <w:multiLevelType w:val="singleLevel"/>
    <w:tmpl w:val="B8614D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xOGNiMWUzYmY2MjhmMDg0NWM2YzA4MDM1Y2Y3ZGEifQ=="/>
  </w:docVars>
  <w:rsids>
    <w:rsidRoot w:val="00594E92"/>
    <w:rsid w:val="000536E3"/>
    <w:rsid w:val="00057AE5"/>
    <w:rsid w:val="00086F23"/>
    <w:rsid w:val="000A601F"/>
    <w:rsid w:val="000E14BC"/>
    <w:rsid w:val="000F7BF9"/>
    <w:rsid w:val="001441C0"/>
    <w:rsid w:val="00182DA0"/>
    <w:rsid w:val="001A2DC8"/>
    <w:rsid w:val="00200521"/>
    <w:rsid w:val="002C2BE1"/>
    <w:rsid w:val="002F3279"/>
    <w:rsid w:val="00305FFB"/>
    <w:rsid w:val="0036399F"/>
    <w:rsid w:val="00467F93"/>
    <w:rsid w:val="004858CC"/>
    <w:rsid w:val="004D6709"/>
    <w:rsid w:val="004F16FF"/>
    <w:rsid w:val="00575BC7"/>
    <w:rsid w:val="00594E92"/>
    <w:rsid w:val="005F182C"/>
    <w:rsid w:val="006163AE"/>
    <w:rsid w:val="00685B7C"/>
    <w:rsid w:val="00760EC5"/>
    <w:rsid w:val="007C3940"/>
    <w:rsid w:val="007D450E"/>
    <w:rsid w:val="00820448"/>
    <w:rsid w:val="0082744E"/>
    <w:rsid w:val="00881406"/>
    <w:rsid w:val="008969BB"/>
    <w:rsid w:val="008C609F"/>
    <w:rsid w:val="008F2EB3"/>
    <w:rsid w:val="009242EF"/>
    <w:rsid w:val="00924C0C"/>
    <w:rsid w:val="00951855"/>
    <w:rsid w:val="009854E8"/>
    <w:rsid w:val="009C6521"/>
    <w:rsid w:val="00A10DF0"/>
    <w:rsid w:val="00A13474"/>
    <w:rsid w:val="00AE612D"/>
    <w:rsid w:val="00AF32D4"/>
    <w:rsid w:val="00B564BF"/>
    <w:rsid w:val="00B61FD5"/>
    <w:rsid w:val="00C6384C"/>
    <w:rsid w:val="00C871E5"/>
    <w:rsid w:val="00CA6E20"/>
    <w:rsid w:val="00CD7906"/>
    <w:rsid w:val="00D23875"/>
    <w:rsid w:val="00D41BFA"/>
    <w:rsid w:val="00D41E45"/>
    <w:rsid w:val="00D76F49"/>
    <w:rsid w:val="00D97FE6"/>
    <w:rsid w:val="00DB0BF8"/>
    <w:rsid w:val="00DE086B"/>
    <w:rsid w:val="00E4797E"/>
    <w:rsid w:val="00E54EEC"/>
    <w:rsid w:val="00E934A0"/>
    <w:rsid w:val="00F119D3"/>
    <w:rsid w:val="00F17ECC"/>
    <w:rsid w:val="00F25CC3"/>
    <w:rsid w:val="00FD3A62"/>
    <w:rsid w:val="09AD659B"/>
    <w:rsid w:val="0CD619C5"/>
    <w:rsid w:val="17420627"/>
    <w:rsid w:val="1BFB097C"/>
    <w:rsid w:val="1C517D61"/>
    <w:rsid w:val="1CBE1FDE"/>
    <w:rsid w:val="1CFD6B1B"/>
    <w:rsid w:val="29361D11"/>
    <w:rsid w:val="2D76092E"/>
    <w:rsid w:val="32D37F37"/>
    <w:rsid w:val="3A105C66"/>
    <w:rsid w:val="3F4E6D01"/>
    <w:rsid w:val="4C001FDF"/>
    <w:rsid w:val="4F416B75"/>
    <w:rsid w:val="4F477F24"/>
    <w:rsid w:val="57EF1A7A"/>
    <w:rsid w:val="5EEF5209"/>
    <w:rsid w:val="65447780"/>
    <w:rsid w:val="70514217"/>
    <w:rsid w:val="748C2C35"/>
    <w:rsid w:val="76124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spacing w:after="120"/>
    </w:pPr>
    <w:rPr>
      <w:rFonts w:asciiTheme="minorHAnsi" w:hAnsiTheme="minorHAnsi" w:eastAsiaTheme="minorEastAsia" w:cstheme="minorBidi"/>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basedOn w:val="1"/>
    <w:qFormat/>
    <w:uiPriority w:val="0"/>
    <w:pPr>
      <w:autoSpaceDE w:val="0"/>
      <w:autoSpaceDN w:val="0"/>
    </w:pPr>
    <w:rPr>
      <w:rFonts w:ascii="Calibri" w:hAnsi="Calibri" w:cs="宋体"/>
      <w:color w:val="000000"/>
      <w:sz w:val="24"/>
    </w:rPr>
  </w:style>
  <w:style w:type="paragraph" w:styleId="8">
    <w:name w:val="List Paragraph"/>
    <w:basedOn w:val="1"/>
    <w:qFormat/>
    <w:uiPriority w:val="34"/>
    <w:pPr>
      <w:ind w:firstLine="420" w:firstLineChars="200"/>
    </w:pPr>
  </w:style>
  <w:style w:type="character" w:customStyle="1" w:styleId="9">
    <w:name w:val="正文文本 Char"/>
    <w:basedOn w:val="6"/>
    <w:link w:val="2"/>
    <w:qFormat/>
    <w:uiPriority w:val="99"/>
    <w:rPr>
      <w:szCs w:val="24"/>
    </w:rPr>
  </w:style>
  <w:style w:type="paragraph" w:customStyle="1" w:styleId="10">
    <w:name w:val="列出段落1"/>
    <w:basedOn w:val="1"/>
    <w:qFormat/>
    <w:uiPriority w:val="34"/>
    <w:pPr>
      <w:ind w:firstLine="420" w:firstLineChars="200"/>
    </w:pPr>
    <w:rPr>
      <w:rFonts w:asciiTheme="minorHAnsi" w:hAnsiTheme="minorHAnsi" w:eastAsiaTheme="minorEastAsia" w:cstheme="minorBidi"/>
    </w:rPr>
  </w:style>
  <w:style w:type="character" w:customStyle="1" w:styleId="11">
    <w:name w:val="页眉 Char"/>
    <w:basedOn w:val="6"/>
    <w:link w:val="4"/>
    <w:semiHidden/>
    <w:qFormat/>
    <w:uiPriority w:val="99"/>
    <w:rPr>
      <w:rFonts w:ascii="Times New Roman" w:hAnsi="Times New Roman" w:eastAsia="宋体" w:cs="Times New Roman"/>
      <w:kern w:val="2"/>
      <w:sz w:val="18"/>
      <w:szCs w:val="18"/>
    </w:rPr>
  </w:style>
  <w:style w:type="character" w:customStyle="1" w:styleId="12">
    <w:name w:val="页脚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5607</Words>
  <Characters>6301</Characters>
  <Lines>43</Lines>
  <Paragraphs>12</Paragraphs>
  <TotalTime>11</TotalTime>
  <ScaleCrop>false</ScaleCrop>
  <LinksUpToDate>false</LinksUpToDate>
  <CharactersWithSpaces>6301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2022-09-07T07:07:00Z</dcterms:created>
  <dc:creator>Administrator</dc:creator>
  <cp:lastModifiedBy>Administrator</cp:lastModifiedBy>
  <dcterms:modified xsi:type="dcterms:W3CDTF">2024-09-11T09:15:39Z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7A337F48C45243BBBD2A5DD06AA5CF62</vt:lpwstr>
  </property>
</Properties>
</file>