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96475"/>
      <w:bookmarkStart w:id="1" w:name="_Toc15396597"/>
      <w:bookmarkStart w:id="2" w:name="_Toc15377193"/>
      <w:bookmarkStart w:id="3" w:name="_Toc15377425"/>
      <w:bookmarkStart w:id="4" w:name="_Toc15378441"/>
      <w:bookmarkStart w:id="5" w:name="_Toc15306267"/>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6" w:name="_Toc11788"/>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w:t>
      </w:r>
      <w:r>
        <w:rPr>
          <w:rFonts w:hint="eastAsia" w:eastAsia="方正小标宋简体" w:cs="Times New Roman"/>
          <w:color w:val="auto"/>
          <w:sz w:val="72"/>
          <w:szCs w:val="72"/>
          <w:highlight w:val="none"/>
          <w:lang w:val="en-US" w:eastAsia="zh-CN"/>
        </w:rPr>
        <w:t>3</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bookmarkEnd w:id="6"/>
    </w:p>
    <w:bookmarkEnd w:id="5"/>
    <w:p>
      <w:pPr>
        <w:widowControl/>
        <w:jc w:val="center"/>
        <w:rPr>
          <w:rFonts w:hint="default" w:ascii="Times New Roman" w:hAnsi="Times New Roman" w:eastAsia="黑体" w:cs="Times New Roman"/>
          <w:color w:val="auto"/>
          <w:sz w:val="28"/>
          <w:szCs w:val="28"/>
          <w:highlight w:val="none"/>
        </w:rPr>
      </w:pPr>
      <w:bookmarkStart w:id="7" w:name="_Toc15306268"/>
      <w:bookmarkStart w:id="8" w:name="_Toc15377426"/>
      <w:bookmarkStart w:id="9" w:name="_Toc15377194"/>
      <w:bookmarkStart w:id="10" w:name="_Toc15396598"/>
      <w:bookmarkStart w:id="11" w:name="_Toc15378442"/>
      <w:bookmarkStart w:id="12" w:name="_Toc15396476"/>
      <w:r>
        <w:rPr>
          <w:rFonts w:hint="default" w:ascii="Times New Roman" w:hAnsi="Times New Roman" w:eastAsia="方正小标宋简体" w:cs="Times New Roman"/>
          <w:color w:val="auto"/>
          <w:sz w:val="72"/>
          <w:szCs w:val="72"/>
          <w:highlight w:val="none"/>
        </w:rPr>
        <w:t>中国共产党遂宁市船山区委员会宣传部</w:t>
      </w:r>
      <w:r>
        <w:rPr>
          <w:rFonts w:hint="eastAsia" w:eastAsia="方正小标宋简体" w:cs="Times New Roman"/>
          <w:color w:val="auto"/>
          <w:sz w:val="72"/>
          <w:szCs w:val="72"/>
          <w:highlight w:val="none"/>
          <w:lang w:eastAsia="zh-CN"/>
        </w:rPr>
        <w:t>单位</w:t>
      </w:r>
      <w:r>
        <w:rPr>
          <w:rFonts w:hint="default" w:ascii="Times New Roman" w:hAnsi="Times New Roman" w:eastAsia="方正小标宋简体" w:cs="Times New Roman"/>
          <w:color w:val="auto"/>
          <w:sz w:val="72"/>
          <w:szCs w:val="72"/>
          <w:highlight w:val="none"/>
        </w:rPr>
        <w:t>决算</w:t>
      </w:r>
      <w:bookmarkEnd w:id="7"/>
      <w:bookmarkEnd w:id="8"/>
      <w:bookmarkEnd w:id="9"/>
      <w:bookmarkEnd w:id="10"/>
      <w:bookmarkEnd w:id="11"/>
      <w:bookmarkEnd w:id="12"/>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pStyle w:val="13"/>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rPr>
        <w:t>日</w:t>
      </w:r>
    </w:p>
    <w:p>
      <w:pPr>
        <w:rPr>
          <w:rFonts w:hint="default" w:ascii="Times New Roman" w:hAnsi="Times New Roman" w:cs="Times New Roman"/>
          <w:color w:val="auto"/>
          <w:highlight w:val="none"/>
        </w:rPr>
      </w:pPr>
    </w:p>
    <w:sdt>
      <w:sdtPr>
        <w:rPr>
          <w:rFonts w:ascii="宋体" w:hAnsi="宋体" w:eastAsia="宋体" w:cs="Times New Roman"/>
          <w:kern w:val="2"/>
          <w:sz w:val="21"/>
          <w:szCs w:val="24"/>
          <w:lang w:val="en-US" w:eastAsia="zh-CN" w:bidi="ar-SA"/>
        </w:rPr>
        <w:id w:val="147470542"/>
        <w15:color w:val="DBDBDB"/>
      </w:sdtPr>
      <w:sdtEndPr>
        <w:rPr>
          <w:rFonts w:hint="default" w:ascii="Times New Roman" w:hAnsi="Times New Roman" w:eastAsia="黑体" w:cs="Times New Roman"/>
          <w:b/>
          <w:bCs/>
          <w:color w:val="auto"/>
          <w:kern w:val="44"/>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b/>
            </w:rPr>
          </w:pPr>
          <w:r>
            <w:rPr>
              <w:rFonts w:hint="default" w:ascii="Times New Roman" w:hAnsi="Times New Roman" w:eastAsia="黑体" w:cs="Times New Roman"/>
              <w:b w:val="0"/>
              <w:color w:val="auto"/>
              <w:highlight w:val="none"/>
            </w:rPr>
            <w:fldChar w:fldCharType="begin"/>
          </w:r>
          <w:r>
            <w:rPr>
              <w:rFonts w:hint="default" w:ascii="Times New Roman" w:hAnsi="Times New Roman" w:eastAsia="黑体" w:cs="Times New Roman"/>
              <w:b w:val="0"/>
              <w:color w:val="auto"/>
              <w:highlight w:val="none"/>
            </w:rPr>
            <w:instrText xml:space="preserve">TOC \o "1-2" \h \u </w:instrText>
          </w:r>
          <w:r>
            <w:rPr>
              <w:rFonts w:hint="default" w:ascii="Times New Roman" w:hAnsi="Times New Roman" w:eastAsia="黑体" w:cs="Times New Roman"/>
              <w:b w:val="0"/>
              <w:color w:val="auto"/>
              <w:highlight w:val="none"/>
            </w:rPr>
            <w:fldChar w:fldCharType="separate"/>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_Toc28158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highlight w:val="none"/>
            </w:rPr>
            <w:t xml:space="preserve">第一部分 </w:t>
          </w:r>
          <w:r>
            <w:rPr>
              <w:rFonts w:hint="eastAsia" w:eastAsia="黑体" w:cs="Times New Roman"/>
              <w:b/>
              <w:bCs w:val="0"/>
              <w:highlight w:val="none"/>
              <w:lang w:eastAsia="zh-CN"/>
            </w:rPr>
            <w:t>单位</w:t>
          </w:r>
          <w:r>
            <w:rPr>
              <w:rFonts w:hint="default" w:ascii="Times New Roman" w:hAnsi="Times New Roman" w:eastAsia="黑体" w:cs="Times New Roman"/>
              <w:b/>
              <w:bCs w:val="0"/>
              <w:highlight w:val="none"/>
            </w:rPr>
            <w:t>概况</w:t>
          </w:r>
          <w:r>
            <w:rPr>
              <w:b/>
            </w:rPr>
            <w:tab/>
          </w:r>
          <w:r>
            <w:rPr>
              <w:b/>
            </w:rPr>
            <w:fldChar w:fldCharType="begin"/>
          </w:r>
          <w:r>
            <w:rPr>
              <w:b/>
            </w:rPr>
            <w:instrText xml:space="preserve"> PAGEREF _Toc28158 \h </w:instrText>
          </w:r>
          <w:r>
            <w:rPr>
              <w:b/>
            </w:rPr>
            <w:fldChar w:fldCharType="separate"/>
          </w:r>
          <w:r>
            <w:rPr>
              <w:b/>
            </w:rPr>
            <w:t>1</w:t>
          </w:r>
          <w:r>
            <w:rPr>
              <w:b/>
            </w:rPr>
            <w:fldChar w:fldCharType="end"/>
          </w:r>
          <w:r>
            <w:rPr>
              <w:rFonts w:hint="default" w:ascii="Times New Roman" w:hAnsi="Times New Roman" w:eastAsia="黑体" w:cs="Times New Roman"/>
              <w:b/>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_Toc7004 </w:instrText>
          </w:r>
          <w:r>
            <w:rPr>
              <w:rFonts w:hint="default" w:ascii="Times New Roman" w:hAnsi="Times New Roman" w:eastAsia="黑体" w:cs="Times New Roman"/>
              <w:highlight w:val="none"/>
            </w:rPr>
            <w:fldChar w:fldCharType="separate"/>
          </w:r>
          <w:r>
            <w:rPr>
              <w:rFonts w:hint="eastAsia" w:ascii="黑体" w:hAnsi="黑体" w:eastAsia="黑体"/>
              <w:highlight w:val="none"/>
            </w:rPr>
            <w:t>一、</w:t>
          </w:r>
          <w:r>
            <w:rPr>
              <w:rFonts w:hint="eastAsia" w:ascii="黑体" w:hAnsi="黑体" w:eastAsia="黑体"/>
              <w:highlight w:val="none"/>
              <w:lang w:eastAsia="zh-CN"/>
            </w:rPr>
            <w:t>单位职责</w:t>
          </w:r>
          <w:r>
            <w:tab/>
          </w:r>
          <w:r>
            <w:fldChar w:fldCharType="begin"/>
          </w:r>
          <w:r>
            <w:instrText xml:space="preserve"> PAGEREF _Toc7004 \h </w:instrText>
          </w:r>
          <w:r>
            <w:fldChar w:fldCharType="separate"/>
          </w:r>
          <w:r>
            <w:t>1</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_Toc15121 </w:instrText>
          </w:r>
          <w:r>
            <w:rPr>
              <w:rFonts w:hint="default" w:ascii="Times New Roman" w:hAnsi="Times New Roman" w:eastAsia="黑体" w:cs="Times New Roman"/>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_Toc15121 \h </w:instrText>
          </w:r>
          <w:r>
            <w:fldChar w:fldCharType="separate"/>
          </w:r>
          <w:r>
            <w:t>4</w:t>
          </w:r>
          <w:r>
            <w:fldChar w:fldCharType="end"/>
          </w:r>
          <w:r>
            <w:rPr>
              <w:rFonts w:hint="default" w:ascii="Times New Roman" w:hAnsi="Times New Roman" w:eastAsia="黑体" w:cs="Times New Roman"/>
              <w:color w:val="auto"/>
              <w:highlight w:val="none"/>
            </w:rPr>
            <w:fldChar w:fldCharType="end"/>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_Toc22064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bCs/>
              <w:highlight w:val="none"/>
            </w:rPr>
            <w:t xml:space="preserve">第二部分 </w:t>
          </w:r>
          <w:r>
            <w:rPr>
              <w:rFonts w:hint="eastAsia" w:eastAsia="黑体" w:cs="Times New Roman"/>
              <w:b/>
              <w:bCs/>
              <w:highlight w:val="none"/>
              <w:lang w:val="en-US" w:eastAsia="zh-CN"/>
            </w:rPr>
            <w:t>2023年</w:t>
          </w:r>
          <w:r>
            <w:rPr>
              <w:rFonts w:hint="default" w:ascii="Times New Roman" w:hAnsi="Times New Roman" w:eastAsia="黑体" w:cs="Times New Roman"/>
              <w:b/>
              <w:bCs/>
              <w:highlight w:val="none"/>
              <w:lang w:val="en-US" w:eastAsia="zh-CN"/>
            </w:rPr>
            <w:t>度</w:t>
          </w:r>
          <w:r>
            <w:rPr>
              <w:rFonts w:hint="eastAsia" w:eastAsia="黑体" w:cs="Times New Roman"/>
              <w:b/>
              <w:bCs/>
              <w:highlight w:val="none"/>
              <w:lang w:eastAsia="zh-CN"/>
            </w:rPr>
            <w:t>单位</w:t>
          </w:r>
          <w:r>
            <w:rPr>
              <w:rFonts w:hint="default" w:ascii="Times New Roman" w:hAnsi="Times New Roman" w:eastAsia="黑体" w:cs="Times New Roman"/>
              <w:b/>
              <w:bCs/>
              <w:highlight w:val="none"/>
            </w:rPr>
            <w:t>决算情况说明</w:t>
          </w:r>
          <w:r>
            <w:rPr>
              <w:b/>
            </w:rPr>
            <w:tab/>
          </w:r>
          <w:r>
            <w:rPr>
              <w:b/>
            </w:rPr>
            <w:fldChar w:fldCharType="begin"/>
          </w:r>
          <w:r>
            <w:rPr>
              <w:b/>
            </w:rPr>
            <w:instrText xml:space="preserve"> PAGEREF _Toc22064 \h </w:instrText>
          </w:r>
          <w:r>
            <w:rPr>
              <w:b/>
            </w:rPr>
            <w:fldChar w:fldCharType="separate"/>
          </w:r>
          <w:r>
            <w:rPr>
              <w:b/>
            </w:rPr>
            <w:t>5</w:t>
          </w:r>
          <w:r>
            <w:rPr>
              <w:b/>
            </w:rPr>
            <w:fldChar w:fldCharType="end"/>
          </w:r>
          <w:r>
            <w:rPr>
              <w:rFonts w:hint="default" w:ascii="Times New Roman" w:hAnsi="Times New Roman" w:eastAsia="黑体" w:cs="Times New Roman"/>
              <w:b/>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_Toc266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一、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入支出决算总体情况说明</w:t>
          </w:r>
          <w:r>
            <w:tab/>
          </w:r>
          <w:r>
            <w:fldChar w:fldCharType="begin"/>
          </w:r>
          <w:r>
            <w:instrText xml:space="preserve"> PAGEREF _Toc266 \h </w:instrText>
          </w:r>
          <w:r>
            <w:fldChar w:fldCharType="separate"/>
          </w:r>
          <w:r>
            <w:t>5</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_Toc2826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二、 </w:t>
          </w:r>
          <w:r>
            <w:rPr>
              <w:rFonts w:hint="default" w:ascii="Times New Roman" w:hAnsi="Times New Roman" w:eastAsia="黑体" w:cs="Times New Roman"/>
              <w:szCs w:val="32"/>
              <w:highlight w:val="none"/>
            </w:rPr>
            <w:t>收</w:t>
          </w:r>
          <w:r>
            <w:rPr>
              <w:rFonts w:hint="default" w:ascii="Times New Roman" w:hAnsi="Times New Roman" w:eastAsia="黑体" w:cs="Times New Roman"/>
              <w:highlight w:val="none"/>
            </w:rPr>
            <w:t>入决算情况说明</w:t>
          </w:r>
          <w:r>
            <w:tab/>
          </w:r>
          <w:r>
            <w:fldChar w:fldCharType="begin"/>
          </w:r>
          <w:r>
            <w:instrText xml:space="preserve"> PAGEREF _Toc2826 \h </w:instrText>
          </w:r>
          <w:r>
            <w:fldChar w:fldCharType="separate"/>
          </w:r>
          <w:r>
            <w:t>5</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_Toc4565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rPr>
            <w:t xml:space="preserve">三、 </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_Toc4565 \h </w:instrText>
          </w:r>
          <w:r>
            <w:fldChar w:fldCharType="separate"/>
          </w:r>
          <w:r>
            <w:t>6</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_Toc9174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_Toc9174 \h </w:instrText>
          </w:r>
          <w:r>
            <w:fldChar w:fldCharType="separate"/>
          </w:r>
          <w:r>
            <w:t>6</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_Toc24783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rPr>
            <w:t>五</w:t>
          </w:r>
          <w:r>
            <w:rPr>
              <w:rFonts w:hint="default" w:ascii="Times New Roman" w:hAnsi="Times New Roman" w:eastAsia="黑体" w:cs="Times New Roman"/>
              <w:szCs w:val="32"/>
              <w:highlight w:val="none"/>
            </w:rPr>
            <w:t>、一</w:t>
          </w:r>
          <w:r>
            <w:rPr>
              <w:rFonts w:hint="default" w:ascii="Times New Roman" w:hAnsi="Times New Roman" w:eastAsia="黑体" w:cs="Times New Roman"/>
              <w:highlight w:val="none"/>
            </w:rPr>
            <w:t>般公共预算财政拨款支出决算情况说明</w:t>
          </w:r>
          <w:r>
            <w:tab/>
          </w:r>
          <w:r>
            <w:fldChar w:fldCharType="begin"/>
          </w:r>
          <w:r>
            <w:instrText xml:space="preserve"> PAGEREF _Toc24783 \h </w:instrText>
          </w:r>
          <w:r>
            <w:fldChar w:fldCharType="separate"/>
          </w:r>
          <w:r>
            <w:t>7</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_Toc26202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六、一</w:t>
          </w:r>
          <w:r>
            <w:rPr>
              <w:rFonts w:hint="default" w:ascii="Times New Roman" w:hAnsi="Times New Roman" w:eastAsia="黑体" w:cs="Times New Roman"/>
              <w:highlight w:val="none"/>
            </w:rPr>
            <w:t>般公共预算财政拨款基本支出决算情况说明</w:t>
          </w:r>
          <w:r>
            <w:tab/>
          </w:r>
          <w:r>
            <w:fldChar w:fldCharType="begin"/>
          </w:r>
          <w:r>
            <w:instrText xml:space="preserve"> PAGEREF _Toc26202 \h </w:instrText>
          </w:r>
          <w:r>
            <w:fldChar w:fldCharType="separate"/>
          </w:r>
          <w:r>
            <w:t>10</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_Toc27195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_Toc27195 \h </w:instrText>
          </w:r>
          <w:r>
            <w:fldChar w:fldCharType="separate"/>
          </w:r>
          <w:r>
            <w:t>11</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_Toc12284 </w:instrText>
          </w:r>
          <w:r>
            <w:rPr>
              <w:rFonts w:hint="default" w:ascii="Times New Roman" w:hAnsi="Times New Roman" w:eastAsia="黑体" w:cs="Times New Roman"/>
              <w:highlight w:val="none"/>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_Toc12284 \h </w:instrText>
          </w:r>
          <w:r>
            <w:fldChar w:fldCharType="separate"/>
          </w:r>
          <w:r>
            <w:t>12</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_Toc14011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九、 </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_Toc14011 \h </w:instrText>
          </w:r>
          <w:r>
            <w:fldChar w:fldCharType="separate"/>
          </w:r>
          <w:r>
            <w:t>13</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_Toc30190 </w:instrText>
          </w:r>
          <w:r>
            <w:rPr>
              <w:rFonts w:hint="default" w:ascii="Times New Roman" w:hAnsi="Times New Roman" w:eastAsia="黑体" w:cs="Times New Roman"/>
              <w:highlight w:val="none"/>
            </w:rPr>
            <w:fldChar w:fldCharType="separate"/>
          </w:r>
          <w:r>
            <w:rPr>
              <w:rFonts w:hint="eastAsia" w:ascii="Times New Roman" w:hAnsi="Times New Roman" w:eastAsia="黑体" w:cs="Times New Roman"/>
            </w:rPr>
            <w:t xml:space="preserve">十、 </w:t>
          </w:r>
          <w:r>
            <w:rPr>
              <w:rFonts w:hint="default" w:ascii="Times New Roman" w:hAnsi="Times New Roman" w:eastAsia="黑体" w:cs="Times New Roman"/>
              <w:highlight w:val="none"/>
            </w:rPr>
            <w:t>其他重要事项的情况说明</w:t>
          </w:r>
          <w:r>
            <w:tab/>
          </w:r>
          <w:r>
            <w:fldChar w:fldCharType="begin"/>
          </w:r>
          <w:r>
            <w:instrText xml:space="preserve"> PAGEREF _Toc30190 \h </w:instrText>
          </w:r>
          <w:r>
            <w:fldChar w:fldCharType="separate"/>
          </w:r>
          <w:r>
            <w:t>13</w:t>
          </w:r>
          <w:r>
            <w:fldChar w:fldCharType="end"/>
          </w:r>
          <w:r>
            <w:rPr>
              <w:rFonts w:hint="default" w:ascii="Times New Roman" w:hAnsi="Times New Roman" w:eastAsia="黑体" w:cs="Times New Roman"/>
              <w:color w:val="auto"/>
              <w:highlight w:val="none"/>
            </w:rPr>
            <w:fldChar w:fldCharType="end"/>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_Toc27574 </w:instrText>
          </w:r>
          <w:r>
            <w:rPr>
              <w:rFonts w:hint="default" w:ascii="Times New Roman" w:hAnsi="Times New Roman" w:eastAsia="黑体" w:cs="Times New Roman"/>
              <w:b/>
              <w:highlight w:val="none"/>
            </w:rPr>
            <w:fldChar w:fldCharType="separate"/>
          </w:r>
          <w:r>
            <w:rPr>
              <w:rFonts w:hint="eastAsia" w:ascii="Times New Roman" w:hAnsi="Times New Roman" w:eastAsia="黑体" w:cs="Times New Roman"/>
              <w:b/>
            </w:rPr>
            <w:t xml:space="preserve">第三部分 </w:t>
          </w:r>
          <w:r>
            <w:rPr>
              <w:rFonts w:hint="default" w:ascii="Times New Roman" w:hAnsi="Times New Roman" w:eastAsia="黑体" w:cs="Times New Roman"/>
              <w:b/>
              <w:szCs w:val="44"/>
              <w:highlight w:val="none"/>
            </w:rPr>
            <w:t>名</w:t>
          </w:r>
          <w:r>
            <w:rPr>
              <w:rFonts w:hint="default" w:ascii="Times New Roman" w:hAnsi="Times New Roman" w:eastAsia="黑体" w:cs="Times New Roman"/>
              <w:b/>
              <w:highlight w:val="none"/>
            </w:rPr>
            <w:t>词解释</w:t>
          </w:r>
          <w:r>
            <w:rPr>
              <w:b/>
            </w:rPr>
            <w:tab/>
          </w:r>
          <w:r>
            <w:rPr>
              <w:b/>
            </w:rPr>
            <w:fldChar w:fldCharType="begin"/>
          </w:r>
          <w:r>
            <w:rPr>
              <w:b/>
            </w:rPr>
            <w:instrText xml:space="preserve"> PAGEREF _Toc27574 \h </w:instrText>
          </w:r>
          <w:r>
            <w:rPr>
              <w:b/>
            </w:rPr>
            <w:fldChar w:fldCharType="separate"/>
          </w:r>
          <w:r>
            <w:rPr>
              <w:b/>
            </w:rPr>
            <w:t>15</w:t>
          </w:r>
          <w:r>
            <w:rPr>
              <w:b/>
            </w:rPr>
            <w:fldChar w:fldCharType="end"/>
          </w:r>
          <w:r>
            <w:rPr>
              <w:rFonts w:hint="default" w:ascii="Times New Roman" w:hAnsi="Times New Roman" w:eastAsia="黑体" w:cs="Times New Roman"/>
              <w:b/>
              <w:color w:val="auto"/>
              <w:highlight w:val="none"/>
            </w:rPr>
            <w:fldChar w:fldCharType="end"/>
          </w:r>
        </w:p>
        <w:p>
          <w:pPr>
            <w:pStyle w:val="39"/>
            <w:tabs>
              <w:tab w:val="right" w:leader="dot" w:pos="8306"/>
            </w:tabs>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_Toc14739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四部分 附件</w:t>
          </w:r>
          <w:r>
            <w:rPr>
              <w:b/>
            </w:rPr>
            <w:tab/>
          </w:r>
          <w:r>
            <w:rPr>
              <w:b/>
            </w:rPr>
            <w:fldChar w:fldCharType="begin"/>
          </w:r>
          <w:r>
            <w:rPr>
              <w:b/>
            </w:rPr>
            <w:instrText xml:space="preserve"> PAGEREF _Toc14739 \h </w:instrText>
          </w:r>
          <w:r>
            <w:rPr>
              <w:b/>
            </w:rPr>
            <w:fldChar w:fldCharType="separate"/>
          </w:r>
          <w:r>
            <w:rPr>
              <w:b/>
            </w:rPr>
            <w:t>19</w:t>
          </w:r>
          <w:r>
            <w:rPr>
              <w:b/>
            </w:rPr>
            <w:fldChar w:fldCharType="end"/>
          </w:r>
          <w:r>
            <w:rPr>
              <w:rFonts w:hint="default" w:ascii="Times New Roman" w:hAnsi="Times New Roman" w:eastAsia="黑体" w:cs="Times New Roman"/>
              <w:b/>
              <w:color w:val="auto"/>
              <w:highlight w:val="none"/>
            </w:rPr>
            <w:fldChar w:fldCharType="end"/>
          </w:r>
        </w:p>
        <w:p>
          <w:pPr>
            <w:pStyle w:val="39"/>
            <w:tabs>
              <w:tab w:val="right" w:leader="dot" w:pos="8306"/>
            </w:tabs>
            <w:rPr>
              <w:b/>
            </w:rPr>
          </w:pPr>
          <w:r>
            <w:rPr>
              <w:rFonts w:hint="default" w:ascii="Times New Roman" w:hAnsi="Times New Roman" w:eastAsia="黑体" w:cs="Times New Roman"/>
              <w:b/>
              <w:color w:val="auto"/>
              <w:highlight w:val="none"/>
            </w:rPr>
            <w:fldChar w:fldCharType="begin"/>
          </w:r>
          <w:r>
            <w:rPr>
              <w:rFonts w:hint="default" w:ascii="Times New Roman" w:hAnsi="Times New Roman" w:eastAsia="黑体" w:cs="Times New Roman"/>
              <w:b/>
              <w:highlight w:val="none"/>
            </w:rPr>
            <w:instrText xml:space="preserve"> HYPERLINK \l _Toc13800 </w:instrText>
          </w:r>
          <w:r>
            <w:rPr>
              <w:rFonts w:hint="default" w:ascii="Times New Roman" w:hAnsi="Times New Roman" w:eastAsia="黑体" w:cs="Times New Roman"/>
              <w:b/>
              <w:highlight w:val="none"/>
            </w:rPr>
            <w:fldChar w:fldCharType="separate"/>
          </w:r>
          <w:r>
            <w:rPr>
              <w:rFonts w:hint="default" w:ascii="Times New Roman" w:hAnsi="Times New Roman" w:eastAsia="黑体" w:cs="Times New Roman"/>
              <w:b/>
              <w:szCs w:val="44"/>
              <w:highlight w:val="none"/>
            </w:rPr>
            <w:t>第</w:t>
          </w:r>
          <w:r>
            <w:rPr>
              <w:rFonts w:hint="default" w:ascii="Times New Roman" w:hAnsi="Times New Roman" w:eastAsia="黑体" w:cs="Times New Roman"/>
              <w:b/>
              <w:highlight w:val="none"/>
            </w:rPr>
            <w:t>五部分 附表</w:t>
          </w:r>
          <w:r>
            <w:rPr>
              <w:b/>
            </w:rPr>
            <w:tab/>
          </w:r>
          <w:r>
            <w:rPr>
              <w:b/>
            </w:rPr>
            <w:fldChar w:fldCharType="begin"/>
          </w:r>
          <w:r>
            <w:rPr>
              <w:b/>
            </w:rPr>
            <w:instrText xml:space="preserve"> PAGEREF _Toc13800 \h </w:instrText>
          </w:r>
          <w:r>
            <w:rPr>
              <w:b/>
            </w:rPr>
            <w:fldChar w:fldCharType="separate"/>
          </w:r>
          <w:r>
            <w:rPr>
              <w:b/>
            </w:rPr>
            <w:t>54</w:t>
          </w:r>
          <w:r>
            <w:rPr>
              <w:b/>
            </w:rPr>
            <w:fldChar w:fldCharType="end"/>
          </w:r>
          <w:r>
            <w:rPr>
              <w:rFonts w:hint="default" w:ascii="Times New Roman" w:hAnsi="Times New Roman" w:eastAsia="黑体" w:cs="Times New Roman"/>
              <w:b/>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_Toc11580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一、收</w:t>
          </w:r>
          <w:r>
            <w:rPr>
              <w:rFonts w:hint="default" w:ascii="Times New Roman" w:hAnsi="Times New Roman" w:eastAsia="仿宋" w:cs="Times New Roman"/>
              <w:bCs w:val="0"/>
              <w:highlight w:val="none"/>
            </w:rPr>
            <w:t>入支出决算总表</w:t>
          </w:r>
          <w:r>
            <w:tab/>
          </w:r>
          <w:r>
            <w:fldChar w:fldCharType="begin"/>
          </w:r>
          <w:r>
            <w:instrText xml:space="preserve"> PAGEREF _Toc11580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_Toc6531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highlight w:val="none"/>
            </w:rPr>
            <w:t>二、收</w:t>
          </w:r>
          <w:r>
            <w:rPr>
              <w:rFonts w:hint="default" w:ascii="Times New Roman" w:hAnsi="Times New Roman" w:eastAsia="仿宋" w:cs="Times New Roman"/>
              <w:bCs w:val="0"/>
              <w:highlight w:val="none"/>
            </w:rPr>
            <w:t>入决算表</w:t>
          </w:r>
          <w:r>
            <w:tab/>
          </w:r>
          <w:r>
            <w:fldChar w:fldCharType="begin"/>
          </w:r>
          <w:r>
            <w:instrText xml:space="preserve"> PAGEREF _Toc6531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_Toc19414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三、</w:t>
          </w:r>
          <w:r>
            <w:rPr>
              <w:rFonts w:hint="default" w:ascii="Times New Roman" w:hAnsi="Times New Roman" w:eastAsia="仿宋" w:cs="Times New Roman"/>
              <w:highlight w:val="none"/>
            </w:rPr>
            <w:t>支</w:t>
          </w:r>
          <w:r>
            <w:rPr>
              <w:rFonts w:hint="default" w:ascii="Times New Roman" w:hAnsi="Times New Roman" w:eastAsia="仿宋" w:cs="Times New Roman"/>
              <w:bCs w:val="0"/>
              <w:highlight w:val="none"/>
            </w:rPr>
            <w:t>出决算表</w:t>
          </w:r>
          <w:r>
            <w:tab/>
          </w:r>
          <w:r>
            <w:fldChar w:fldCharType="begin"/>
          </w:r>
          <w:r>
            <w:instrText xml:space="preserve"> PAGEREF _Toc19414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_Toc17815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四、</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政拨款收入支出决算总表</w:t>
          </w:r>
          <w:r>
            <w:tab/>
          </w:r>
          <w:r>
            <w:fldChar w:fldCharType="begin"/>
          </w:r>
          <w:r>
            <w:instrText xml:space="preserve"> PAGEREF _Toc17815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_Toc920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五、</w:t>
          </w:r>
          <w:r>
            <w:rPr>
              <w:rFonts w:hint="default" w:ascii="Times New Roman" w:hAnsi="Times New Roman" w:eastAsia="仿宋" w:cs="Times New Roman"/>
              <w:highlight w:val="none"/>
            </w:rPr>
            <w:t>财</w:t>
          </w:r>
          <w:r>
            <w:rPr>
              <w:rFonts w:hint="default" w:ascii="Times New Roman" w:hAnsi="Times New Roman" w:eastAsia="仿宋" w:cs="Times New Roman"/>
              <w:bCs w:val="0"/>
              <w:highlight w:val="none"/>
            </w:rPr>
            <w:t>政拨款支出决算明细表</w:t>
          </w:r>
          <w:r>
            <w:tab/>
          </w:r>
          <w:r>
            <w:fldChar w:fldCharType="begin"/>
          </w:r>
          <w:r>
            <w:instrText xml:space="preserve"> PAGEREF _Toc920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_Toc28532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六、</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般公共预算财政拨款支出决算表</w:t>
          </w:r>
          <w:r>
            <w:tab/>
          </w:r>
          <w:r>
            <w:fldChar w:fldCharType="begin"/>
          </w:r>
          <w:r>
            <w:instrText xml:space="preserve"> PAGEREF _Toc28532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_Toc824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七、</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般公共预算财政拨款支出决算明细表</w:t>
          </w:r>
          <w:r>
            <w:tab/>
          </w:r>
          <w:r>
            <w:fldChar w:fldCharType="begin"/>
          </w:r>
          <w:r>
            <w:instrText xml:space="preserve"> PAGEREF _Toc824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_Toc10006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八、</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般公共预算财政拨款基本支出决算表</w:t>
          </w:r>
          <w:r>
            <w:tab/>
          </w:r>
          <w:r>
            <w:fldChar w:fldCharType="begin"/>
          </w:r>
          <w:r>
            <w:instrText xml:space="preserve"> PAGEREF _Toc10006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_Toc20025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九、</w:t>
          </w:r>
          <w:r>
            <w:rPr>
              <w:rFonts w:hint="default" w:ascii="Times New Roman" w:hAnsi="Times New Roman" w:eastAsia="仿宋" w:cs="Times New Roman"/>
              <w:highlight w:val="none"/>
            </w:rPr>
            <w:t>一</w:t>
          </w:r>
          <w:r>
            <w:rPr>
              <w:rFonts w:hint="default" w:ascii="Times New Roman" w:hAnsi="Times New Roman" w:eastAsia="仿宋" w:cs="Times New Roman"/>
              <w:bCs w:val="0"/>
              <w:highlight w:val="none"/>
            </w:rPr>
            <w:t>般公共预算财政拨款项目支出决算表</w:t>
          </w:r>
          <w:r>
            <w:tab/>
          </w:r>
          <w:r>
            <w:fldChar w:fldCharType="begin"/>
          </w:r>
          <w:r>
            <w:instrText xml:space="preserve"> PAGEREF _Toc20025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_Toc24909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w:t>
          </w:r>
          <w:r>
            <w:rPr>
              <w:rFonts w:hint="default" w:ascii="Times New Roman" w:hAnsi="Times New Roman" w:eastAsia="仿宋" w:cs="Times New Roman"/>
              <w:highlight w:val="none"/>
            </w:rPr>
            <w:t>政</w:t>
          </w:r>
          <w:r>
            <w:rPr>
              <w:rFonts w:hint="default" w:ascii="Times New Roman" w:hAnsi="Times New Roman" w:eastAsia="仿宋" w:cs="Times New Roman"/>
              <w:bCs w:val="0"/>
              <w:highlight w:val="none"/>
            </w:rPr>
            <w:t>府性基金预算财政拨款收入支出决算表</w:t>
          </w:r>
          <w:r>
            <w:tab/>
          </w:r>
          <w:r>
            <w:fldChar w:fldCharType="begin"/>
          </w:r>
          <w:r>
            <w:instrText xml:space="preserve"> PAGEREF _Toc24909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_Toc21736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十一、</w:t>
          </w:r>
          <w:r>
            <w:rPr>
              <w:rFonts w:hint="default" w:ascii="Times New Roman" w:hAnsi="Times New Roman" w:eastAsia="仿宋" w:cs="Times New Roman"/>
              <w:highlight w:val="none"/>
            </w:rPr>
            <w:t>国</w:t>
          </w:r>
          <w:r>
            <w:rPr>
              <w:rFonts w:hint="default" w:ascii="Times New Roman" w:hAnsi="Times New Roman" w:eastAsia="仿宋" w:cs="Times New Roman"/>
              <w:bCs w:val="0"/>
              <w:highlight w:val="none"/>
            </w:rPr>
            <w:t>有资本经营预算</w:t>
          </w:r>
          <w:r>
            <w:rPr>
              <w:rFonts w:hint="default" w:ascii="Times New Roman" w:hAnsi="Times New Roman" w:eastAsia="仿宋" w:cs="Times New Roman"/>
              <w:bCs w:val="0"/>
              <w:highlight w:val="none"/>
              <w:lang w:eastAsia="zh-CN"/>
            </w:rPr>
            <w:t>财政拨款收入</w:t>
          </w:r>
          <w:r>
            <w:rPr>
              <w:rFonts w:hint="default" w:ascii="Times New Roman" w:hAnsi="Times New Roman" w:eastAsia="仿宋" w:cs="Times New Roman"/>
              <w:bCs w:val="0"/>
              <w:highlight w:val="none"/>
            </w:rPr>
            <w:t>支出决算表</w:t>
          </w:r>
          <w:r>
            <w:tab/>
          </w:r>
          <w:r>
            <w:fldChar w:fldCharType="begin"/>
          </w:r>
          <w:r>
            <w:instrText xml:space="preserve"> PAGEREF _Toc21736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_Toc9988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十二、</w:t>
          </w:r>
          <w:r>
            <w:rPr>
              <w:rFonts w:hint="default" w:ascii="Times New Roman" w:hAnsi="Times New Roman" w:eastAsia="仿宋" w:cs="Times New Roman"/>
              <w:bCs w:val="0"/>
              <w:highlight w:val="none"/>
              <w:lang w:eastAsia="zh-CN"/>
            </w:rPr>
            <w:t>国有资本经营预算财政拨款支出决算表</w:t>
          </w:r>
          <w:r>
            <w:tab/>
          </w:r>
          <w:r>
            <w:fldChar w:fldCharType="begin"/>
          </w:r>
          <w:r>
            <w:instrText xml:space="preserve"> PAGEREF _Toc9988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40"/>
            <w:tabs>
              <w:tab w:val="right" w:leader="dot" w:pos="8306"/>
            </w:tabs>
          </w:pPr>
          <w:r>
            <w:rPr>
              <w:rFonts w:hint="default" w:ascii="Times New Roman" w:hAnsi="Times New Roman" w:eastAsia="黑体" w:cs="Times New Roman"/>
              <w:color w:val="auto"/>
              <w:highlight w:val="none"/>
            </w:rPr>
            <w:fldChar w:fldCharType="begin"/>
          </w:r>
          <w:r>
            <w:rPr>
              <w:rFonts w:hint="default" w:ascii="Times New Roman" w:hAnsi="Times New Roman" w:eastAsia="黑体" w:cs="Times New Roman"/>
              <w:highlight w:val="none"/>
            </w:rPr>
            <w:instrText xml:space="preserve"> HYPERLINK \l _Toc20375 </w:instrText>
          </w:r>
          <w:r>
            <w:rPr>
              <w:rFonts w:hint="default" w:ascii="Times New Roman" w:hAnsi="Times New Roman" w:eastAsia="黑体" w:cs="Times New Roman"/>
              <w:highlight w:val="none"/>
            </w:rPr>
            <w:fldChar w:fldCharType="separate"/>
          </w:r>
          <w:r>
            <w:rPr>
              <w:rFonts w:hint="default" w:ascii="Times New Roman" w:hAnsi="Times New Roman" w:eastAsia="仿宋" w:cs="Times New Roman"/>
              <w:bCs w:val="0"/>
              <w:highlight w:val="none"/>
            </w:rPr>
            <w:t>十三、</w:t>
          </w:r>
          <w:r>
            <w:rPr>
              <w:rFonts w:hint="default" w:ascii="Times New Roman" w:hAnsi="Times New Roman" w:eastAsia="仿宋" w:cs="Times New Roman"/>
              <w:bCs w:val="0"/>
              <w:highlight w:val="none"/>
              <w:lang w:eastAsia="zh-CN"/>
            </w:rPr>
            <w:t>财政拨款“三公”经费支出决算表</w:t>
          </w:r>
          <w:r>
            <w:tab/>
          </w:r>
          <w:r>
            <w:fldChar w:fldCharType="begin"/>
          </w:r>
          <w:r>
            <w:instrText xml:space="preserve"> PAGEREF _Toc20375 \h </w:instrText>
          </w:r>
          <w:r>
            <w:fldChar w:fldCharType="separate"/>
          </w:r>
          <w:r>
            <w:t>54</w:t>
          </w:r>
          <w:r>
            <w:fldChar w:fldCharType="end"/>
          </w:r>
          <w:r>
            <w:rPr>
              <w:rFonts w:hint="default" w:ascii="Times New Roman" w:hAnsi="Times New Roman" w:eastAsia="黑体" w:cs="Times New Roman"/>
              <w:color w:val="auto"/>
              <w:highlight w:val="none"/>
            </w:rPr>
            <w:fldChar w:fldCharType="end"/>
          </w:r>
        </w:p>
        <w:p>
          <w:pPr>
            <w:pStyle w:val="3"/>
            <w:pageBreakBefore w:val="0"/>
            <w:kinsoku/>
            <w:wordWrap/>
            <w:overflowPunct/>
            <w:topLinePunct w:val="0"/>
            <w:autoSpaceDE/>
            <w:autoSpaceDN/>
            <w:bidi w:val="0"/>
            <w:adjustRightInd/>
            <w:snapToGrid/>
            <w:spacing w:before="0" w:after="0" w:line="360" w:lineRule="exact"/>
            <w:ind w:right="0" w:rightChars="0" w:firstLine="0" w:firstLineChars="0"/>
            <w:jc w:val="center"/>
            <w:textAlignment w:val="auto"/>
            <w:outlineLvl w:val="9"/>
            <w:rPr>
              <w:rFonts w:hint="default" w:ascii="Times New Roman" w:hAnsi="Times New Roman" w:eastAsia="黑体" w:cs="Times New Roman"/>
              <w:b/>
              <w:bCs/>
              <w:color w:val="auto"/>
              <w:kern w:val="44"/>
              <w:sz w:val="44"/>
              <w:szCs w:val="44"/>
              <w:highlight w:val="none"/>
              <w:lang w:val="en-US" w:eastAsia="zh-CN" w:bidi="ar-SA"/>
            </w:rPr>
          </w:pPr>
          <w:r>
            <w:rPr>
              <w:rFonts w:hint="default" w:ascii="Times New Roman" w:hAnsi="Times New Roman" w:eastAsia="黑体" w:cs="Times New Roman"/>
              <w:b/>
              <w:color w:val="auto"/>
              <w:highlight w:val="none"/>
            </w:rPr>
            <w:fldChar w:fldCharType="end"/>
          </w:r>
        </w:p>
      </w:sdtContent>
    </w:sdt>
    <w:p>
      <w:pPr>
        <w:rPr>
          <w:rFonts w:hint="default"/>
        </w:rPr>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3"/>
        <w:jc w:val="center"/>
        <w:rPr>
          <w:rFonts w:hint="default" w:ascii="Times New Roman" w:hAnsi="Times New Roman" w:eastAsia="黑体" w:cs="Times New Roman"/>
          <w:color w:val="auto"/>
          <w:sz w:val="32"/>
          <w:szCs w:val="32"/>
          <w:highlight w:val="none"/>
        </w:rPr>
      </w:pPr>
      <w:bookmarkStart w:id="13" w:name="_Toc14674"/>
      <w:bookmarkStart w:id="14" w:name="_Toc28158"/>
      <w:r>
        <w:rPr>
          <w:rFonts w:hint="default" w:ascii="Times New Roman" w:hAnsi="Times New Roman" w:eastAsia="黑体" w:cs="Times New Roman"/>
          <w:b w:val="0"/>
          <w:color w:val="auto"/>
          <w:highlight w:val="none"/>
        </w:rPr>
        <w:t xml:space="preserve">第一部分 </w:t>
      </w:r>
      <w:r>
        <w:rPr>
          <w:rStyle w:val="31"/>
          <w:rFonts w:hint="eastAsia" w:eastAsia="黑体" w:cs="Times New Roman"/>
          <w:b w:val="0"/>
          <w:bCs w:val="0"/>
          <w:color w:val="auto"/>
          <w:highlight w:val="none"/>
          <w:lang w:eastAsia="zh-CN"/>
        </w:rPr>
        <w:t>单位</w:t>
      </w:r>
      <w:r>
        <w:rPr>
          <w:rStyle w:val="31"/>
          <w:rFonts w:hint="default" w:ascii="Times New Roman" w:hAnsi="Times New Roman" w:eastAsia="黑体" w:cs="Times New Roman"/>
          <w:b w:val="0"/>
          <w:bCs w:val="0"/>
          <w:color w:val="auto"/>
          <w:highlight w:val="none"/>
        </w:rPr>
        <w:t>概况</w:t>
      </w:r>
      <w:bookmarkEnd w:id="13"/>
      <w:bookmarkEnd w:id="14"/>
    </w:p>
    <w:p>
      <w:pPr>
        <w:pStyle w:val="2"/>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rPr>
          <w:rStyle w:val="32"/>
          <w:rFonts w:hint="eastAsia" w:ascii="仿宋" w:hAnsi="仿宋" w:eastAsia="黑体"/>
          <w:b w:val="0"/>
          <w:bCs w:val="0"/>
          <w:color w:val="auto"/>
          <w:highlight w:val="none"/>
          <w:lang w:eastAsia="zh-CN"/>
        </w:rPr>
      </w:pPr>
      <w:bookmarkStart w:id="15" w:name="_Toc15377197"/>
      <w:bookmarkStart w:id="16" w:name="_Toc15396600"/>
      <w:bookmarkStart w:id="17" w:name="_Toc7004"/>
      <w:r>
        <w:rPr>
          <w:rFonts w:hint="eastAsia" w:ascii="黑体" w:hAnsi="黑体" w:eastAsia="黑体"/>
          <w:b w:val="0"/>
          <w:color w:val="auto"/>
          <w:highlight w:val="none"/>
        </w:rPr>
        <w:t>一、</w:t>
      </w:r>
      <w:bookmarkEnd w:id="15"/>
      <w:bookmarkEnd w:id="16"/>
      <w:r>
        <w:rPr>
          <w:rFonts w:hint="eastAsia" w:ascii="黑体" w:hAnsi="黑体" w:eastAsia="黑体"/>
          <w:b w:val="0"/>
          <w:color w:val="auto"/>
          <w:highlight w:val="none"/>
          <w:lang w:eastAsia="zh-CN"/>
        </w:rPr>
        <w:t>单位职责</w:t>
      </w:r>
      <w:bookmarkEnd w:id="17"/>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rPr>
      </w:pPr>
      <w:bookmarkStart w:id="18" w:name="_Toc15377200"/>
      <w:bookmarkStart w:id="19" w:name="_Toc15396601"/>
      <w:r>
        <w:rPr>
          <w:rFonts w:hint="default" w:ascii="Times New Roman" w:hAnsi="Times New Roman"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拟定全区宣传思想文化工作重大方针政策和事业产业发展总体规划，统筹协调推进宣传思想文化领域法治建设，按照区委统一部署，协调宣传思想文化系统各</w:t>
      </w:r>
      <w:r>
        <w:rPr>
          <w:rFonts w:hint="eastAsia" w:eastAsia="仿宋_GB2312" w:cs="Times New Roman"/>
          <w:color w:val="000000"/>
          <w:sz w:val="32"/>
          <w:szCs w:val="32"/>
          <w:highlight w:val="none"/>
          <w:lang w:eastAsia="zh-CN"/>
        </w:rPr>
        <w:t>单位</w:t>
      </w:r>
      <w:r>
        <w:rPr>
          <w:rFonts w:hint="default" w:ascii="Times New Roman" w:hAnsi="Times New Roman" w:eastAsia="仿宋_GB2312" w:cs="Times New Roman"/>
          <w:color w:val="000000"/>
          <w:sz w:val="32"/>
          <w:szCs w:val="32"/>
          <w:highlight w:val="none"/>
        </w:rPr>
        <w:t>、各单位之间的工作。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统筹协调全区党的意识形态工作，贯彻落实中央、省委、市委和区委关于意识形态工作的决策部署，组织协调意识形态工作责任制贯彻落实和日常监督检查，分析研判意识形态领域情况，</w:t>
      </w:r>
      <w:r>
        <w:rPr>
          <w:rFonts w:hint="default" w:ascii="Times New Roman" w:hAnsi="Times New Roman" w:eastAsia="仿宋_GB2312" w:cs="Times New Roman"/>
          <w:sz w:val="32"/>
          <w:szCs w:val="32"/>
          <w:highlight w:val="none"/>
        </w:rPr>
        <w:t>配合巡视巡察工作开展专项检查。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统筹指导协调理论研究、理论学习、理论宣传工作，组织推动理论武装工作，指导推动哲学社会科学工作，实施马克思主义理论研究和建设工程。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负责规则组织全局性思想政治工作，配合区委组织部做好党员教育工作，会同有关</w:t>
      </w:r>
      <w:r>
        <w:rPr>
          <w:rFonts w:hint="eastAsia" w:eastAsia="仿宋_GB2312" w:cs="Times New Roman"/>
          <w:color w:val="000000"/>
          <w:sz w:val="32"/>
          <w:szCs w:val="32"/>
          <w:highlight w:val="none"/>
          <w:lang w:eastAsia="zh-CN"/>
        </w:rPr>
        <w:t>单位</w:t>
      </w:r>
      <w:r>
        <w:rPr>
          <w:rFonts w:hint="default" w:ascii="Times New Roman" w:hAnsi="Times New Roman" w:eastAsia="仿宋_GB2312" w:cs="Times New Roman"/>
          <w:color w:val="000000"/>
          <w:sz w:val="32"/>
          <w:szCs w:val="32"/>
          <w:highlight w:val="none"/>
        </w:rPr>
        <w:t>研究和改进群众思想教育工作。组织重大先进典型的学习和推广。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5.</w:t>
      </w:r>
      <w:r>
        <w:rPr>
          <w:rFonts w:hint="default" w:ascii="Times New Roman" w:hAnsi="Times New Roman" w:eastAsia="仿宋_GB2312" w:cs="Times New Roman"/>
          <w:sz w:val="32"/>
          <w:szCs w:val="32"/>
          <w:highlight w:val="none"/>
        </w:rPr>
        <w:t>统筹指导协调推动精神文化产品的创作和生产，协调组织中华优秀传统文化和地方特色文化传承发展工作，指导协调推动群众文化建设。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6.</w:t>
      </w:r>
      <w:r>
        <w:rPr>
          <w:rFonts w:hint="default" w:ascii="Times New Roman" w:hAnsi="Times New Roman" w:eastAsia="仿宋_GB2312" w:cs="Times New Roman"/>
          <w:sz w:val="32"/>
          <w:szCs w:val="32"/>
          <w:highlight w:val="none"/>
        </w:rPr>
        <w:t>统筹组织协调精神文明建设工作，协调推动精神文明创建、公民思想道德建设和志愿服务工作。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7.</w:t>
      </w:r>
      <w:r>
        <w:rPr>
          <w:rFonts w:hint="default" w:ascii="Times New Roman" w:hAnsi="Times New Roman" w:eastAsia="仿宋_GB2312" w:cs="Times New Roman"/>
          <w:sz w:val="32"/>
          <w:szCs w:val="32"/>
          <w:highlight w:val="none"/>
        </w:rPr>
        <w:t>统筹分析研判和引导社会舆论，指导协调区级新闻单位工作，负责组织协调重大新闻宣传活动和重大突发公共事件应急新闻工作。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b/>
          <w:szCs w:val="32"/>
          <w:highlight w:val="none"/>
        </w:rPr>
      </w:pPr>
      <w:r>
        <w:rPr>
          <w:rFonts w:hint="default" w:ascii="Times New Roman" w:hAnsi="Times New Roman" w:cs="Times New Roman"/>
          <w:sz w:val="32"/>
          <w:szCs w:val="32"/>
          <w:highlight w:val="none"/>
          <w:lang w:val="en-US" w:eastAsia="zh-CN"/>
        </w:rPr>
        <w:t>8.</w:t>
      </w:r>
      <w:r>
        <w:rPr>
          <w:rFonts w:hint="default" w:ascii="Times New Roman" w:hAnsi="Times New Roman" w:eastAsia="仿宋_GB2312" w:cs="Times New Roman"/>
          <w:sz w:val="32"/>
          <w:szCs w:val="32"/>
          <w:highlight w:val="none"/>
        </w:rPr>
        <w:t>统筹协调对外宣传工作，组织指导重大对外宣传活动，协调并会同有关</w:t>
      </w:r>
      <w:r>
        <w:rPr>
          <w:rFonts w:hint="eastAsia"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做好区外来访记者采访事务方面的工作。指导对外文化交流工作，协调推动中华文化走出去工作。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9.</w:t>
      </w:r>
      <w:r>
        <w:rPr>
          <w:rFonts w:hint="default" w:ascii="Times New Roman" w:hAnsi="Times New Roman" w:eastAsia="仿宋_GB2312" w:cs="Times New Roman"/>
          <w:sz w:val="32"/>
          <w:szCs w:val="32"/>
          <w:highlight w:val="none"/>
        </w:rPr>
        <w:t>负责人权宣传工作的组织协调，会同有关</w:t>
      </w:r>
      <w:r>
        <w:rPr>
          <w:rFonts w:hint="eastAsia"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组织涉及民族、反邪教等反面的对外宣传和舆论斗争工作。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10.</w:t>
      </w:r>
      <w:r>
        <w:rPr>
          <w:rFonts w:hint="default" w:ascii="Times New Roman" w:hAnsi="Times New Roman" w:eastAsia="仿宋_GB2312" w:cs="Times New Roman"/>
          <w:sz w:val="32"/>
          <w:szCs w:val="32"/>
          <w:highlight w:val="none"/>
        </w:rPr>
        <w:t>统筹协调组织开展新闻发布工作，承担新闻发布有关组织协调工作，负责区政府新闻发布组织实施工作，指导区委、区政府各</w:t>
      </w:r>
      <w:r>
        <w:rPr>
          <w:rFonts w:hint="eastAsia"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（单位）新闻发布工作，推动新闻发言人制度建设。拟定我区重大问题宣传口径。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11.</w:t>
      </w:r>
      <w:r>
        <w:rPr>
          <w:rFonts w:hint="default" w:ascii="Times New Roman" w:hAnsi="Times New Roman" w:eastAsia="仿宋_GB2312" w:cs="Times New Roman"/>
          <w:sz w:val="32"/>
          <w:szCs w:val="32"/>
          <w:highlight w:val="none"/>
        </w:rPr>
        <w:t>对新闻出版、文化艺术、广播影视和旅游业等领域改革发展研究提出政策性建议，统筹指导推进文化体制改革和文化事业、文旅产业发展，统筹区属国有文化资产监管工作，组织研究区属国有文化资产监管重大政策，会同有关单位负责相关工作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12.</w:t>
      </w:r>
      <w:r>
        <w:rPr>
          <w:rFonts w:hint="default" w:ascii="Times New Roman" w:hAnsi="Times New Roman" w:eastAsia="仿宋_GB2312" w:cs="Times New Roman"/>
          <w:sz w:val="32"/>
          <w:szCs w:val="32"/>
          <w:highlight w:val="none"/>
        </w:rPr>
        <w:t>负责管理新闻出版行政事务，监督管理出版物内容和质量，监督管理印刷业，管理著作权等。组织指导协调“扫黄打非”工作。负责各级报刊驻船山区记者站的监督管理。负责新闻记者证管理工作。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13.</w:t>
      </w:r>
      <w:r>
        <w:rPr>
          <w:rFonts w:hint="default" w:ascii="Times New Roman" w:hAnsi="Times New Roman" w:eastAsia="仿宋_GB2312" w:cs="Times New Roman"/>
          <w:sz w:val="32"/>
          <w:szCs w:val="32"/>
          <w:highlight w:val="none"/>
        </w:rPr>
        <w:t>负责管理电影行政事务，指导监管电影制片、发行、放映工作，组织对电影内容进行审查，指导协调和参与重大电影活动和电影对外合作交流等。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b/>
          <w:szCs w:val="32"/>
          <w:highlight w:val="none"/>
          <w:u w:val="single"/>
        </w:rPr>
      </w:pPr>
      <w:r>
        <w:rPr>
          <w:rFonts w:hint="default" w:ascii="Times New Roman" w:hAnsi="Times New Roman" w:cs="Times New Roman"/>
          <w:sz w:val="32"/>
          <w:szCs w:val="32"/>
          <w:highlight w:val="none"/>
          <w:lang w:val="en-US" w:eastAsia="zh-CN"/>
        </w:rPr>
        <w:t>14.</w:t>
      </w:r>
      <w:r>
        <w:rPr>
          <w:rFonts w:hint="default" w:ascii="Times New Roman" w:hAnsi="Times New Roman" w:eastAsia="仿宋_GB2312" w:cs="Times New Roman"/>
          <w:sz w:val="32"/>
          <w:szCs w:val="32"/>
          <w:highlight w:val="none"/>
        </w:rPr>
        <w:t>受区委委托，会同区委组织部管理文化旅游、新闻、出版、广播影视、社会科学研究和互联网信息等方面区直宣传思想文化单位及区属国有文化和旅游企业的领导干部。会同组织</w:t>
      </w:r>
      <w:r>
        <w:rPr>
          <w:rFonts w:hint="eastAsia"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抓好区级和城乡基层宣传文化干部的交流任职，有计划地选派区宣传文化</w:t>
      </w:r>
      <w:r>
        <w:rPr>
          <w:rFonts w:hint="eastAsia"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干部和工作骨干到乡镇、街道进行多岗位实践锻炼。负责有关重要宣传舆论阵地和重要岗位领导干部管理。负责组织开展全区宣传思想文化战线干部教育培训和人才工作。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b/>
          <w:szCs w:val="32"/>
          <w:highlight w:val="none"/>
        </w:rPr>
      </w:pPr>
      <w:r>
        <w:rPr>
          <w:rFonts w:hint="default" w:ascii="Times New Roman" w:hAnsi="Times New Roman" w:cs="Times New Roman"/>
          <w:sz w:val="32"/>
          <w:szCs w:val="32"/>
          <w:highlight w:val="none"/>
          <w:lang w:val="en-US" w:eastAsia="zh-CN"/>
        </w:rPr>
        <w:t>15.</w:t>
      </w:r>
      <w:r>
        <w:rPr>
          <w:rFonts w:hint="default" w:ascii="Times New Roman" w:hAnsi="Times New Roman" w:eastAsia="仿宋_GB2312" w:cs="Times New Roman"/>
          <w:sz w:val="32"/>
          <w:szCs w:val="32"/>
          <w:highlight w:val="none"/>
        </w:rPr>
        <w:t>归口领导区文化广播电视和旅游局。受区委委托，代管区文学艺术界联合会、区社会科学界联合会等宣传思想文化单位。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16.</w:t>
      </w:r>
      <w:r>
        <w:rPr>
          <w:rFonts w:hint="default" w:ascii="Times New Roman" w:hAnsi="Times New Roman" w:eastAsia="仿宋_GB2312" w:cs="Times New Roman"/>
          <w:sz w:val="32"/>
          <w:szCs w:val="32"/>
          <w:highlight w:val="none"/>
        </w:rPr>
        <w:t xml:space="preserve">统筹协调全区网络安全和信息化工作，组织研究拟订全区网络安全和信息化发展规划和重大政策，统筹推进网络安全和信息化法治、标准建设。统筹协调网络意识形态工作。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17.</w:t>
      </w:r>
      <w:r>
        <w:rPr>
          <w:rFonts w:hint="default" w:ascii="Times New Roman" w:hAnsi="Times New Roman" w:eastAsia="仿宋_GB2312" w:cs="Times New Roman"/>
          <w:sz w:val="32"/>
          <w:szCs w:val="32"/>
          <w:highlight w:val="none"/>
        </w:rPr>
        <w:t>统筹组织互联网宣传管理、舆情引导和监督管理执法。负责全区互联网信息内容管理。指导和管理互联网违法与不良信息举报工作。协调处理全区网络安全和信息化重大突发事件与有关应急工作。依法负责网络新闻业务和论坛、博客、搜索引擎等具有新闻舆论及社会动员功能业务的日常监督。统筹协调新媒体的建设与管理，统筹推进网络阵地建设，会同有关</w:t>
      </w:r>
      <w:r>
        <w:rPr>
          <w:rFonts w:hint="eastAsia"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推动媒体融合发展和地方融媒体中心建设。统筹指导舆情信息工作，组织协调开展舆情信息收集分析研判及处置工作，跟踪了解、研究掌握宣传舆情动态。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18.</w:t>
      </w:r>
      <w:r>
        <w:rPr>
          <w:rFonts w:hint="default" w:ascii="Times New Roman" w:hAnsi="Times New Roman" w:eastAsia="仿宋_GB2312" w:cs="Times New Roman"/>
          <w:sz w:val="32"/>
          <w:szCs w:val="32"/>
          <w:highlight w:val="none"/>
        </w:rPr>
        <w:t>承担区精神文明建设委员会、区宣传思想工作领导小组、区文化体制改革和发展工作领导小组等的日常工作。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19.</w:t>
      </w:r>
      <w:r>
        <w:rPr>
          <w:rFonts w:hint="default" w:ascii="Times New Roman" w:hAnsi="Times New Roman" w:eastAsia="仿宋_GB2312" w:cs="Times New Roman"/>
          <w:sz w:val="32"/>
          <w:szCs w:val="32"/>
          <w:highlight w:val="none"/>
        </w:rPr>
        <w:t>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cs="Times New Roman"/>
          <w:sz w:val="32"/>
          <w:szCs w:val="32"/>
          <w:highlight w:val="none"/>
          <w:lang w:val="en-US" w:eastAsia="zh-CN"/>
        </w:rPr>
        <w:t>20.</w:t>
      </w:r>
      <w:r>
        <w:rPr>
          <w:rFonts w:hint="default" w:ascii="Times New Roman" w:hAnsi="Times New Roman" w:eastAsia="仿宋_GB2312" w:cs="Times New Roman"/>
          <w:sz w:val="32"/>
          <w:szCs w:val="32"/>
          <w:highlight w:val="none"/>
        </w:rPr>
        <w:t>承担区政府公布的相关行政权力事项。</w:t>
      </w:r>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黑体" w:eastAsia="黑体"/>
          <w:b w:val="0"/>
          <w:color w:val="auto"/>
          <w:highlight w:val="none"/>
        </w:rPr>
      </w:pPr>
      <w:r>
        <w:rPr>
          <w:rFonts w:hint="default" w:ascii="Times New Roman" w:hAnsi="Times New Roman" w:cs="Times New Roman"/>
          <w:sz w:val="32"/>
          <w:szCs w:val="32"/>
          <w:highlight w:val="none"/>
          <w:lang w:val="en-US" w:eastAsia="zh-CN"/>
        </w:rPr>
        <w:t>21.</w:t>
      </w:r>
      <w:r>
        <w:rPr>
          <w:rFonts w:hint="default" w:ascii="Times New Roman" w:hAnsi="Times New Roman" w:eastAsia="仿宋_GB2312" w:cs="Times New Roman"/>
          <w:sz w:val="32"/>
          <w:szCs w:val="32"/>
          <w:highlight w:val="none"/>
        </w:rPr>
        <w:t>完成区委、区政府交办的其他任务。</w:t>
      </w:r>
    </w:p>
    <w:p>
      <w:pPr>
        <w:pStyle w:val="2"/>
        <w:keepNext/>
        <w:keepLines/>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1"/>
        <w:rPr>
          <w:rStyle w:val="32"/>
          <w:b w:val="0"/>
          <w:bCs w:val="0"/>
          <w:color w:val="auto"/>
          <w:highlight w:val="none"/>
        </w:rPr>
      </w:pPr>
      <w:bookmarkStart w:id="20" w:name="_Toc15121"/>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8"/>
      <w:bookmarkEnd w:id="19"/>
      <w:bookmarkEnd w:id="20"/>
    </w:p>
    <w:p>
      <w:pPr>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宣传部</w:t>
      </w:r>
      <w:r>
        <w:rPr>
          <w:rFonts w:hint="default" w:ascii="Times New Roman" w:hAnsi="Times New Roman" w:eastAsia="仿宋" w:cs="Times New Roman"/>
          <w:color w:val="auto"/>
          <w:sz w:val="32"/>
          <w:szCs w:val="32"/>
          <w:highlight w:val="none"/>
        </w:rPr>
        <w:t>下属二级单位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个，其中行政单位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个，参照公务员法管理的事业单位</w:t>
      </w:r>
      <w:r>
        <w:rPr>
          <w:rFonts w:hint="default" w:ascii="Times New Roman" w:hAnsi="Times New Roman" w:eastAsia="仿宋" w:cs="Times New Roman"/>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个，其他事业单位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w:t>
      </w:r>
    </w:p>
    <w:p>
      <w:pPr>
        <w:pStyle w:val="6"/>
        <w:pageBreakBefore w:val="0"/>
        <w:widowControl w:val="0"/>
        <w:kinsoku/>
        <w:wordWrap/>
        <w:overflowPunct/>
        <w:topLinePunct w:val="0"/>
        <w:autoSpaceDE/>
        <w:autoSpaceDN/>
        <w:bidi w:val="0"/>
        <w:adjustRightInd/>
        <w:snapToGrid/>
        <w:spacing w:before="93" w:line="600" w:lineRule="exact"/>
        <w:ind w:left="0" w:leftChars="0" w:right="0" w:rightChars="0" w:firstLine="640"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lang w:eastAsia="zh-CN"/>
        </w:rPr>
        <w:t>无</w:t>
      </w: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color w:val="auto"/>
          <w:sz w:val="32"/>
          <w:szCs w:val="32"/>
          <w:highlight w:val="none"/>
          <w:lang w:val="en-US" w:eastAsia="zh-CN"/>
        </w:rPr>
        <w:t>宣传部</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w:t>
      </w:r>
      <w:r>
        <w:rPr>
          <w:rFonts w:hint="eastAsia" w:asci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年度</w:t>
      </w:r>
      <w:r>
        <w:rPr>
          <w:rFonts w:hint="eastAsia" w:ascii="Times New Roman" w:eastAsia="仿宋" w:cs="Times New Roman"/>
          <w:color w:val="auto"/>
          <w:sz w:val="32"/>
          <w:szCs w:val="32"/>
          <w:highlight w:val="none"/>
          <w:lang w:eastAsia="zh-CN"/>
        </w:rPr>
        <w:t>单位</w:t>
      </w:r>
      <w:r>
        <w:rPr>
          <w:rFonts w:hint="default" w:ascii="Times New Roman" w:hAnsi="Times New Roman" w:eastAsia="仿宋" w:cs="Times New Roman"/>
          <w:color w:val="auto"/>
          <w:sz w:val="32"/>
          <w:szCs w:val="32"/>
          <w:highlight w:val="none"/>
        </w:rPr>
        <w:t>决算编制范围的二级预算单位</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br w:type="page"/>
      </w:r>
    </w:p>
    <w:p>
      <w:pPr>
        <w:pStyle w:val="3"/>
        <w:ind w:right="440"/>
        <w:jc w:val="center"/>
        <w:rPr>
          <w:rStyle w:val="31"/>
          <w:rFonts w:hint="default" w:ascii="Times New Roman" w:hAnsi="Times New Roman" w:eastAsia="黑体" w:cs="Times New Roman"/>
          <w:b w:val="0"/>
          <w:bCs/>
          <w:color w:val="auto"/>
          <w:highlight w:val="none"/>
        </w:rPr>
      </w:pPr>
      <w:bookmarkStart w:id="21" w:name="_Toc24994"/>
      <w:bookmarkStart w:id="22" w:name="_Toc18930"/>
      <w:bookmarkStart w:id="23" w:name="_Toc15396602"/>
      <w:bookmarkStart w:id="24" w:name="_Toc22064"/>
      <w:bookmarkStart w:id="25" w:name="_Toc15377204"/>
      <w:r>
        <w:rPr>
          <w:rFonts w:hint="default" w:ascii="Times New Roman" w:hAnsi="Times New Roman" w:eastAsia="黑体" w:cs="Times New Roman"/>
          <w:b w:val="0"/>
          <w:bCs/>
          <w:color w:val="auto"/>
          <w:highlight w:val="none"/>
        </w:rPr>
        <w:t xml:space="preserve">第二部分 </w:t>
      </w:r>
      <w:r>
        <w:rPr>
          <w:rFonts w:hint="eastAsia" w:eastAsia="黑体" w:cs="Times New Roman"/>
          <w:b w:val="0"/>
          <w:bCs/>
          <w:color w:val="auto"/>
          <w:highlight w:val="none"/>
          <w:lang w:val="en-US" w:eastAsia="zh-CN"/>
        </w:rPr>
        <w:t>2023年</w:t>
      </w:r>
      <w:r>
        <w:rPr>
          <w:rFonts w:hint="default" w:ascii="Times New Roman" w:hAnsi="Times New Roman" w:eastAsia="黑体" w:cs="Times New Roman"/>
          <w:b w:val="0"/>
          <w:bCs/>
          <w:color w:val="auto"/>
          <w:highlight w:val="none"/>
          <w:lang w:val="en-US" w:eastAsia="zh-CN"/>
        </w:rPr>
        <w:t>度</w:t>
      </w:r>
      <w:r>
        <w:rPr>
          <w:rStyle w:val="31"/>
          <w:rFonts w:hint="eastAsia" w:eastAsia="黑体" w:cs="Times New Roman"/>
          <w:b w:val="0"/>
          <w:bCs/>
          <w:color w:val="auto"/>
          <w:highlight w:val="none"/>
          <w:lang w:eastAsia="zh-CN"/>
        </w:rPr>
        <w:t>单位</w:t>
      </w:r>
      <w:r>
        <w:rPr>
          <w:rStyle w:val="31"/>
          <w:rFonts w:hint="default" w:ascii="Times New Roman" w:hAnsi="Times New Roman" w:eastAsia="黑体" w:cs="Times New Roman"/>
          <w:b w:val="0"/>
          <w:bCs/>
          <w:color w:val="auto"/>
          <w:highlight w:val="none"/>
        </w:rPr>
        <w:t>决算情况说明</w:t>
      </w:r>
      <w:bookmarkEnd w:id="21"/>
      <w:bookmarkEnd w:id="22"/>
      <w:bookmarkEnd w:id="23"/>
      <w:bookmarkEnd w:id="24"/>
      <w:bookmarkEnd w:id="25"/>
    </w:p>
    <w:p>
      <w:pPr>
        <w:rPr>
          <w:rFonts w:hint="default" w:ascii="Times New Roman" w:hAnsi="Times New Roman" w:cs="Times New Roman"/>
          <w:color w:val="auto"/>
          <w:highlight w:val="none"/>
        </w:rPr>
      </w:pPr>
    </w:p>
    <w:p>
      <w:pPr>
        <w:pStyle w:val="30"/>
        <w:numPr>
          <w:ilvl w:val="0"/>
          <w:numId w:val="1"/>
        </w:numPr>
        <w:spacing w:line="600" w:lineRule="exact"/>
        <w:ind w:firstLineChars="0"/>
        <w:jc w:val="both"/>
        <w:outlineLvl w:val="1"/>
        <w:rPr>
          <w:rStyle w:val="32"/>
          <w:rFonts w:hint="default" w:ascii="Times New Roman" w:hAnsi="Times New Roman" w:eastAsia="黑体" w:cs="Times New Roman"/>
          <w:b w:val="0"/>
          <w:color w:val="auto"/>
          <w:highlight w:val="none"/>
        </w:rPr>
      </w:pPr>
      <w:bookmarkStart w:id="26" w:name="_Toc28191"/>
      <w:bookmarkStart w:id="27" w:name="_Toc15396603"/>
      <w:bookmarkStart w:id="28" w:name="_Toc266"/>
      <w:bookmarkStart w:id="29" w:name="_Toc12266"/>
      <w:bookmarkStart w:id="30" w:name="_Toc15377205"/>
      <w:r>
        <w:rPr>
          <w:rFonts w:hint="default" w:ascii="Times New Roman" w:hAnsi="Times New Roman" w:eastAsia="黑体" w:cs="Times New Roman"/>
          <w:color w:val="auto"/>
          <w:sz w:val="32"/>
          <w:szCs w:val="32"/>
          <w:highlight w:val="none"/>
        </w:rPr>
        <w:t>收</w:t>
      </w:r>
      <w:r>
        <w:rPr>
          <w:rStyle w:val="32"/>
          <w:rFonts w:hint="default" w:ascii="Times New Roman" w:hAnsi="Times New Roman" w:eastAsia="黑体" w:cs="Times New Roman"/>
          <w:b w:val="0"/>
          <w:color w:val="auto"/>
          <w:highlight w:val="none"/>
        </w:rPr>
        <w:t>入支出决算总体情况说明</w:t>
      </w:r>
      <w:bookmarkEnd w:id="26"/>
      <w:bookmarkEnd w:id="27"/>
      <w:bookmarkEnd w:id="28"/>
      <w:bookmarkEnd w:id="29"/>
      <w:bookmarkEnd w:id="30"/>
    </w:p>
    <w:p>
      <w:pPr>
        <w:spacing w:line="600" w:lineRule="exact"/>
        <w:ind w:firstLine="640" w:firstLineChars="200"/>
        <w:jc w:val="both"/>
        <w:rPr>
          <w:rFonts w:hint="default" w:ascii="Times New Roman" w:hAnsi="Times New Roman" w:eastAsia="仿宋" w:cs="Times New Roman"/>
          <w:color w:val="auto"/>
          <w:sz w:val="32"/>
          <w:szCs w:val="32"/>
          <w:highlight w:val="none"/>
          <w:lang w:eastAsia="zh-CN"/>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度收、支总计1</w:t>
      </w:r>
      <w:r>
        <w:rPr>
          <w:rFonts w:hint="eastAsia"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071.97万元。与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相比，收、支总计各</w:t>
      </w:r>
      <w:r>
        <w:rPr>
          <w:rFonts w:hint="eastAsia" w:eastAsia="仿宋" w:cs="Times New Roman"/>
          <w:color w:val="auto"/>
          <w:sz w:val="32"/>
          <w:szCs w:val="32"/>
          <w:highlight w:val="none"/>
          <w:lang w:eastAsia="zh-CN"/>
        </w:rPr>
        <w:t>增加</w:t>
      </w:r>
      <w:r>
        <w:rPr>
          <w:rFonts w:hint="eastAsia" w:eastAsia="仿宋" w:cs="Times New Roman"/>
          <w:color w:val="auto"/>
          <w:sz w:val="32"/>
          <w:szCs w:val="32"/>
          <w:highlight w:val="none"/>
          <w:lang w:val="en-US" w:eastAsia="zh-CN"/>
        </w:rPr>
        <w:t>18.08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增长</w:t>
      </w:r>
      <w:r>
        <w:rPr>
          <w:rFonts w:hint="eastAsia" w:eastAsia="仿宋" w:cs="Times New Roman"/>
          <w:color w:val="auto"/>
          <w:sz w:val="32"/>
          <w:szCs w:val="32"/>
          <w:highlight w:val="none"/>
          <w:lang w:val="en-US" w:eastAsia="zh-CN"/>
        </w:rPr>
        <w:t>1.72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ascii="Times New Roman" w:hAnsi="Times New Roman" w:eastAsia="仿宋" w:cs="Times New Roman"/>
          <w:color w:val="auto"/>
          <w:sz w:val="32"/>
          <w:szCs w:val="32"/>
          <w:highlight w:val="none"/>
          <w:lang w:val="en-US" w:eastAsia="zh-CN"/>
        </w:rPr>
        <w:t>增加了“全区党报党刊经费”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文明城市建设电动车牌照</w:t>
      </w:r>
      <w:r>
        <w:rPr>
          <w:rFonts w:hint="eastAsia" w:ascii="Times New Roman" w:hAnsi="Times New Roman" w:eastAsia="仿宋" w:cs="Times New Roman"/>
          <w:color w:val="auto"/>
          <w:sz w:val="32"/>
          <w:szCs w:val="32"/>
          <w:highlight w:val="none"/>
          <w:lang w:eastAsia="zh-CN"/>
        </w:rPr>
        <w:t>”“乡镇级片区公共文化设施专项规划”</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highlight w:val="none"/>
          <w:lang w:eastAsia="zh-CN"/>
        </w:rPr>
        <w:t>。</w:t>
      </w:r>
    </w:p>
    <w:p>
      <w:pPr>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图1：</w:t>
      </w:r>
    </w:p>
    <w:p>
      <w:pPr>
        <w:pStyle w:val="6"/>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lang w:eastAsia="zh-CN"/>
        </w:rPr>
        <w:drawing>
          <wp:inline distT="0" distB="0" distL="114300" distR="114300">
            <wp:extent cx="5080000" cy="2366010"/>
            <wp:effectExtent l="4445" t="4445" r="2095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0"/>
        <w:numPr>
          <w:ilvl w:val="0"/>
          <w:numId w:val="1"/>
        </w:numPr>
        <w:spacing w:line="600" w:lineRule="exact"/>
        <w:ind w:firstLineChars="0"/>
        <w:jc w:val="both"/>
        <w:outlineLvl w:val="1"/>
        <w:rPr>
          <w:rStyle w:val="32"/>
          <w:rFonts w:hint="default" w:ascii="Times New Roman" w:hAnsi="Times New Roman" w:eastAsia="黑体" w:cs="Times New Roman"/>
          <w:b w:val="0"/>
          <w:color w:val="auto"/>
          <w:highlight w:val="none"/>
        </w:rPr>
      </w:pPr>
      <w:bookmarkStart w:id="31" w:name="_Toc15396604"/>
      <w:bookmarkStart w:id="32" w:name="_Toc15377206"/>
      <w:bookmarkStart w:id="33" w:name="_Toc14492"/>
      <w:bookmarkStart w:id="34" w:name="_Toc2826"/>
      <w:bookmarkStart w:id="35" w:name="_Toc11241"/>
      <w:r>
        <w:rPr>
          <w:rFonts w:hint="default" w:ascii="Times New Roman" w:hAnsi="Times New Roman" w:eastAsia="黑体" w:cs="Times New Roman"/>
          <w:color w:val="auto"/>
          <w:sz w:val="32"/>
          <w:szCs w:val="32"/>
          <w:highlight w:val="none"/>
        </w:rPr>
        <w:t>收</w:t>
      </w:r>
      <w:r>
        <w:rPr>
          <w:rStyle w:val="32"/>
          <w:rFonts w:hint="default" w:ascii="Times New Roman" w:hAnsi="Times New Roman" w:eastAsia="黑体" w:cs="Times New Roman"/>
          <w:b w:val="0"/>
          <w:color w:val="auto"/>
          <w:highlight w:val="none"/>
        </w:rPr>
        <w:t>入决算情况说明</w:t>
      </w:r>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bookmarkStart w:id="36" w:name="_Toc4050"/>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本年收入合计948.73万元，其中：一般公共预算财政拨款收入948.</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3万元，占</w:t>
      </w:r>
      <w:r>
        <w:rPr>
          <w:rFonts w:hint="eastAsia" w:eastAsia="仿宋" w:cs="Times New Roman"/>
          <w:color w:val="auto"/>
          <w:sz w:val="32"/>
          <w:szCs w:val="32"/>
          <w:highlight w:val="none"/>
          <w:lang w:val="en-US" w:eastAsia="zh-CN"/>
        </w:rPr>
        <w:t>99.98</w:t>
      </w:r>
      <w:r>
        <w:rPr>
          <w:rFonts w:hint="default" w:ascii="Times New Roman" w:hAnsi="Times New Roman" w:eastAsia="仿宋" w:cs="Times New Roman"/>
          <w:color w:val="auto"/>
          <w:sz w:val="32"/>
          <w:szCs w:val="32"/>
          <w:highlight w:val="none"/>
        </w:rPr>
        <w:t>%；其他收入</w:t>
      </w:r>
      <w:r>
        <w:rPr>
          <w:rFonts w:hint="eastAsia" w:eastAsia="仿宋" w:cs="Times New Roman"/>
          <w:color w:val="auto"/>
          <w:sz w:val="32"/>
          <w:szCs w:val="32"/>
          <w:highlight w:val="none"/>
          <w:lang w:val="en-US" w:eastAsia="zh-CN"/>
        </w:rPr>
        <w:t>0.20</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0.02</w:t>
      </w:r>
      <w:r>
        <w:rPr>
          <w:rFonts w:hint="default" w:ascii="Times New Roman" w:hAnsi="Times New Roman" w:eastAsia="仿宋" w:cs="Times New Roman"/>
          <w:color w:val="auto"/>
          <w:sz w:val="32"/>
          <w:szCs w:val="32"/>
          <w:highlight w:val="none"/>
        </w:rPr>
        <w:t>%。</w:t>
      </w:r>
      <w:bookmarkEnd w:id="36"/>
    </w:p>
    <w:p>
      <w:pPr>
        <w:spacing w:line="600" w:lineRule="exact"/>
        <w:ind w:firstLine="640" w:firstLineChars="200"/>
        <w:jc w:val="both"/>
        <w:rPr>
          <w:rFonts w:hint="default" w:ascii="Times New Roman" w:hAnsi="Times New Roman" w:eastAsia="仿宋_GB2312" w:cs="Times New Roman"/>
          <w:color w:val="FF0000"/>
          <w:sz w:val="32"/>
          <w:szCs w:val="32"/>
          <w:lang w:eastAsia="zh-CN"/>
        </w:rPr>
      </w:pPr>
      <w:bookmarkStart w:id="37" w:name="_Toc15377207"/>
      <w:bookmarkStart w:id="38" w:name="_Toc15396605"/>
      <w:r>
        <w:rPr>
          <w:rFonts w:hint="default" w:ascii="Times New Roman" w:hAnsi="Times New Roman" w:eastAsia="仿宋" w:cs="Times New Roman"/>
          <w:color w:val="000000" w:themeColor="text1"/>
          <w:sz w:val="32"/>
          <w:szCs w:val="32"/>
          <w:highlight w:val="none"/>
          <w14:textFill>
            <w14:solidFill>
              <w14:schemeClr w14:val="tx1"/>
            </w14:solidFill>
          </w14:textFill>
        </w:rPr>
        <w:t>图2：</w:t>
      </w:r>
    </w:p>
    <w:p>
      <w:pPr>
        <w:pStyle w:val="6"/>
        <w:jc w:val="center"/>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FF0000"/>
          <w:sz w:val="32"/>
          <w:szCs w:val="32"/>
          <w:lang w:eastAsia="zh-CN"/>
        </w:rPr>
        <w:drawing>
          <wp:inline distT="0" distB="0" distL="114300" distR="114300">
            <wp:extent cx="4096385" cy="2112010"/>
            <wp:effectExtent l="4445" t="5080" r="13970" b="1651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0"/>
        <w:numPr>
          <w:ilvl w:val="0"/>
          <w:numId w:val="1"/>
        </w:numPr>
        <w:spacing w:line="600" w:lineRule="exact"/>
        <w:ind w:firstLineChars="0"/>
        <w:jc w:val="both"/>
        <w:outlineLvl w:val="1"/>
        <w:rPr>
          <w:rStyle w:val="32"/>
          <w:rFonts w:hint="default" w:ascii="Times New Roman" w:hAnsi="Times New Roman" w:eastAsia="黑体" w:cs="Times New Roman"/>
          <w:b w:val="0"/>
          <w:color w:val="auto"/>
          <w:highlight w:val="none"/>
        </w:rPr>
      </w:pPr>
      <w:bookmarkStart w:id="39" w:name="_Toc4565"/>
      <w:bookmarkStart w:id="40" w:name="_Toc16132"/>
      <w:bookmarkStart w:id="41" w:name="_Toc16728"/>
      <w:r>
        <w:rPr>
          <w:rFonts w:hint="default" w:ascii="Times New Roman" w:hAnsi="Times New Roman" w:eastAsia="黑体" w:cs="Times New Roman"/>
          <w:color w:val="auto"/>
          <w:sz w:val="32"/>
          <w:szCs w:val="32"/>
          <w:highlight w:val="none"/>
        </w:rPr>
        <w:t>支</w:t>
      </w:r>
      <w:r>
        <w:rPr>
          <w:rStyle w:val="32"/>
          <w:rFonts w:hint="default" w:ascii="Times New Roman" w:hAnsi="Times New Roman" w:eastAsia="黑体" w:cs="Times New Roman"/>
          <w:b w:val="0"/>
          <w:color w:val="auto"/>
          <w:highlight w:val="none"/>
        </w:rPr>
        <w:t>出决算情况说明</w:t>
      </w:r>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color w:val="auto"/>
          <w:sz w:val="32"/>
          <w:szCs w:val="32"/>
          <w:highlight w:val="none"/>
        </w:rPr>
      </w:pPr>
      <w:bookmarkStart w:id="42" w:name="_Toc12454"/>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本年支出合计</w:t>
      </w:r>
      <w:r>
        <w:rPr>
          <w:rFonts w:hint="eastAsia" w:eastAsia="仿宋" w:cs="Times New Roman"/>
          <w:color w:val="auto"/>
          <w:sz w:val="32"/>
          <w:szCs w:val="32"/>
          <w:highlight w:val="none"/>
          <w:lang w:val="en-US" w:eastAsia="zh-CN"/>
        </w:rPr>
        <w:t>967.66</w:t>
      </w:r>
      <w:r>
        <w:rPr>
          <w:rFonts w:hint="default" w:ascii="Times New Roman" w:hAnsi="Times New Roman" w:eastAsia="仿宋" w:cs="Times New Roman"/>
          <w:color w:val="auto"/>
          <w:sz w:val="32"/>
          <w:szCs w:val="32"/>
          <w:highlight w:val="none"/>
        </w:rPr>
        <w:t>万元，其中：基本支出</w:t>
      </w:r>
      <w:r>
        <w:rPr>
          <w:rFonts w:hint="eastAsia" w:eastAsia="仿宋" w:cs="Times New Roman"/>
          <w:color w:val="auto"/>
          <w:sz w:val="32"/>
          <w:szCs w:val="32"/>
          <w:highlight w:val="none"/>
          <w:lang w:val="en-US" w:eastAsia="zh-CN"/>
        </w:rPr>
        <w:t>370.02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38.</w:t>
      </w:r>
      <w:r>
        <w:rPr>
          <w:rFonts w:hint="eastAsia" w:eastAsia="仿宋" w:cs="Times New Roman"/>
          <w:color w:val="auto"/>
          <w:sz w:val="32"/>
          <w:szCs w:val="32"/>
          <w:highlight w:val="none"/>
          <w:lang w:val="en-US" w:eastAsia="zh-CN"/>
        </w:rPr>
        <w:t>24</w:t>
      </w:r>
      <w:r>
        <w:rPr>
          <w:rFonts w:hint="default" w:ascii="Times New Roman" w:hAnsi="Times New Roman" w:eastAsia="仿宋" w:cs="Times New Roman"/>
          <w:color w:val="auto"/>
          <w:sz w:val="32"/>
          <w:szCs w:val="32"/>
          <w:highlight w:val="none"/>
        </w:rPr>
        <w:t>%；项目支出</w:t>
      </w:r>
      <w:r>
        <w:rPr>
          <w:rFonts w:hint="eastAsia" w:eastAsia="仿宋" w:cs="Times New Roman"/>
          <w:color w:val="auto"/>
          <w:sz w:val="32"/>
          <w:szCs w:val="32"/>
          <w:highlight w:val="none"/>
          <w:lang w:val="en-US" w:eastAsia="zh-CN"/>
        </w:rPr>
        <w:t>597.64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61.</w:t>
      </w:r>
      <w:r>
        <w:rPr>
          <w:rFonts w:hint="eastAsia" w:eastAsia="仿宋" w:cs="Times New Roman"/>
          <w:color w:val="auto"/>
          <w:sz w:val="32"/>
          <w:szCs w:val="32"/>
          <w:highlight w:val="none"/>
          <w:lang w:val="en-US" w:eastAsia="zh-CN"/>
        </w:rPr>
        <w:t>76</w:t>
      </w:r>
      <w:r>
        <w:rPr>
          <w:rFonts w:hint="default" w:ascii="Times New Roman" w:hAnsi="Times New Roman" w:eastAsia="仿宋" w:cs="Times New Roman"/>
          <w:color w:val="auto"/>
          <w:sz w:val="32"/>
          <w:szCs w:val="32"/>
          <w:highlight w:val="none"/>
        </w:rPr>
        <w:t>%。</w:t>
      </w:r>
      <w:bookmarkEnd w:id="4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color w:val="FF0000"/>
          <w:sz w:val="32"/>
          <w:szCs w:val="32"/>
          <w:highlight w:val="none"/>
        </w:rPr>
      </w:pPr>
      <w:bookmarkStart w:id="43" w:name="_Toc15396606"/>
      <w:bookmarkStart w:id="44" w:name="_Toc15377208"/>
      <w:r>
        <w:rPr>
          <w:rFonts w:hint="default" w:ascii="Times New Roman" w:hAnsi="Times New Roman" w:eastAsia="仿宋" w:cs="Times New Roman"/>
          <w:color w:val="000000" w:themeColor="text1"/>
          <w:sz w:val="32"/>
          <w:szCs w:val="32"/>
          <w:highlight w:val="none"/>
          <w14:textFill>
            <w14:solidFill>
              <w14:schemeClr w14:val="tx1"/>
            </w14:solidFill>
          </w14:textFill>
        </w:rPr>
        <w:t>图3：</w:t>
      </w:r>
    </w:p>
    <w:p>
      <w:pPr>
        <w:pStyle w:val="6"/>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lang w:eastAsia="zh-CN"/>
        </w:rPr>
        <w:drawing>
          <wp:inline distT="0" distB="0" distL="114300" distR="114300">
            <wp:extent cx="4238625" cy="2318385"/>
            <wp:effectExtent l="4445" t="5080" r="5080" b="1968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both"/>
        <w:outlineLvl w:val="9"/>
        <w:rPr>
          <w:rFonts w:hint="default" w:ascii="Times New Roman" w:hAnsi="Times New Roman" w:eastAsia="黑体" w:cs="Times New Roman"/>
          <w:color w:val="000000"/>
          <w:sz w:val="32"/>
          <w:szCs w:val="32"/>
        </w:rPr>
      </w:pPr>
    </w:p>
    <w:p>
      <w:pPr>
        <w:spacing w:line="600" w:lineRule="exact"/>
        <w:ind w:firstLine="640" w:firstLineChars="200"/>
        <w:jc w:val="both"/>
        <w:outlineLvl w:val="1"/>
        <w:rPr>
          <w:rStyle w:val="32"/>
          <w:rFonts w:hint="default" w:ascii="Times New Roman" w:hAnsi="Times New Roman" w:eastAsia="黑体" w:cs="Times New Roman"/>
          <w:b w:val="0"/>
          <w:color w:val="auto"/>
          <w:highlight w:val="none"/>
        </w:rPr>
      </w:pPr>
      <w:bookmarkStart w:id="45" w:name="_Toc27384"/>
      <w:bookmarkStart w:id="46" w:name="_Toc6499"/>
      <w:bookmarkStart w:id="47" w:name="_Toc9174"/>
      <w:r>
        <w:rPr>
          <w:rFonts w:hint="default" w:ascii="Times New Roman" w:hAnsi="Times New Roman" w:eastAsia="黑体" w:cs="Times New Roman"/>
          <w:color w:val="auto"/>
          <w:sz w:val="32"/>
          <w:szCs w:val="32"/>
          <w:highlight w:val="none"/>
        </w:rPr>
        <w:t>四、财</w:t>
      </w:r>
      <w:r>
        <w:rPr>
          <w:rStyle w:val="32"/>
          <w:rFonts w:hint="default" w:ascii="Times New Roman" w:hAnsi="Times New Roman" w:eastAsia="黑体" w:cs="Times New Roman"/>
          <w:b w:val="0"/>
          <w:color w:val="auto"/>
          <w:highlight w:val="none"/>
        </w:rPr>
        <w:t>政拨款收入支出决算总体情况说明</w:t>
      </w:r>
      <w:bookmarkEnd w:id="43"/>
      <w:bookmarkEnd w:id="44"/>
      <w:bookmarkEnd w:id="45"/>
      <w:bookmarkEnd w:id="46"/>
      <w:bookmarkEnd w:id="47"/>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财政拨款收、支总计</w:t>
      </w:r>
      <w:r>
        <w:rPr>
          <w:rFonts w:hint="eastAsia" w:eastAsia="仿宋" w:cs="Times New Roman"/>
          <w:color w:val="auto"/>
          <w:sz w:val="32"/>
          <w:szCs w:val="32"/>
          <w:highlight w:val="none"/>
          <w:lang w:val="en-US" w:eastAsia="zh-CN"/>
        </w:rPr>
        <w:t>948.53</w:t>
      </w:r>
      <w:r>
        <w:rPr>
          <w:rFonts w:hint="default" w:ascii="Times New Roman" w:hAnsi="Times New Roman" w:eastAsia="仿宋" w:cs="Times New Roman"/>
          <w:color w:val="auto"/>
          <w:sz w:val="32"/>
          <w:szCs w:val="32"/>
          <w:highlight w:val="none"/>
        </w:rPr>
        <w:t>万元。与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相比，财政拨款收、支总计各</w:t>
      </w:r>
      <w:r>
        <w:rPr>
          <w:rFonts w:hint="eastAsia" w:eastAsia="仿宋" w:cs="Times New Roman"/>
          <w:color w:val="auto"/>
          <w:sz w:val="32"/>
          <w:szCs w:val="32"/>
          <w:highlight w:val="none"/>
          <w:lang w:eastAsia="zh-CN"/>
        </w:rPr>
        <w:t>增加</w:t>
      </w:r>
      <w:r>
        <w:rPr>
          <w:rFonts w:hint="eastAsia" w:eastAsia="仿宋" w:cs="Times New Roman"/>
          <w:color w:val="auto"/>
          <w:sz w:val="32"/>
          <w:szCs w:val="32"/>
          <w:highlight w:val="none"/>
          <w:lang w:val="en-US" w:eastAsia="zh-CN"/>
        </w:rPr>
        <w:t>87.88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增长</w:t>
      </w:r>
      <w:r>
        <w:rPr>
          <w:rFonts w:hint="eastAsia" w:eastAsia="仿宋" w:cs="Times New Roman"/>
          <w:color w:val="auto"/>
          <w:sz w:val="32"/>
          <w:szCs w:val="32"/>
          <w:highlight w:val="none"/>
          <w:lang w:val="en-US" w:eastAsia="zh-CN"/>
        </w:rPr>
        <w:t>10.21</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ascii="Times New Roman" w:hAnsi="Times New Roman" w:eastAsia="仿宋" w:cs="Times New Roman"/>
          <w:color w:val="auto"/>
          <w:sz w:val="32"/>
          <w:szCs w:val="32"/>
          <w:highlight w:val="none"/>
          <w:lang w:val="en-US" w:eastAsia="zh-CN"/>
        </w:rPr>
        <w:t>增加了“全区党报党刊经费”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文明城市建设电动车牌照</w:t>
      </w:r>
      <w:r>
        <w:rPr>
          <w:rFonts w:hint="eastAsia" w:ascii="Times New Roman" w:hAnsi="Times New Roman" w:eastAsia="仿宋" w:cs="Times New Roman"/>
          <w:color w:val="auto"/>
          <w:sz w:val="32"/>
          <w:szCs w:val="32"/>
          <w:highlight w:val="none"/>
          <w:lang w:eastAsia="zh-CN"/>
        </w:rPr>
        <w:t>”“乡镇级片区公共文化设施专项规划”</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lang w:val="en-US" w:eastAsia="zh-CN"/>
        </w:rPr>
        <w:t>。</w:t>
      </w:r>
      <w:bookmarkStart w:id="48" w:name="_Toc15396607"/>
      <w:bookmarkStart w:id="49" w:name="_Toc15377209"/>
    </w:p>
    <w:p>
      <w:pPr>
        <w:spacing w:line="600" w:lineRule="exact"/>
        <w:ind w:firstLine="640" w:firstLineChars="200"/>
        <w:jc w:val="both"/>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图4</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pPr>
        <w:pStyle w:val="6"/>
        <w:jc w:val="center"/>
        <w:rPr>
          <w:rFonts w:hint="default" w:ascii="Times New Roman" w:hAnsi="Times New Roman" w:eastAsia="仿宋" w:cs="Times New Roman"/>
          <w:b/>
          <w:color w:val="00B050"/>
          <w:sz w:val="32"/>
          <w:szCs w:val="32"/>
        </w:rPr>
      </w:pPr>
      <w:r>
        <w:rPr>
          <w:rFonts w:hint="default" w:ascii="Times New Roman" w:hAnsi="Times New Roman" w:eastAsia="仿宋" w:cs="Times New Roman"/>
          <w:b/>
          <w:color w:val="00B050"/>
          <w:sz w:val="32"/>
          <w:szCs w:val="32"/>
          <w:lang w:eastAsia="zh-CN"/>
        </w:rPr>
        <w:drawing>
          <wp:inline distT="0" distB="0" distL="114300" distR="114300">
            <wp:extent cx="5080000" cy="2389505"/>
            <wp:effectExtent l="4445" t="4445" r="20955" b="63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both"/>
        <w:outlineLvl w:val="1"/>
        <w:rPr>
          <w:rStyle w:val="32"/>
          <w:rFonts w:hint="default" w:ascii="Times New Roman" w:hAnsi="Times New Roman" w:eastAsia="黑体" w:cs="Times New Roman"/>
          <w:b w:val="0"/>
          <w:color w:val="auto"/>
          <w:highlight w:val="none"/>
        </w:rPr>
      </w:pPr>
      <w:bookmarkStart w:id="50" w:name="_Toc24003"/>
      <w:bookmarkStart w:id="51" w:name="_Toc24783"/>
      <w:bookmarkStart w:id="52" w:name="_Toc9202"/>
      <w:r>
        <w:rPr>
          <w:rFonts w:hint="default" w:ascii="Times New Roman" w:hAnsi="Times New Roman" w:eastAsia="黑体" w:cs="Times New Roman"/>
          <w:color w:val="000000"/>
          <w:sz w:val="32"/>
          <w:szCs w:val="32"/>
        </w:rPr>
        <w:t>五</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highlight w:val="none"/>
        </w:rPr>
        <w:t>般公共预算财政拨款支出决算情况说明</w:t>
      </w:r>
      <w:bookmarkEnd w:id="48"/>
      <w:bookmarkEnd w:id="49"/>
      <w:bookmarkEnd w:id="50"/>
      <w:bookmarkEnd w:id="51"/>
      <w:bookmarkEnd w:id="52"/>
    </w:p>
    <w:p>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53" w:name="_Toc15377210"/>
      <w:r>
        <w:rPr>
          <w:rFonts w:hint="default" w:ascii="Times New Roman" w:hAnsi="Times New Roman" w:eastAsia="仿宋" w:cs="Times New Roman"/>
          <w:b/>
          <w:color w:val="auto"/>
          <w:sz w:val="32"/>
          <w:szCs w:val="32"/>
          <w:highlight w:val="none"/>
        </w:rPr>
        <w:t>（一）一般公共预算财政拨款支出决算总体情况</w:t>
      </w:r>
      <w:bookmarkEnd w:id="53"/>
    </w:p>
    <w:p>
      <w:pPr>
        <w:spacing w:line="600" w:lineRule="exact"/>
        <w:ind w:firstLine="640" w:firstLineChars="20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948.53</w:t>
      </w:r>
      <w:r>
        <w:rPr>
          <w:rFonts w:hint="default" w:ascii="Times New Roman" w:hAnsi="Times New Roman" w:eastAsia="仿宋" w:cs="Times New Roman"/>
          <w:color w:val="auto"/>
          <w:sz w:val="32"/>
          <w:szCs w:val="32"/>
          <w:highlight w:val="none"/>
        </w:rPr>
        <w:t>万元，占本年支出合计的</w:t>
      </w:r>
      <w:r>
        <w:rPr>
          <w:rFonts w:hint="eastAsia" w:eastAsia="仿宋" w:cs="Times New Roman"/>
          <w:color w:val="auto"/>
          <w:sz w:val="32"/>
          <w:szCs w:val="32"/>
          <w:highlight w:val="none"/>
          <w:lang w:val="en-US" w:eastAsia="zh-CN"/>
        </w:rPr>
        <w:t>98.02</w:t>
      </w:r>
      <w:r>
        <w:rPr>
          <w:rFonts w:hint="default" w:ascii="Times New Roman" w:hAnsi="Times New Roman" w:eastAsia="仿宋" w:cs="Times New Roman"/>
          <w:color w:val="auto"/>
          <w:sz w:val="32"/>
          <w:szCs w:val="32"/>
          <w:highlight w:val="none"/>
        </w:rPr>
        <w:t>%。与</w:t>
      </w:r>
      <w:r>
        <w:rPr>
          <w:rFonts w:hint="eastAsia" w:eastAsia="仿宋" w:cs="Times New Roman"/>
          <w:color w:val="auto"/>
          <w:sz w:val="32"/>
          <w:szCs w:val="32"/>
          <w:highlight w:val="none"/>
          <w:lang w:eastAsia="zh-CN"/>
        </w:rPr>
        <w:t>2022年</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eastAsia" w:eastAsia="仿宋" w:cs="Times New Roman"/>
          <w:color w:val="auto"/>
          <w:sz w:val="32"/>
          <w:szCs w:val="32"/>
          <w:highlight w:val="none"/>
          <w:lang w:eastAsia="zh-CN"/>
        </w:rPr>
        <w:t>增加</w:t>
      </w:r>
      <w:r>
        <w:rPr>
          <w:rFonts w:hint="eastAsia" w:eastAsia="仿宋" w:cs="Times New Roman"/>
          <w:color w:val="auto"/>
          <w:sz w:val="32"/>
          <w:szCs w:val="32"/>
          <w:highlight w:val="none"/>
          <w:lang w:val="en-US" w:eastAsia="zh-CN"/>
        </w:rPr>
        <w:t>125.28</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增长</w:t>
      </w:r>
      <w:r>
        <w:rPr>
          <w:rFonts w:hint="eastAsia" w:eastAsia="仿宋" w:cs="Times New Roman"/>
          <w:color w:val="auto"/>
          <w:sz w:val="32"/>
          <w:szCs w:val="32"/>
          <w:highlight w:val="none"/>
          <w:lang w:val="en-US" w:eastAsia="zh-CN"/>
        </w:rPr>
        <w:t>15.22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auto"/>
          <w:sz w:val="32"/>
          <w:szCs w:val="32"/>
          <w:lang w:val="en-US" w:eastAsia="zh-CN"/>
        </w:rPr>
        <w:t>2023年</w:t>
      </w:r>
      <w:r>
        <w:rPr>
          <w:rFonts w:hint="eastAsia" w:ascii="Times New Roman" w:hAnsi="Times New Roman" w:eastAsia="仿宋" w:cs="Times New Roman"/>
          <w:color w:val="auto"/>
          <w:sz w:val="32"/>
          <w:szCs w:val="32"/>
          <w:highlight w:val="none"/>
          <w:lang w:val="en-US" w:eastAsia="zh-CN"/>
        </w:rPr>
        <w:t>增加了“全区党报党刊经费”</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文明城市建设电动车牌照</w:t>
      </w:r>
      <w:r>
        <w:rPr>
          <w:rFonts w:hint="eastAsia" w:ascii="Times New Roman" w:hAnsi="Times New Roman" w:eastAsia="仿宋" w:cs="Times New Roman"/>
          <w:color w:val="auto"/>
          <w:sz w:val="32"/>
          <w:szCs w:val="32"/>
          <w:highlight w:val="none"/>
          <w:lang w:eastAsia="zh-CN"/>
        </w:rPr>
        <w:t>”“乡镇级片区公共文化设施专项规划”</w:t>
      </w:r>
      <w:r>
        <w:rPr>
          <w:rFonts w:hint="default" w:ascii="Times New Roman" w:hAnsi="Times New Roman" w:eastAsia="仿宋" w:cs="Times New Roman"/>
          <w:color w:val="auto"/>
          <w:sz w:val="32"/>
          <w:szCs w:val="32"/>
          <w:highlight w:val="none"/>
        </w:rPr>
        <w:t>等项目经费</w:t>
      </w:r>
      <w:r>
        <w:rPr>
          <w:rFonts w:hint="default" w:ascii="Times New Roman" w:hAnsi="Times New Roman" w:eastAsia="仿宋" w:cs="Times New Roman"/>
          <w:color w:val="auto"/>
          <w:sz w:val="32"/>
          <w:szCs w:val="32"/>
          <w:highlight w:val="none"/>
          <w:lang w:val="en-US" w:eastAsia="zh-CN"/>
        </w:rPr>
        <w:t>。</w:t>
      </w:r>
      <w:bookmarkStart w:id="54" w:name="_Toc15377211"/>
    </w:p>
    <w:p>
      <w:pPr>
        <w:spacing w:line="600" w:lineRule="exact"/>
        <w:ind w:firstLine="640" w:firstLineChars="200"/>
        <w:jc w:val="both"/>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图5：</w:t>
      </w:r>
    </w:p>
    <w:p>
      <w:pPr>
        <w:pStyle w:val="6"/>
        <w:jc w:val="center"/>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eastAsia="zh-CN"/>
          <w14:textFill>
            <w14:solidFill>
              <w14:schemeClr w14:val="tx1"/>
            </w14:solidFill>
          </w14:textFill>
        </w:rPr>
        <w:drawing>
          <wp:inline distT="0" distB="0" distL="114300" distR="114300">
            <wp:extent cx="5080000" cy="2018030"/>
            <wp:effectExtent l="5080" t="4445" r="20320" b="1587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二）一般公共预算财政拨款支出决算结构情况</w:t>
      </w:r>
      <w:bookmarkEnd w:id="54"/>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948.53</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eastAsia" w:eastAsia="仿宋" w:cs="Times New Roman"/>
          <w:color w:val="auto"/>
          <w:sz w:val="32"/>
          <w:szCs w:val="32"/>
          <w:highlight w:val="none"/>
          <w:lang w:val="en-US" w:eastAsia="zh-CN"/>
        </w:rPr>
        <w:t>817.34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w:t>
      </w:r>
      <w:r>
        <w:rPr>
          <w:rFonts w:hint="eastAsia" w:eastAsia="仿宋" w:cs="Times New Roman"/>
          <w:color w:val="auto"/>
          <w:sz w:val="32"/>
          <w:szCs w:val="32"/>
          <w:highlight w:val="none"/>
          <w:lang w:val="en-US" w:eastAsia="zh-CN"/>
        </w:rPr>
        <w:t>6.17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文化旅游体育与传媒支出</w:t>
      </w:r>
      <w:r>
        <w:rPr>
          <w:rFonts w:hint="eastAsia" w:eastAsia="仿宋" w:cs="Times New Roman"/>
          <w:b w:val="0"/>
          <w:bCs w:val="0"/>
          <w:color w:val="auto"/>
          <w:sz w:val="32"/>
          <w:szCs w:val="32"/>
          <w:highlight w:val="none"/>
          <w:lang w:val="en-US" w:eastAsia="zh-CN"/>
        </w:rPr>
        <w:t>31.71</w:t>
      </w:r>
      <w:r>
        <w:rPr>
          <w:rFonts w:hint="default" w:ascii="Times New Roman" w:hAnsi="Times New Roman" w:eastAsia="仿宋" w:cs="Times New Roman"/>
          <w:b/>
          <w:bCs/>
          <w:color w:val="auto"/>
          <w:sz w:val="32"/>
          <w:szCs w:val="32"/>
          <w:highlight w:val="none"/>
        </w:rPr>
        <w:t>万元</w:t>
      </w:r>
      <w:r>
        <w:rPr>
          <w:rFonts w:hint="default" w:ascii="Times New Roman" w:hAnsi="Times New Roman" w:eastAsia="仿宋" w:cs="Times New Roman"/>
          <w:b w:val="0"/>
          <w:bCs w:val="0"/>
          <w:color w:val="auto"/>
          <w:sz w:val="32"/>
          <w:szCs w:val="32"/>
          <w:highlight w:val="none"/>
        </w:rPr>
        <w:t>，占</w:t>
      </w:r>
      <w:r>
        <w:rPr>
          <w:rFonts w:hint="eastAsia" w:eastAsia="仿宋" w:cs="Times New Roman"/>
          <w:b w:val="0"/>
          <w:bCs w:val="0"/>
          <w:color w:val="auto"/>
          <w:sz w:val="32"/>
          <w:szCs w:val="32"/>
          <w:highlight w:val="none"/>
          <w:lang w:val="en-US" w:eastAsia="zh-CN"/>
        </w:rPr>
        <w:t>3.34</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rPr>
        <w:t>3</w:t>
      </w:r>
      <w:r>
        <w:rPr>
          <w:rFonts w:hint="eastAsia" w:eastAsia="仿宋" w:cs="Times New Roman"/>
          <w:color w:val="auto"/>
          <w:sz w:val="32"/>
          <w:szCs w:val="32"/>
          <w:highlight w:val="none"/>
          <w:lang w:val="en-US" w:eastAsia="zh-CN"/>
        </w:rPr>
        <w:t>6.75</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3.88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eastAsia" w:eastAsia="仿宋" w:cs="Times New Roman"/>
          <w:color w:val="auto"/>
          <w:sz w:val="32"/>
          <w:szCs w:val="32"/>
          <w:highlight w:val="none"/>
          <w:lang w:val="en-US" w:eastAsia="zh-CN"/>
        </w:rPr>
        <w:t>14.63</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1.54</w:t>
      </w:r>
      <w:r>
        <w:rPr>
          <w:rFonts w:hint="default" w:ascii="Times New Roman" w:hAnsi="Times New Roman" w:eastAsia="仿宋" w:cs="Times New Roman"/>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20.00万元，占2.11%；</w:t>
      </w:r>
      <w:r>
        <w:rPr>
          <w:rFonts w:hint="default" w:ascii="Times New Roman" w:hAnsi="Times New Roman" w:eastAsia="仿宋" w:cs="Times New Roman"/>
          <w:b/>
          <w:bCs/>
          <w:color w:val="auto"/>
          <w:sz w:val="32"/>
          <w:szCs w:val="32"/>
          <w:highlight w:val="none"/>
        </w:rPr>
        <w:t>住房保障支出</w:t>
      </w:r>
      <w:r>
        <w:rPr>
          <w:rFonts w:hint="eastAsia" w:eastAsia="仿宋" w:cs="Times New Roman"/>
          <w:color w:val="auto"/>
          <w:sz w:val="32"/>
          <w:szCs w:val="32"/>
          <w:highlight w:val="none"/>
          <w:lang w:val="en-US" w:eastAsia="zh-CN"/>
        </w:rPr>
        <w:t>28.10</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2.96</w:t>
      </w:r>
      <w:r>
        <w:rPr>
          <w:rFonts w:hint="default" w:ascii="Times New Roman" w:hAnsi="Times New Roman" w:eastAsia="仿宋" w:cs="Times New Roman"/>
          <w:color w:val="auto"/>
          <w:sz w:val="32"/>
          <w:szCs w:val="32"/>
          <w:highlight w:val="none"/>
        </w:rPr>
        <w:t>%。</w:t>
      </w:r>
    </w:p>
    <w:p>
      <w:pPr>
        <w:spacing w:line="600" w:lineRule="exact"/>
        <w:ind w:firstLine="640" w:firstLineChars="200"/>
        <w:jc w:val="both"/>
        <w:rPr>
          <w:rFonts w:hint="default" w:ascii="Times New Roman" w:hAnsi="Times New Roman" w:eastAsia="仿宋" w:cs="Times New Roman"/>
          <w:color w:val="000000"/>
          <w:sz w:val="32"/>
          <w:szCs w:val="32"/>
          <w:highlight w:val="none"/>
        </w:rPr>
      </w:pPr>
      <w:bookmarkStart w:id="55" w:name="_Toc15377212"/>
      <w:r>
        <w:rPr>
          <w:rFonts w:hint="default" w:ascii="Times New Roman" w:hAnsi="Times New Roman" w:eastAsia="仿宋" w:cs="Times New Roman"/>
          <w:color w:val="000000"/>
          <w:sz w:val="32"/>
          <w:szCs w:val="32"/>
          <w:highlight w:val="none"/>
        </w:rPr>
        <w:t>图6：</w:t>
      </w:r>
    </w:p>
    <w:p>
      <w:pPr>
        <w:pStyle w:val="6"/>
        <w:jc w:val="center"/>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drawing>
          <wp:inline distT="0" distB="0" distL="114300" distR="114300">
            <wp:extent cx="4810125" cy="2882265"/>
            <wp:effectExtent l="4445" t="4445" r="5080" b="889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000000"/>
          <w:sz w:val="32"/>
          <w:szCs w:val="32"/>
        </w:rPr>
        <w:t>（</w:t>
      </w:r>
      <w:r>
        <w:rPr>
          <w:rFonts w:hint="default" w:ascii="Times New Roman" w:hAnsi="Times New Roman" w:eastAsia="仿宋" w:cs="Times New Roman"/>
          <w:b/>
          <w:color w:val="auto"/>
          <w:sz w:val="32"/>
          <w:szCs w:val="32"/>
          <w:highlight w:val="none"/>
        </w:rPr>
        <w:t>三）一般公共预算财政拨款支出决算具体情况</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 w:cs="Times New Roman"/>
          <w:color w:val="auto"/>
          <w:sz w:val="32"/>
          <w:szCs w:val="32"/>
          <w:highlight w:val="none"/>
        </w:rPr>
      </w:pPr>
      <w:bookmarkStart w:id="56" w:name="_Toc5628"/>
      <w:bookmarkStart w:id="57" w:name="_Toc15377213"/>
      <w:bookmarkStart w:id="58" w:name="_Toc15378460"/>
      <w:bookmarkStart w:id="59" w:name="_Toc15377444"/>
      <w:r>
        <w:rPr>
          <w:rFonts w:hint="eastAsia" w:eastAsia="仿宋" w:cs="Times New Roman"/>
          <w:b/>
          <w:color w:val="auto"/>
          <w:sz w:val="32"/>
          <w:szCs w:val="32"/>
          <w:highlight w:val="none"/>
          <w:lang w:eastAsia="zh-CN"/>
        </w:rPr>
        <w:t>2023年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eastAsia" w:eastAsia="仿宋" w:cs="Times New Roman"/>
          <w:b/>
          <w:color w:val="auto"/>
          <w:sz w:val="32"/>
          <w:szCs w:val="32"/>
          <w:highlight w:val="none"/>
          <w:lang w:val="en-US" w:eastAsia="zh-CN"/>
        </w:rPr>
        <w:t>948.53</w:t>
      </w:r>
      <w:r>
        <w:rPr>
          <w:rFonts w:hint="default" w:ascii="Times New Roman" w:hAnsi="Times New Roman" w:eastAsia="仿宋" w:cs="Times New Roman"/>
          <w:b/>
          <w:color w:val="auto"/>
          <w:sz w:val="32"/>
          <w:szCs w:val="32"/>
          <w:highlight w:val="none"/>
          <w:lang w:eastAsia="zh-CN"/>
        </w:rPr>
        <w:t>万元</w:t>
      </w:r>
      <w:r>
        <w:rPr>
          <w:rFonts w:hint="default" w:ascii="Times New Roman" w:hAnsi="Times New Roman" w:eastAsia="仿宋" w:cs="Times New Roman"/>
          <w:color w:val="auto"/>
          <w:sz w:val="32"/>
          <w:szCs w:val="32"/>
          <w:highlight w:val="none"/>
        </w:rPr>
        <w:t>，</w:t>
      </w:r>
      <w:r>
        <w:rPr>
          <w:rStyle w:val="16"/>
          <w:rFonts w:hint="default" w:ascii="Times New Roman" w:hAnsi="Times New Roman" w:eastAsia="仿宋" w:cs="Times New Roman"/>
          <w:bCs/>
          <w:color w:val="auto"/>
          <w:sz w:val="32"/>
          <w:szCs w:val="32"/>
          <w:highlight w:val="none"/>
        </w:rPr>
        <w:t>完成预算</w:t>
      </w:r>
      <w:r>
        <w:rPr>
          <w:rStyle w:val="16"/>
          <w:rFonts w:hint="default" w:ascii="Times New Roman" w:hAnsi="Times New Roman" w:eastAsia="仿宋" w:cs="Times New Roman"/>
          <w:bCs/>
          <w:color w:val="auto"/>
          <w:sz w:val="32"/>
          <w:szCs w:val="32"/>
          <w:highlight w:val="none"/>
          <w:lang w:val="en-US" w:eastAsia="zh-CN"/>
        </w:rPr>
        <w:t>100</w:t>
      </w:r>
      <w:r>
        <w:rPr>
          <w:rStyle w:val="16"/>
          <w:rFonts w:hint="default" w:ascii="Times New Roman" w:hAnsi="Times New Roman" w:eastAsia="仿宋" w:cs="Times New Roman"/>
          <w:bCs/>
          <w:color w:val="auto"/>
          <w:sz w:val="32"/>
          <w:szCs w:val="32"/>
          <w:highlight w:val="none"/>
        </w:rPr>
        <w:t>%。其中：</w:t>
      </w:r>
      <w:bookmarkEnd w:id="56"/>
      <w:bookmarkEnd w:id="57"/>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 w:val="0"/>
          <w:bCs/>
          <w:color w:val="000000"/>
          <w:sz w:val="32"/>
          <w:szCs w:val="32"/>
        </w:rPr>
      </w:pPr>
      <w:bookmarkStart w:id="60" w:name="_Toc15377214"/>
      <w:bookmarkStart w:id="61" w:name="_Toc15396608"/>
      <w:r>
        <w:rPr>
          <w:rStyle w:val="16"/>
          <w:rFonts w:hint="default" w:ascii="Times New Roman" w:hAnsi="Times New Roman" w:eastAsia="仿宋" w:cs="Times New Roman"/>
          <w:bCs/>
          <w:color w:val="000000"/>
          <w:sz w:val="32"/>
          <w:szCs w:val="32"/>
          <w:lang w:val="en-US" w:eastAsia="zh-CN"/>
        </w:rPr>
        <w:t>1.</w:t>
      </w:r>
      <w:r>
        <w:rPr>
          <w:rStyle w:val="16"/>
          <w:rFonts w:hint="default" w:ascii="Times New Roman" w:hAnsi="Times New Roman" w:eastAsia="仿宋" w:cs="Times New Roman"/>
          <w:bCs/>
          <w:color w:val="000000"/>
          <w:sz w:val="32"/>
          <w:szCs w:val="32"/>
        </w:rPr>
        <w:t>一般公共服务（</w:t>
      </w:r>
      <w:r>
        <w:rPr>
          <w:rStyle w:val="16"/>
          <w:rFonts w:hint="default" w:ascii="Times New Roman" w:hAnsi="Times New Roman" w:eastAsia="仿宋" w:cs="Times New Roman"/>
          <w:bCs/>
          <w:color w:val="000000"/>
          <w:sz w:val="32"/>
          <w:szCs w:val="32"/>
          <w:lang w:val="en-US" w:eastAsia="zh-CN"/>
        </w:rPr>
        <w:t>201</w:t>
      </w:r>
      <w:r>
        <w:rPr>
          <w:rStyle w:val="16"/>
          <w:rFonts w:hint="default" w:ascii="Times New Roman" w:hAnsi="Times New Roman" w:eastAsia="仿宋" w:cs="Times New Roman"/>
          <w:bCs/>
          <w:color w:val="000000"/>
          <w:sz w:val="32"/>
          <w:szCs w:val="32"/>
        </w:rPr>
        <w:t>）宣传事务（</w:t>
      </w:r>
      <w:r>
        <w:rPr>
          <w:rStyle w:val="16"/>
          <w:rFonts w:hint="default" w:ascii="Times New Roman" w:hAnsi="Times New Roman" w:eastAsia="仿宋" w:cs="Times New Roman"/>
          <w:bCs/>
          <w:color w:val="000000"/>
          <w:sz w:val="32"/>
          <w:szCs w:val="32"/>
          <w:lang w:val="en-US" w:eastAsia="zh-CN"/>
        </w:rPr>
        <w:t>33</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eastAsia="zh-CN"/>
        </w:rPr>
        <w:t>行政运行</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val="en-US" w:eastAsia="zh-CN"/>
        </w:rPr>
        <w:t>01</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default" w:ascii="Times New Roman" w:hAnsi="Times New Roman" w:eastAsia="仿宋" w:cs="Times New Roman"/>
          <w:b w:val="0"/>
          <w:bCs/>
          <w:color w:val="000000"/>
          <w:sz w:val="32"/>
          <w:szCs w:val="32"/>
          <w:lang w:val="en-US" w:eastAsia="zh-CN"/>
        </w:rPr>
        <w:t>1</w:t>
      </w:r>
      <w:r>
        <w:rPr>
          <w:rStyle w:val="16"/>
          <w:rFonts w:hint="eastAsia" w:eastAsia="仿宋" w:cs="Times New Roman"/>
          <w:b w:val="0"/>
          <w:bCs/>
          <w:color w:val="000000"/>
          <w:sz w:val="32"/>
          <w:szCs w:val="32"/>
          <w:lang w:val="en-US" w:eastAsia="zh-CN"/>
        </w:rPr>
        <w:t>93.80</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 w:val="0"/>
          <w:bCs/>
          <w:color w:val="000000"/>
          <w:sz w:val="32"/>
          <w:szCs w:val="32"/>
        </w:rPr>
      </w:pPr>
      <w:r>
        <w:rPr>
          <w:rStyle w:val="16"/>
          <w:rFonts w:hint="default" w:ascii="Times New Roman" w:hAnsi="Times New Roman" w:eastAsia="仿宋" w:cs="Times New Roman"/>
          <w:bCs/>
          <w:color w:val="000000"/>
          <w:sz w:val="32"/>
          <w:szCs w:val="32"/>
          <w:lang w:val="en-US" w:eastAsia="zh-CN"/>
        </w:rPr>
        <w:t>2</w:t>
      </w:r>
      <w:r>
        <w:rPr>
          <w:rStyle w:val="16"/>
          <w:rFonts w:hint="default" w:ascii="Times New Roman" w:hAnsi="Times New Roman" w:eastAsia="仿宋" w:cs="Times New Roman"/>
          <w:b w:val="0"/>
          <w:bCs w:val="0"/>
          <w:color w:val="000000"/>
          <w:sz w:val="32"/>
          <w:szCs w:val="32"/>
          <w:lang w:val="en-US" w:eastAsia="zh-CN"/>
        </w:rPr>
        <w:t>.</w:t>
      </w:r>
      <w:r>
        <w:rPr>
          <w:rStyle w:val="16"/>
          <w:rFonts w:hint="default" w:ascii="Times New Roman" w:hAnsi="Times New Roman" w:eastAsia="仿宋" w:cs="Times New Roman"/>
          <w:b/>
          <w:bCs/>
          <w:color w:val="000000"/>
          <w:sz w:val="32"/>
          <w:szCs w:val="32"/>
        </w:rPr>
        <w:t>一般</w:t>
      </w:r>
      <w:r>
        <w:rPr>
          <w:rStyle w:val="16"/>
          <w:rFonts w:hint="default" w:ascii="Times New Roman" w:hAnsi="Times New Roman" w:eastAsia="仿宋" w:cs="Times New Roman"/>
          <w:bCs/>
          <w:color w:val="000000"/>
          <w:sz w:val="32"/>
          <w:szCs w:val="32"/>
        </w:rPr>
        <w:t>公共服务（</w:t>
      </w:r>
      <w:r>
        <w:rPr>
          <w:rStyle w:val="16"/>
          <w:rFonts w:hint="default" w:ascii="Times New Roman" w:hAnsi="Times New Roman" w:eastAsia="仿宋" w:cs="Times New Roman"/>
          <w:bCs/>
          <w:color w:val="000000"/>
          <w:sz w:val="32"/>
          <w:szCs w:val="32"/>
          <w:lang w:val="en-US" w:eastAsia="zh-CN"/>
        </w:rPr>
        <w:t>201</w:t>
      </w:r>
      <w:r>
        <w:rPr>
          <w:rStyle w:val="16"/>
          <w:rFonts w:hint="default" w:ascii="Times New Roman" w:hAnsi="Times New Roman" w:eastAsia="仿宋" w:cs="Times New Roman"/>
          <w:bCs/>
          <w:color w:val="000000"/>
          <w:sz w:val="32"/>
          <w:szCs w:val="32"/>
        </w:rPr>
        <w:t>）宣传事务（</w:t>
      </w:r>
      <w:r>
        <w:rPr>
          <w:rStyle w:val="16"/>
          <w:rFonts w:hint="default" w:ascii="Times New Roman" w:hAnsi="Times New Roman" w:eastAsia="仿宋" w:cs="Times New Roman"/>
          <w:bCs/>
          <w:color w:val="000000"/>
          <w:sz w:val="32"/>
          <w:szCs w:val="32"/>
          <w:lang w:val="en-US" w:eastAsia="zh-CN"/>
        </w:rPr>
        <w:t>33</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eastAsia="zh-CN"/>
        </w:rPr>
        <w:t>一般行政管理事务</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val="en-US" w:eastAsia="zh-CN"/>
        </w:rPr>
        <w:t>02</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531.04</w:t>
      </w:r>
      <w:r>
        <w:rPr>
          <w:rStyle w:val="16"/>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Cs/>
          <w:color w:val="000000"/>
          <w:sz w:val="32"/>
          <w:szCs w:val="32"/>
          <w:lang w:val="en-US" w:eastAsia="zh-CN"/>
        </w:rPr>
      </w:pPr>
      <w:r>
        <w:rPr>
          <w:rStyle w:val="16"/>
          <w:rFonts w:hint="default" w:ascii="Times New Roman" w:hAnsi="Times New Roman" w:eastAsia="仿宋" w:cs="Times New Roman"/>
          <w:bCs/>
          <w:color w:val="000000"/>
          <w:sz w:val="32"/>
          <w:szCs w:val="32"/>
          <w:lang w:val="en-US" w:eastAsia="zh-CN"/>
        </w:rPr>
        <w:t>3.</w:t>
      </w:r>
      <w:r>
        <w:rPr>
          <w:rStyle w:val="16"/>
          <w:rFonts w:hint="default" w:ascii="Times New Roman" w:hAnsi="Times New Roman" w:eastAsia="仿宋" w:cs="Times New Roman"/>
          <w:bCs/>
          <w:color w:val="000000"/>
          <w:sz w:val="32"/>
          <w:szCs w:val="32"/>
        </w:rPr>
        <w:t>一般公共服务（</w:t>
      </w:r>
      <w:r>
        <w:rPr>
          <w:rStyle w:val="16"/>
          <w:rFonts w:hint="default" w:ascii="Times New Roman" w:hAnsi="Times New Roman" w:eastAsia="仿宋" w:cs="Times New Roman"/>
          <w:bCs/>
          <w:color w:val="000000"/>
          <w:sz w:val="32"/>
          <w:szCs w:val="32"/>
          <w:lang w:val="en-US" w:eastAsia="zh-CN"/>
        </w:rPr>
        <w:t>201</w:t>
      </w:r>
      <w:r>
        <w:rPr>
          <w:rStyle w:val="16"/>
          <w:rFonts w:hint="default" w:ascii="Times New Roman" w:hAnsi="Times New Roman" w:eastAsia="仿宋" w:cs="Times New Roman"/>
          <w:bCs/>
          <w:color w:val="000000"/>
          <w:sz w:val="32"/>
          <w:szCs w:val="32"/>
        </w:rPr>
        <w:t>）宣传事务（</w:t>
      </w:r>
      <w:r>
        <w:rPr>
          <w:rStyle w:val="16"/>
          <w:rFonts w:hint="default" w:ascii="Times New Roman" w:hAnsi="Times New Roman" w:eastAsia="仿宋" w:cs="Times New Roman"/>
          <w:bCs/>
          <w:color w:val="000000"/>
          <w:sz w:val="32"/>
          <w:szCs w:val="32"/>
          <w:lang w:val="en-US" w:eastAsia="zh-CN"/>
        </w:rPr>
        <w:t>33</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eastAsia="zh-CN"/>
        </w:rPr>
        <w:t>事业运行</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val="en-US" w:eastAsia="zh-CN"/>
        </w:rPr>
        <w:t>50</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92.50</w:t>
      </w:r>
      <w:r>
        <w:rPr>
          <w:rStyle w:val="16"/>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Cs/>
          <w:color w:val="000000"/>
          <w:sz w:val="32"/>
          <w:szCs w:val="32"/>
          <w:lang w:val="en-US" w:eastAsia="zh-CN"/>
        </w:rPr>
      </w:pPr>
      <w:r>
        <w:rPr>
          <w:rStyle w:val="16"/>
          <w:rFonts w:hint="eastAsia" w:eastAsia="仿宋" w:cs="Times New Roman"/>
          <w:bCs/>
          <w:color w:val="000000"/>
          <w:sz w:val="32"/>
          <w:szCs w:val="32"/>
          <w:lang w:val="en-US" w:eastAsia="zh-CN"/>
        </w:rPr>
        <w:t>4</w:t>
      </w:r>
      <w:r>
        <w:rPr>
          <w:rStyle w:val="16"/>
          <w:rFonts w:hint="default" w:ascii="Times New Roman" w:hAnsi="Times New Roman" w:eastAsia="仿宋" w:cs="Times New Roman"/>
          <w:bCs/>
          <w:color w:val="000000"/>
          <w:sz w:val="32"/>
          <w:szCs w:val="32"/>
          <w:lang w:val="en-US" w:eastAsia="zh-CN"/>
        </w:rPr>
        <w:t>.</w:t>
      </w:r>
      <w:r>
        <w:rPr>
          <w:rStyle w:val="16"/>
          <w:rFonts w:hint="default" w:ascii="Times New Roman" w:hAnsi="Times New Roman" w:eastAsia="仿宋" w:cs="Times New Roman"/>
          <w:bCs/>
          <w:color w:val="000000"/>
          <w:sz w:val="32"/>
          <w:szCs w:val="32"/>
        </w:rPr>
        <w:t>文化旅游体育与传媒（</w:t>
      </w:r>
      <w:r>
        <w:rPr>
          <w:rStyle w:val="16"/>
          <w:rFonts w:hint="default" w:ascii="Times New Roman" w:hAnsi="Times New Roman" w:eastAsia="仿宋" w:cs="Times New Roman"/>
          <w:bCs/>
          <w:color w:val="000000"/>
          <w:sz w:val="32"/>
          <w:szCs w:val="32"/>
          <w:lang w:val="en-US" w:eastAsia="zh-CN"/>
        </w:rPr>
        <w:t>207</w:t>
      </w:r>
      <w:r>
        <w:rPr>
          <w:rStyle w:val="16"/>
          <w:rFonts w:hint="default" w:ascii="Times New Roman" w:hAnsi="Times New Roman" w:eastAsia="仿宋" w:cs="Times New Roman"/>
          <w:bCs/>
          <w:color w:val="000000"/>
          <w:sz w:val="32"/>
          <w:szCs w:val="32"/>
        </w:rPr>
        <w:t>）其他文化旅游体育与传媒支出（</w:t>
      </w:r>
      <w:r>
        <w:rPr>
          <w:rStyle w:val="16"/>
          <w:rFonts w:hint="default" w:ascii="Times New Roman" w:hAnsi="Times New Roman" w:eastAsia="仿宋" w:cs="Times New Roman"/>
          <w:bCs/>
          <w:color w:val="000000"/>
          <w:sz w:val="32"/>
          <w:szCs w:val="32"/>
          <w:lang w:val="en-US" w:eastAsia="zh-CN"/>
        </w:rPr>
        <w:t>99</w:t>
      </w:r>
      <w:r>
        <w:rPr>
          <w:rStyle w:val="16"/>
          <w:rFonts w:hint="default" w:ascii="Times New Roman" w:hAnsi="Times New Roman" w:eastAsia="仿宋" w:cs="Times New Roman"/>
          <w:bCs/>
          <w:color w:val="000000"/>
          <w:sz w:val="32"/>
          <w:szCs w:val="32"/>
        </w:rPr>
        <w:t>）宣传文化发展专项支出（</w:t>
      </w:r>
      <w:r>
        <w:rPr>
          <w:rStyle w:val="16"/>
          <w:rFonts w:hint="default" w:ascii="Times New Roman" w:hAnsi="Times New Roman" w:eastAsia="仿宋" w:cs="Times New Roman"/>
          <w:bCs/>
          <w:color w:val="000000"/>
          <w:sz w:val="32"/>
          <w:szCs w:val="32"/>
          <w:lang w:val="en-US" w:eastAsia="zh-CN"/>
        </w:rPr>
        <w:t>02</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2.68</w:t>
      </w:r>
      <w:r>
        <w:rPr>
          <w:rStyle w:val="16"/>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Cs/>
          <w:color w:val="000000"/>
          <w:sz w:val="32"/>
          <w:szCs w:val="32"/>
          <w:lang w:val="en-US" w:eastAsia="zh-CN"/>
        </w:rPr>
      </w:pPr>
      <w:r>
        <w:rPr>
          <w:rStyle w:val="16"/>
          <w:rFonts w:hint="eastAsia" w:eastAsia="仿宋" w:cs="Times New Roman"/>
          <w:bCs/>
          <w:color w:val="000000"/>
          <w:sz w:val="32"/>
          <w:szCs w:val="32"/>
          <w:lang w:val="en-US" w:eastAsia="zh-CN"/>
        </w:rPr>
        <w:t>5</w:t>
      </w:r>
      <w:r>
        <w:rPr>
          <w:rStyle w:val="16"/>
          <w:rFonts w:hint="default" w:ascii="Times New Roman" w:hAnsi="Times New Roman" w:eastAsia="仿宋" w:cs="Times New Roman"/>
          <w:bCs/>
          <w:color w:val="000000"/>
          <w:sz w:val="32"/>
          <w:szCs w:val="32"/>
          <w:lang w:val="en-US" w:eastAsia="zh-CN"/>
        </w:rPr>
        <w:t>.</w:t>
      </w:r>
      <w:r>
        <w:rPr>
          <w:rStyle w:val="16"/>
          <w:rFonts w:hint="default" w:ascii="Times New Roman" w:hAnsi="Times New Roman" w:eastAsia="仿宋" w:cs="Times New Roman"/>
          <w:bCs/>
          <w:color w:val="000000"/>
          <w:sz w:val="32"/>
          <w:szCs w:val="32"/>
        </w:rPr>
        <w:t>文化旅游体育与传媒（</w:t>
      </w:r>
      <w:r>
        <w:rPr>
          <w:rStyle w:val="16"/>
          <w:rFonts w:hint="default" w:ascii="Times New Roman" w:hAnsi="Times New Roman" w:eastAsia="仿宋" w:cs="Times New Roman"/>
          <w:bCs/>
          <w:color w:val="000000"/>
          <w:sz w:val="32"/>
          <w:szCs w:val="32"/>
          <w:lang w:val="en-US" w:eastAsia="zh-CN"/>
        </w:rPr>
        <w:t>207</w:t>
      </w:r>
      <w:r>
        <w:rPr>
          <w:rStyle w:val="16"/>
          <w:rFonts w:hint="default" w:ascii="Times New Roman" w:hAnsi="Times New Roman" w:eastAsia="仿宋" w:cs="Times New Roman"/>
          <w:bCs/>
          <w:color w:val="000000"/>
          <w:sz w:val="32"/>
          <w:szCs w:val="32"/>
        </w:rPr>
        <w:t>）其他文化旅游体育与传媒支出（</w:t>
      </w:r>
      <w:r>
        <w:rPr>
          <w:rStyle w:val="16"/>
          <w:rFonts w:hint="default" w:ascii="Times New Roman" w:hAnsi="Times New Roman" w:eastAsia="仿宋" w:cs="Times New Roman"/>
          <w:bCs/>
          <w:color w:val="000000"/>
          <w:sz w:val="32"/>
          <w:szCs w:val="32"/>
          <w:lang w:val="en-US" w:eastAsia="zh-CN"/>
        </w:rPr>
        <w:t>99</w:t>
      </w:r>
      <w:r>
        <w:rPr>
          <w:rStyle w:val="16"/>
          <w:rFonts w:hint="default" w:ascii="Times New Roman" w:hAnsi="Times New Roman" w:eastAsia="仿宋" w:cs="Times New Roman"/>
          <w:bCs/>
          <w:color w:val="000000"/>
          <w:sz w:val="32"/>
          <w:szCs w:val="32"/>
        </w:rPr>
        <w:t>）其他文化旅游体育与传媒支出（</w:t>
      </w:r>
      <w:r>
        <w:rPr>
          <w:rStyle w:val="16"/>
          <w:rFonts w:hint="default" w:ascii="Times New Roman" w:hAnsi="Times New Roman" w:eastAsia="仿宋" w:cs="Times New Roman"/>
          <w:bCs/>
          <w:color w:val="000000"/>
          <w:sz w:val="32"/>
          <w:szCs w:val="32"/>
          <w:lang w:val="en-US" w:eastAsia="zh-CN"/>
        </w:rPr>
        <w:t>99</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default" w:ascii="Times New Roman" w:hAnsi="Times New Roman" w:eastAsia="仿宋" w:cs="Times New Roman"/>
          <w:b w:val="0"/>
          <w:bCs/>
          <w:color w:val="000000"/>
          <w:sz w:val="32"/>
          <w:szCs w:val="32"/>
          <w:lang w:val="en-US" w:eastAsia="zh-CN"/>
        </w:rPr>
        <w:t>2</w:t>
      </w:r>
      <w:r>
        <w:rPr>
          <w:rStyle w:val="16"/>
          <w:rFonts w:hint="eastAsia" w:eastAsia="仿宋" w:cs="Times New Roman"/>
          <w:b w:val="0"/>
          <w:bCs/>
          <w:color w:val="000000"/>
          <w:sz w:val="32"/>
          <w:szCs w:val="32"/>
          <w:lang w:val="en-US" w:eastAsia="zh-CN"/>
        </w:rPr>
        <w:t>9.03</w:t>
      </w:r>
      <w:r>
        <w:rPr>
          <w:rStyle w:val="16"/>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 w:val="0"/>
          <w:bCs/>
          <w:color w:val="000000"/>
          <w:sz w:val="32"/>
          <w:szCs w:val="32"/>
          <w:lang w:val="en-US" w:eastAsia="zh-CN"/>
        </w:rPr>
      </w:pPr>
      <w:r>
        <w:rPr>
          <w:rStyle w:val="16"/>
          <w:rFonts w:hint="eastAsia" w:eastAsia="仿宋" w:cs="Times New Roman"/>
          <w:bCs/>
          <w:color w:val="000000"/>
          <w:sz w:val="32"/>
          <w:szCs w:val="32"/>
          <w:lang w:val="en-US" w:eastAsia="zh-CN"/>
        </w:rPr>
        <w:t>6</w:t>
      </w:r>
      <w:r>
        <w:rPr>
          <w:rStyle w:val="16"/>
          <w:rFonts w:hint="default" w:ascii="Times New Roman" w:hAnsi="Times New Roman" w:eastAsia="仿宋" w:cs="Times New Roman"/>
          <w:bCs/>
          <w:color w:val="000000"/>
          <w:sz w:val="32"/>
          <w:szCs w:val="32"/>
          <w:lang w:val="en-US" w:eastAsia="zh-CN"/>
        </w:rPr>
        <w:t>.</w:t>
      </w:r>
      <w:r>
        <w:rPr>
          <w:rStyle w:val="16"/>
          <w:rFonts w:hint="default" w:ascii="Times New Roman" w:hAnsi="Times New Roman" w:eastAsia="仿宋" w:cs="Times New Roman"/>
          <w:bCs/>
          <w:color w:val="000000"/>
          <w:sz w:val="32"/>
          <w:szCs w:val="32"/>
        </w:rPr>
        <w:t>社会保障和就业（</w:t>
      </w:r>
      <w:r>
        <w:rPr>
          <w:rStyle w:val="16"/>
          <w:rFonts w:hint="default" w:ascii="Times New Roman" w:hAnsi="Times New Roman" w:eastAsia="仿宋" w:cs="Times New Roman"/>
          <w:bCs/>
          <w:color w:val="000000"/>
          <w:sz w:val="32"/>
          <w:szCs w:val="32"/>
          <w:lang w:val="en-US" w:eastAsia="zh-CN"/>
        </w:rPr>
        <w:t>208</w:t>
      </w:r>
      <w:r>
        <w:rPr>
          <w:rStyle w:val="16"/>
          <w:rFonts w:hint="default" w:ascii="Times New Roman" w:hAnsi="Times New Roman" w:eastAsia="仿宋" w:cs="Times New Roman"/>
          <w:bCs/>
          <w:color w:val="000000"/>
          <w:sz w:val="32"/>
          <w:szCs w:val="32"/>
        </w:rPr>
        <w:t>）行政事业单位养老支出（</w:t>
      </w:r>
      <w:r>
        <w:rPr>
          <w:rStyle w:val="16"/>
          <w:rFonts w:hint="default" w:ascii="Times New Roman" w:hAnsi="Times New Roman" w:eastAsia="仿宋" w:cs="Times New Roman"/>
          <w:bCs/>
          <w:color w:val="000000"/>
          <w:sz w:val="32"/>
          <w:szCs w:val="32"/>
          <w:lang w:val="en-US" w:eastAsia="zh-CN"/>
        </w:rPr>
        <w:t>05</w:t>
      </w:r>
      <w:r>
        <w:rPr>
          <w:rStyle w:val="16"/>
          <w:rFonts w:hint="default" w:ascii="Times New Roman" w:hAnsi="Times New Roman" w:eastAsia="仿宋" w:cs="Times New Roman"/>
          <w:bCs/>
          <w:color w:val="000000"/>
          <w:sz w:val="32"/>
          <w:szCs w:val="32"/>
        </w:rPr>
        <w:t>）机关事业单位基本养老保险缴费支出（</w:t>
      </w:r>
      <w:r>
        <w:rPr>
          <w:rStyle w:val="16"/>
          <w:rFonts w:hint="default" w:ascii="Times New Roman" w:hAnsi="Times New Roman" w:eastAsia="仿宋" w:cs="Times New Roman"/>
          <w:bCs/>
          <w:color w:val="000000"/>
          <w:sz w:val="32"/>
          <w:szCs w:val="32"/>
          <w:lang w:val="en-US" w:eastAsia="zh-CN"/>
        </w:rPr>
        <w:t>05</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eastAsia" w:eastAsia="仿宋" w:cs="Times New Roman"/>
          <w:b w:val="0"/>
          <w:bCs/>
          <w:color w:val="000000"/>
          <w:sz w:val="32"/>
          <w:szCs w:val="32"/>
          <w:lang w:val="en-US" w:eastAsia="zh-CN"/>
        </w:rPr>
        <w:t>33.89</w:t>
      </w:r>
      <w:r>
        <w:rPr>
          <w:rStyle w:val="16"/>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Cs/>
          <w:color w:val="000000"/>
          <w:sz w:val="32"/>
          <w:szCs w:val="32"/>
          <w:lang w:val="en-US" w:eastAsia="zh-CN"/>
        </w:rPr>
      </w:pPr>
      <w:r>
        <w:rPr>
          <w:rStyle w:val="16"/>
          <w:rFonts w:hint="eastAsia" w:eastAsia="仿宋" w:cs="Times New Roman"/>
          <w:bCs/>
          <w:color w:val="000000"/>
          <w:sz w:val="32"/>
          <w:szCs w:val="32"/>
          <w:lang w:val="en-US" w:eastAsia="zh-CN"/>
        </w:rPr>
        <w:t>7</w:t>
      </w:r>
      <w:r>
        <w:rPr>
          <w:rStyle w:val="16"/>
          <w:rFonts w:hint="default" w:ascii="Times New Roman" w:hAnsi="Times New Roman" w:eastAsia="仿宋" w:cs="Times New Roman"/>
          <w:bCs/>
          <w:color w:val="000000"/>
          <w:sz w:val="32"/>
          <w:szCs w:val="32"/>
          <w:lang w:val="en-US" w:eastAsia="zh-CN"/>
        </w:rPr>
        <w:t>.</w:t>
      </w:r>
      <w:r>
        <w:rPr>
          <w:rStyle w:val="16"/>
          <w:rFonts w:hint="default" w:ascii="Times New Roman" w:hAnsi="Times New Roman" w:eastAsia="仿宋" w:cs="Times New Roman"/>
          <w:bCs/>
          <w:color w:val="000000"/>
          <w:sz w:val="32"/>
          <w:szCs w:val="32"/>
        </w:rPr>
        <w:t>社会保障和就业（208）行政事业单位养老支出（05）机关事业单位职业年金缴费支出（0</w:t>
      </w:r>
      <w:r>
        <w:rPr>
          <w:rStyle w:val="16"/>
          <w:rFonts w:hint="default" w:ascii="Times New Roman" w:hAnsi="Times New Roman" w:eastAsia="仿宋" w:cs="Times New Roman"/>
          <w:bCs/>
          <w:color w:val="000000"/>
          <w:sz w:val="32"/>
          <w:szCs w:val="32"/>
          <w:lang w:val="en-US" w:eastAsia="zh-CN"/>
        </w:rPr>
        <w:t>6</w:t>
      </w:r>
      <w:r>
        <w:rPr>
          <w:rStyle w:val="16"/>
          <w:rFonts w:hint="default" w:ascii="Times New Roman" w:hAnsi="Times New Roman" w:eastAsia="仿宋" w:cs="Times New Roman"/>
          <w:bCs/>
          <w:color w:val="000000"/>
          <w:sz w:val="32"/>
          <w:szCs w:val="32"/>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决算数为</w:t>
      </w:r>
      <w:r>
        <w:rPr>
          <w:rFonts w:hint="eastAsia" w:eastAsia="仿宋_GB2312" w:cs="Times New Roman"/>
          <w:color w:val="000000" w:themeColor="text1"/>
          <w:sz w:val="32"/>
          <w:szCs w:val="32"/>
          <w:highlight w:val="none"/>
          <w:lang w:val="en-US" w:eastAsia="zh-CN"/>
          <w14:textFill>
            <w14:solidFill>
              <w14:schemeClr w14:val="tx1"/>
            </w14:solidFill>
          </w14:textFill>
        </w:rPr>
        <w:t>0.11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完成预算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Style w:val="16"/>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决算数</w:t>
      </w:r>
      <w:r>
        <w:rPr>
          <w:rStyle w:val="16"/>
          <w:rFonts w:hint="default" w:ascii="Times New Roman" w:hAnsi="Times New Roman" w:eastAsia="仿宋" w:cs="Times New Roman"/>
          <w:b w:val="0"/>
          <w:bCs/>
          <w:color w:val="000000" w:themeColor="text1"/>
          <w:sz w:val="32"/>
          <w:szCs w:val="32"/>
          <w:highlight w:val="none"/>
          <w:lang w:eastAsia="zh-CN"/>
          <w14:textFill>
            <w14:solidFill>
              <w14:schemeClr w14:val="tx1"/>
            </w14:solidFill>
          </w14:textFill>
        </w:rPr>
        <w:t>等于</w:t>
      </w:r>
      <w:r>
        <w:rPr>
          <w:rStyle w:val="16"/>
          <w:rFonts w:hint="default" w:ascii="Times New Roman" w:hAnsi="Times New Roman" w:eastAsia="仿宋" w:cs="Times New Roman"/>
          <w:b w:val="0"/>
          <w:bCs/>
          <w:color w:val="000000" w:themeColor="text1"/>
          <w:sz w:val="32"/>
          <w:szCs w:val="32"/>
          <w:highlight w:val="none"/>
          <w14:textFill>
            <w14:solidFill>
              <w14:schemeClr w14:val="tx1"/>
            </w14:solidFill>
          </w14:textFill>
        </w:rPr>
        <w:t>预算数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Cs/>
          <w:color w:val="000000"/>
          <w:sz w:val="32"/>
          <w:szCs w:val="32"/>
          <w:lang w:val="en-US" w:eastAsia="zh-CN"/>
        </w:rPr>
      </w:pPr>
      <w:r>
        <w:rPr>
          <w:rStyle w:val="16"/>
          <w:rFonts w:hint="eastAsia" w:eastAsia="仿宋" w:cs="Times New Roman"/>
          <w:bCs/>
          <w:color w:val="000000"/>
          <w:sz w:val="32"/>
          <w:szCs w:val="32"/>
          <w:lang w:val="en-US" w:eastAsia="zh-CN"/>
        </w:rPr>
        <w:t>8.</w:t>
      </w:r>
      <w:r>
        <w:rPr>
          <w:rStyle w:val="16"/>
          <w:rFonts w:hint="eastAsia" w:ascii="Times New Roman" w:hAnsi="Times New Roman" w:eastAsia="仿宋" w:cs="Times New Roman"/>
          <w:bCs/>
          <w:color w:val="000000"/>
          <w:sz w:val="32"/>
          <w:szCs w:val="32"/>
        </w:rPr>
        <w:t>社会保障和就业（208）残疾人事业（</w:t>
      </w:r>
      <w:r>
        <w:rPr>
          <w:rStyle w:val="16"/>
          <w:rFonts w:hint="eastAsia" w:ascii="Times New Roman" w:hAnsi="Times New Roman" w:eastAsia="仿宋" w:cs="Times New Roman"/>
          <w:bCs/>
          <w:color w:val="000000"/>
          <w:sz w:val="32"/>
          <w:szCs w:val="32"/>
          <w:lang w:val="en-US" w:eastAsia="zh-CN"/>
        </w:rPr>
        <w:t>11</w:t>
      </w:r>
      <w:r>
        <w:rPr>
          <w:rStyle w:val="16"/>
          <w:rFonts w:hint="eastAsia" w:ascii="Times New Roman" w:hAnsi="Times New Roman" w:eastAsia="仿宋" w:cs="Times New Roman"/>
          <w:bCs/>
          <w:color w:val="000000"/>
          <w:sz w:val="32"/>
          <w:szCs w:val="32"/>
        </w:rPr>
        <w:t>）残疾人就业（0</w:t>
      </w:r>
      <w:r>
        <w:rPr>
          <w:rStyle w:val="16"/>
          <w:rFonts w:hint="eastAsia" w:ascii="Times New Roman" w:hAnsi="Times New Roman" w:eastAsia="仿宋" w:cs="Times New Roman"/>
          <w:bCs/>
          <w:color w:val="000000"/>
          <w:sz w:val="32"/>
          <w:szCs w:val="32"/>
          <w:lang w:val="en-US" w:eastAsia="zh-CN"/>
        </w:rPr>
        <w:t>5</w:t>
      </w:r>
      <w:r>
        <w:rPr>
          <w:rStyle w:val="16"/>
          <w:rFonts w:hint="eastAsia"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rPr>
        <w:t>:</w:t>
      </w:r>
      <w:r>
        <w:rPr>
          <w:rStyle w:val="16"/>
          <w:rFonts w:ascii="仿宋" w:hAnsi="仿宋" w:eastAsia="仿宋"/>
          <w:b w:val="0"/>
          <w:bCs/>
          <w:color w:val="000000"/>
          <w:sz w:val="32"/>
          <w:szCs w:val="32"/>
          <w:highlight w:val="none"/>
        </w:rPr>
        <w:t xml:space="preserve"> </w:t>
      </w:r>
      <w:r>
        <w:rPr>
          <w:rStyle w:val="16"/>
          <w:rFonts w:hint="eastAsia" w:ascii="仿宋" w:hAnsi="仿宋" w:eastAsia="仿宋"/>
          <w:b w:val="0"/>
          <w:bCs/>
          <w:color w:val="000000"/>
          <w:sz w:val="32"/>
          <w:szCs w:val="32"/>
          <w:highlight w:val="none"/>
        </w:rPr>
        <w:t>支出决算为</w:t>
      </w:r>
      <w:r>
        <w:rPr>
          <w:rStyle w:val="16"/>
          <w:rFonts w:hint="eastAsia" w:ascii="仿宋" w:hAnsi="仿宋" w:eastAsia="仿宋"/>
          <w:b w:val="0"/>
          <w:bCs/>
          <w:color w:val="000000"/>
          <w:sz w:val="32"/>
          <w:szCs w:val="32"/>
          <w:highlight w:val="none"/>
          <w:lang w:val="en-US" w:eastAsia="zh-CN"/>
        </w:rPr>
        <w:t>2.10</w:t>
      </w:r>
      <w:r>
        <w:rPr>
          <w:rStyle w:val="16"/>
          <w:rFonts w:hint="eastAsia" w:ascii="仿宋" w:hAnsi="仿宋" w:eastAsia="仿宋"/>
          <w:b w:val="0"/>
          <w:bCs/>
          <w:color w:val="000000"/>
          <w:sz w:val="32"/>
          <w:szCs w:val="32"/>
          <w:highlight w:val="none"/>
        </w:rPr>
        <w:t>万元，完成预算100</w:t>
      </w:r>
      <w:r>
        <w:rPr>
          <w:rStyle w:val="16"/>
          <w:rFonts w:ascii="仿宋" w:hAnsi="仿宋" w:eastAsia="仿宋"/>
          <w:b w:val="0"/>
          <w:bCs/>
          <w:color w:val="000000"/>
          <w:sz w:val="32"/>
          <w:szCs w:val="32"/>
          <w:highlight w:val="none"/>
        </w:rPr>
        <w:t>%</w:t>
      </w:r>
      <w:r>
        <w:rPr>
          <w:rStyle w:val="16"/>
          <w:rFonts w:hint="eastAsia" w:ascii="仿宋" w:hAnsi="仿宋" w:eastAsia="仿宋"/>
          <w:b w:val="0"/>
          <w:bCs/>
          <w:color w:val="000000"/>
          <w:sz w:val="32"/>
          <w:szCs w:val="32"/>
          <w:highlight w:val="none"/>
          <w:lang w:eastAsia="zh-CN"/>
        </w:rPr>
        <w:t>，决算数等于预算数</w:t>
      </w:r>
      <w:r>
        <w:rPr>
          <w:rStyle w:val="16"/>
          <w:rFonts w:hint="eastAsia" w:ascii="仿宋" w:hAnsi="仿宋" w:eastAsia="仿宋"/>
          <w:b w:val="0"/>
          <w:bCs/>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pPr>
      <w:r>
        <w:rPr>
          <w:rStyle w:val="16"/>
          <w:rFonts w:hint="eastAsia" w:eastAsia="仿宋" w:cs="Times New Roman"/>
          <w:bCs/>
          <w:color w:val="000000"/>
          <w:sz w:val="32"/>
          <w:szCs w:val="32"/>
          <w:lang w:val="en-US" w:eastAsia="zh-CN"/>
        </w:rPr>
        <w:t>9</w:t>
      </w:r>
      <w:r>
        <w:rPr>
          <w:rStyle w:val="16"/>
          <w:rFonts w:hint="default" w:ascii="Times New Roman" w:hAnsi="Times New Roman" w:eastAsia="仿宋" w:cs="Times New Roman"/>
          <w:bCs/>
          <w:color w:val="000000"/>
          <w:sz w:val="32"/>
          <w:szCs w:val="32"/>
          <w:lang w:val="en-US" w:eastAsia="zh-CN"/>
        </w:rPr>
        <w:t>.</w:t>
      </w:r>
      <w:r>
        <w:rPr>
          <w:rStyle w:val="16"/>
          <w:rFonts w:hint="default" w:ascii="Times New Roman" w:hAnsi="Times New Roman" w:eastAsia="仿宋" w:cs="Times New Roman"/>
          <w:bCs/>
          <w:color w:val="000000"/>
          <w:sz w:val="32"/>
          <w:szCs w:val="32"/>
        </w:rPr>
        <w:t>社会保障和就业（</w:t>
      </w:r>
      <w:r>
        <w:rPr>
          <w:rStyle w:val="16"/>
          <w:rFonts w:hint="default" w:ascii="Times New Roman" w:hAnsi="Times New Roman" w:eastAsia="仿宋" w:cs="Times New Roman"/>
          <w:bCs/>
          <w:color w:val="000000"/>
          <w:sz w:val="32"/>
          <w:szCs w:val="32"/>
          <w:lang w:val="en-US" w:eastAsia="zh-CN"/>
        </w:rPr>
        <w:t>208</w:t>
      </w:r>
      <w:r>
        <w:rPr>
          <w:rStyle w:val="16"/>
          <w:rFonts w:hint="default" w:ascii="Times New Roman" w:hAnsi="Times New Roman" w:eastAsia="仿宋" w:cs="Times New Roman"/>
          <w:bCs/>
          <w:color w:val="000000"/>
          <w:sz w:val="32"/>
          <w:szCs w:val="32"/>
        </w:rPr>
        <w:t>）其他社会保障和就业支出（</w:t>
      </w:r>
      <w:r>
        <w:rPr>
          <w:rStyle w:val="16"/>
          <w:rFonts w:hint="default" w:ascii="Times New Roman" w:hAnsi="Times New Roman" w:eastAsia="仿宋" w:cs="Times New Roman"/>
          <w:bCs/>
          <w:color w:val="000000"/>
          <w:sz w:val="32"/>
          <w:szCs w:val="32"/>
          <w:lang w:val="en-US" w:eastAsia="zh-CN"/>
        </w:rPr>
        <w:t>99</w:t>
      </w:r>
      <w:r>
        <w:rPr>
          <w:rStyle w:val="16"/>
          <w:rFonts w:hint="default" w:ascii="Times New Roman" w:hAnsi="Times New Roman" w:eastAsia="仿宋" w:cs="Times New Roman"/>
          <w:bCs/>
          <w:color w:val="000000"/>
          <w:sz w:val="32"/>
          <w:szCs w:val="32"/>
        </w:rPr>
        <w:t>）其他社会保障和就业支出（</w:t>
      </w:r>
      <w:r>
        <w:rPr>
          <w:rStyle w:val="16"/>
          <w:rFonts w:hint="default" w:ascii="Times New Roman" w:hAnsi="Times New Roman" w:eastAsia="仿宋" w:cs="Times New Roman"/>
          <w:bCs/>
          <w:color w:val="000000"/>
          <w:sz w:val="32"/>
          <w:szCs w:val="32"/>
          <w:lang w:val="en-US" w:eastAsia="zh-CN"/>
        </w:rPr>
        <w:t>99</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 xml:space="preserve"> 支出决算为</w:t>
      </w:r>
      <w:r>
        <w:rPr>
          <w:rStyle w:val="16"/>
          <w:rFonts w:hint="default" w:ascii="Times New Roman" w:hAnsi="Times New Roman" w:eastAsia="仿宋" w:cs="Times New Roman"/>
          <w:b w:val="0"/>
          <w:bCs/>
          <w:color w:val="000000"/>
          <w:sz w:val="32"/>
          <w:szCs w:val="32"/>
          <w:lang w:val="en-US" w:eastAsia="zh-CN"/>
        </w:rPr>
        <w:t>0.</w:t>
      </w:r>
      <w:r>
        <w:rPr>
          <w:rStyle w:val="16"/>
          <w:rFonts w:hint="eastAsia" w:eastAsia="仿宋" w:cs="Times New Roman"/>
          <w:b w:val="0"/>
          <w:bCs/>
          <w:color w:val="000000"/>
          <w:sz w:val="32"/>
          <w:szCs w:val="32"/>
          <w:lang w:val="en-US" w:eastAsia="zh-CN"/>
        </w:rPr>
        <w:t>65</w:t>
      </w:r>
      <w:r>
        <w:rPr>
          <w:rStyle w:val="16"/>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eastAsia="仿宋" w:cs="Times New Roman"/>
          <w:b/>
          <w:bCs/>
          <w:color w:val="000000" w:themeColor="text1"/>
          <w:sz w:val="32"/>
          <w:szCs w:val="32"/>
          <w:lang w:val="en-US" w:eastAsia="zh-CN"/>
          <w14:textFill>
            <w14:solidFill>
              <w14:schemeClr w14:val="tx1"/>
            </w14:solidFill>
          </w14:textFill>
        </w:rPr>
        <w:t>0</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val="en-US" w:eastAsia="zh-CN"/>
        </w:rPr>
        <w:t>210</w:t>
      </w:r>
      <w:r>
        <w:rPr>
          <w:rStyle w:val="16"/>
          <w:rFonts w:hint="default" w:ascii="Times New Roman" w:hAnsi="Times New Roman" w:eastAsia="仿宋" w:cs="Times New Roman"/>
          <w:bCs/>
          <w:color w:val="000000"/>
          <w:sz w:val="32"/>
          <w:szCs w:val="32"/>
        </w:rPr>
        <w:t>）行政事业单位医疗（</w:t>
      </w:r>
      <w:r>
        <w:rPr>
          <w:rStyle w:val="16"/>
          <w:rFonts w:hint="default" w:ascii="Times New Roman" w:hAnsi="Times New Roman" w:eastAsia="仿宋" w:cs="Times New Roman"/>
          <w:bCs/>
          <w:color w:val="000000"/>
          <w:sz w:val="32"/>
          <w:szCs w:val="32"/>
          <w:lang w:val="en-US" w:eastAsia="zh-CN"/>
        </w:rPr>
        <w:t>11</w:t>
      </w:r>
      <w:r>
        <w:rPr>
          <w:rStyle w:val="16"/>
          <w:rFonts w:hint="default" w:ascii="Times New Roman" w:hAnsi="Times New Roman" w:eastAsia="仿宋" w:cs="Times New Roman"/>
          <w:bCs/>
          <w:color w:val="000000"/>
          <w:sz w:val="32"/>
          <w:szCs w:val="32"/>
        </w:rPr>
        <w:t>）行政单位医疗（</w:t>
      </w:r>
      <w:r>
        <w:rPr>
          <w:rStyle w:val="16"/>
          <w:rFonts w:hint="default" w:ascii="Times New Roman" w:hAnsi="Times New Roman" w:eastAsia="仿宋" w:cs="Times New Roman"/>
          <w:bCs/>
          <w:color w:val="000000"/>
          <w:sz w:val="32"/>
          <w:szCs w:val="32"/>
          <w:lang w:val="en-US" w:eastAsia="zh-CN"/>
        </w:rPr>
        <w:t>01</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支出决算为</w:t>
      </w:r>
      <w:r>
        <w:rPr>
          <w:rStyle w:val="16"/>
          <w:rFonts w:hint="default" w:ascii="Times New Roman" w:hAnsi="Times New Roman" w:eastAsia="仿宋" w:cs="Times New Roman"/>
          <w:b w:val="0"/>
          <w:bCs/>
          <w:color w:val="000000"/>
          <w:sz w:val="32"/>
          <w:szCs w:val="32"/>
          <w:lang w:val="en-US" w:eastAsia="zh-CN"/>
        </w:rPr>
        <w:t>6.</w:t>
      </w:r>
      <w:r>
        <w:rPr>
          <w:rStyle w:val="16"/>
          <w:rFonts w:hint="eastAsia" w:eastAsia="仿宋" w:cs="Times New Roman"/>
          <w:b w:val="0"/>
          <w:bCs/>
          <w:color w:val="000000"/>
          <w:sz w:val="32"/>
          <w:szCs w:val="32"/>
          <w:lang w:val="en-US" w:eastAsia="zh-CN"/>
        </w:rPr>
        <w:t>82</w:t>
      </w:r>
      <w:r>
        <w:rPr>
          <w:rStyle w:val="16"/>
          <w:rFonts w:hint="default" w:ascii="Times New Roman" w:hAnsi="Times New Roman" w:eastAsia="仿宋" w:cs="Times New Roman"/>
          <w:b w:val="0"/>
          <w:bCs/>
          <w:color w:val="000000"/>
          <w:sz w:val="32"/>
          <w:szCs w:val="32"/>
        </w:rPr>
        <w:t>万元，</w:t>
      </w:r>
      <w:r>
        <w:rPr>
          <w:rFonts w:hint="default" w:ascii="Times New Roman" w:hAnsi="Times New Roman" w:eastAsia="仿宋" w:cs="Times New Roman"/>
          <w:color w:val="000000"/>
          <w:sz w:val="32"/>
          <w:szCs w:val="32"/>
        </w:rPr>
        <w:t>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eastAsia="仿宋"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val="en-US" w:eastAsia="zh-CN"/>
        </w:rPr>
        <w:t>210</w:t>
      </w:r>
      <w:r>
        <w:rPr>
          <w:rStyle w:val="16"/>
          <w:rFonts w:hint="default" w:ascii="Times New Roman" w:hAnsi="Times New Roman" w:eastAsia="仿宋" w:cs="Times New Roman"/>
          <w:bCs/>
          <w:color w:val="000000"/>
          <w:sz w:val="32"/>
          <w:szCs w:val="32"/>
        </w:rPr>
        <w:t>）行政事业单位医疗（</w:t>
      </w:r>
      <w:r>
        <w:rPr>
          <w:rStyle w:val="16"/>
          <w:rFonts w:hint="default" w:ascii="Times New Roman" w:hAnsi="Times New Roman" w:eastAsia="仿宋" w:cs="Times New Roman"/>
          <w:bCs/>
          <w:color w:val="000000"/>
          <w:sz w:val="32"/>
          <w:szCs w:val="32"/>
          <w:lang w:val="en-US" w:eastAsia="zh-CN"/>
        </w:rPr>
        <w:t>11</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eastAsia="zh-CN"/>
        </w:rPr>
        <w:t>事业</w:t>
      </w:r>
      <w:r>
        <w:rPr>
          <w:rStyle w:val="16"/>
          <w:rFonts w:hint="default" w:ascii="Times New Roman" w:hAnsi="Times New Roman" w:eastAsia="仿宋" w:cs="Times New Roman"/>
          <w:bCs/>
          <w:color w:val="000000"/>
          <w:sz w:val="32"/>
          <w:szCs w:val="32"/>
        </w:rPr>
        <w:t>单位医疗（</w:t>
      </w:r>
      <w:r>
        <w:rPr>
          <w:rStyle w:val="16"/>
          <w:rFonts w:hint="default" w:ascii="Times New Roman" w:hAnsi="Times New Roman" w:eastAsia="仿宋" w:cs="Times New Roman"/>
          <w:bCs/>
          <w:color w:val="000000"/>
          <w:sz w:val="32"/>
          <w:szCs w:val="32"/>
          <w:lang w:val="en-US" w:eastAsia="zh-CN"/>
        </w:rPr>
        <w:t>02</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支出决算</w:t>
      </w:r>
      <w:r>
        <w:rPr>
          <w:rFonts w:hint="default" w:ascii="Times New Roman" w:hAnsi="Times New Roman" w:eastAsia="仿宋" w:cs="Times New Roman"/>
          <w:color w:val="000000"/>
          <w:sz w:val="32"/>
          <w:szCs w:val="32"/>
        </w:rPr>
        <w:t>为</w:t>
      </w:r>
      <w:r>
        <w:rPr>
          <w:rFonts w:hint="eastAsia" w:eastAsia="仿宋" w:cs="Times New Roman"/>
          <w:color w:val="000000"/>
          <w:sz w:val="32"/>
          <w:szCs w:val="32"/>
          <w:lang w:val="en-US" w:eastAsia="zh-CN"/>
        </w:rPr>
        <w:t>4.32</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Style w:val="16"/>
          <w:rFonts w:hint="default" w:ascii="Times New Roman" w:hAnsi="Times New Roman" w:eastAsia="仿宋" w:cs="Times New Roman"/>
          <w:b w:val="0"/>
          <w:bCs/>
          <w:color w:val="000000"/>
          <w:sz w:val="32"/>
          <w:szCs w:val="32"/>
        </w:rPr>
      </w:pP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1</w:t>
      </w:r>
      <w:r>
        <w:rPr>
          <w:rFonts w:hint="eastAsia" w:eastAsia="仿宋"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Cs/>
          <w:color w:val="000000"/>
          <w:sz w:val="32"/>
          <w:szCs w:val="32"/>
          <w:lang w:val="en-US" w:eastAsia="zh-CN"/>
        </w:rPr>
        <w:t>210</w:t>
      </w:r>
      <w:r>
        <w:rPr>
          <w:rStyle w:val="16"/>
          <w:rFonts w:hint="default" w:ascii="Times New Roman" w:hAnsi="Times New Roman" w:eastAsia="仿宋" w:cs="Times New Roman"/>
          <w:bCs/>
          <w:color w:val="000000"/>
          <w:sz w:val="32"/>
          <w:szCs w:val="32"/>
        </w:rPr>
        <w:t>）行政事业单位医疗（</w:t>
      </w:r>
      <w:r>
        <w:rPr>
          <w:rStyle w:val="16"/>
          <w:rFonts w:hint="default" w:ascii="Times New Roman" w:hAnsi="Times New Roman" w:eastAsia="仿宋" w:cs="Times New Roman"/>
          <w:bCs/>
          <w:color w:val="000000"/>
          <w:sz w:val="32"/>
          <w:szCs w:val="32"/>
          <w:lang w:val="en-US" w:eastAsia="zh-CN"/>
        </w:rPr>
        <w:t>11</w:t>
      </w:r>
      <w:r>
        <w:rPr>
          <w:rStyle w:val="16"/>
          <w:rFonts w:hint="default" w:ascii="Times New Roman" w:hAnsi="Times New Roman" w:eastAsia="仿宋" w:cs="Times New Roman"/>
          <w:bCs/>
          <w:color w:val="000000"/>
          <w:sz w:val="32"/>
          <w:szCs w:val="32"/>
        </w:rPr>
        <w:t>）公务员医疗补助（</w:t>
      </w:r>
      <w:r>
        <w:rPr>
          <w:rStyle w:val="16"/>
          <w:rFonts w:hint="default" w:ascii="Times New Roman" w:hAnsi="Times New Roman" w:eastAsia="仿宋" w:cs="Times New Roman"/>
          <w:bCs/>
          <w:color w:val="000000"/>
          <w:sz w:val="32"/>
          <w:szCs w:val="32"/>
          <w:lang w:val="en-US" w:eastAsia="zh-CN"/>
        </w:rPr>
        <w:t>03</w:t>
      </w:r>
      <w:r>
        <w:rPr>
          <w:rStyle w:val="16"/>
          <w:rFonts w:hint="default" w:ascii="Times New Roman" w:hAnsi="Times New Roman" w:eastAsia="仿宋" w:cs="Times New Roman"/>
          <w:bCs/>
          <w:color w:val="000000"/>
          <w:sz w:val="32"/>
          <w:szCs w:val="32"/>
        </w:rPr>
        <w:t>）:</w:t>
      </w:r>
      <w:r>
        <w:rPr>
          <w:rStyle w:val="16"/>
          <w:rFonts w:hint="default" w:ascii="Times New Roman" w:hAnsi="Times New Roman" w:eastAsia="仿宋" w:cs="Times New Roman"/>
          <w:b w:val="0"/>
          <w:bCs/>
          <w:color w:val="000000"/>
          <w:sz w:val="32"/>
          <w:szCs w:val="32"/>
        </w:rPr>
        <w:t>支出</w:t>
      </w:r>
      <w:r>
        <w:rPr>
          <w:rFonts w:hint="default" w:ascii="Times New Roman" w:hAnsi="Times New Roman" w:eastAsia="仿宋" w:cs="Times New Roman"/>
          <w:color w:val="000000"/>
          <w:sz w:val="32"/>
          <w:szCs w:val="32"/>
        </w:rPr>
        <w:t>决算为</w:t>
      </w:r>
      <w:r>
        <w:rPr>
          <w:rFonts w:hint="eastAsia" w:eastAsia="仿宋" w:cs="Times New Roman"/>
          <w:color w:val="000000"/>
          <w:sz w:val="32"/>
          <w:szCs w:val="32"/>
          <w:lang w:val="en-US" w:eastAsia="zh-CN"/>
        </w:rPr>
        <w:t>3.49</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jc w:val="both"/>
        <w:textAlignment w:val="auto"/>
        <w:outlineLvl w:val="9"/>
        <w:rPr>
          <w:rStyle w:val="16"/>
          <w:rFonts w:hint="default" w:ascii="Times New Roman" w:hAnsi="Times New Roman" w:eastAsia="仿宋_GB2312" w:cs="Times New Roman"/>
          <w:bCs/>
          <w:color w:val="000000"/>
          <w:sz w:val="32"/>
          <w:szCs w:val="32"/>
          <w:lang w:val="en-US" w:eastAsia="zh-CN"/>
        </w:rPr>
      </w:pPr>
      <w:bookmarkStart w:id="62" w:name="_Toc25374"/>
      <w:r>
        <w:rPr>
          <w:rStyle w:val="16"/>
          <w:rFonts w:hint="eastAsia" w:eastAsia="仿宋_GB2312" w:cs="Times New Roman"/>
          <w:bCs/>
          <w:color w:val="000000"/>
          <w:sz w:val="32"/>
          <w:szCs w:val="32"/>
          <w:lang w:val="en-US" w:eastAsia="zh-CN"/>
        </w:rPr>
        <w:t>13.</w:t>
      </w:r>
      <w:r>
        <w:rPr>
          <w:rFonts w:hint="eastAsia" w:ascii="Times New Roman" w:hAnsi="Times New Roman" w:eastAsia="仿宋" w:cs="Times New Roman"/>
          <w:b/>
          <w:bCs/>
          <w:color w:val="000000" w:themeColor="text1"/>
          <w:sz w:val="32"/>
          <w:szCs w:val="32"/>
          <w14:textFill>
            <w14:solidFill>
              <w14:schemeClr w14:val="tx1"/>
            </w14:solidFill>
          </w14:textFill>
        </w:rPr>
        <w:t>农林水（</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213</w:t>
      </w:r>
      <w:r>
        <w:rPr>
          <w:rFonts w:hint="eastAsia" w:ascii="Times New Roman" w:hAnsi="Times New Roman" w:eastAsia="仿宋" w:cs="Times New Roman"/>
          <w:b/>
          <w:bCs/>
          <w:color w:val="000000" w:themeColor="text1"/>
          <w:sz w:val="32"/>
          <w:szCs w:val="32"/>
          <w14:textFill>
            <w14:solidFill>
              <w14:schemeClr w14:val="tx1"/>
            </w14:solidFill>
          </w14:textFill>
        </w:rPr>
        <w:t>）巩固拓展脱贫攻坚成果衔接乡村振兴（</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05</w:t>
      </w:r>
      <w:r>
        <w:rPr>
          <w:rFonts w:hint="eastAsia" w:ascii="Times New Roman" w:hAnsi="Times New Roman" w:eastAsia="仿宋" w:cs="Times New Roman"/>
          <w:b/>
          <w:bCs/>
          <w:color w:val="000000" w:themeColor="text1"/>
          <w:sz w:val="32"/>
          <w:szCs w:val="32"/>
          <w14:textFill>
            <w14:solidFill>
              <w14:schemeClr w14:val="tx1"/>
            </w14:solidFill>
          </w14:textFill>
        </w:rPr>
        <w:t>）其他巩固拓展脱贫攻坚成果衔接乡村振兴支出（</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99</w:t>
      </w:r>
      <w:r>
        <w:rPr>
          <w:rFonts w:hint="eastAsia" w:ascii="Times New Roman" w:hAnsi="Times New Roman" w:eastAsia="仿宋" w:cs="Times New Roman"/>
          <w:b/>
          <w:bCs/>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w:t>
      </w:r>
      <w:r>
        <w:rPr>
          <w:rStyle w:val="16"/>
          <w:rFonts w:hint="eastAsia" w:ascii="仿宋" w:hAnsi="仿宋" w:eastAsia="仿宋"/>
          <w:b w:val="0"/>
          <w:bCs/>
          <w:color w:val="000000"/>
          <w:sz w:val="32"/>
          <w:szCs w:val="32"/>
          <w:highlight w:val="none"/>
        </w:rPr>
        <w:t>支出决算为</w:t>
      </w:r>
      <w:r>
        <w:rPr>
          <w:rStyle w:val="16"/>
          <w:rFonts w:hint="eastAsia" w:ascii="仿宋" w:hAnsi="仿宋" w:eastAsia="仿宋"/>
          <w:b w:val="0"/>
          <w:bCs/>
          <w:color w:val="000000"/>
          <w:sz w:val="32"/>
          <w:szCs w:val="32"/>
          <w:highlight w:val="none"/>
          <w:lang w:val="en-US" w:eastAsia="zh-CN"/>
        </w:rPr>
        <w:t>20.00</w:t>
      </w:r>
      <w:r>
        <w:rPr>
          <w:rStyle w:val="16"/>
          <w:rFonts w:hint="eastAsia" w:ascii="仿宋" w:hAnsi="仿宋" w:eastAsia="仿宋"/>
          <w:b w:val="0"/>
          <w:bCs/>
          <w:color w:val="000000"/>
          <w:sz w:val="32"/>
          <w:szCs w:val="32"/>
          <w:highlight w:val="none"/>
        </w:rPr>
        <w:t>万元，完成预算100</w:t>
      </w:r>
      <w:r>
        <w:rPr>
          <w:rStyle w:val="16"/>
          <w:rFonts w:ascii="仿宋" w:hAnsi="仿宋" w:eastAsia="仿宋"/>
          <w:b w:val="0"/>
          <w:bCs/>
          <w:color w:val="000000"/>
          <w:sz w:val="32"/>
          <w:szCs w:val="32"/>
          <w:highlight w:val="none"/>
        </w:rPr>
        <w:t>%</w:t>
      </w:r>
      <w:r>
        <w:rPr>
          <w:rStyle w:val="16"/>
          <w:rFonts w:hint="eastAsia" w:ascii="仿宋" w:hAnsi="仿宋" w:eastAsia="仿宋"/>
          <w:b w:val="0"/>
          <w:bCs/>
          <w:color w:val="000000"/>
          <w:sz w:val="32"/>
          <w:szCs w:val="32"/>
          <w:highlight w:val="none"/>
          <w:lang w:eastAsia="zh-CN"/>
        </w:rPr>
        <w:t>，决算数等于预算数</w:t>
      </w:r>
      <w:r>
        <w:rPr>
          <w:rStyle w:val="16"/>
          <w:rFonts w:hint="eastAsia" w:ascii="仿宋" w:hAnsi="仿宋" w:eastAsia="仿宋"/>
          <w:b w:val="0"/>
          <w:bCs/>
          <w:color w:val="000000"/>
          <w:sz w:val="32"/>
          <w:szCs w:val="32"/>
          <w:highlight w:val="none"/>
        </w:rPr>
        <w:t>。</w:t>
      </w:r>
      <w:bookmarkEnd w:id="62"/>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 w:cs="Times New Roman"/>
          <w:color w:val="000000"/>
          <w:sz w:val="32"/>
          <w:szCs w:val="32"/>
          <w:lang w:val="en-US" w:eastAsia="zh-CN"/>
        </w:rPr>
      </w:pPr>
      <w:bookmarkStart w:id="63" w:name="_Toc25323"/>
      <w:r>
        <w:rPr>
          <w:rStyle w:val="16"/>
          <w:rFonts w:hint="default" w:ascii="Times New Roman" w:hAnsi="Times New Roman" w:eastAsia="仿宋_GB2312" w:cs="Times New Roman"/>
          <w:bCs/>
          <w:color w:val="000000"/>
          <w:sz w:val="32"/>
          <w:szCs w:val="32"/>
          <w:lang w:val="en-US" w:eastAsia="zh-CN"/>
        </w:rPr>
        <w:t>1</w:t>
      </w:r>
      <w:r>
        <w:rPr>
          <w:rStyle w:val="16"/>
          <w:rFonts w:hint="eastAsia" w:eastAsia="仿宋_GB2312" w:cs="Times New Roman"/>
          <w:bCs/>
          <w:color w:val="000000"/>
          <w:sz w:val="32"/>
          <w:szCs w:val="32"/>
          <w:lang w:val="en-US" w:eastAsia="zh-CN"/>
        </w:rPr>
        <w:t>4</w:t>
      </w:r>
      <w:r>
        <w:rPr>
          <w:rStyle w:val="16"/>
          <w:rFonts w:hint="default" w:ascii="Times New Roman" w:hAnsi="Times New Roman" w:eastAsia="仿宋_GB2312" w:cs="Times New Roman"/>
          <w:bCs/>
          <w:color w:val="000000"/>
          <w:sz w:val="32"/>
          <w:szCs w:val="32"/>
          <w:lang w:val="en-US" w:eastAsia="zh-CN"/>
        </w:rPr>
        <w:t>.</w:t>
      </w:r>
      <w:r>
        <w:rPr>
          <w:rStyle w:val="16"/>
          <w:rFonts w:hint="default" w:ascii="Times New Roman" w:hAnsi="Times New Roman" w:eastAsia="仿宋_GB2312" w:cs="Times New Roman"/>
          <w:bCs/>
          <w:color w:val="000000"/>
          <w:sz w:val="32"/>
          <w:szCs w:val="32"/>
        </w:rPr>
        <w:t>住房保障支出（</w:t>
      </w:r>
      <w:r>
        <w:rPr>
          <w:rStyle w:val="16"/>
          <w:rFonts w:hint="default" w:ascii="Times New Roman" w:hAnsi="Times New Roman" w:eastAsia="仿宋_GB2312" w:cs="Times New Roman"/>
          <w:bCs/>
          <w:color w:val="000000"/>
          <w:sz w:val="32"/>
          <w:szCs w:val="32"/>
          <w:lang w:val="en-US" w:eastAsia="zh-CN"/>
        </w:rPr>
        <w:t>221</w:t>
      </w:r>
      <w:r>
        <w:rPr>
          <w:rStyle w:val="16"/>
          <w:rFonts w:hint="default" w:ascii="Times New Roman" w:hAnsi="Times New Roman" w:eastAsia="仿宋_GB2312" w:cs="Times New Roman"/>
          <w:bCs/>
          <w:color w:val="000000"/>
          <w:sz w:val="32"/>
          <w:szCs w:val="32"/>
        </w:rPr>
        <w:t>）住房改革支出（</w:t>
      </w:r>
      <w:r>
        <w:rPr>
          <w:rStyle w:val="16"/>
          <w:rFonts w:hint="default" w:ascii="Times New Roman" w:hAnsi="Times New Roman" w:eastAsia="仿宋_GB2312" w:cs="Times New Roman"/>
          <w:bCs/>
          <w:color w:val="000000"/>
          <w:sz w:val="32"/>
          <w:szCs w:val="32"/>
          <w:lang w:val="en-US" w:eastAsia="zh-CN"/>
        </w:rPr>
        <w:t>02</w:t>
      </w:r>
      <w:r>
        <w:rPr>
          <w:rStyle w:val="16"/>
          <w:rFonts w:hint="default" w:ascii="Times New Roman" w:hAnsi="Times New Roman" w:eastAsia="仿宋_GB2312" w:cs="Times New Roman"/>
          <w:bCs/>
          <w:color w:val="000000"/>
          <w:sz w:val="32"/>
          <w:szCs w:val="32"/>
        </w:rPr>
        <w:t>）住房公积金（</w:t>
      </w:r>
      <w:r>
        <w:rPr>
          <w:rStyle w:val="16"/>
          <w:rFonts w:hint="default" w:ascii="Times New Roman" w:hAnsi="Times New Roman" w:eastAsia="仿宋_GB2312" w:cs="Times New Roman"/>
          <w:bCs/>
          <w:color w:val="000000"/>
          <w:sz w:val="32"/>
          <w:szCs w:val="32"/>
          <w:lang w:val="en-US" w:eastAsia="zh-CN"/>
        </w:rPr>
        <w:t>01</w:t>
      </w:r>
      <w:r>
        <w:rPr>
          <w:rStyle w:val="16"/>
          <w:rFonts w:hint="default" w:ascii="Times New Roman" w:hAnsi="Times New Roman" w:eastAsia="仿宋_GB2312" w:cs="Times New Roman"/>
          <w:bCs/>
          <w:color w:val="000000"/>
          <w:sz w:val="32"/>
          <w:szCs w:val="32"/>
        </w:rPr>
        <w:t>）：</w:t>
      </w:r>
      <w:r>
        <w:rPr>
          <w:rStyle w:val="16"/>
          <w:rFonts w:hint="default" w:ascii="Times New Roman" w:hAnsi="Times New Roman" w:eastAsia="仿宋_GB2312" w:cs="Times New Roman"/>
          <w:b w:val="0"/>
          <w:color w:val="000000"/>
          <w:sz w:val="32"/>
          <w:szCs w:val="32"/>
        </w:rPr>
        <w:t>支出决算为</w:t>
      </w:r>
      <w:r>
        <w:rPr>
          <w:rStyle w:val="16"/>
          <w:rFonts w:hint="default" w:ascii="Times New Roman" w:hAnsi="Times New Roman" w:eastAsia="仿宋_GB2312" w:cs="Times New Roman"/>
          <w:b w:val="0"/>
          <w:color w:val="000000"/>
          <w:sz w:val="32"/>
          <w:szCs w:val="32"/>
          <w:lang w:val="en-US" w:eastAsia="zh-CN"/>
        </w:rPr>
        <w:t>2</w:t>
      </w:r>
      <w:r>
        <w:rPr>
          <w:rStyle w:val="16"/>
          <w:rFonts w:hint="eastAsia" w:eastAsia="仿宋_GB2312" w:cs="Times New Roman"/>
          <w:b w:val="0"/>
          <w:color w:val="000000"/>
          <w:sz w:val="32"/>
          <w:szCs w:val="32"/>
          <w:lang w:val="en-US" w:eastAsia="zh-CN"/>
        </w:rPr>
        <w:t>8.10</w:t>
      </w:r>
      <w:r>
        <w:rPr>
          <w:rFonts w:hint="default" w:ascii="Times New Roman" w:hAnsi="Times New Roman" w:eastAsia="仿宋" w:cs="Times New Roman"/>
          <w:color w:val="000000"/>
          <w:sz w:val="32"/>
          <w:szCs w:val="32"/>
        </w:rPr>
        <w:t>万元，完成预算</w:t>
      </w:r>
      <w:r>
        <w:rPr>
          <w:rFonts w:hint="default"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决算数</w:t>
      </w:r>
      <w:r>
        <w:rPr>
          <w:rFonts w:hint="default" w:ascii="Times New Roman" w:hAnsi="Times New Roman" w:eastAsia="仿宋" w:cs="Times New Roman"/>
          <w:color w:val="000000"/>
          <w:sz w:val="32"/>
          <w:szCs w:val="32"/>
          <w:lang w:eastAsia="zh-CN"/>
        </w:rPr>
        <w:t>等于</w:t>
      </w:r>
      <w:r>
        <w:rPr>
          <w:rFonts w:hint="default" w:ascii="Times New Roman" w:hAnsi="Times New Roman" w:eastAsia="仿宋" w:cs="Times New Roman"/>
          <w:color w:val="000000"/>
          <w:sz w:val="32"/>
          <w:szCs w:val="32"/>
        </w:rPr>
        <w:t>预算数</w:t>
      </w:r>
      <w:r>
        <w:rPr>
          <w:rFonts w:hint="default" w:ascii="Times New Roman" w:hAnsi="Times New Roman" w:eastAsia="仿宋" w:cs="Times New Roman"/>
          <w:color w:val="000000"/>
          <w:sz w:val="32"/>
          <w:szCs w:val="32"/>
          <w:lang w:val="en-US" w:eastAsia="zh-CN"/>
        </w:rPr>
        <w:t>。</w:t>
      </w:r>
      <w:bookmarkEnd w:id="63"/>
    </w:p>
    <w:p>
      <w:pPr>
        <w:tabs>
          <w:tab w:val="right" w:pos="8306"/>
        </w:tabs>
        <w:spacing w:line="600" w:lineRule="exact"/>
        <w:ind w:firstLine="640"/>
        <w:jc w:val="both"/>
        <w:outlineLvl w:val="1"/>
        <w:rPr>
          <w:rStyle w:val="32"/>
          <w:rFonts w:hint="default" w:ascii="Times New Roman" w:hAnsi="Times New Roman" w:cs="Times New Roman"/>
          <w:color w:val="auto"/>
          <w:highlight w:val="none"/>
        </w:rPr>
      </w:pPr>
      <w:bookmarkStart w:id="64" w:name="_Toc26202"/>
      <w:bookmarkStart w:id="65" w:name="_Toc20459"/>
      <w:bookmarkStart w:id="66" w:name="_Toc28179"/>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2"/>
          <w:rFonts w:hint="default" w:ascii="Times New Roman" w:hAnsi="Times New Roman" w:eastAsia="黑体" w:cs="Times New Roman"/>
          <w:b w:val="0"/>
          <w:color w:val="auto"/>
          <w:highlight w:val="none"/>
        </w:rPr>
        <w:t>般公共预算财政拨款基本支出决算情况说明</w:t>
      </w:r>
      <w:bookmarkEnd w:id="60"/>
      <w:bookmarkEnd w:id="61"/>
      <w:bookmarkEnd w:id="64"/>
      <w:bookmarkEnd w:id="65"/>
      <w:bookmarkEnd w:id="66"/>
      <w:r>
        <w:rPr>
          <w:rStyle w:val="32"/>
          <w:rFonts w:hint="default" w:ascii="Times New Roman" w:hAnsi="Times New Roman" w:eastAsia="黑体" w:cs="Times New Roman"/>
          <w:b w:val="0"/>
          <w:color w:val="auto"/>
          <w:highlight w:val="none"/>
        </w:rPr>
        <w:tab/>
      </w:r>
    </w:p>
    <w:p>
      <w:pPr>
        <w:spacing w:line="600" w:lineRule="exact"/>
        <w:ind w:firstLine="645"/>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一般公共预算财政拨款基本支出</w:t>
      </w:r>
      <w:r>
        <w:rPr>
          <w:rFonts w:hint="eastAsia" w:eastAsia="仿宋" w:cs="Times New Roman"/>
          <w:color w:val="auto"/>
          <w:sz w:val="32"/>
          <w:szCs w:val="32"/>
          <w:highlight w:val="none"/>
          <w:lang w:val="en-US" w:eastAsia="zh-CN"/>
        </w:rPr>
        <w:t>365.78</w:t>
      </w:r>
      <w:r>
        <w:rPr>
          <w:rFonts w:hint="default" w:ascii="Times New Roman" w:hAnsi="Times New Roman" w:eastAsia="仿宋" w:cs="Times New Roman"/>
          <w:color w:val="auto"/>
          <w:sz w:val="32"/>
          <w:szCs w:val="32"/>
          <w:highlight w:val="none"/>
        </w:rPr>
        <w:t>万元，其中：</w:t>
      </w:r>
    </w:p>
    <w:p>
      <w:pPr>
        <w:spacing w:line="600" w:lineRule="exact"/>
        <w:ind w:firstLine="645"/>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人员经费324.</w:t>
      </w:r>
      <w:r>
        <w:rPr>
          <w:rFonts w:hint="eastAsia" w:eastAsia="仿宋" w:cs="Times New Roman"/>
          <w:color w:val="auto"/>
          <w:sz w:val="32"/>
          <w:szCs w:val="32"/>
          <w:highlight w:val="none"/>
          <w:lang w:val="en-US" w:eastAsia="zh-CN"/>
        </w:rPr>
        <w:t>20</w:t>
      </w:r>
      <w:r>
        <w:rPr>
          <w:rFonts w:hint="default" w:ascii="Times New Roman" w:hAnsi="Times New Roman" w:eastAsia="仿宋" w:cs="Times New Roman"/>
          <w:color w:val="auto"/>
          <w:sz w:val="32"/>
          <w:szCs w:val="32"/>
          <w:highlight w:val="none"/>
        </w:rPr>
        <w:t>万元，主要包括：</w:t>
      </w:r>
      <w:r>
        <w:rPr>
          <w:rFonts w:hint="default" w:ascii="Times New Roman" w:hAnsi="Times New Roman" w:eastAsia="仿宋" w:cs="Times New Roman"/>
          <w:color w:val="000000"/>
          <w:sz w:val="32"/>
          <w:szCs w:val="32"/>
        </w:rPr>
        <w:t>基本工资、津贴补贴、奖金、绩效工资、机关事业单位基本养老保险缴费、职业年金缴费</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职工基本医疗保险缴费</w:t>
      </w:r>
      <w:r>
        <w:rPr>
          <w:rFonts w:hint="default" w:ascii="Times New Roman" w:hAnsi="Times New Roman" w:eastAsia="仿宋" w:cs="Times New Roman"/>
          <w:color w:val="000000"/>
          <w:sz w:val="32"/>
          <w:szCs w:val="32"/>
          <w:lang w:eastAsia="zh-CN"/>
        </w:rPr>
        <w:t>、公务员医疗补助缴费、</w:t>
      </w:r>
      <w:r>
        <w:rPr>
          <w:rFonts w:hint="default" w:ascii="Times New Roman" w:hAnsi="Times New Roman" w:eastAsia="仿宋" w:cs="Times New Roman"/>
          <w:color w:val="000000"/>
          <w:sz w:val="32"/>
          <w:szCs w:val="32"/>
        </w:rPr>
        <w:t>其他社会保障缴费、住房公积金</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其他工资福利支出、其他对个人和家庭的补助支出</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eastAsia" w:eastAsia="仿宋" w:cs="Times New Roman"/>
          <w:color w:val="auto"/>
          <w:sz w:val="32"/>
          <w:szCs w:val="32"/>
          <w:highlight w:val="none"/>
          <w:lang w:val="en-US" w:eastAsia="zh-CN"/>
        </w:rPr>
        <w:t>41.58</w:t>
      </w:r>
      <w:r>
        <w:rPr>
          <w:rFonts w:hint="default" w:ascii="Times New Roman" w:hAnsi="Times New Roman" w:eastAsia="仿宋" w:cs="Times New Roman"/>
          <w:color w:val="auto"/>
          <w:sz w:val="32"/>
          <w:szCs w:val="32"/>
          <w:highlight w:val="none"/>
        </w:rPr>
        <w:t>万元，主要包括：办公费、印刷费、邮电费、差旅费、维修（护）费、公务接待费、劳务费、委托业务费、</w:t>
      </w:r>
      <w:r>
        <w:rPr>
          <w:rFonts w:hint="eastAsia" w:eastAsia="仿宋" w:cs="Times New Roman"/>
          <w:color w:val="auto"/>
          <w:sz w:val="32"/>
          <w:szCs w:val="32"/>
          <w:highlight w:val="none"/>
          <w:lang w:eastAsia="zh-CN"/>
        </w:rPr>
        <w:t>工会经费、</w:t>
      </w:r>
      <w:r>
        <w:rPr>
          <w:rFonts w:hint="default" w:ascii="Times New Roman" w:hAnsi="Times New Roman" w:eastAsia="仿宋" w:cs="Times New Roman"/>
          <w:color w:val="auto"/>
          <w:sz w:val="32"/>
          <w:szCs w:val="32"/>
          <w:highlight w:val="none"/>
        </w:rPr>
        <w:t>福利费、其他交通费</w:t>
      </w:r>
      <w:r>
        <w:rPr>
          <w:rFonts w:hint="eastAsia" w:eastAsia="仿宋" w:cs="Times New Roman"/>
          <w:color w:val="auto"/>
          <w:sz w:val="32"/>
          <w:szCs w:val="32"/>
          <w:highlight w:val="none"/>
          <w:lang w:eastAsia="zh-CN"/>
        </w:rPr>
        <w:t>用</w:t>
      </w:r>
      <w:r>
        <w:rPr>
          <w:rFonts w:hint="default" w:ascii="Times New Roman" w:hAnsi="Times New Roman" w:eastAsia="仿宋" w:cs="Times New Roman"/>
          <w:color w:val="auto"/>
          <w:sz w:val="32"/>
          <w:szCs w:val="32"/>
          <w:highlight w:val="none"/>
        </w:rPr>
        <w:t>、其他商品和服务支出。</w:t>
      </w:r>
    </w:p>
    <w:p>
      <w:pPr>
        <w:spacing w:line="600" w:lineRule="exact"/>
        <w:ind w:firstLine="640"/>
        <w:jc w:val="both"/>
        <w:outlineLvl w:val="1"/>
        <w:rPr>
          <w:rStyle w:val="32"/>
          <w:rFonts w:hint="default" w:ascii="Times New Roman" w:hAnsi="Times New Roman" w:eastAsia="黑体" w:cs="Times New Roman"/>
          <w:b w:val="0"/>
          <w:color w:val="auto"/>
          <w:highlight w:val="none"/>
        </w:rPr>
      </w:pPr>
      <w:bookmarkStart w:id="67" w:name="_Toc7166"/>
      <w:bookmarkStart w:id="68" w:name="_Toc15377215"/>
      <w:bookmarkStart w:id="69" w:name="_Toc15396609"/>
      <w:bookmarkStart w:id="70" w:name="_Toc24323"/>
      <w:bookmarkStart w:id="71" w:name="_Toc27195"/>
      <w:r>
        <w:rPr>
          <w:rFonts w:hint="default" w:ascii="Times New Roman" w:hAnsi="Times New Roman" w:eastAsia="黑体" w:cs="Times New Roman"/>
          <w:color w:val="auto"/>
          <w:sz w:val="32"/>
          <w:szCs w:val="32"/>
          <w:highlight w:val="none"/>
        </w:rPr>
        <w:t>七、</w:t>
      </w:r>
      <w:r>
        <w:rPr>
          <w:rStyle w:val="32"/>
          <w:rFonts w:hint="default" w:ascii="Times New Roman" w:hAnsi="Times New Roman" w:eastAsia="黑体" w:cs="Times New Roman"/>
          <w:b w:val="0"/>
          <w:color w:val="auto"/>
          <w:highlight w:val="none"/>
        </w:rPr>
        <w:t>财政拨款</w:t>
      </w:r>
      <w:r>
        <w:rPr>
          <w:rStyle w:val="32"/>
          <w:rFonts w:hint="default" w:ascii="Times New Roman" w:hAnsi="Times New Roman" w:eastAsia="黑体" w:cs="Times New Roman"/>
          <w:color w:val="auto"/>
          <w:highlight w:val="none"/>
        </w:rPr>
        <w:t>“</w:t>
      </w:r>
      <w:r>
        <w:rPr>
          <w:rStyle w:val="32"/>
          <w:rFonts w:hint="default" w:ascii="Times New Roman" w:hAnsi="Times New Roman" w:eastAsia="黑体" w:cs="Times New Roman"/>
          <w:b w:val="0"/>
          <w:color w:val="auto"/>
          <w:highlight w:val="none"/>
        </w:rPr>
        <w:t>三公”经费支出决算情况说明</w:t>
      </w:r>
      <w:bookmarkEnd w:id="67"/>
      <w:bookmarkEnd w:id="68"/>
      <w:bookmarkEnd w:id="69"/>
      <w:bookmarkEnd w:id="70"/>
      <w:bookmarkEnd w:id="71"/>
    </w:p>
    <w:p>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72" w:name="_Toc15377216"/>
      <w:r>
        <w:rPr>
          <w:rFonts w:hint="default" w:ascii="Times New Roman" w:hAnsi="Times New Roman" w:eastAsia="仿宋" w:cs="Times New Roman"/>
          <w:b/>
          <w:color w:val="auto"/>
          <w:sz w:val="32"/>
          <w:szCs w:val="32"/>
          <w:highlight w:val="none"/>
        </w:rPr>
        <w:t>（一）“三公”经费财政拨款支出决算总体情况说明</w:t>
      </w:r>
      <w:bookmarkEnd w:id="72"/>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“三公”经费财政拨款支出决算为0.2</w:t>
      </w: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w:t>
      </w:r>
      <w:r>
        <w:rPr>
          <w:rFonts w:hint="eastAsia" w:eastAsia="仿宋" w:cs="Times New Roman"/>
          <w:color w:val="auto"/>
          <w:sz w:val="32"/>
          <w:szCs w:val="32"/>
          <w:highlight w:val="none"/>
          <w:lang w:val="en-US" w:eastAsia="zh-CN"/>
        </w:rPr>
        <w:t>增加</w:t>
      </w:r>
      <w:r>
        <w:rPr>
          <w:rFonts w:hint="default" w:ascii="Times New Roman" w:hAnsi="Times New Roman" w:eastAsia="仿宋" w:cs="Times New Roman"/>
          <w:color w:val="auto"/>
          <w:sz w:val="32"/>
          <w:szCs w:val="32"/>
          <w:highlight w:val="none"/>
          <w:lang w:val="en-US" w:eastAsia="zh-CN"/>
        </w:rPr>
        <w:t>0.</w:t>
      </w:r>
      <w:r>
        <w:rPr>
          <w:rFonts w:hint="eastAsia"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lang w:val="en-US" w:eastAsia="zh-CN"/>
        </w:rPr>
        <w:t>万元，</w:t>
      </w:r>
      <w:r>
        <w:rPr>
          <w:rFonts w:hint="eastAsia" w:eastAsia="仿宋" w:cs="Times New Roman"/>
          <w:color w:val="auto"/>
          <w:sz w:val="32"/>
          <w:szCs w:val="32"/>
          <w:highlight w:val="none"/>
          <w:lang w:val="en-US" w:eastAsia="zh-CN"/>
        </w:rPr>
        <w:t>增长45.00</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决算数与预算数持平。</w:t>
      </w:r>
    </w:p>
    <w:p>
      <w:pPr>
        <w:spacing w:line="600" w:lineRule="exact"/>
        <w:ind w:firstLine="640"/>
        <w:jc w:val="both"/>
        <w:outlineLvl w:val="2"/>
        <w:rPr>
          <w:rFonts w:hint="default" w:ascii="Times New Roman" w:hAnsi="Times New Roman" w:eastAsia="仿宋" w:cs="Times New Roman"/>
          <w:b/>
          <w:color w:val="auto"/>
          <w:sz w:val="32"/>
          <w:szCs w:val="32"/>
          <w:highlight w:val="none"/>
        </w:rPr>
      </w:pPr>
      <w:bookmarkStart w:id="73" w:name="_Toc15377217"/>
      <w:r>
        <w:rPr>
          <w:rFonts w:hint="default" w:ascii="Times New Roman" w:hAnsi="Times New Roman" w:eastAsia="仿宋" w:cs="Times New Roman"/>
          <w:b/>
          <w:color w:val="auto"/>
          <w:sz w:val="32"/>
          <w:szCs w:val="32"/>
          <w:highlight w:val="none"/>
        </w:rPr>
        <w:t>（二）“三公”经费财政拨款支出决算具体情况说明</w:t>
      </w:r>
      <w:bookmarkEnd w:id="73"/>
    </w:p>
    <w:p>
      <w:pPr>
        <w:spacing w:line="600" w:lineRule="exact"/>
        <w:ind w:firstLine="640"/>
        <w:jc w:val="both"/>
        <w:rPr>
          <w:rFonts w:hint="default" w:ascii="Times New Roman" w:hAnsi="Times New Roman" w:eastAsia="仿宋" w:cs="Times New Roman"/>
          <w:color w:val="auto"/>
          <w:sz w:val="32"/>
          <w:szCs w:val="32"/>
          <w:highlight w:val="none"/>
        </w:rPr>
      </w:pPr>
      <w:r>
        <w:rPr>
          <w:rFonts w:hint="eastAsia" w:eastAsia="仿宋" w:cs="Times New Roman"/>
          <w:color w:val="auto"/>
          <w:sz w:val="32"/>
          <w:szCs w:val="32"/>
          <w:highlight w:val="none"/>
          <w:lang w:eastAsia="zh-CN"/>
        </w:rPr>
        <w:t>2023年</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0.2</w:t>
      </w: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%。具体情况如下：</w:t>
      </w:r>
    </w:p>
    <w:p>
      <w:pPr>
        <w:spacing w:line="600" w:lineRule="exact"/>
        <w:ind w:firstLine="640"/>
        <w:jc w:val="both"/>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图7：</w:t>
      </w:r>
    </w:p>
    <w:p>
      <w:pPr>
        <w:pStyle w:val="6"/>
        <w:jc w:val="center"/>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000000"/>
          <w:sz w:val="32"/>
          <w:szCs w:val="32"/>
          <w:highlight w:val="none"/>
          <w:lang w:eastAsia="zh-CN"/>
        </w:rPr>
        <w:drawing>
          <wp:inline distT="0" distB="0" distL="114300" distR="114300">
            <wp:extent cx="4246880" cy="2428875"/>
            <wp:effectExtent l="4445" t="4445" r="15875" b="508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auto"/>
          <w:sz w:val="32"/>
          <w:szCs w:val="32"/>
          <w:highlight w:val="none"/>
        </w:rPr>
        <w:t>.因公出国（境）经费支出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0</w:t>
      </w:r>
      <w:r>
        <w:rPr>
          <w:rStyle w:val="16"/>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pPr>
        <w:spacing w:line="600" w:lineRule="exact"/>
        <w:ind w:firstLine="64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0</w:t>
      </w:r>
      <w:r>
        <w:rPr>
          <w:rStyle w:val="16"/>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eastAsia="zh-CN"/>
        </w:rPr>
        <w:t>较</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lang w:eastAsia="zh-CN"/>
        </w:rPr>
        <w:t>持平</w:t>
      </w:r>
      <w:r>
        <w:rPr>
          <w:rFonts w:hint="default" w:ascii="Times New Roman" w:hAnsi="Times New Roman" w:eastAsia="仿宋_GB2312" w:cs="Times New Roman"/>
          <w:color w:val="auto"/>
          <w:sz w:val="32"/>
          <w:szCs w:val="32"/>
          <w:highlight w:val="none"/>
        </w:rPr>
        <w:t>。</w:t>
      </w:r>
    </w:p>
    <w:p>
      <w:pPr>
        <w:spacing w:line="600" w:lineRule="exact"/>
        <w:ind w:firstLine="640" w:firstLineChars="200"/>
        <w:jc w:val="both"/>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万元。截至</w:t>
      </w: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12月底，单位共有公务用车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0.2</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w:t>
      </w:r>
      <w:r>
        <w:rPr>
          <w:rStyle w:val="16"/>
          <w:rFonts w:hint="default" w:ascii="Times New Roman" w:hAnsi="Times New Roman" w:eastAsia="仿宋" w:cs="Times New Roman"/>
          <w:b w:val="0"/>
          <w:bCs/>
          <w:color w:val="auto"/>
          <w:sz w:val="32"/>
          <w:szCs w:val="32"/>
          <w:highlight w:val="none"/>
        </w:rPr>
        <w:t>完成预算</w:t>
      </w:r>
      <w:r>
        <w:rPr>
          <w:rStyle w:val="16"/>
          <w:rFonts w:hint="default" w:ascii="Times New Roman" w:hAnsi="Times New Roman" w:eastAsia="仿宋" w:cs="Times New Roman"/>
          <w:b w:val="0"/>
          <w:bCs/>
          <w:color w:val="auto"/>
          <w:sz w:val="32"/>
          <w:szCs w:val="32"/>
          <w:highlight w:val="none"/>
          <w:lang w:val="en-US" w:eastAsia="zh-CN"/>
        </w:rPr>
        <w:t>100</w:t>
      </w:r>
      <w:r>
        <w:rPr>
          <w:rStyle w:val="16"/>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eastAsia" w:eastAsia="仿宋_GB2312" w:cs="Times New Roman"/>
          <w:color w:val="auto"/>
          <w:sz w:val="32"/>
          <w:szCs w:val="32"/>
          <w:highlight w:val="none"/>
          <w:lang w:eastAsia="zh-CN"/>
        </w:rPr>
        <w:t>2022年</w:t>
      </w:r>
      <w:r>
        <w:rPr>
          <w:rFonts w:hint="eastAsia" w:eastAsia="仿宋" w:cs="Times New Roman"/>
          <w:color w:val="auto"/>
          <w:sz w:val="32"/>
          <w:szCs w:val="32"/>
          <w:highlight w:val="none"/>
          <w:lang w:val="en-US" w:eastAsia="zh-CN"/>
        </w:rPr>
        <w:t>增加</w:t>
      </w:r>
      <w:r>
        <w:rPr>
          <w:rFonts w:hint="default" w:ascii="Times New Roman" w:hAnsi="Times New Roman" w:eastAsia="仿宋" w:cs="Times New Roman"/>
          <w:color w:val="auto"/>
          <w:sz w:val="32"/>
          <w:szCs w:val="32"/>
          <w:highlight w:val="none"/>
          <w:lang w:val="en-US" w:eastAsia="zh-CN"/>
        </w:rPr>
        <w:t>0.</w:t>
      </w:r>
      <w:r>
        <w:rPr>
          <w:rFonts w:hint="eastAsia" w:eastAsia="仿宋" w:cs="Times New Roman"/>
          <w:color w:val="auto"/>
          <w:sz w:val="32"/>
          <w:szCs w:val="32"/>
          <w:highlight w:val="none"/>
          <w:lang w:val="en-US" w:eastAsia="zh-CN"/>
        </w:rPr>
        <w:t>09</w:t>
      </w:r>
      <w:r>
        <w:rPr>
          <w:rFonts w:hint="default" w:ascii="Times New Roman" w:hAnsi="Times New Roman" w:eastAsia="仿宋" w:cs="Times New Roman"/>
          <w:color w:val="auto"/>
          <w:sz w:val="32"/>
          <w:szCs w:val="32"/>
          <w:highlight w:val="none"/>
          <w:lang w:val="en-US" w:eastAsia="zh-CN"/>
        </w:rPr>
        <w:t>万元，</w:t>
      </w:r>
      <w:r>
        <w:rPr>
          <w:rFonts w:hint="eastAsia" w:eastAsia="仿宋" w:cs="Times New Roman"/>
          <w:color w:val="auto"/>
          <w:sz w:val="32"/>
          <w:szCs w:val="32"/>
          <w:highlight w:val="none"/>
          <w:lang w:val="en-US" w:eastAsia="zh-CN"/>
        </w:rPr>
        <w:t>增长45.00</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公务接待任务</w:t>
      </w:r>
      <w:r>
        <w:rPr>
          <w:rFonts w:hint="eastAsia" w:eastAsia="仿宋_GB2312" w:cs="Times New Roman"/>
          <w:color w:val="auto"/>
          <w:sz w:val="32"/>
          <w:szCs w:val="32"/>
          <w:highlight w:val="none"/>
          <w:lang w:val="en-US" w:eastAsia="zh-CN"/>
        </w:rPr>
        <w:t>增加</w:t>
      </w:r>
      <w:r>
        <w:rPr>
          <w:rFonts w:hint="default" w:ascii="Times New Roman" w:hAnsi="Times New Roman" w:eastAsia="仿宋_GB2312" w:cs="Times New Roman"/>
          <w:color w:val="auto"/>
          <w:sz w:val="32"/>
          <w:szCs w:val="32"/>
          <w:highlight w:val="none"/>
        </w:rPr>
        <w:t>。其中：</w:t>
      </w:r>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color w:val="auto"/>
          <w:sz w:val="32"/>
          <w:szCs w:val="32"/>
          <w:highlight w:val="none"/>
          <w:lang w:val="en-US" w:eastAsia="zh-CN"/>
        </w:rPr>
        <w:t>0.2</w:t>
      </w:r>
      <w:r>
        <w:rPr>
          <w:rFonts w:hint="eastAsia" w:eastAsia="仿宋"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万元，主要用于执行公务开支的用餐费。国内公务接待</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批次，</w:t>
      </w:r>
      <w:r>
        <w:rPr>
          <w:rFonts w:hint="eastAsia" w:eastAsia="仿宋_GB2312" w:cs="Times New Roman"/>
          <w:color w:val="auto"/>
          <w:sz w:val="32"/>
          <w:szCs w:val="32"/>
          <w:highlight w:val="none"/>
          <w:lang w:val="en-US" w:eastAsia="zh-CN"/>
        </w:rPr>
        <w:t>32</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0.2</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万元，具体内容包括：接待德阳市委宣传部到船山区评估验收新时代文明实践中心建设全覆盖工作餐费</w:t>
      </w:r>
      <w:r>
        <w:rPr>
          <w:rFonts w:hint="eastAsia" w:eastAsia="仿宋_GB2312" w:cs="Times New Roman"/>
          <w:color w:val="auto"/>
          <w:sz w:val="32"/>
          <w:szCs w:val="32"/>
          <w:highlight w:val="none"/>
          <w:lang w:val="en-US" w:eastAsia="zh-CN"/>
        </w:rPr>
        <w:t>0.11</w:t>
      </w:r>
      <w:r>
        <w:rPr>
          <w:rFonts w:hint="default" w:ascii="Times New Roman" w:hAnsi="Times New Roman" w:eastAsia="仿宋_GB2312" w:cs="Times New Roman"/>
          <w:color w:val="auto"/>
          <w:sz w:val="32"/>
          <w:szCs w:val="32"/>
          <w:highlight w:val="none"/>
          <w:lang w:val="en-US" w:eastAsia="zh-CN"/>
        </w:rPr>
        <w:t>万元</w:t>
      </w:r>
      <w:r>
        <w:rPr>
          <w:rFonts w:hint="eastAsia" w:eastAsia="仿宋_GB2312" w:cs="Times New Roman"/>
          <w:color w:val="auto"/>
          <w:sz w:val="32"/>
          <w:szCs w:val="32"/>
          <w:highlight w:val="none"/>
          <w:lang w:val="en-US" w:eastAsia="zh-CN"/>
        </w:rPr>
        <w:t>、接待绵阳涪城区文明办莅船学习考察工作餐费0.07万元、接待省委宣传部产业发展处调研工作餐费0.11万元</w:t>
      </w:r>
      <w:r>
        <w:rPr>
          <w:rFonts w:hint="default" w:ascii="Times New Roman" w:hAnsi="Times New Roman" w:eastAsia="仿宋_GB2312" w:cs="Times New Roman"/>
          <w:color w:val="auto"/>
          <w:sz w:val="32"/>
          <w:szCs w:val="32"/>
          <w:highlight w:val="none"/>
        </w:rPr>
        <w:t>。</w:t>
      </w:r>
    </w:p>
    <w:p>
      <w:pPr>
        <w:spacing w:line="600" w:lineRule="exact"/>
        <w:ind w:firstLine="643"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bookmarkStart w:id="74" w:name="_Toc15396610"/>
      <w:bookmarkStart w:id="75" w:name="_Toc15377218"/>
    </w:p>
    <w:p>
      <w:pPr>
        <w:spacing w:line="600" w:lineRule="exact"/>
        <w:ind w:firstLine="640"/>
        <w:jc w:val="both"/>
        <w:outlineLvl w:val="1"/>
        <w:rPr>
          <w:rStyle w:val="32"/>
          <w:rFonts w:hint="default" w:ascii="Times New Roman" w:hAnsi="Times New Roman" w:eastAsia="黑体" w:cs="Times New Roman"/>
          <w:color w:val="auto"/>
          <w:highlight w:val="none"/>
        </w:rPr>
      </w:pPr>
      <w:bookmarkStart w:id="76" w:name="_Toc27353"/>
      <w:bookmarkStart w:id="77" w:name="_Toc12284"/>
      <w:bookmarkStart w:id="78" w:name="_Toc22244"/>
      <w:r>
        <w:rPr>
          <w:rFonts w:hint="default" w:ascii="Times New Roman" w:hAnsi="Times New Roman" w:eastAsia="黑体" w:cs="Times New Roman"/>
          <w:color w:val="auto"/>
          <w:sz w:val="32"/>
          <w:szCs w:val="32"/>
          <w:highlight w:val="none"/>
        </w:rPr>
        <w:t>八、</w:t>
      </w:r>
      <w:r>
        <w:rPr>
          <w:rStyle w:val="32"/>
          <w:rFonts w:hint="default" w:ascii="Times New Roman" w:hAnsi="Times New Roman" w:eastAsia="黑体" w:cs="Times New Roman"/>
          <w:b w:val="0"/>
          <w:color w:val="auto"/>
          <w:highlight w:val="none"/>
        </w:rPr>
        <w:t>政府性基金预算支出决算情况说明</w:t>
      </w:r>
      <w:bookmarkEnd w:id="74"/>
      <w:bookmarkEnd w:id="75"/>
      <w:bookmarkEnd w:id="76"/>
      <w:bookmarkEnd w:id="77"/>
      <w:bookmarkEnd w:id="78"/>
    </w:p>
    <w:p>
      <w:pPr>
        <w:spacing w:line="600" w:lineRule="exact"/>
        <w:ind w:firstLine="64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jc w:val="both"/>
        <w:outlineLvl w:val="1"/>
        <w:rPr>
          <w:rStyle w:val="32"/>
          <w:rFonts w:hint="default" w:ascii="Times New Roman" w:hAnsi="Times New Roman" w:eastAsia="黑体" w:cs="Times New Roman"/>
          <w:b w:val="0"/>
          <w:color w:val="auto"/>
          <w:highlight w:val="none"/>
        </w:rPr>
      </w:pPr>
      <w:bookmarkStart w:id="79" w:name="_Toc21728"/>
      <w:bookmarkStart w:id="80" w:name="_Toc15377219"/>
      <w:bookmarkStart w:id="81" w:name="_Toc15396611"/>
      <w:bookmarkStart w:id="82" w:name="_Toc14011"/>
      <w:bookmarkStart w:id="83" w:name="_Toc9522"/>
      <w:r>
        <w:rPr>
          <w:rStyle w:val="32"/>
          <w:rFonts w:hint="default" w:ascii="Times New Roman" w:hAnsi="Times New Roman" w:eastAsia="黑体" w:cs="Times New Roman"/>
          <w:b w:val="0"/>
          <w:color w:val="auto"/>
          <w:highlight w:val="none"/>
        </w:rPr>
        <w:t>国有资本经营预算支出决算情况说明</w:t>
      </w:r>
      <w:bookmarkEnd w:id="79"/>
      <w:bookmarkEnd w:id="80"/>
      <w:bookmarkEnd w:id="81"/>
      <w:bookmarkEnd w:id="82"/>
      <w:bookmarkEnd w:id="83"/>
    </w:p>
    <w:p>
      <w:pPr>
        <w:spacing w:line="600" w:lineRule="exact"/>
        <w:ind w:firstLine="640"/>
        <w:jc w:val="both"/>
        <w:rPr>
          <w:rFonts w:hint="default" w:ascii="Times New Roman" w:hAnsi="Times New Roman" w:eastAsia="方正小标宋简体" w:cs="Times New Roman"/>
          <w:color w:val="auto"/>
          <w:sz w:val="44"/>
          <w:szCs w:val="44"/>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2"/>
        </w:numPr>
        <w:spacing w:line="600" w:lineRule="exact"/>
        <w:ind w:firstLine="640"/>
        <w:jc w:val="both"/>
        <w:outlineLvl w:val="1"/>
        <w:rPr>
          <w:rStyle w:val="32"/>
          <w:rFonts w:hint="default" w:ascii="Times New Roman" w:hAnsi="Times New Roman" w:eastAsia="黑体" w:cs="Times New Roman"/>
          <w:b w:val="0"/>
          <w:color w:val="auto"/>
          <w:highlight w:val="none"/>
        </w:rPr>
      </w:pPr>
      <w:bookmarkStart w:id="84" w:name="_Toc15396612"/>
      <w:bookmarkStart w:id="85" w:name="_Toc12724"/>
      <w:bookmarkStart w:id="86" w:name="_Toc26662"/>
      <w:bookmarkStart w:id="87" w:name="_Toc15377221"/>
      <w:bookmarkStart w:id="88" w:name="_Toc30190"/>
      <w:r>
        <w:rPr>
          <w:rStyle w:val="32"/>
          <w:rFonts w:hint="default" w:ascii="Times New Roman" w:hAnsi="Times New Roman" w:eastAsia="黑体" w:cs="Times New Roman"/>
          <w:b w:val="0"/>
          <w:color w:val="auto"/>
          <w:highlight w:val="none"/>
        </w:rPr>
        <w:t>其他重要事项的情况说明</w:t>
      </w:r>
      <w:bookmarkEnd w:id="84"/>
      <w:bookmarkEnd w:id="85"/>
      <w:bookmarkEnd w:id="86"/>
      <w:bookmarkEnd w:id="87"/>
      <w:bookmarkEnd w:id="88"/>
    </w:p>
    <w:p>
      <w:pPr>
        <w:spacing w:line="600" w:lineRule="exact"/>
        <w:ind w:firstLine="643" w:firstLineChars="200"/>
        <w:jc w:val="both"/>
        <w:outlineLvl w:val="2"/>
        <w:rPr>
          <w:rFonts w:hint="default" w:ascii="Times New Roman" w:hAnsi="Times New Roman" w:eastAsia="仿宋" w:cs="Times New Roman"/>
          <w:color w:val="auto"/>
          <w:sz w:val="32"/>
          <w:szCs w:val="32"/>
          <w:highlight w:val="none"/>
        </w:rPr>
      </w:pPr>
      <w:bookmarkStart w:id="89" w:name="_Toc15377222"/>
      <w:r>
        <w:rPr>
          <w:rFonts w:hint="default" w:ascii="Times New Roman" w:hAnsi="Times New Roman" w:eastAsia="仿宋" w:cs="Times New Roman"/>
          <w:b/>
          <w:color w:val="auto"/>
          <w:sz w:val="32"/>
          <w:szCs w:val="32"/>
          <w:highlight w:val="none"/>
        </w:rPr>
        <w:t>（一）机关运行经费支出情况</w:t>
      </w:r>
      <w:bookmarkEnd w:id="89"/>
    </w:p>
    <w:p>
      <w:pPr>
        <w:spacing w:line="600" w:lineRule="exact"/>
        <w:ind w:firstLine="640" w:firstLineChars="200"/>
        <w:jc w:val="both"/>
        <w:rPr>
          <w:rFonts w:hint="default" w:ascii="Times New Roman" w:hAnsi="Times New Roman" w:eastAsia="仿宋" w:cs="Times New Roman"/>
          <w:b/>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区委宣传部</w:t>
      </w:r>
      <w:r>
        <w:rPr>
          <w:rFonts w:hint="default" w:ascii="Times New Roman" w:hAnsi="Times New Roman" w:eastAsia="仿宋_GB2312" w:cs="Times New Roman"/>
          <w:color w:val="auto"/>
          <w:sz w:val="32"/>
          <w:szCs w:val="32"/>
          <w:highlight w:val="none"/>
        </w:rPr>
        <w:t>机关运行经费支出</w:t>
      </w:r>
      <w:r>
        <w:rPr>
          <w:rFonts w:hint="eastAsia" w:eastAsia="仿宋_GB2312" w:cs="Times New Roman"/>
          <w:color w:val="auto"/>
          <w:sz w:val="32"/>
          <w:szCs w:val="32"/>
          <w:highlight w:val="none"/>
          <w:lang w:val="en-US" w:eastAsia="zh-CN"/>
        </w:rPr>
        <w:t>41.58</w:t>
      </w:r>
      <w:r>
        <w:rPr>
          <w:rFonts w:hint="default" w:ascii="Times New Roman" w:hAnsi="Times New Roman" w:eastAsia="仿宋_GB2312" w:cs="Times New Roman"/>
          <w:color w:val="auto"/>
          <w:sz w:val="32"/>
          <w:szCs w:val="32"/>
          <w:highlight w:val="none"/>
        </w:rPr>
        <w:t>万元，比</w:t>
      </w:r>
      <w:r>
        <w:rPr>
          <w:rFonts w:hint="eastAsia" w:eastAsia="仿宋_GB2312" w:cs="Times New Roman"/>
          <w:color w:val="auto"/>
          <w:sz w:val="32"/>
          <w:szCs w:val="32"/>
          <w:highlight w:val="none"/>
          <w:lang w:eastAsia="zh-CN"/>
        </w:rPr>
        <w:t>2022年</w:t>
      </w:r>
      <w:r>
        <w:rPr>
          <w:rFonts w:hint="default" w:ascii="Times New Roman" w:hAnsi="Times New Roman" w:eastAsia="仿宋_GB2312" w:cs="Times New Roman"/>
          <w:color w:val="auto"/>
          <w:sz w:val="32"/>
          <w:szCs w:val="32"/>
          <w:highlight w:val="none"/>
        </w:rPr>
        <w:t>增加</w:t>
      </w:r>
      <w:r>
        <w:rPr>
          <w:rFonts w:hint="eastAsia" w:eastAsia="仿宋_GB2312" w:cs="Times New Roman"/>
          <w:color w:val="auto"/>
          <w:sz w:val="32"/>
          <w:szCs w:val="32"/>
          <w:highlight w:val="none"/>
          <w:lang w:val="en-US" w:eastAsia="zh-CN"/>
        </w:rPr>
        <w:t>6.58</w:t>
      </w:r>
      <w:r>
        <w:rPr>
          <w:rFonts w:hint="default" w:ascii="Times New Roman" w:hAnsi="Times New Roman" w:eastAsia="仿宋_GB2312" w:cs="Times New Roman"/>
          <w:color w:val="auto"/>
          <w:sz w:val="32"/>
          <w:szCs w:val="32"/>
          <w:highlight w:val="none"/>
        </w:rPr>
        <w:t>万元，增长</w:t>
      </w:r>
      <w:r>
        <w:rPr>
          <w:rFonts w:hint="eastAsia" w:eastAsia="仿宋_GB2312" w:cs="Times New Roman"/>
          <w:color w:val="auto"/>
          <w:sz w:val="32"/>
          <w:szCs w:val="32"/>
          <w:highlight w:val="none"/>
          <w:lang w:val="en-US" w:eastAsia="zh-CN"/>
        </w:rPr>
        <w:t>18.80</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2023年</w:t>
      </w:r>
      <w:r>
        <w:rPr>
          <w:rFonts w:hint="default" w:ascii="Times New Roman" w:hAnsi="Times New Roman" w:eastAsia="仿宋_GB2312" w:cs="Times New Roman"/>
          <w:color w:val="auto"/>
          <w:sz w:val="32"/>
          <w:szCs w:val="32"/>
          <w:highlight w:val="none"/>
          <w:lang w:val="en-US" w:eastAsia="zh-CN"/>
        </w:rPr>
        <w:t>新增了在职职工，</w:t>
      </w:r>
      <w:r>
        <w:rPr>
          <w:rFonts w:hint="eastAsia" w:eastAsia="仿宋_GB2312" w:cs="Times New Roman"/>
          <w:color w:val="auto"/>
          <w:sz w:val="32"/>
          <w:szCs w:val="32"/>
          <w:highlight w:val="none"/>
          <w:lang w:val="en-US" w:eastAsia="zh-CN"/>
        </w:rPr>
        <w:t>日常办公</w:t>
      </w:r>
      <w:r>
        <w:rPr>
          <w:rFonts w:hint="default" w:ascii="Times New Roman" w:hAnsi="Times New Roman" w:eastAsia="仿宋_GB2312" w:cs="Times New Roman"/>
          <w:color w:val="auto"/>
          <w:sz w:val="32"/>
          <w:szCs w:val="32"/>
          <w:highlight w:val="none"/>
          <w:lang w:val="en-US" w:eastAsia="zh-CN"/>
        </w:rPr>
        <w:t>经费相应增加。</w:t>
      </w:r>
    </w:p>
    <w:p>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90" w:name="_Toc15377223"/>
      <w:r>
        <w:rPr>
          <w:rFonts w:hint="default" w:ascii="Times New Roman" w:hAnsi="Times New Roman" w:eastAsia="仿宋" w:cs="Times New Roman"/>
          <w:b/>
          <w:color w:val="auto"/>
          <w:sz w:val="32"/>
          <w:szCs w:val="32"/>
          <w:highlight w:val="none"/>
        </w:rPr>
        <w:t>（二）政府采购支出情况</w:t>
      </w:r>
      <w:bookmarkEnd w:id="90"/>
    </w:p>
    <w:p>
      <w:pPr>
        <w:spacing w:line="60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区委宣传部</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3" w:firstLineChars="200"/>
        <w:jc w:val="both"/>
        <w:outlineLvl w:val="2"/>
        <w:rPr>
          <w:rFonts w:hint="default" w:ascii="Times New Roman" w:hAnsi="Times New Roman" w:eastAsia="仿宋" w:cs="Times New Roman"/>
          <w:b/>
          <w:color w:val="auto"/>
          <w:sz w:val="32"/>
          <w:szCs w:val="32"/>
          <w:highlight w:val="none"/>
        </w:rPr>
      </w:pPr>
      <w:bookmarkStart w:id="91" w:name="_Toc15377224"/>
      <w:r>
        <w:rPr>
          <w:rFonts w:hint="default" w:ascii="Times New Roman" w:hAnsi="Times New Roman" w:eastAsia="仿宋" w:cs="Times New Roman"/>
          <w:b/>
          <w:color w:val="auto"/>
          <w:sz w:val="32"/>
          <w:szCs w:val="32"/>
          <w:highlight w:val="none"/>
        </w:rPr>
        <w:t>（三）国有资产占有使用情况</w:t>
      </w:r>
      <w:bookmarkEnd w:id="91"/>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eastAsia" w:ascii="Times New Roman" w:hAnsi="Times New Roman" w:eastAsia="仿宋_GB2312" w:cs="Times New Roman"/>
          <w:color w:val="auto"/>
          <w:sz w:val="32"/>
          <w:szCs w:val="32"/>
          <w:highlight w:val="none"/>
          <w:lang w:eastAsia="zh-CN"/>
        </w:rPr>
        <w:t>2023年</w:t>
      </w:r>
      <w:r>
        <w:rPr>
          <w:rFonts w:hint="default" w:ascii="Times New Roman" w:hAnsi="Times New Roman" w:eastAsia="仿宋_GB2312" w:cs="Times New Roman"/>
          <w:color w:val="auto"/>
          <w:sz w:val="32"/>
          <w:szCs w:val="32"/>
          <w:highlight w:val="none"/>
        </w:rPr>
        <w:t>12月31日，</w:t>
      </w:r>
      <w:r>
        <w:rPr>
          <w:rFonts w:hint="default" w:ascii="Times New Roman" w:hAnsi="Times New Roman" w:eastAsia="仿宋_GB2312" w:cs="Times New Roman"/>
          <w:color w:val="auto"/>
          <w:sz w:val="32"/>
          <w:szCs w:val="32"/>
          <w:highlight w:val="none"/>
          <w:lang w:eastAsia="zh-CN"/>
        </w:rPr>
        <w:t>区委宣传部</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辆，其中：主要领导干部用车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辆、其他用车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pPr>
        <w:keepNext w:val="0"/>
        <w:keepLines w:val="0"/>
        <w:pageBreakBefore w:val="0"/>
        <w:kinsoku/>
        <w:wordWrap/>
        <w:overflowPunct/>
        <w:topLinePunct w:val="0"/>
        <w:autoSpaceDE w:val="0"/>
        <w:autoSpaceDN w:val="0"/>
        <w:bidi w:val="0"/>
        <w:adjustRightInd/>
        <w:snapToGrid/>
        <w:spacing w:line="600" w:lineRule="exact"/>
        <w:ind w:left="0" w:leftChars="0" w:right="0" w:rightChars="0" w:firstLine="643" w:firstLineChars="200"/>
        <w:jc w:val="both"/>
        <w:textAlignment w:val="auto"/>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keepNext w:val="0"/>
        <w:keepLines w:val="0"/>
        <w:pageBreakBefore w:val="0"/>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根据预算绩效管理要求，本</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auto"/>
          <w:sz w:val="32"/>
          <w:szCs w:val="32"/>
          <w:highlight w:val="none"/>
        </w:rPr>
        <w:t>预算编制阶段，组织对软件正版化项目</w:t>
      </w:r>
      <w:r>
        <w:rPr>
          <w:rFonts w:hint="default" w:ascii="Times New Roman" w:hAnsi="Times New Roman" w:eastAsia="仿宋_GB2312" w:cs="Times New Roman"/>
          <w:color w:val="auto"/>
          <w:sz w:val="32"/>
          <w:szCs w:val="32"/>
          <w:highlight w:val="none"/>
          <w:lang w:eastAsia="zh-CN"/>
        </w:rPr>
        <w:t>等</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lang w:val="en-US" w:eastAsia="zh-CN"/>
        </w:rPr>
        <w:t>个项目</w:t>
      </w:r>
      <w:r>
        <w:rPr>
          <w:rFonts w:hint="default" w:ascii="Times New Roman" w:hAnsi="Times New Roman" w:eastAsia="仿宋_GB2312" w:cs="Times New Roman"/>
          <w:color w:val="auto"/>
          <w:sz w:val="32"/>
          <w:szCs w:val="32"/>
          <w:highlight w:val="none"/>
        </w:rPr>
        <w:t>开展了预算事前绩效评估，对</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个项目编制了绩效目标，预算执行过程中，选取</w:t>
      </w:r>
      <w:r>
        <w:rPr>
          <w:rFonts w:hint="eastAsia"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个项目开展绩效监控</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kinsoku/>
        <w:wordWrap/>
        <w:overflowPunct/>
        <w:topLinePunct w:val="0"/>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val="en-US" w:eastAsia="zh-CN"/>
        </w:rPr>
        <w:t>2023年度一般公共预算、</w:t>
      </w:r>
      <w:r>
        <w:rPr>
          <w:rFonts w:hint="default" w:ascii="Times New Roman" w:hAnsi="Times New Roman" w:eastAsia="仿宋_GB2312" w:cs="Times New Roman"/>
          <w:color w:val="auto"/>
          <w:sz w:val="32"/>
          <w:szCs w:val="32"/>
          <w:highlight w:val="none"/>
          <w:lang w:eastAsia="zh-CN"/>
        </w:rPr>
        <w:t>政府性基金预算、国有资本经营预算、社会保险基金预算以及资本资产、债券资金等</w:t>
      </w:r>
      <w:r>
        <w:rPr>
          <w:rFonts w:hint="default" w:ascii="Times New Roman" w:hAnsi="Times New Roman" w:eastAsia="仿宋_GB2312" w:cs="Times New Roman"/>
          <w:color w:val="auto"/>
          <w:sz w:val="32"/>
          <w:szCs w:val="32"/>
          <w:highlight w:val="none"/>
          <w:lang w:val="en-US" w:eastAsia="zh-CN"/>
        </w:rPr>
        <w:t>全面开展绩效自评，形成宣传部</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lang w:eastAsia="zh-CN"/>
        </w:rPr>
        <w:t>整体（含</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lang w:eastAsia="zh-CN"/>
        </w:rPr>
        <w:t>预算项目）</w:t>
      </w:r>
      <w:r>
        <w:rPr>
          <w:rFonts w:hint="default" w:ascii="Times New Roman" w:hAnsi="Times New Roman" w:eastAsia="仿宋_GB2312" w:cs="Times New Roman"/>
          <w:color w:val="auto"/>
          <w:sz w:val="32"/>
          <w:szCs w:val="32"/>
          <w:highlight w:val="none"/>
          <w:lang w:val="en-US" w:eastAsia="zh-CN"/>
        </w:rPr>
        <w:t>绩效自评报告。其中，宣传部</w:t>
      </w:r>
      <w:r>
        <w:rPr>
          <w:rFonts w:hint="eastAsia" w:eastAsia="仿宋_GB2312" w:cs="Times New Roman"/>
          <w:color w:val="auto"/>
          <w:sz w:val="32"/>
          <w:szCs w:val="32"/>
          <w:highlight w:val="none"/>
          <w:lang w:val="en-US" w:eastAsia="zh-CN"/>
        </w:rPr>
        <w:t>单位</w:t>
      </w:r>
      <w:r>
        <w:rPr>
          <w:rFonts w:hint="default" w:ascii="Times New Roman" w:hAnsi="Times New Roman" w:eastAsia="仿宋_GB2312" w:cs="Times New Roman"/>
          <w:color w:val="auto"/>
          <w:sz w:val="32"/>
          <w:szCs w:val="32"/>
          <w:highlight w:val="none"/>
          <w:lang w:val="en-US" w:eastAsia="zh-CN"/>
        </w:rPr>
        <w:t>整体</w:t>
      </w:r>
      <w:r>
        <w:rPr>
          <w:rFonts w:hint="default" w:ascii="Times New Roman" w:hAnsi="Times New Roman" w:eastAsia="仿宋_GB2312" w:cs="Times New Roman"/>
          <w:color w:val="auto"/>
          <w:sz w:val="32"/>
          <w:szCs w:val="32"/>
          <w:highlight w:val="none"/>
          <w:lang w:eastAsia="zh-CN"/>
        </w:rPr>
        <w:t>（含</w:t>
      </w:r>
      <w:r>
        <w:rPr>
          <w:rFonts w:hint="eastAsia"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lang w:eastAsia="zh-CN"/>
        </w:rPr>
        <w:t>预算项目）</w:t>
      </w:r>
      <w:r>
        <w:rPr>
          <w:rFonts w:hint="default" w:ascii="Times New Roman" w:hAnsi="Times New Roman" w:eastAsia="仿宋_GB2312" w:cs="Times New Roman"/>
          <w:color w:val="auto"/>
          <w:sz w:val="32"/>
          <w:szCs w:val="32"/>
          <w:highlight w:val="none"/>
          <w:lang w:val="en-US" w:eastAsia="zh-CN"/>
        </w:rPr>
        <w:t>绩效自评得分为</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6分</w:t>
      </w:r>
      <w:r>
        <w:rPr>
          <w:rFonts w:hint="eastAsia" w:ascii="Times New Roman" w:hAnsi="Times New Roman" w:eastAsia="仿宋_GB2312" w:cs="Times New Roman"/>
          <w:color w:val="auto"/>
          <w:sz w:val="32"/>
          <w:szCs w:val="32"/>
          <w:highlight w:val="none"/>
          <w:lang w:val="en-US" w:eastAsia="zh-CN"/>
        </w:rPr>
        <w:t>，其中</w:t>
      </w:r>
      <w:r>
        <w:rPr>
          <w:rFonts w:hint="eastAsia"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val="en-US" w:eastAsia="zh-CN"/>
        </w:rPr>
        <w:t>预算管理76分，绩效结果应用10分，自评质量10分</w:t>
      </w:r>
      <w:r>
        <w:rPr>
          <w:rFonts w:hint="default" w:ascii="Times New Roman" w:hAnsi="Times New Roman" w:eastAsia="仿宋_GB2312" w:cs="Times New Roman"/>
          <w:color w:val="auto"/>
          <w:sz w:val="32"/>
          <w:szCs w:val="32"/>
          <w:highlight w:val="none"/>
          <w:lang w:val="en-US" w:eastAsia="zh-CN"/>
        </w:rPr>
        <w:t>，绩效自评综述：</w:t>
      </w:r>
      <w:r>
        <w:rPr>
          <w:rFonts w:hint="default" w:ascii="Times New Roman" w:hAnsi="Times New Roman" w:eastAsia="仿宋_GB2312" w:cs="Times New Roman"/>
          <w:sz w:val="32"/>
          <w:szCs w:val="32"/>
          <w:lang w:val="en-US" w:eastAsia="zh-CN"/>
        </w:rPr>
        <w:t>2023年我部各项工作落实有力、成效显著，综合绩效考核取得了一定的成绩，但仍存在着一些困难和问题，主要表现在预算编制还需更科学合理</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绩效自评报告详见附件。</w:t>
      </w:r>
      <w:r>
        <w:rPr>
          <w:rFonts w:hint="default" w:ascii="Times New Roman" w:hAnsi="Times New Roman" w:eastAsia="仿宋_GB2312" w:cs="Times New Roman"/>
          <w:b/>
          <w:color w:val="auto"/>
          <w:sz w:val="32"/>
          <w:szCs w:val="32"/>
          <w:highlight w:val="none"/>
        </w:rPr>
        <w:br w:type="page"/>
      </w:r>
    </w:p>
    <w:p>
      <w:pPr>
        <w:numPr>
          <w:ilvl w:val="0"/>
          <w:numId w:val="3"/>
        </w:numPr>
        <w:spacing w:line="600" w:lineRule="exact"/>
        <w:ind w:firstLine="660" w:firstLineChars="150"/>
        <w:jc w:val="center"/>
        <w:outlineLvl w:val="0"/>
        <w:rPr>
          <w:rStyle w:val="31"/>
          <w:rFonts w:hint="default" w:ascii="Times New Roman" w:hAnsi="Times New Roman" w:eastAsia="黑体" w:cs="Times New Roman"/>
          <w:b w:val="0"/>
          <w:color w:val="auto"/>
          <w:highlight w:val="none"/>
        </w:rPr>
      </w:pPr>
      <w:bookmarkStart w:id="92" w:name="_Toc27574"/>
      <w:bookmarkStart w:id="93" w:name="_Toc15396613"/>
      <w:bookmarkStart w:id="94" w:name="_Toc11887"/>
      <w:bookmarkStart w:id="95" w:name="_Toc15377225"/>
      <w:bookmarkStart w:id="96" w:name="_Toc26269"/>
      <w:r>
        <w:rPr>
          <w:rFonts w:hint="default" w:ascii="Times New Roman" w:hAnsi="Times New Roman" w:eastAsia="黑体" w:cs="Times New Roman"/>
          <w:color w:val="auto"/>
          <w:sz w:val="44"/>
          <w:szCs w:val="44"/>
          <w:highlight w:val="none"/>
        </w:rPr>
        <w:t>名</w:t>
      </w:r>
      <w:r>
        <w:rPr>
          <w:rStyle w:val="31"/>
          <w:rFonts w:hint="default" w:ascii="Times New Roman" w:hAnsi="Times New Roman" w:eastAsia="黑体" w:cs="Times New Roman"/>
          <w:b w:val="0"/>
          <w:color w:val="auto"/>
          <w:highlight w:val="none"/>
        </w:rPr>
        <w:t>词解释</w:t>
      </w:r>
      <w:bookmarkEnd w:id="92"/>
      <w:bookmarkEnd w:id="93"/>
      <w:bookmarkEnd w:id="94"/>
      <w:bookmarkEnd w:id="95"/>
      <w:bookmarkEnd w:id="96"/>
    </w:p>
    <w:p>
      <w:pPr>
        <w:spacing w:line="600" w:lineRule="exact"/>
        <w:jc w:val="left"/>
        <w:rPr>
          <w:rFonts w:hint="default" w:ascii="Times New Roman" w:hAnsi="Times New Roman" w:cs="Times New Roman"/>
          <w:b/>
          <w:color w:val="auto"/>
          <w:sz w:val="44"/>
          <w:szCs w:val="44"/>
          <w:highlight w:val="none"/>
        </w:rPr>
      </w:pP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bookmarkStart w:id="97" w:name="_Toc10027"/>
      <w:r>
        <w:rPr>
          <w:rFonts w:hint="default" w:ascii="Times New Roman" w:hAnsi="Times New Roman" w:eastAsia="仿宋_GB2312" w:cs="Times New Roman"/>
          <w:color w:val="auto"/>
          <w:sz w:val="32"/>
          <w:szCs w:val="32"/>
          <w:highlight w:val="none"/>
        </w:rPr>
        <w:t>1.财政拨款收入：指单位从同级财政</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取得的财政预算资金。</w:t>
      </w:r>
      <w:bookmarkEnd w:id="97"/>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.其他收入：指单位取得的除上述收入以外的各项收入。主要是遂宁市船山区卫生健康局转入2023年春节“送温暖.献爱心”慰问费。 </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keepNext w:val="0"/>
        <w:keepLines w:val="0"/>
        <w:pageBreakBefore w:val="0"/>
        <w:widowControl w:val="0"/>
        <w:numPr>
          <w:ilvl w:val="0"/>
          <w:numId w:val="0"/>
        </w:numPr>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Style w:val="16"/>
          <w:rFonts w:hint="default" w:ascii="Times New Roman" w:hAnsi="Times New Roman" w:eastAsia="仿宋" w:cs="Times New Roman"/>
          <w:b w:val="0"/>
          <w:bCs w:val="0"/>
          <w:color w:val="000000"/>
          <w:sz w:val="32"/>
          <w:szCs w:val="32"/>
          <w:lang w:val="en-US" w:eastAsia="zh-CN"/>
        </w:rPr>
        <w:t>5.一般公共服务</w:t>
      </w:r>
      <w:r>
        <w:rPr>
          <w:rStyle w:val="16"/>
          <w:rFonts w:hint="default" w:ascii="Times New Roman" w:hAnsi="Times New Roman" w:eastAsia="仿宋" w:cs="Times New Roman"/>
          <w:b w:val="0"/>
          <w:bCs w:val="0"/>
          <w:color w:val="000000"/>
          <w:sz w:val="32"/>
          <w:szCs w:val="32"/>
          <w:lang w:eastAsia="zh-CN"/>
        </w:rPr>
        <w:t>（</w:t>
      </w:r>
      <w:r>
        <w:rPr>
          <w:rStyle w:val="16"/>
          <w:rFonts w:hint="default" w:ascii="Times New Roman" w:hAnsi="Times New Roman" w:eastAsia="仿宋" w:cs="Times New Roman"/>
          <w:b w:val="0"/>
          <w:bCs w:val="0"/>
          <w:color w:val="000000"/>
          <w:sz w:val="32"/>
          <w:szCs w:val="32"/>
          <w:lang w:val="en-US" w:eastAsia="zh-CN"/>
        </w:rPr>
        <w:t>201</w:t>
      </w:r>
      <w:r>
        <w:rPr>
          <w:rStyle w:val="16"/>
          <w:rFonts w:hint="default" w:ascii="Times New Roman" w:hAnsi="Times New Roman" w:eastAsia="仿宋" w:cs="Times New Roman"/>
          <w:b w:val="0"/>
          <w:bCs w:val="0"/>
          <w:color w:val="000000"/>
          <w:sz w:val="32"/>
          <w:szCs w:val="32"/>
          <w:lang w:eastAsia="zh-CN"/>
        </w:rPr>
        <w:t>）宣</w:t>
      </w:r>
      <w:r>
        <w:rPr>
          <w:rFonts w:hint="default" w:ascii="Times New Roman" w:hAnsi="Times New Roman" w:eastAsia="仿宋_GB2312" w:cs="Times New Roman"/>
          <w:color w:val="000000"/>
          <w:kern w:val="0"/>
          <w:sz w:val="32"/>
          <w:szCs w:val="32"/>
          <w:lang w:eastAsia="zh-CN"/>
        </w:rPr>
        <w:t>传</w:t>
      </w:r>
      <w:r>
        <w:rPr>
          <w:rFonts w:hint="default" w:ascii="Times New Roman" w:hAnsi="Times New Roman" w:eastAsia="仿宋_GB2312" w:cs="Times New Roman"/>
          <w:color w:val="000000"/>
          <w:kern w:val="0"/>
          <w:sz w:val="32"/>
          <w:szCs w:val="32"/>
        </w:rPr>
        <w:t>事务（</w:t>
      </w:r>
      <w:r>
        <w:rPr>
          <w:rFonts w:hint="default" w:ascii="Times New Roman" w:hAnsi="Times New Roman" w:eastAsia="仿宋_GB2312" w:cs="Times New Roman"/>
          <w:color w:val="000000"/>
          <w:kern w:val="0"/>
          <w:sz w:val="32"/>
          <w:szCs w:val="32"/>
          <w:lang w:val="en-US" w:eastAsia="zh-CN"/>
        </w:rPr>
        <w:t>33</w:t>
      </w:r>
      <w:r>
        <w:rPr>
          <w:rFonts w:hint="default" w:ascii="Times New Roman" w:hAnsi="Times New Roman" w:eastAsia="仿宋_GB2312" w:cs="Times New Roman"/>
          <w:color w:val="000000"/>
          <w:kern w:val="0"/>
          <w:sz w:val="32"/>
          <w:szCs w:val="32"/>
        </w:rPr>
        <w:t>）行政运行（</w:t>
      </w:r>
      <w:r>
        <w:rPr>
          <w:rFonts w:hint="default" w:ascii="Times New Roman" w:hAnsi="Times New Roman" w:eastAsia="仿宋_GB2312" w:cs="Times New Roman"/>
          <w:color w:val="000000"/>
          <w:kern w:val="0"/>
          <w:sz w:val="32"/>
          <w:szCs w:val="32"/>
          <w:lang w:val="en-US" w:eastAsia="zh-CN"/>
        </w:rPr>
        <w:t>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SA"/>
        </w:rPr>
        <w:t>：</w:t>
      </w:r>
      <w:r>
        <w:rPr>
          <w:rStyle w:val="16"/>
          <w:rFonts w:hint="default" w:ascii="Times New Roman" w:hAnsi="Times New Roman" w:eastAsia="仿宋" w:cs="Times New Roman"/>
          <w:b w:val="0"/>
          <w:bCs w:val="0"/>
          <w:color w:val="000000"/>
          <w:sz w:val="32"/>
          <w:szCs w:val="32"/>
          <w:lang w:eastAsia="zh-CN"/>
        </w:rPr>
        <w:t>指行政单位（包括实行公务员管理的事业单位）的基本支出。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6.一般公共服务</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201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宣传</w:t>
      </w:r>
      <w:r>
        <w:rPr>
          <w:rFonts w:hint="default" w:ascii="Times New Roman" w:hAnsi="Times New Roman" w:eastAsia="仿宋_GB2312" w:cs="Times New Roman"/>
          <w:color w:val="000000"/>
          <w:kern w:val="0"/>
          <w:sz w:val="32"/>
          <w:szCs w:val="32"/>
        </w:rPr>
        <w:t>事务（</w:t>
      </w:r>
      <w:r>
        <w:rPr>
          <w:rFonts w:hint="default" w:ascii="Times New Roman" w:hAnsi="Times New Roman" w:eastAsia="仿宋_GB2312" w:cs="Times New Roman"/>
          <w:color w:val="000000"/>
          <w:kern w:val="0"/>
          <w:sz w:val="32"/>
          <w:szCs w:val="32"/>
          <w:lang w:val="en-US" w:eastAsia="zh-CN"/>
        </w:rPr>
        <w:t>33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SA"/>
        </w:rPr>
        <w:t>一般行政管理事务（02）：</w:t>
      </w:r>
      <w:r>
        <w:rPr>
          <w:rFonts w:hint="default" w:ascii="Times New Roman" w:hAnsi="Times New Roman" w:eastAsia="仿宋_GB2312" w:cs="Times New Roman"/>
          <w:color w:val="000000"/>
          <w:kern w:val="0"/>
          <w:sz w:val="32"/>
          <w:szCs w:val="32"/>
        </w:rPr>
        <w:t>指</w:t>
      </w:r>
      <w:r>
        <w:rPr>
          <w:rFonts w:hint="default" w:ascii="Times New Roman" w:hAnsi="Times New Roman" w:eastAsia="仿宋_GB2312" w:cs="Times New Roman"/>
          <w:color w:val="000000"/>
          <w:kern w:val="0"/>
          <w:sz w:val="32"/>
          <w:szCs w:val="32"/>
          <w:lang w:eastAsia="zh-CN"/>
        </w:rPr>
        <w:t>行政单位（包括实行公务员管理的事业单位）未单独设置项级科目的其他项目支出。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7.一般公共服务</w:t>
      </w:r>
      <w:r>
        <w:rPr>
          <w:rFonts w:hint="default" w:ascii="Times New Roman" w:hAnsi="Times New Roman" w:eastAsia="仿宋_GB2312" w:cs="Times New Roman"/>
          <w:color w:val="000000"/>
          <w:kern w:val="0"/>
          <w:sz w:val="32"/>
          <w:szCs w:val="32"/>
        </w:rPr>
        <w:t>（</w:t>
      </w:r>
      <w:r>
        <w:rPr>
          <w:rStyle w:val="16"/>
          <w:rFonts w:hint="default" w:ascii="Times New Roman" w:hAnsi="Times New Roman" w:eastAsia="仿宋" w:cs="Times New Roman"/>
          <w:b w:val="0"/>
          <w:bCs w:val="0"/>
          <w:color w:val="000000"/>
          <w:sz w:val="32"/>
          <w:szCs w:val="32"/>
          <w:lang w:val="en-US" w:eastAsia="zh-CN"/>
        </w:rPr>
        <w:t>201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宣传</w:t>
      </w:r>
      <w:r>
        <w:rPr>
          <w:rFonts w:hint="default" w:ascii="Times New Roman" w:hAnsi="Times New Roman" w:eastAsia="仿宋_GB2312" w:cs="Times New Roman"/>
          <w:color w:val="000000"/>
          <w:kern w:val="0"/>
          <w:sz w:val="32"/>
          <w:szCs w:val="32"/>
        </w:rPr>
        <w:t>事务（</w:t>
      </w:r>
      <w:r>
        <w:rPr>
          <w:rFonts w:hint="default" w:ascii="Times New Roman" w:hAnsi="Times New Roman" w:eastAsia="仿宋_GB2312" w:cs="Times New Roman"/>
          <w:color w:val="000000"/>
          <w:kern w:val="0"/>
          <w:sz w:val="32"/>
          <w:szCs w:val="32"/>
          <w:lang w:val="en-US" w:eastAsia="zh-CN"/>
        </w:rPr>
        <w:t>33</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bidi="ar-SA"/>
        </w:rPr>
        <w:t>事业运行（50）：</w:t>
      </w:r>
      <w:r>
        <w:rPr>
          <w:rFonts w:hint="default" w:ascii="Times New Roman" w:hAnsi="Times New Roman" w:eastAsia="仿宋_GB2312" w:cs="Times New Roman"/>
          <w:color w:val="auto"/>
          <w:kern w:val="0"/>
          <w:sz w:val="32"/>
          <w:szCs w:val="32"/>
        </w:rPr>
        <w:t>指事业单位的基本支出</w:t>
      </w:r>
      <w:r>
        <w:rPr>
          <w:rFonts w:hint="default" w:ascii="Times New Roman" w:hAnsi="Times New Roman" w:eastAsia="仿宋_GB2312" w:cs="Times New Roman"/>
          <w:color w:val="auto"/>
          <w:kern w:val="0"/>
          <w:sz w:val="32"/>
          <w:szCs w:val="32"/>
          <w:lang w:eastAsia="zh-CN"/>
        </w:rPr>
        <w:t>，不包括行政单位</w:t>
      </w:r>
      <w:r>
        <w:rPr>
          <w:rFonts w:hint="default" w:ascii="Times New Roman" w:hAnsi="Times New Roman" w:eastAsia="仿宋_GB2312" w:cs="Times New Roman"/>
          <w:color w:val="000000"/>
          <w:kern w:val="0"/>
          <w:sz w:val="32"/>
          <w:szCs w:val="32"/>
          <w:lang w:eastAsia="zh-CN"/>
        </w:rPr>
        <w:t>（包括实行公务员管理的事业单位）后勤服务中心、医疗室等附属事业单位</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8</w:t>
      </w:r>
      <w:r>
        <w:rPr>
          <w:rFonts w:hint="default" w:ascii="Times New Roman" w:hAnsi="Times New Roman" w:eastAsia="仿宋_GB2312" w:cs="Times New Roman"/>
          <w:color w:val="000000"/>
          <w:kern w:val="0"/>
          <w:sz w:val="32"/>
          <w:szCs w:val="32"/>
          <w:lang w:val="en-US" w:eastAsia="zh-CN" w:bidi="ar-SA"/>
        </w:rPr>
        <w:t>.</w:t>
      </w:r>
      <w:r>
        <w:rPr>
          <w:rStyle w:val="16"/>
          <w:rFonts w:hint="default" w:ascii="Times New Roman" w:hAnsi="Times New Roman" w:eastAsia="仿宋" w:cs="Times New Roman"/>
          <w:b w:val="0"/>
          <w:bCs w:val="0"/>
          <w:color w:val="000000"/>
          <w:sz w:val="32"/>
          <w:szCs w:val="32"/>
        </w:rPr>
        <w:t>文化旅游体育与传媒（</w:t>
      </w:r>
      <w:r>
        <w:rPr>
          <w:rFonts w:hint="default" w:ascii="Times New Roman" w:hAnsi="Times New Roman" w:eastAsia="仿宋_GB2312" w:cs="Times New Roman"/>
          <w:color w:val="000000"/>
          <w:kern w:val="0"/>
          <w:sz w:val="32"/>
          <w:szCs w:val="32"/>
          <w:lang w:val="en-US" w:eastAsia="zh-CN"/>
        </w:rPr>
        <w:t>207</w:t>
      </w:r>
      <w:r>
        <w:rPr>
          <w:rStyle w:val="16"/>
          <w:rFonts w:hint="default" w:ascii="Times New Roman" w:hAnsi="Times New Roman" w:eastAsia="仿宋" w:cs="Times New Roman"/>
          <w:b w:val="0"/>
          <w:bCs w:val="0"/>
          <w:color w:val="000000"/>
          <w:sz w:val="32"/>
          <w:szCs w:val="32"/>
        </w:rPr>
        <w:t>）其他文化旅游体育与传媒支出（</w:t>
      </w:r>
      <w:r>
        <w:rPr>
          <w:rStyle w:val="16"/>
          <w:rFonts w:hint="default" w:ascii="Times New Roman" w:hAnsi="Times New Roman" w:eastAsia="仿宋" w:cs="Times New Roman"/>
          <w:b w:val="0"/>
          <w:bCs w:val="0"/>
          <w:color w:val="000000"/>
          <w:sz w:val="32"/>
          <w:szCs w:val="32"/>
          <w:lang w:val="en-US" w:eastAsia="zh-CN"/>
        </w:rPr>
        <w:t>99</w:t>
      </w:r>
      <w:r>
        <w:rPr>
          <w:rStyle w:val="16"/>
          <w:rFonts w:hint="default" w:ascii="Times New Roman" w:hAnsi="Times New Roman" w:eastAsia="仿宋" w:cs="Times New Roman"/>
          <w:b w:val="0"/>
          <w:bCs w:val="0"/>
          <w:color w:val="000000"/>
          <w:sz w:val="32"/>
          <w:szCs w:val="32"/>
        </w:rPr>
        <w:t>）宣传文化发展专项支出（</w:t>
      </w:r>
      <w:r>
        <w:rPr>
          <w:rStyle w:val="16"/>
          <w:rFonts w:hint="default" w:ascii="Times New Roman" w:hAnsi="Times New Roman" w:eastAsia="仿宋" w:cs="Times New Roman"/>
          <w:b w:val="0"/>
          <w:bCs w:val="0"/>
          <w:color w:val="000000"/>
          <w:sz w:val="32"/>
          <w:szCs w:val="32"/>
          <w:lang w:val="en-US" w:eastAsia="zh-CN"/>
        </w:rPr>
        <w:t>02</w:t>
      </w:r>
      <w:r>
        <w:rPr>
          <w:rStyle w:val="16"/>
          <w:rFonts w:hint="default" w:ascii="Times New Roman" w:hAnsi="Times New Roman" w:eastAsia="仿宋" w:cs="Times New Roman"/>
          <w:b w:val="0"/>
          <w:bCs w:val="0"/>
          <w:color w:val="000000"/>
          <w:sz w:val="32"/>
          <w:szCs w:val="32"/>
        </w:rPr>
        <w:t>）</w:t>
      </w:r>
      <w:r>
        <w:rPr>
          <w:rFonts w:hint="default" w:ascii="Times New Roman" w:hAnsi="Times New Roman" w:eastAsia="仿宋_GB2312" w:cs="Times New Roman"/>
          <w:color w:val="000000"/>
          <w:kern w:val="0"/>
          <w:sz w:val="32"/>
          <w:szCs w:val="32"/>
          <w:lang w:val="en-US" w:eastAsia="zh-CN" w:bidi="ar-SA"/>
        </w:rPr>
        <w:t>：指按照国家有关政策支持宣传文化单位发展的专项支出。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9</w:t>
      </w:r>
      <w:r>
        <w:rPr>
          <w:rFonts w:hint="default" w:ascii="Times New Roman" w:hAnsi="Times New Roman" w:eastAsia="仿宋_GB2312" w:cs="Times New Roman"/>
          <w:color w:val="000000"/>
          <w:kern w:val="0"/>
          <w:sz w:val="32"/>
          <w:szCs w:val="32"/>
          <w:lang w:val="en-US" w:eastAsia="zh-CN" w:bidi="ar-SA"/>
        </w:rPr>
        <w:t>.</w:t>
      </w:r>
      <w:r>
        <w:rPr>
          <w:rStyle w:val="16"/>
          <w:rFonts w:hint="default" w:ascii="Times New Roman" w:hAnsi="Times New Roman" w:eastAsia="仿宋" w:cs="Times New Roman"/>
          <w:b w:val="0"/>
          <w:bCs w:val="0"/>
          <w:color w:val="000000"/>
          <w:sz w:val="32"/>
          <w:szCs w:val="32"/>
        </w:rPr>
        <w:t>文化旅游体育与传媒（</w:t>
      </w:r>
      <w:r>
        <w:rPr>
          <w:rFonts w:hint="default" w:ascii="Times New Roman" w:hAnsi="Times New Roman" w:eastAsia="仿宋_GB2312" w:cs="Times New Roman"/>
          <w:color w:val="000000"/>
          <w:kern w:val="0"/>
          <w:sz w:val="32"/>
          <w:szCs w:val="32"/>
          <w:lang w:val="en-US" w:eastAsia="zh-CN"/>
        </w:rPr>
        <w:t>207</w:t>
      </w:r>
      <w:r>
        <w:rPr>
          <w:rStyle w:val="16"/>
          <w:rFonts w:hint="default" w:ascii="Times New Roman" w:hAnsi="Times New Roman" w:eastAsia="仿宋" w:cs="Times New Roman"/>
          <w:b w:val="0"/>
          <w:bCs w:val="0"/>
          <w:color w:val="000000"/>
          <w:sz w:val="32"/>
          <w:szCs w:val="32"/>
        </w:rPr>
        <w:t>）其他文化旅游体育与传媒支出（</w:t>
      </w:r>
      <w:r>
        <w:rPr>
          <w:rStyle w:val="16"/>
          <w:rFonts w:hint="default" w:ascii="Times New Roman" w:hAnsi="Times New Roman" w:eastAsia="仿宋" w:cs="Times New Roman"/>
          <w:b w:val="0"/>
          <w:bCs w:val="0"/>
          <w:color w:val="000000"/>
          <w:sz w:val="32"/>
          <w:szCs w:val="32"/>
          <w:lang w:val="en-US" w:eastAsia="zh-CN"/>
        </w:rPr>
        <w:t>99</w:t>
      </w:r>
      <w:r>
        <w:rPr>
          <w:rStyle w:val="16"/>
          <w:rFonts w:hint="default" w:ascii="Times New Roman" w:hAnsi="Times New Roman" w:eastAsia="仿宋" w:cs="Times New Roman"/>
          <w:b w:val="0"/>
          <w:bCs w:val="0"/>
          <w:color w:val="000000"/>
          <w:sz w:val="32"/>
          <w:szCs w:val="32"/>
        </w:rPr>
        <w:t>）其他文化旅游体育与传媒支出（</w:t>
      </w:r>
      <w:r>
        <w:rPr>
          <w:rStyle w:val="16"/>
          <w:rFonts w:hint="default" w:ascii="Times New Roman" w:hAnsi="Times New Roman" w:eastAsia="仿宋" w:cs="Times New Roman"/>
          <w:b w:val="0"/>
          <w:bCs w:val="0"/>
          <w:color w:val="000000"/>
          <w:sz w:val="32"/>
          <w:szCs w:val="32"/>
          <w:lang w:val="en-US" w:eastAsia="zh-CN"/>
        </w:rPr>
        <w:t>99</w:t>
      </w:r>
      <w:r>
        <w:rPr>
          <w:rStyle w:val="16"/>
          <w:rFonts w:hint="default" w:ascii="Times New Roman" w:hAnsi="Times New Roman" w:eastAsia="仿宋" w:cs="Times New Roman"/>
          <w:b w:val="0"/>
          <w:bCs w:val="0"/>
          <w:color w:val="000000"/>
          <w:sz w:val="32"/>
          <w:szCs w:val="32"/>
        </w:rPr>
        <w:t>）</w:t>
      </w:r>
      <w:r>
        <w:rPr>
          <w:rFonts w:hint="default" w:ascii="Times New Roman" w:hAnsi="Times New Roman" w:eastAsia="仿宋_GB2312" w:cs="Times New Roman"/>
          <w:color w:val="000000"/>
          <w:kern w:val="0"/>
          <w:sz w:val="32"/>
          <w:szCs w:val="32"/>
          <w:lang w:val="en-US" w:eastAsia="zh-CN" w:bidi="ar-SA"/>
        </w:rPr>
        <w:t>：指除上述项目以外其他用于文化旅游体育与传媒方面的支出。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0</w:t>
      </w:r>
      <w:r>
        <w:rPr>
          <w:rFonts w:hint="default" w:ascii="Times New Roman" w:hAnsi="Times New Roman" w:eastAsia="仿宋_GB2312" w:cs="Times New Roman"/>
          <w:color w:val="000000"/>
          <w:kern w:val="0"/>
          <w:sz w:val="32"/>
          <w:szCs w:val="32"/>
          <w:lang w:val="en-US" w:eastAsia="zh-CN" w:bidi="ar-SA"/>
        </w:rPr>
        <w:t>.社会保障和就业（208）行政事业单位养老支出（05）机关事业单位基本养老保险缴费支出（05）：</w:t>
      </w:r>
      <w:r>
        <w:rPr>
          <w:rFonts w:hint="default" w:ascii="Times New Roman" w:hAnsi="Times New Roman" w:eastAsia="仿宋_GB2312" w:cs="Times New Roman"/>
          <w:color w:val="000000"/>
          <w:kern w:val="0"/>
          <w:sz w:val="32"/>
          <w:szCs w:val="32"/>
        </w:rPr>
        <w:t>指</w:t>
      </w:r>
      <w:r>
        <w:rPr>
          <w:rFonts w:hint="default" w:ascii="Times New Roman" w:hAnsi="Times New Roman" w:eastAsia="仿宋_GB2312" w:cs="Times New Roman"/>
          <w:color w:val="000000"/>
          <w:kern w:val="0"/>
          <w:sz w:val="32"/>
          <w:szCs w:val="32"/>
          <w:lang w:eastAsia="zh-CN"/>
        </w:rPr>
        <w:t>机关事业单位</w:t>
      </w:r>
      <w:r>
        <w:rPr>
          <w:rFonts w:hint="default" w:ascii="Times New Roman" w:hAnsi="Times New Roman" w:eastAsia="仿宋_GB2312" w:cs="Times New Roman"/>
          <w:color w:val="000000"/>
          <w:kern w:val="0"/>
          <w:sz w:val="32"/>
          <w:szCs w:val="32"/>
        </w:rPr>
        <w:t>实施养老保险制度由单位缴纳的</w:t>
      </w:r>
      <w:r>
        <w:rPr>
          <w:rFonts w:hint="default" w:ascii="Times New Roman" w:hAnsi="Times New Roman" w:eastAsia="仿宋_GB2312" w:cs="Times New Roman"/>
          <w:color w:val="000000"/>
          <w:kern w:val="0"/>
          <w:sz w:val="32"/>
          <w:szCs w:val="32"/>
          <w:lang w:eastAsia="zh-CN"/>
        </w:rPr>
        <w:t>基本</w:t>
      </w:r>
      <w:r>
        <w:rPr>
          <w:rFonts w:hint="default" w:ascii="Times New Roman" w:hAnsi="Times New Roman" w:eastAsia="仿宋_GB2312" w:cs="Times New Roman"/>
          <w:color w:val="000000"/>
          <w:kern w:val="0"/>
          <w:sz w:val="32"/>
          <w:szCs w:val="32"/>
        </w:rPr>
        <w:t>养老保险费支出。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auto"/>
          <w:kern w:val="0"/>
          <w:sz w:val="32"/>
          <w:szCs w:val="32"/>
          <w:highlight w:val="none"/>
          <w:lang w:val="en-US" w:eastAsia="zh-CN"/>
        </w:rPr>
        <w:t>社会保障和就业（208）行政事业单位养老支出（05）机关事业单位职业年金缴费支出（06）：</w:t>
      </w:r>
      <w:r>
        <w:rPr>
          <w:rFonts w:hint="default" w:ascii="Times New Roman" w:hAnsi="Times New Roman" w:eastAsia="仿宋_GB2312" w:cs="Times New Roman"/>
          <w:color w:val="000000"/>
          <w:kern w:val="0"/>
          <w:sz w:val="32"/>
          <w:szCs w:val="32"/>
          <w:highlight w:val="none"/>
        </w:rPr>
        <w:t>指</w:t>
      </w:r>
      <w:r>
        <w:rPr>
          <w:rFonts w:hint="default" w:ascii="Times New Roman" w:hAnsi="Times New Roman" w:eastAsia="仿宋_GB2312" w:cs="Times New Roman"/>
          <w:color w:val="000000"/>
          <w:kern w:val="0"/>
          <w:sz w:val="32"/>
          <w:szCs w:val="32"/>
          <w:highlight w:val="none"/>
          <w:lang w:eastAsia="zh-CN"/>
        </w:rPr>
        <w:t>机关事业单位</w:t>
      </w:r>
      <w:r>
        <w:rPr>
          <w:rFonts w:hint="default" w:ascii="Times New Roman" w:hAnsi="Times New Roman" w:eastAsia="仿宋_GB2312" w:cs="Times New Roman"/>
          <w:color w:val="000000"/>
          <w:kern w:val="0"/>
          <w:sz w:val="32"/>
          <w:szCs w:val="32"/>
          <w:highlight w:val="none"/>
        </w:rPr>
        <w:t>实施养老保险制度由单位</w:t>
      </w:r>
      <w:r>
        <w:rPr>
          <w:rFonts w:hint="default" w:ascii="Times New Roman" w:hAnsi="Times New Roman" w:eastAsia="仿宋_GB2312" w:cs="Times New Roman"/>
          <w:color w:val="000000"/>
          <w:kern w:val="0"/>
          <w:sz w:val="32"/>
          <w:szCs w:val="32"/>
          <w:highlight w:val="none"/>
          <w:lang w:eastAsia="zh-CN"/>
        </w:rPr>
        <w:t>实际</w:t>
      </w:r>
      <w:r>
        <w:rPr>
          <w:rFonts w:hint="default" w:ascii="Times New Roman" w:hAnsi="Times New Roman" w:eastAsia="仿宋_GB2312" w:cs="Times New Roman"/>
          <w:color w:val="000000"/>
          <w:kern w:val="0"/>
          <w:sz w:val="32"/>
          <w:szCs w:val="32"/>
          <w:highlight w:val="none"/>
        </w:rPr>
        <w:t>缴纳的</w:t>
      </w:r>
      <w:r>
        <w:rPr>
          <w:rFonts w:hint="default" w:ascii="Times New Roman" w:hAnsi="Times New Roman" w:eastAsia="仿宋_GB2312" w:cs="Times New Roman"/>
          <w:color w:val="000000"/>
          <w:kern w:val="0"/>
          <w:sz w:val="32"/>
          <w:szCs w:val="32"/>
          <w:highlight w:val="none"/>
          <w:lang w:eastAsia="zh-CN"/>
        </w:rPr>
        <w:t>职业年金</w:t>
      </w:r>
      <w:r>
        <w:rPr>
          <w:rFonts w:hint="default" w:ascii="Times New Roman" w:hAnsi="Times New Roman" w:eastAsia="仿宋_GB2312" w:cs="Times New Roman"/>
          <w:color w:val="000000"/>
          <w:kern w:val="0"/>
          <w:sz w:val="32"/>
          <w:szCs w:val="32"/>
          <w:highlight w:val="none"/>
        </w:rPr>
        <w:t>支出</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12.</w:t>
      </w:r>
      <w:r>
        <w:rPr>
          <w:rFonts w:hint="eastAsia" w:ascii="Times New Roman" w:hAnsi="Times New Roman" w:eastAsia="仿宋_GB2312" w:cs="Times New Roman"/>
          <w:color w:val="auto"/>
          <w:kern w:val="0"/>
          <w:sz w:val="32"/>
          <w:szCs w:val="32"/>
          <w:highlight w:val="none"/>
          <w:lang w:val="en-US" w:eastAsia="zh-CN"/>
        </w:rPr>
        <w:t>社会保障和就业（208）残疾人事业（11）残疾人就业（05）：指残疾人联合会用于残疾人就业方面的支出。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3</w:t>
      </w:r>
      <w:r>
        <w:rPr>
          <w:rFonts w:hint="default" w:ascii="Times New Roman" w:hAnsi="Times New Roman" w:eastAsia="仿宋_GB2312" w:cs="Times New Roman"/>
          <w:color w:val="000000"/>
          <w:kern w:val="0"/>
          <w:sz w:val="32"/>
          <w:szCs w:val="32"/>
          <w:lang w:val="en-US" w:eastAsia="zh-CN" w:bidi="ar-SA"/>
        </w:rPr>
        <w:t>.社会保障和就业（208）其他社会保障和就业支出（99）其他社会保障和就业支出（99）：指</w:t>
      </w:r>
      <w:r>
        <w:rPr>
          <w:rFonts w:hint="default" w:ascii="Times New Roman" w:hAnsi="Times New Roman" w:eastAsia="仿宋_GB2312" w:cs="Times New Roman"/>
          <w:color w:val="auto"/>
          <w:kern w:val="0"/>
          <w:sz w:val="32"/>
          <w:szCs w:val="32"/>
          <w:lang w:val="en-US" w:eastAsia="zh-CN" w:bidi="ar-SA"/>
        </w:rPr>
        <w:t>除上述项目外其他用于社会保障和就业方面的</w:t>
      </w:r>
      <w:r>
        <w:rPr>
          <w:rFonts w:hint="default" w:ascii="Times New Roman" w:hAnsi="Times New Roman" w:eastAsia="仿宋_GB2312" w:cs="Times New Roman"/>
          <w:color w:val="000000"/>
          <w:kern w:val="0"/>
          <w:sz w:val="32"/>
          <w:szCs w:val="32"/>
          <w:lang w:val="en-US" w:eastAsia="zh-CN" w:bidi="ar-SA"/>
        </w:rPr>
        <w:t>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eastAsia="仿宋_GB2312" w:cs="Times New Roman"/>
          <w:color w:val="000000"/>
          <w:kern w:val="0"/>
          <w:sz w:val="32"/>
          <w:szCs w:val="32"/>
          <w:lang w:val="en-US" w:eastAsia="zh-CN" w:bidi="ar-SA"/>
        </w:rPr>
        <w:t>4</w:t>
      </w:r>
      <w:r>
        <w:rPr>
          <w:rFonts w:hint="default"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卫生健康（210）行政事业单位医疗（</w:t>
      </w:r>
      <w:r>
        <w:rPr>
          <w:rFonts w:hint="default"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lang w:val="en-US" w:eastAsia="zh-CN" w:bidi="ar-SA"/>
        </w:rPr>
        <w:t>）行政单位医疗（01）：</w:t>
      </w:r>
      <w:r>
        <w:rPr>
          <w:rFonts w:hint="default" w:ascii="Times New Roman" w:hAnsi="Times New Roman" w:eastAsia="仿宋_GB2312" w:cs="Times New Roman"/>
          <w:color w:val="auto"/>
          <w:kern w:val="0"/>
          <w:sz w:val="32"/>
          <w:szCs w:val="32"/>
        </w:rPr>
        <w:t>指</w:t>
      </w:r>
      <w:r>
        <w:rPr>
          <w:rFonts w:hint="default" w:ascii="Times New Roman" w:hAnsi="Times New Roman" w:eastAsia="仿宋_GB2312" w:cs="Times New Roman"/>
          <w:color w:val="auto"/>
          <w:kern w:val="0"/>
          <w:sz w:val="32"/>
          <w:szCs w:val="32"/>
          <w:lang w:eastAsia="zh-CN"/>
        </w:rPr>
        <w:t>财政</w:t>
      </w:r>
      <w:r>
        <w:rPr>
          <w:rFonts w:hint="eastAsia"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lang w:eastAsia="zh-CN"/>
        </w:rPr>
        <w:t>安排的行政单位（</w:t>
      </w:r>
      <w:r>
        <w:rPr>
          <w:rFonts w:hint="default" w:ascii="Times New Roman" w:hAnsi="Times New Roman" w:eastAsia="仿宋_GB2312" w:cs="Times New Roman"/>
          <w:color w:val="000000"/>
          <w:kern w:val="0"/>
          <w:sz w:val="32"/>
          <w:szCs w:val="32"/>
          <w:lang w:eastAsia="zh-CN"/>
        </w:rPr>
        <w:t>包括实行公务员管理的事业单位）基本医疗保险缴费经费，未参加医疗保险的行政单位的公费医疗经费，按国家规定享受离休人员、红军老战士待遇人员的医疗经费</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w:t>
      </w:r>
      <w:r>
        <w:rPr>
          <w:rFonts w:hint="eastAsia" w:eastAsia="仿宋_GB2312" w:cs="Times New Roman"/>
          <w:color w:val="auto"/>
          <w:kern w:val="0"/>
          <w:sz w:val="32"/>
          <w:szCs w:val="32"/>
          <w:lang w:val="en-US" w:eastAsia="zh-CN" w:bidi="ar-SA"/>
        </w:rPr>
        <w:t>5</w:t>
      </w:r>
      <w:r>
        <w:rPr>
          <w:rFonts w:hint="default" w:ascii="Times New Roman" w:hAnsi="Times New Roman" w:eastAsia="仿宋_GB2312" w:cs="Times New Roman"/>
          <w:color w:val="auto"/>
          <w:kern w:val="0"/>
          <w:sz w:val="32"/>
          <w:szCs w:val="32"/>
          <w:lang w:val="en-US" w:eastAsia="zh-CN" w:bidi="ar-SA"/>
        </w:rPr>
        <w:t>.卫生健康（210）行政事业单位医疗（</w:t>
      </w:r>
      <w:r>
        <w:rPr>
          <w:rFonts w:hint="default"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auto"/>
          <w:kern w:val="0"/>
          <w:sz w:val="32"/>
          <w:szCs w:val="32"/>
          <w:lang w:val="en-US" w:eastAsia="zh-CN" w:bidi="ar-SA"/>
        </w:rPr>
        <w:t>）事业单位医疗（02）：</w:t>
      </w:r>
      <w:r>
        <w:rPr>
          <w:rFonts w:hint="default" w:ascii="Times New Roman" w:hAnsi="Times New Roman" w:eastAsia="仿宋_GB2312" w:cs="Times New Roman"/>
          <w:color w:val="auto"/>
          <w:kern w:val="0"/>
          <w:sz w:val="32"/>
          <w:szCs w:val="32"/>
        </w:rPr>
        <w:t>指</w:t>
      </w:r>
      <w:r>
        <w:rPr>
          <w:rFonts w:hint="default" w:ascii="Times New Roman" w:hAnsi="Times New Roman" w:eastAsia="仿宋_GB2312" w:cs="Times New Roman"/>
          <w:color w:val="auto"/>
          <w:kern w:val="0"/>
          <w:sz w:val="32"/>
          <w:szCs w:val="32"/>
          <w:lang w:eastAsia="zh-CN"/>
        </w:rPr>
        <w:t>财政</w:t>
      </w:r>
      <w:r>
        <w:rPr>
          <w:rFonts w:hint="eastAsia" w:eastAsia="仿宋_GB2312" w:cs="Times New Roman"/>
          <w:color w:val="auto"/>
          <w:kern w:val="0"/>
          <w:sz w:val="32"/>
          <w:szCs w:val="32"/>
          <w:lang w:eastAsia="zh-CN"/>
        </w:rPr>
        <w:t>单位</w:t>
      </w:r>
      <w:r>
        <w:rPr>
          <w:rFonts w:hint="default" w:ascii="Times New Roman" w:hAnsi="Times New Roman" w:eastAsia="仿宋_GB2312" w:cs="Times New Roman"/>
          <w:color w:val="auto"/>
          <w:kern w:val="0"/>
          <w:sz w:val="32"/>
          <w:szCs w:val="32"/>
          <w:lang w:eastAsia="zh-CN"/>
        </w:rPr>
        <w:t>安排的事业单位</w:t>
      </w:r>
      <w:r>
        <w:rPr>
          <w:rFonts w:hint="default" w:ascii="Times New Roman" w:hAnsi="Times New Roman" w:eastAsia="仿宋_GB2312" w:cs="Times New Roman"/>
          <w:color w:val="000000"/>
          <w:kern w:val="0"/>
          <w:sz w:val="32"/>
          <w:szCs w:val="32"/>
          <w:lang w:eastAsia="zh-CN"/>
        </w:rPr>
        <w:t>基本医疗保险缴费经费，未参加医疗保险的事业单位的公费医疗经费，按国家规定享受离休人员待遇的医疗经费</w:t>
      </w:r>
      <w:r>
        <w:rPr>
          <w:rFonts w:hint="default" w:ascii="Times New Roman" w:hAnsi="Times New Roman" w:eastAsia="仿宋_GB2312" w:cs="Times New Roman"/>
          <w:color w:val="auto"/>
          <w:kern w:val="0"/>
          <w:sz w:val="32"/>
          <w:szCs w:val="32"/>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1</w:t>
      </w:r>
      <w:r>
        <w:rPr>
          <w:rFonts w:hint="eastAsia" w:eastAsia="仿宋_GB2312" w:cs="Times New Roman"/>
          <w:color w:val="auto"/>
          <w:kern w:val="0"/>
          <w:sz w:val="32"/>
          <w:szCs w:val="32"/>
          <w:lang w:val="en-US" w:eastAsia="zh-CN" w:bidi="ar-SA"/>
        </w:rPr>
        <w:t>6</w:t>
      </w:r>
      <w:r>
        <w:rPr>
          <w:rFonts w:hint="default" w:ascii="Times New Roman" w:hAnsi="Times New Roman" w:eastAsia="仿宋_GB2312" w:cs="Times New Roman"/>
          <w:color w:val="auto"/>
          <w:kern w:val="0"/>
          <w:sz w:val="32"/>
          <w:szCs w:val="32"/>
          <w:lang w:val="en-US" w:eastAsia="zh-CN" w:bidi="ar-SA"/>
        </w:rPr>
        <w:t>.卫生健康（210）</w:t>
      </w:r>
      <w:r>
        <w:rPr>
          <w:rFonts w:hint="default" w:ascii="Times New Roman" w:hAnsi="Times New Roman" w:eastAsia="仿宋_GB2312" w:cs="Times New Roman"/>
          <w:color w:val="000000"/>
          <w:kern w:val="0"/>
          <w:sz w:val="32"/>
          <w:szCs w:val="32"/>
          <w:lang w:val="en-US" w:eastAsia="zh-CN" w:bidi="ar-SA"/>
        </w:rPr>
        <w:t>行政事业单位医疗（</w:t>
      </w:r>
      <w:r>
        <w:rPr>
          <w:rFonts w:hint="default" w:ascii="Times New Roman" w:hAnsi="Times New Roman" w:eastAsia="仿宋_GB2312" w:cs="Times New Roman"/>
          <w:color w:val="auto"/>
          <w:kern w:val="0"/>
          <w:sz w:val="32"/>
          <w:szCs w:val="32"/>
          <w:lang w:val="en-US" w:eastAsia="zh-CN"/>
        </w:rPr>
        <w:t>11</w:t>
      </w:r>
      <w:r>
        <w:rPr>
          <w:rFonts w:hint="default" w:ascii="Times New Roman" w:hAnsi="Times New Roman" w:eastAsia="仿宋_GB2312" w:cs="Times New Roman"/>
          <w:color w:val="000000"/>
          <w:kern w:val="0"/>
          <w:sz w:val="32"/>
          <w:szCs w:val="32"/>
          <w:lang w:val="en-US" w:eastAsia="zh-CN" w:bidi="ar-SA"/>
        </w:rPr>
        <w:t>）公务员医疗补助（03）：</w:t>
      </w:r>
      <w:r>
        <w:rPr>
          <w:rFonts w:hint="default" w:ascii="Times New Roman" w:hAnsi="Times New Roman" w:eastAsia="仿宋_GB2312" w:cs="Times New Roman"/>
          <w:color w:val="auto"/>
          <w:kern w:val="0"/>
          <w:sz w:val="32"/>
          <w:szCs w:val="32"/>
        </w:rPr>
        <w:t>指</w:t>
      </w:r>
      <w:r>
        <w:rPr>
          <w:rFonts w:hint="default" w:ascii="Times New Roman" w:hAnsi="Times New Roman" w:eastAsia="仿宋_GB2312" w:cs="Times New Roman"/>
          <w:color w:val="000000"/>
          <w:kern w:val="0"/>
          <w:sz w:val="32"/>
          <w:szCs w:val="32"/>
          <w:lang w:eastAsia="zh-CN"/>
        </w:rPr>
        <w:t>财政</w:t>
      </w:r>
      <w:r>
        <w:rPr>
          <w:rFonts w:hint="eastAsia" w:eastAsia="仿宋_GB2312" w:cs="Times New Roman"/>
          <w:color w:val="000000"/>
          <w:kern w:val="0"/>
          <w:sz w:val="32"/>
          <w:szCs w:val="32"/>
          <w:lang w:eastAsia="zh-CN"/>
        </w:rPr>
        <w:t>单位</w:t>
      </w:r>
      <w:r>
        <w:rPr>
          <w:rFonts w:hint="default" w:ascii="Times New Roman" w:hAnsi="Times New Roman" w:eastAsia="仿宋_GB2312" w:cs="Times New Roman"/>
          <w:color w:val="000000"/>
          <w:kern w:val="0"/>
          <w:sz w:val="32"/>
          <w:szCs w:val="32"/>
          <w:lang w:eastAsia="zh-CN"/>
        </w:rPr>
        <w:t>安排的</w:t>
      </w:r>
      <w:r>
        <w:rPr>
          <w:rFonts w:hint="default" w:ascii="Times New Roman" w:hAnsi="Times New Roman" w:eastAsia="仿宋_GB2312" w:cs="Times New Roman"/>
          <w:color w:val="000000"/>
          <w:kern w:val="0"/>
          <w:sz w:val="32"/>
          <w:szCs w:val="32"/>
        </w:rPr>
        <w:t>公务员医疗补助</w:t>
      </w:r>
      <w:r>
        <w:rPr>
          <w:rFonts w:hint="default" w:ascii="Times New Roman" w:hAnsi="Times New Roman" w:eastAsia="仿宋_GB2312" w:cs="Times New Roman"/>
          <w:color w:val="000000"/>
          <w:kern w:val="0"/>
          <w:sz w:val="32"/>
          <w:szCs w:val="32"/>
          <w:lang w:eastAsia="zh-CN"/>
        </w:rPr>
        <w:t>经费</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1" w:firstLineChars="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eastAsia" w:eastAsia="仿宋_GB2312" w:cs="Times New Roman"/>
          <w:color w:val="000000"/>
          <w:kern w:val="0"/>
          <w:sz w:val="32"/>
          <w:szCs w:val="32"/>
          <w:lang w:val="en-US" w:eastAsia="zh-CN" w:bidi="ar-SA"/>
        </w:rPr>
        <w:t>17.</w:t>
      </w:r>
      <w:r>
        <w:rPr>
          <w:rFonts w:hint="eastAsia" w:ascii="Times New Roman" w:hAnsi="Times New Roman" w:eastAsia="仿宋_GB2312" w:cs="Times New Roman"/>
          <w:color w:val="auto"/>
          <w:kern w:val="0"/>
          <w:sz w:val="32"/>
          <w:szCs w:val="32"/>
          <w:lang w:val="en-US" w:eastAsia="zh-CN" w:bidi="ar-SA"/>
        </w:rPr>
        <w:t>农林水（213）巩固</w:t>
      </w:r>
      <w:r>
        <w:rPr>
          <w:rFonts w:hint="eastAsia" w:eastAsia="仿宋_GB2312" w:cs="Times New Roman"/>
          <w:color w:val="auto"/>
          <w:kern w:val="0"/>
          <w:sz w:val="32"/>
          <w:szCs w:val="32"/>
          <w:lang w:val="en-US" w:eastAsia="zh-CN" w:bidi="ar-SA"/>
        </w:rPr>
        <w:t>拓展</w:t>
      </w:r>
      <w:r>
        <w:rPr>
          <w:rFonts w:hint="eastAsia" w:ascii="Times New Roman" w:hAnsi="Times New Roman" w:eastAsia="仿宋_GB2312" w:cs="Times New Roman"/>
          <w:color w:val="auto"/>
          <w:kern w:val="0"/>
          <w:sz w:val="32"/>
          <w:szCs w:val="32"/>
          <w:lang w:val="en-US" w:eastAsia="zh-CN" w:bidi="ar-SA"/>
        </w:rPr>
        <w:t>脱贫攻坚成果衔接乡村振兴（05）其他巩固</w:t>
      </w:r>
      <w:r>
        <w:rPr>
          <w:rFonts w:hint="eastAsia" w:eastAsia="仿宋_GB2312" w:cs="Times New Roman"/>
          <w:color w:val="auto"/>
          <w:kern w:val="0"/>
          <w:sz w:val="32"/>
          <w:szCs w:val="32"/>
          <w:lang w:val="en-US" w:eastAsia="zh-CN" w:bidi="ar-SA"/>
        </w:rPr>
        <w:t>拓展</w:t>
      </w:r>
      <w:r>
        <w:rPr>
          <w:rFonts w:hint="eastAsia" w:ascii="Times New Roman" w:hAnsi="Times New Roman" w:eastAsia="仿宋_GB2312" w:cs="Times New Roman"/>
          <w:color w:val="auto"/>
          <w:kern w:val="0"/>
          <w:sz w:val="32"/>
          <w:szCs w:val="32"/>
          <w:lang w:val="en-US" w:eastAsia="zh-CN" w:bidi="ar-SA"/>
        </w:rPr>
        <w:t>脱贫攻坚成果衔接乡村振兴支出（99）:指其他用于巩固拓展脱贫攻坚成果同乡村振兴有效衔接方面的支出。</w:t>
      </w:r>
    </w:p>
    <w:p>
      <w:pPr>
        <w:keepNext w:val="0"/>
        <w:keepLines w:val="0"/>
        <w:pageBreakBefore w:val="0"/>
        <w:widowControl w:val="0"/>
        <w:kinsoku/>
        <w:wordWrap/>
        <w:overflowPunct/>
        <w:topLinePunct w:val="0"/>
        <w:bidi w:val="0"/>
        <w:snapToGrid/>
        <w:spacing w:line="600" w:lineRule="exact"/>
        <w:ind w:left="0" w:leftChars="0" w:right="0" w:rightChars="0" w:firstLine="640"/>
        <w:jc w:val="both"/>
        <w:textAlignment w:val="auto"/>
        <w:rPr>
          <w:rFonts w:hint="default" w:ascii="Times New Roman" w:hAnsi="Times New Roman" w:eastAsia="仿宋" w:cs="Times New Roman"/>
          <w:b/>
          <w:color w:val="auto"/>
          <w:sz w:val="32"/>
          <w:szCs w:val="32"/>
          <w:highlight w:val="none"/>
        </w:rPr>
      </w:pPr>
      <w:r>
        <w:rPr>
          <w:rFonts w:hint="eastAsia" w:eastAsia="仿宋_GB2312" w:cs="Times New Roman"/>
          <w:color w:val="000000"/>
          <w:kern w:val="0"/>
          <w:sz w:val="32"/>
          <w:szCs w:val="32"/>
          <w:lang w:val="en-US" w:eastAsia="zh-CN" w:bidi="ar-SA"/>
        </w:rPr>
        <w:t>18</w:t>
      </w:r>
      <w:r>
        <w:rPr>
          <w:rFonts w:hint="default" w:ascii="Times New Roman" w:hAnsi="Times New Roman" w:eastAsia="仿宋_GB2312" w:cs="Times New Roman"/>
          <w:color w:val="000000"/>
          <w:kern w:val="0"/>
          <w:sz w:val="32"/>
          <w:szCs w:val="32"/>
          <w:lang w:val="en-US" w:eastAsia="zh-CN" w:bidi="ar-SA"/>
        </w:rPr>
        <w:t>.住房保障（221）住房改革支出（02）住房公积金（01）：</w:t>
      </w:r>
      <w:r>
        <w:rPr>
          <w:rFonts w:hint="default" w:ascii="Times New Roman" w:hAnsi="Times New Roman" w:eastAsia="仿宋_GB2312" w:cs="Times New Roman"/>
          <w:color w:val="000000"/>
          <w:kern w:val="0"/>
          <w:sz w:val="32"/>
          <w:szCs w:val="32"/>
        </w:rPr>
        <w:t>指</w:t>
      </w:r>
      <w:r>
        <w:rPr>
          <w:rFonts w:hint="default" w:ascii="Times New Roman" w:hAnsi="Times New Roman" w:eastAsia="仿宋_GB2312" w:cs="Times New Roman"/>
          <w:color w:val="000000"/>
          <w:kern w:val="0"/>
          <w:sz w:val="32"/>
          <w:szCs w:val="32"/>
          <w:lang w:eastAsia="zh-CN"/>
        </w:rPr>
        <w:t>行政事业单位按人力资源和社会保障部、财政部规定的基本工资和津贴补贴以及按规定比例为职工缴纳的住房公积金</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.“三公”经费：指</w:t>
      </w:r>
      <w:r>
        <w:rPr>
          <w:rFonts w:hint="eastAsia"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9"/>
        <w:spacing w:line="560" w:lineRule="exact"/>
        <w:rPr>
          <w:rFonts w:hint="default" w:ascii="Times New Roman" w:hAnsi="Times New Roman" w:eastAsia="仿宋_GB2312" w:cs="Times New Roman"/>
          <w:color w:val="auto"/>
          <w:sz w:val="32"/>
          <w:szCs w:val="32"/>
          <w:highlight w:val="none"/>
        </w:rPr>
      </w:pPr>
    </w:p>
    <w:p>
      <w:pPr>
        <w:pStyle w:val="29"/>
        <w:spacing w:line="560" w:lineRule="exact"/>
        <w:ind w:firstLine="640" w:firstLineChars="200"/>
        <w:rPr>
          <w:rFonts w:hint="default" w:ascii="Times New Roman" w:hAnsi="Times New Roman" w:eastAsia="仿宋_GB2312" w:cs="Times New Roman"/>
          <w:color w:val="auto"/>
          <w:sz w:val="32"/>
          <w:szCs w:val="32"/>
          <w:highlight w:val="none"/>
        </w:rPr>
      </w:pPr>
    </w:p>
    <w:p>
      <w:pPr>
        <w:spacing w:line="600" w:lineRule="exact"/>
        <w:jc w:val="center"/>
        <w:outlineLvl w:val="0"/>
        <w:rPr>
          <w:rFonts w:hint="default" w:ascii="Times New Roman" w:hAnsi="Times New Roman" w:cs="Times New Roman"/>
          <w:b/>
          <w:color w:val="auto"/>
          <w:sz w:val="44"/>
          <w:szCs w:val="44"/>
          <w:highlight w:val="none"/>
        </w:rPr>
        <w:sectPr>
          <w:footerReference r:id="rId7" w:type="first"/>
          <w:footerReference r:id="rId6" w:type="default"/>
          <w:pgSz w:w="11906" w:h="16838"/>
          <w:pgMar w:top="1440" w:right="1803" w:bottom="1440" w:left="1803" w:header="851" w:footer="992" w:gutter="0"/>
          <w:pgNumType w:fmt="decimal" w:start="1"/>
          <w:cols w:space="0" w:num="1"/>
          <w:titlePg/>
          <w:rtlGutter w:val="0"/>
          <w:docGrid w:type="lines" w:linePitch="319" w:charSpace="0"/>
        </w:sectPr>
      </w:pPr>
      <w:bookmarkStart w:id="98" w:name="_Toc15377226"/>
      <w:r>
        <w:rPr>
          <w:rFonts w:hint="default" w:ascii="Times New Roman" w:hAnsi="Times New Roman" w:cs="Times New Roman"/>
          <w:b/>
          <w:color w:val="auto"/>
          <w:sz w:val="44"/>
          <w:szCs w:val="44"/>
          <w:highlight w:val="none"/>
        </w:rPr>
        <w:br w:type="page"/>
      </w:r>
      <w:bookmarkStart w:id="99" w:name="_Toc15396614"/>
      <w:bookmarkStart w:id="100" w:name="_Toc4807"/>
      <w:bookmarkStart w:id="101" w:name="_Toc25204"/>
      <w:bookmarkStart w:id="102" w:name="_Toc14739"/>
    </w:p>
    <w:p>
      <w:pPr>
        <w:spacing w:line="600" w:lineRule="exact"/>
        <w:jc w:val="center"/>
        <w:outlineLvl w:val="0"/>
        <w:rPr>
          <w:rStyle w:val="31"/>
          <w:rFonts w:hint="default" w:ascii="Times New Roman" w:hAnsi="Times New Roman" w:eastAsia="黑体" w:cs="Times New Roman"/>
          <w:b w:val="0"/>
          <w:color w:val="auto"/>
          <w:highlight w:val="none"/>
          <w:lang w:eastAsia="zh-CN"/>
        </w:rPr>
      </w:pPr>
      <w:r>
        <w:rPr>
          <w:rFonts w:hint="default" w:ascii="Times New Roman" w:hAnsi="Times New Roman" w:eastAsia="黑体" w:cs="Times New Roman"/>
          <w:color w:val="auto"/>
          <w:sz w:val="44"/>
          <w:szCs w:val="44"/>
          <w:highlight w:val="none"/>
        </w:rPr>
        <w:t>第</w:t>
      </w:r>
      <w:r>
        <w:rPr>
          <w:rStyle w:val="31"/>
          <w:rFonts w:hint="default" w:ascii="Times New Roman" w:hAnsi="Times New Roman" w:eastAsia="黑体" w:cs="Times New Roman"/>
          <w:b w:val="0"/>
          <w:color w:val="auto"/>
          <w:highlight w:val="none"/>
        </w:rPr>
        <w:t>四部分 附件</w:t>
      </w:r>
      <w:bookmarkEnd w:id="99"/>
      <w:bookmarkEnd w:id="100"/>
      <w:bookmarkEnd w:id="101"/>
      <w:bookmarkEnd w:id="102"/>
    </w:p>
    <w:p>
      <w:pPr>
        <w:pStyle w:val="11"/>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cs="Times New Roman"/>
          <w:color w:val="auto"/>
          <w:sz w:val="32"/>
          <w:szCs w:val="32"/>
          <w:highlight w:val="none"/>
          <w:lang w:val="en-US" w:eastAsia="zh-CN"/>
        </w:rPr>
      </w:pPr>
      <w:bookmarkStart w:id="103" w:name="_Toc30455"/>
      <w:bookmarkStart w:id="104" w:name="_Toc9990"/>
      <w:bookmarkStart w:id="105" w:name="_Toc15396618"/>
      <w:r>
        <w:rPr>
          <w:rFonts w:hint="eastAsia" w:cs="Times New Roman"/>
          <w:color w:val="auto"/>
          <w:sz w:val="32"/>
          <w:szCs w:val="32"/>
          <w:highlight w:val="none"/>
          <w:lang w:val="en-US" w:eastAsia="zh-CN"/>
        </w:rPr>
        <w:t>附表：</w:t>
      </w:r>
    </w:p>
    <w:tbl>
      <w:tblPr>
        <w:tblStyle w:val="18"/>
        <w:tblW w:w="12685" w:type="dxa"/>
        <w:jc w:val="center"/>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822"/>
        <w:gridCol w:w="1582"/>
        <w:gridCol w:w="2013"/>
        <w:gridCol w:w="468"/>
        <w:gridCol w:w="1494"/>
        <w:gridCol w:w="468"/>
        <w:gridCol w:w="979"/>
        <w:gridCol w:w="486"/>
        <w:gridCol w:w="486"/>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51090322T000000345712-文联（作协等协会）、社科联工作经费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送文化活动、开展创作交流活动、开展各类培训展赛活动等活动实施，创作出一批文艺精品，增加各文艺家协会会员的凝聚力，丰富了群众的精神文化生活，推动文化船山建设；通过组织区社科工作召开会议、社科科普印刷、社科评奖，扎实推进全区社科事业的健康发展。</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大宣讲”“微宣讲”“云宣讲”等862次。创作出《船说》《琥珀糖霜》《船山桃子龙》等一批展现船山独特魅力的文艺作品，大力开展“墨彩船山”“送文化下乡”“川渝一家亲，共绘潼船情”等群众文化活动835场次，4篇作品入选全省中华经典诵写讲演活动、第二届青少年书画传习大会获奖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为了全面贯彻落实《中国共产党宣传工作条例》及中央、省委、市委、区委决策部署，坚持稳中求进、守正创新，深入推进社科联、文联相关工作。根据区委宣传部三定方案下属及挂靠区文联、区社科联，日常工作开展中所需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文联协会开展活动次数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社科联资料印制份数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社科联资料发放准确率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文联活动内容主题符合率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文联协会活动人员参与率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社科资料应发尽发率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该项目为文联、社科联工作创作出一批文艺精品，丰富群众的精神文化生活，为推动文化船山建设和社科事业发展提供了良好的后勤保障工作，巩固了我区宣传思想工作发展。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建议由各股室牵头，结合历年工作开展情况及年度计划，提高编制质量。二是加强项目绩效目标审核，更加科学合理地制定年度目标和绩效指标。三是认真研究重点项目执行，涉及政府采购的项目，提早规划，提前实施，提高财政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51090322T000000345744-遂宁外宣报道组中省媒体工作室宣传经费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全年在人民日报客户端、光明日报客户端、人民网、新华网等中央级主流媒体平台发稿20余篇，提升了船山的知名度，为船山推动相关工作提供良好的外部舆论氛围。</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先后在中省媒体及新媒体刊播涉船报道830篇（条），其中9月与国家体育总局联办的“中国美丽乡村广场舞”大赛，线上直播点击率达1.2亿人次、点赞98万，创历史之最。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“遂宁外宣报道组中省媒体工作室宣传经费”该项目是利用中省媒体加强对我区重点工作和重大项目等内容进行宣传的项目，该项目实施办法为中省媒体按照合同要求加大对船山的正面宣传力度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中央级主流媒体平台发稿数量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稿件内容合格率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全区重点工作群众知晓率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落实后加强了基层宣传思想工作，打造做群众思想政治工作的重要平台，有助于把基层百姓所需所盼与党委政府积极作为对接起来，把服务延伸到基层、问题解决在基层，切实推动基层宣传思想工作强起来；有助于提高基层党委政府组织用网治网水平，提升新闻舆论传播力、引导力，不断增强社会主义意识形态的凝聚力，引领基层各类组织自觉贯彻党的主张，切实强化基层治理，巩固思想共识、稳定社会、安定民心，更有效更强力地夯实执政基础，强化执政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51090322T000000345791-全区党报党刊经费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全年订阅人民日报、《求是》杂志、光明日报、经济日报、新华每日电讯、四川日报、四川农村日报、遂宁日报数量共计7524份，保障全区干部群众及时了解党的路线方针政策。</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订阅《人民日报》358份，《求是》杂志332份，《光明日报》272份，《经济日报》134份，《新华每日电讯》454份，《四川日报》1772份，《四川农村日报》571份，《遂宁日报》3631份。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报党刊是宣传党的路线方针政策的重要阵地。党报党刊又是治国理政的重要资源和重要手段，是党委意识形态工作的主阵地。按照遂委办〔2018〕93号和遂船委办〔2018〕109号精神，确保有力、有序、有效推进全区党报党刊征订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237.95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1772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新华每日电讯订阅份数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3631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3631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《求是》杂志订阅份数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光明日报订阅份数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经济日报订阅份数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新华每日电讯内容合格率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四川农村日报内容合格率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光明日报内容合格率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《求是》杂志内容合格率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经济日报内容合格率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报刊发放覆盖率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通过纸媒全年不断巩固壮大党的思想舆论阵地，全区党政领导干部、乡镇、街道、园区、区直单位、企事业单位超过4000余人次订阅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51090322T000000345807-四川手机报-遂宁党政参考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全年向四川新闻网传媒（集团）股份有限公司购买征订2500份《四川手机报-遂宁党政参考》，通过该项目的实施，实现本地传统媒体和手机媒体的融合发展，提升党员干部对政策的知晓率。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2023年，船山区四川手机报-遂宁党政参考经费项目资金合计15万元，支出15万元，全区征订份数超2500份，项目完成及时，受众人员满意率达90%以上。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四川手机报-遂宁党政参考经费项目2023年初经过事前评估，经费项目预算编制符合预算管理等相关规定，已采用最优方案，有较好的投入产出比；严格按照市委、市政府重大决策要求部署和宏观政策规划，项目年度绩效目标达到我区中长期规划。该项目绩效目标明确，与船山区委宣传部网信股的职责和中长期规划目标、年度工作目标相匹配，能够准确衡量实际工作的需要，绩效目标的产出和效益明确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遂宁党政参考订阅份数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遂宁党政参考内容准确率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手机报发放及时率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手机报发放应发尽发率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落实后加强了基层宣传思想工作，打造做群众思想政治工作的重要平台，有助于把基层百姓所需所盼与党委政府积极作为对接起来，把服务延伸到基层、问题解决在基层，切实推动基层宣传思想工作强起来；有助于提高基层党委政府组织用网治网水平，提升新闻舆论传播力、引导力，不断增强社会主义意识形态的凝聚力，引领基层各类组织自觉贯彻党的主张，切实强化基层治理，巩固思想共识、稳定社会、安定民心，更有效更强力地夯实执政基础，强化执政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51090322T000000345941-全国文明城市迎复检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全年开展文明城市资料印刷、会务、日常办公及出差等，新时代文明实践中心平台建设，通过项目的实施，扩大市民知晓度，提高城市文明程度，确保迎复检成功。</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2023年，全国文明城市迎复检项目资金合计60万元，实际支出19.55万元，该项目完成及时，受群众满意度超85%，文明城市年度复检顺利完成，船山区扛起了首位担当。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w:t>
            </w:r>
            <w:r>
              <w:rPr>
                <w:rFonts w:ascii="宋体" w:hAnsi="宋体" w:eastAsia="宋体" w:cs="宋体"/>
                <w:i w:val="0"/>
                <w:iCs w:val="0"/>
                <w:color w:val="000000"/>
                <w:kern w:val="0"/>
                <w:sz w:val="18"/>
                <w:szCs w:val="18"/>
                <w:u w:val="none"/>
                <w:lang w:val="en-US" w:eastAsia="zh-CN" w:bidi="ar"/>
              </w:rPr>
              <w:t>国文明城市迎复检工作一年一测评、三年一届期。2023年全国文明城市复查测评主要方式为网报资料，船山区作为全国文明城市建设工作的主战场、主阵地，严格按照《测评体系》标准，积极做好相关工作，牵头做好网报资料报送、实地点位打造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新时代文明实践中心平台建设数量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会务开展数量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新时代文明实践中心平台使用率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办公用品购买数量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办公用品验收合格率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会务开展</w:t>
            </w:r>
            <w:r>
              <w:rPr>
                <w:rFonts w:hint="eastAsia" w:ascii="宋体" w:hAnsi="宋体" w:cs="宋体"/>
                <w:i w:val="0"/>
                <w:iCs w:val="0"/>
                <w:color w:val="000000"/>
                <w:kern w:val="0"/>
                <w:sz w:val="18"/>
                <w:szCs w:val="18"/>
                <w:u w:val="none"/>
                <w:lang w:val="en-US" w:eastAsia="zh-CN" w:bidi="ar"/>
              </w:rPr>
              <w:t>单位</w:t>
            </w:r>
            <w:r>
              <w:rPr>
                <w:rFonts w:ascii="宋体" w:hAnsi="宋体" w:eastAsia="宋体" w:cs="宋体"/>
                <w:i w:val="0"/>
                <w:iCs w:val="0"/>
                <w:color w:val="000000"/>
                <w:kern w:val="0"/>
                <w:sz w:val="18"/>
                <w:szCs w:val="18"/>
                <w:u w:val="none"/>
                <w:lang w:val="en-US" w:eastAsia="zh-CN" w:bidi="ar"/>
              </w:rPr>
              <w:t>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文明城市宣传内容群众知晓率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文明城市检查通过率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27.55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船山融媒APP上线“新时代文明实践”模块，累计发布实践活动930场次，2111名志愿者在网上点单、接单、派单，活动时长6262小时，群众受益达3万人次。获评遂宁市学雷锋示范点1个，岗位学雷锋标兵1人，“遂心愿”十大最美志愿者2人，十佳志愿服务组织1个，十佳志愿服务社区1个。文明城市年度复检顺利完成，船山区扛起了首位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国文明城市测评指标内容在不断变化，如2023年未进行实地检查，而采用网报资料方式测评，且目前中央文明办工作重心向新时代文明实践工作倾斜，2024年文明城市项目也进行了调整，与新时代文明实践中心工作相结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由区委宣传部牵头，区文指办具体负责，结合《测评体系》标准和要求，按时按质按量完成全国文明城市建设各项工作，为遂宁全国文明城市建设积极贡献船山力量。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51090322T000000346003-外宣经费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工作任务为与媒体合作及重大公益广告，通过项目实施，宣传中省市区重大决策部署和会议精神在船上落地落实成效，宣传船山经济社会发展显著成效，激发全区上下群众干事创业激情。做好重大节庆活动宣传报道，不断提升船山知名美誉度，提升宣传内容群众知晓率；在央视投放广告</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2023年，船山区外宣经费项目资金合计215万元，合计支出208.03万元。项目涉及媒体覆盖人群数大于300万人，服务对象满意率90%以上，使船山首位辐射力保持1年以上。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我区在央视投放广告以及与遂宁广播电视台、遂宁日报和四川日报等媒体合作宣传船山的项目，该项目实施办法为遂宁广播电视台、遂宁日报和四川日报等媒体按照合同要求加大对船山的正面宣传力度，按要求完成宣传任务后，由我部直接向遂宁广播电视台和遂宁日报等媒体一次性拨付宣传工作经费，资金分配考虑的主要因素为是否按照合同要求完成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208.03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央视广告投放次数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重大节日公益广告次数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央视投放广告内容合格率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重大节日公益广告内容合格率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央视广告投放完成及时率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宣传内容群众知晓率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208.03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做强全媒体矩阵，开设《船山民生热线回音壁》专栏、船山融媒APP民生互动板块，创作《看见遂州》《平凡星光耀船山》《融媒小记者》三档特色栏目，推出新媒体产品1065个，其中点击量10万+的95个、100万+的15个，同比增长86%、150%，“船山融媒”APP下载量突破15.8万人次。成功挂牌四川广播电视台影视拍摄基地，《情满永和》电视剧完成在船拍摄，在船山区取景的《月到中秋越想你》特别节目连续两天在CCTV—3《综艺频道》栏目播出，《龙凤奇缘》荣获全省“你好·家乡”短视频征集活动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51090323T000008248448-理论学习中心组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全年主要为中心组成员开展8次教授讲课、中心组资料印刷及书本购买2500份、开展20次中心组会务、日常办公经费。通过项目的实施，推动全区各级、各</w:t>
            </w:r>
            <w:r>
              <w:rPr>
                <w:rFonts w:hint="eastAsia" w:ascii="宋体" w:hAnsi="宋体" w:cs="宋体"/>
                <w:i w:val="0"/>
                <w:iCs w:val="0"/>
                <w:color w:val="000000"/>
                <w:kern w:val="0"/>
                <w:sz w:val="18"/>
                <w:szCs w:val="18"/>
                <w:u w:val="none"/>
                <w:lang w:val="en-US" w:eastAsia="zh-CN" w:bidi="ar"/>
              </w:rPr>
              <w:t>单位</w:t>
            </w:r>
            <w:r>
              <w:rPr>
                <w:rFonts w:ascii="宋体" w:hAnsi="宋体" w:eastAsia="宋体" w:cs="宋体"/>
                <w:i w:val="0"/>
                <w:iCs w:val="0"/>
                <w:color w:val="000000"/>
                <w:kern w:val="0"/>
                <w:sz w:val="18"/>
                <w:szCs w:val="18"/>
                <w:u w:val="none"/>
                <w:lang w:val="en-US" w:eastAsia="zh-CN" w:bidi="ar"/>
              </w:rPr>
              <w:t>党委（党组）理论</w:t>
            </w:r>
            <w:r>
              <w:rPr>
                <w:rFonts w:hint="eastAsia" w:ascii="宋体" w:hAnsi="宋体" w:cs="宋体"/>
                <w:i w:val="0"/>
                <w:iCs w:val="0"/>
                <w:color w:val="000000"/>
                <w:kern w:val="0"/>
                <w:sz w:val="18"/>
                <w:szCs w:val="18"/>
                <w:u w:val="none"/>
                <w:lang w:val="en-US" w:eastAsia="zh-CN" w:bidi="ar"/>
              </w:rPr>
              <w:t>学习</w:t>
            </w:r>
            <w:bookmarkStart w:id="159" w:name="_GoBack"/>
            <w:bookmarkEnd w:id="159"/>
            <w:r>
              <w:rPr>
                <w:rFonts w:ascii="宋体" w:hAnsi="宋体" w:eastAsia="宋体" w:cs="宋体"/>
                <w:i w:val="0"/>
                <w:iCs w:val="0"/>
                <w:color w:val="000000"/>
                <w:kern w:val="0"/>
                <w:sz w:val="18"/>
                <w:szCs w:val="18"/>
                <w:u w:val="none"/>
                <w:lang w:val="en-US" w:eastAsia="zh-CN" w:bidi="ar"/>
              </w:rPr>
              <w:t>中心组工作扎实开展，进一步强化党员领导干部理论武装。</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组织开展区委理论学习中心组集中学习12次，重点发言83人次、形成学习心得118篇。充分利用学习强国等网络学习平台开展学习，全年累计上报短视频、图文类稿件358篇，其中《遂宁船山：项目建设忙 开足马力冲刺“开门红”》等103篇稿件被中、省、市学习平台采用。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党委（党组）理论学习中心组学习规则》，深入学习贯彻习近平新时代中国特色社会主义思想和中省市区相关文件和会议精神，结合我区实际，开展区委中心组理论学习工作。每年召开区委理论学习中心组集中研讨会不少于6次、开展实践学习活动不少于3次。通过区委中心组学习，不断提高我区领导干部的理论素养和工作能力，为我区加快实现“222”奋斗目标提供强大精神力量和坚强思想保证。该项工作按照区委宣传部统一安排部署，打造“船习新语”特色宣讲品牌，组建“星火相船”理论宣讲队伍，开设“船习新语·云课堂”等全媒体理论学习宣讲平台，已于2023年12月底前完成区委中心组专题学习12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开展会务次数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资料印刷份数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书籍购买套数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教授讲课次数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教授讲课中心组成员参与率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书籍发放准确率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会务开展人员参与率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资料发放准确率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宣传工作内容成员、群众知晓率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理论宣传成员、群众满意度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5.83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组织开展区委理论学习中心组集中学习12次，重点发言83人次、形成学习心得118篇。充分利用学习强国等网络学习平台开展学习，全年累计上报短视频、图文类稿件358篇，其中《遂宁船山：项目建设忙 开足马力冲刺“开门红”》等103篇稿件被中、省、市学习平台采用。通过中心组学习，区委中心组成员对党的建设、经济工作、几项重点推进工作等方面存在的突出问题研究解决办法形成共识，为各级各单位提供工作思路，取得良好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学习深度不够。部分单位组织学习内容比较单一，个别单位单纯就学习谈学习，不能做到理论联系实际、理论指导实践。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51090323T000008248477-网信工作经费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通过采用舆情软件后，全面监测涉及船山区网络舆情，为我区后续处置网络舆情、开展舆情引导工作提供良好助力。</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网信工作经费合计7.1万，支付及舆情监测服务2万元，支付网络安全宣传部资料印刷费3.1万元，支付第三方安全检查等杂项1.4万元，合计为6.5万元，通过采用该舆情软件后，全面监测涉及船山区网络舆情，为我区后续处置网络舆情、开展舆情引导工作提供良好助力。该项目完成及时，舆情监测准确率在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网信工作经费，主要用于网信技术体系平台维护、购买监测涉及船山区网络舆情的软件服务以及国家网络安全宣传周宣传。网信技术体系平台是省市区多层级联动保障全区网络安全的必要通讯手段，舆情监测软件是区委网信办进行网络舆情监测的必要技术手段，区委网信办与三方公司签订合同，三方公司为我区提供舆情监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一体化专线维护数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舆情监测软件服务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资料印刷数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专线维护准确率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资料发放到位率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出差人员到岗率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舆情监测准确率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网络信息安全宣传群众知晓率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舆情监测使用率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一体化专线维护率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65000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年启动互联网一级应急响应2次，全网监看涉船舆情1.5万条，入账管理预警信息261条、网络信访件185件，制发《舆情处置通知书》20期，完成省市舆论引导任务9009条次，稳妥处置30起突发热点舆情，牢牢把握网上舆论引导主动权。通过采用舆情监测软件，使网信办舆情监测能力得到进一步提升，为我区后续进行网络舆情处置、开展网络舆情引导工作提供良好助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51090323T000008248518-文明城市建设电动车牌照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根据全国文明城市建设测评最新要求，电动自行车上牌率工作纳入测评指标，船山区电动车保有量超过8万，其中70%为上牌，存在严重的失分点。</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2023年，文明城市建设电动车牌照项目资金合计11.55万元，实际支出11.55万元，该项目完成及时，电动车上牌率超95%。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国文明城市建设工作一年一测评、三年一届期，2022年为新一轮全国文明城市建设关键之年。全国文明城市复查测评主要方式为网报资料、实地考察和问卷调查，船山区作为全国文明城市建设工作的主战场、主阵地，严格按照《测评体系》标准，积极做好相关工作，根据2022年全国文明城市建设测评最新要求，电动自行车上牌率已纳入测评指标，船山区电动车保有量超过8万，其中70%未上牌，存在严重失分点。因2022年未将电动自行车牌照项目纳入年初预算，于是该项目2023年预算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电动自行车上牌数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电动自行车上牌子准确率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电动车上牌群众知晓率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115500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115500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电动自行车上牌超过3.5万辆，群众知晓率超90%。文明城市年度复检顺利完成，全区21类场所63个点位接受实地测评，扛起了首位担当。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全国文明城市每年迎检，属于长期性、固定性工作，每年5月才能出台本年度《测评体系》标准，测评指标内容在不断变化，支出的费用在不断增加，难以周全。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由区委宣传部牵头，区文指办具体负责，结合《测评体系》标准和要求，按时按质按量完成全国文明城市建设各项工作，为遂宁全国文明城市建设积极贡献船山力量。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51090323T000009379848-乡镇级片区公共文化设施专项规划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统筹规划公共文化设施，推动公共文化服务向高品质和多元化升级。</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2023年，项目预算资金20万元，实际支出20万元，该项目完成及时，受群众满意度超85%。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贯彻落实省委、省政府关于做好全省两项改革“后半篇”文章的决策部署，统筹推进乡村国土空间规划编制和两项改革“后半篇”文章工作部署，进一步规范船山区永河农旅融合片区、船山区唐桂生态农业片区、船山区龙老遂潼一体片区公共文化设施专项规划编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规划片区数量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规划过规率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规划完成及时率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群众受益率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乡镇级片区公共文化设施项目规划的片区数量达到3个乡镇。规划乡镇级片区公共文化设施群众受益率达到85%以上。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由区委宣传部牵头，按照《四川省乡镇级片区公共文化设施专项规划导则》总体要求，按时按质按量完成船山区乡镇级片区公共文化设施专项规划工作，助力乡村振兴，推动县域内片区公共文化服务高质量发展。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51090322T000000345977-新时代文明实践中心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习近平同志为核心的党中央作出的重大决策，推动习近平新时代中国特色社会主义思想深入人心、落地生根。该项目为下达中央支持地方新时代文明实践中心建设项目补助资金，主要用于中心硬件设施购置、信息化平台建设、750平方米场馆木地板更换以及各类志愿服务活动开展。</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依托新时代文明实践中心（所、站），结合文明城市建设等工作，积极组织党员志愿服务队、巾帼志愿服务队、新时代文明实践志愿服务队，广泛发动社会面志愿者，主动参与志愿服务活动，注册志愿者活跃率达70%以上，服务时长人均25小时以上，做到了志愿服务工作常态长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搬迁现有新时代文明实践中心，完善设施购置及信息化平台建设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因新时代文明实践中心搬迁工作于年底完成，开票时间为12月，临近年末，未能及时支出。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2.68</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硬件设施验收合格率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志愿活动开展次数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信息化平台验收合格率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场馆维护数量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信息化平台建设数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场馆维护工作达标率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志愿服务活动群众参与率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硬件设施添置数量</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新时代文明实践中心群众知晓率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信息化平台投入使用率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场馆维护覆盖率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内控制度管理还需继续完善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受众群体满意度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严格按照新时代文明实践中心建设标准要求，项目立项依据充分,过程规范,立项内容符合国家政策发展规划要求，项目预算编制科学合理。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51090322T000005546026-农村公益电影放映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全年农村放映电影828场，农村69个行政村*12场，持续发挥了公益电影放映对党的政策宣传、科普宣传、环保意识宣传等的促进作用，有效保障了群众观看电影的基本公共文化权益，丰富了群众的文化生活。</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全年应放映农村公益电影828场，因疫情原因，放映任务在23年3月完成。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按照市级宣传及媒体融合任务安排开展农村电影公益放映工作。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电影放映居民参与率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51090322T000005781068-公共文化服务体系建设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社区放映电影320场，农村69个行政村*12场，持续发挥了公益电影放映对党的政策宣传、科普宣传、环保意识宣传等的促进作用，有效保障了群众观看电影的基本公共文化权益，丰富了群众的文化生活。农家书屋图书补充更新。</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城乡公益电影1148场，因疫情原因，放映任务在23年3月完成。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按照市级宣传及媒体融合任务安排开展城乡电影公益放映工作及农家书屋补充工作。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农村电影放映国产新片放映比例</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平均每村电影放映场次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平均每个农家书屋更新图书种类</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国民综合阅读率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群众文化活动参加人次增长率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群众对促进文化消费活动满意度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群众对国家基本公共文化服务知晓率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29.04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51090323T000008248106-城乡公益电影放映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全年社区放映电影320场，农村69个行政村*12场，持续发挥了公益电影放映对党的政策宣传、科普宣传、环保意识宣传等的促进作用，有效保障了群众观看电影的基本公共文化权益，丰富了群众的文化生活。</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全年应放映城乡公益电影1148场，因疫情原因，放映任务在23年3月完成。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按照市级宣传及媒体融合任务安排开展城乡电影公益放映工作。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电影放映城乡居民参与率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32448</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32448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51090323T000008998160-春节慰问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2023年春节慰问市级补助资金项目，是按照全区春节期间“送温暖 献爱心”走访慰问活动的统一安排部署执行。该项目经书记、区长审批同意，根据《2023年春节船山区“送温暖、献爱心”走访慰问活动方案》要求，由区委宣传部牵头，慰问新闻工作者、网信监测人员29人，按照0.06万元/人的标准，共需经费1.74万元，由区财政局拨至单位。</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慰问新闻工作者、网信监测人员29名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严格按照要求做好走访慰问活动，被慰问人员符合要求规定，严格按照活动时间安排进行走访慰问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慰问人数</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慰问金成功发放率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慰问金发放完成率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慰问人员满意度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春节慰问金经费项目预算编制符合预算管理等相关规定，已采用最优方案。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8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6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7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jc w:val="center"/>
        </w:trPr>
        <w:tc>
          <w:tcPr>
            <w:tcW w:w="126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单位预算项目支出绩效自评表（2023年度）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51090322T000000345663-社区电影放映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jc w:val="center"/>
        </w:trPr>
        <w:tc>
          <w:tcPr>
            <w:tcW w:w="2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w:t>
            </w:r>
            <w:r>
              <w:rPr>
                <w:rFonts w:hint="eastAsia" w:ascii="宋体" w:hAnsi="宋体" w:cs="宋体"/>
                <w:i w:val="0"/>
                <w:iCs w:val="0"/>
                <w:color w:val="000000"/>
                <w:kern w:val="0"/>
                <w:sz w:val="18"/>
                <w:szCs w:val="18"/>
                <w:u w:val="none"/>
                <w:lang w:val="en-US" w:eastAsia="zh-CN" w:bidi="ar"/>
              </w:rPr>
              <w:t>单位</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c>
          <w:tcPr>
            <w:tcW w:w="97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中国共产党四川省遂宁市船山区委员会宣传部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0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全年社区放映电影320场，持续发挥了公益电影放映对党的政策宣传、科普宣传、环保意识宣传等的促进作用，有效保障了群众观看电影的基本公共文化权益，丰富了群众的文化生活。</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全年应放映社区公益电影320场，因疫情原因，放映任务在23年3月完成。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3"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024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按照市级宣传及媒体融合任务安排开展社区电影公益放映工作。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7.04</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7"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4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jc w:val="center"/>
        </w:trPr>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电影放映内容主题符合率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社区电影放映场次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内控制度的健全性</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电影放映居民参与率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6" w:hRule="atLeast"/>
          <w:jc w:val="center"/>
        </w:trPr>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16600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94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持续发挥了公益电影放映对党的政策宣传、科普宣传、环保意识宣传等的促进作用，有效保障了群众观看电影的基本公共文化权益，丰富了群众的文化生活。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0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jc w:val="center"/>
        </w:trPr>
        <w:tc>
          <w:tcPr>
            <w:tcW w:w="64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1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1"/>
        <w:keepNext w:val="0"/>
        <w:keepLines w:val="0"/>
        <w:pageBreakBefore w:val="0"/>
        <w:numPr>
          <w:ilvl w:val="0"/>
          <w:numId w:val="0"/>
        </w:numPr>
        <w:kinsoku/>
        <w:wordWrap/>
        <w:overflowPunct/>
        <w:topLinePunct w:val="0"/>
        <w:autoSpaceDE/>
        <w:autoSpaceDN/>
        <w:bidi w:val="0"/>
        <w:spacing w:line="560" w:lineRule="exact"/>
        <w:jc w:val="both"/>
        <w:textAlignment w:val="auto"/>
        <w:rPr>
          <w:rFonts w:hint="default" w:cs="Times New Roman"/>
          <w:color w:val="auto"/>
          <w:sz w:val="32"/>
          <w:szCs w:val="32"/>
          <w:highlight w:val="none"/>
          <w:lang w:val="en-US" w:eastAsia="zh-CN"/>
        </w:rPr>
      </w:pPr>
    </w:p>
    <w:p>
      <w:pPr>
        <w:pStyle w:val="6"/>
        <w:rPr>
          <w:rFonts w:hint="eastAsia" w:hAnsi="宋体" w:cs="宋体"/>
          <w:color w:val="FF0000"/>
          <w:kern w:val="0"/>
          <w:sz w:val="32"/>
          <w:szCs w:val="32"/>
          <w:highlight w:val="yellow"/>
          <w:shd w:val="clear" w:color="auto" w:fill="FFFFFF"/>
          <w:lang w:val="zh-CN"/>
        </w:rPr>
      </w:pPr>
    </w:p>
    <w:p>
      <w:pPr>
        <w:rPr>
          <w:rFonts w:hint="eastAsia" w:ascii="黑体" w:hAnsi="黑体" w:eastAsia="黑体" w:cs="黑体"/>
          <w:color w:val="auto"/>
          <w:kern w:val="0"/>
          <w:sz w:val="32"/>
          <w:szCs w:val="32"/>
          <w:highlight w:val="yellow"/>
          <w:shd w:val="clear" w:color="auto" w:fill="FFFFFF"/>
          <w:lang w:val="zh-CN"/>
        </w:rPr>
        <w:sectPr>
          <w:pgSz w:w="16838" w:h="11906" w:orient="landscape"/>
          <w:pgMar w:top="1803" w:right="1440" w:bottom="1803" w:left="1440" w:header="851" w:footer="992" w:gutter="0"/>
          <w:pgNumType w:fmt="decimal"/>
          <w:cols w:space="0" w:num="1"/>
          <w:titlePg/>
          <w:rtlGutter w:val="0"/>
          <w:docGrid w:type="lines" w:linePitch="319" w:charSpace="0"/>
        </w:sectPr>
      </w:pPr>
      <w:r>
        <w:rPr>
          <w:rFonts w:hint="eastAsia" w:ascii="黑体" w:hAnsi="黑体" w:eastAsia="黑体" w:cs="黑体"/>
          <w:color w:val="auto"/>
          <w:kern w:val="0"/>
          <w:sz w:val="32"/>
          <w:szCs w:val="32"/>
          <w:highlight w:val="yellow"/>
          <w:shd w:val="clear" w:color="auto" w:fill="FFFFFF"/>
          <w:lang w:val="zh-CN"/>
        </w:rPr>
        <w:br w:type="page"/>
      </w:r>
    </w:p>
    <w:p>
      <w:pPr>
        <w:spacing w:line="600" w:lineRule="exact"/>
        <w:jc w:val="center"/>
        <w:outlineLvl w:val="0"/>
        <w:rPr>
          <w:rFonts w:hint="default" w:ascii="Times New Roman" w:hAnsi="Times New Roman" w:eastAsia="仿宋" w:cs="Times New Roman"/>
          <w:b w:val="0"/>
          <w:color w:val="auto"/>
          <w:highlight w:val="none"/>
        </w:rPr>
      </w:pPr>
      <w:bookmarkStart w:id="106" w:name="_Toc13800"/>
      <w:r>
        <w:rPr>
          <w:rFonts w:hint="default" w:ascii="Times New Roman" w:hAnsi="Times New Roman" w:eastAsia="黑体" w:cs="Times New Roman"/>
          <w:color w:val="auto"/>
          <w:sz w:val="44"/>
          <w:szCs w:val="44"/>
          <w:highlight w:val="none"/>
        </w:rPr>
        <w:t>第</w:t>
      </w:r>
      <w:r>
        <w:rPr>
          <w:rStyle w:val="31"/>
          <w:rFonts w:hint="default" w:ascii="Times New Roman" w:hAnsi="Times New Roman" w:eastAsia="黑体" w:cs="Times New Roman"/>
          <w:b w:val="0"/>
          <w:color w:val="auto"/>
          <w:highlight w:val="none"/>
        </w:rPr>
        <w:t>五部分 附表</w:t>
      </w:r>
      <w:bookmarkEnd w:id="98"/>
      <w:bookmarkEnd w:id="103"/>
      <w:bookmarkEnd w:id="104"/>
      <w:bookmarkEnd w:id="105"/>
      <w:bookmarkEnd w:id="106"/>
      <w:bookmarkStart w:id="107" w:name="_Toc15396619"/>
    </w:p>
    <w:p>
      <w:pPr>
        <w:pStyle w:val="2"/>
        <w:rPr>
          <w:rFonts w:hint="default" w:ascii="Times New Roman" w:hAnsi="Times New Roman" w:eastAsia="仿宋" w:cs="Times New Roman"/>
          <w:color w:val="auto"/>
          <w:highlight w:val="none"/>
        </w:rPr>
      </w:pPr>
      <w:bookmarkStart w:id="108" w:name="_Toc11580"/>
      <w:bookmarkStart w:id="109" w:name="_Toc4380"/>
      <w:bookmarkStart w:id="110" w:name="_Toc9751"/>
      <w:r>
        <w:rPr>
          <w:rFonts w:hint="default" w:ascii="Times New Roman" w:hAnsi="Times New Roman" w:eastAsia="仿宋" w:cs="Times New Roman"/>
          <w:b w:val="0"/>
          <w:color w:val="auto"/>
          <w:highlight w:val="none"/>
        </w:rPr>
        <w:t>一、收</w:t>
      </w:r>
      <w:r>
        <w:rPr>
          <w:rStyle w:val="32"/>
          <w:rFonts w:hint="default" w:ascii="Times New Roman" w:hAnsi="Times New Roman" w:eastAsia="仿宋" w:cs="Times New Roman"/>
          <w:b w:val="0"/>
          <w:bCs w:val="0"/>
          <w:color w:val="auto"/>
          <w:highlight w:val="none"/>
        </w:rPr>
        <w:t>入支出决算总表</w:t>
      </w:r>
      <w:bookmarkEnd w:id="107"/>
      <w:bookmarkEnd w:id="108"/>
      <w:bookmarkEnd w:id="109"/>
      <w:bookmarkEnd w:id="110"/>
    </w:p>
    <w:p>
      <w:pPr>
        <w:pStyle w:val="2"/>
        <w:rPr>
          <w:rFonts w:hint="default" w:ascii="Times New Roman" w:hAnsi="Times New Roman" w:eastAsia="仿宋" w:cs="Times New Roman"/>
          <w:color w:val="auto"/>
          <w:highlight w:val="none"/>
        </w:rPr>
      </w:pPr>
      <w:bookmarkStart w:id="111" w:name="_Toc6531"/>
      <w:bookmarkStart w:id="112" w:name="_Toc14786"/>
      <w:bookmarkStart w:id="113" w:name="_Toc27125"/>
      <w:bookmarkStart w:id="114" w:name="_Toc15396620"/>
      <w:r>
        <w:rPr>
          <w:rFonts w:hint="default" w:ascii="Times New Roman" w:hAnsi="Times New Roman" w:eastAsia="仿宋" w:cs="Times New Roman"/>
          <w:b w:val="0"/>
          <w:color w:val="auto"/>
          <w:highlight w:val="none"/>
        </w:rPr>
        <w:t>二、收</w:t>
      </w:r>
      <w:r>
        <w:rPr>
          <w:rStyle w:val="32"/>
          <w:rFonts w:hint="default" w:ascii="Times New Roman" w:hAnsi="Times New Roman" w:eastAsia="仿宋" w:cs="Times New Roman"/>
          <w:b w:val="0"/>
          <w:bCs w:val="0"/>
          <w:color w:val="auto"/>
          <w:highlight w:val="none"/>
        </w:rPr>
        <w:t>入决算表</w:t>
      </w:r>
      <w:bookmarkEnd w:id="111"/>
      <w:bookmarkEnd w:id="112"/>
      <w:bookmarkEnd w:id="113"/>
      <w:bookmarkEnd w:id="114"/>
    </w:p>
    <w:p>
      <w:pPr>
        <w:pStyle w:val="2"/>
        <w:rPr>
          <w:rFonts w:hint="default" w:ascii="Times New Roman" w:hAnsi="Times New Roman" w:eastAsia="仿宋" w:cs="Times New Roman"/>
          <w:color w:val="auto"/>
          <w:highlight w:val="none"/>
        </w:rPr>
      </w:pPr>
      <w:bookmarkStart w:id="115" w:name="_Toc19414"/>
      <w:bookmarkStart w:id="116" w:name="_Toc15447"/>
      <w:bookmarkStart w:id="117" w:name="_Toc21185"/>
      <w:bookmarkStart w:id="118" w:name="_Toc15396621"/>
      <w:r>
        <w:rPr>
          <w:rStyle w:val="32"/>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32"/>
          <w:rFonts w:hint="default" w:ascii="Times New Roman" w:hAnsi="Times New Roman" w:eastAsia="仿宋" w:cs="Times New Roman"/>
          <w:b w:val="0"/>
          <w:bCs w:val="0"/>
          <w:color w:val="auto"/>
          <w:highlight w:val="none"/>
        </w:rPr>
        <w:t>出决算表</w:t>
      </w:r>
      <w:bookmarkEnd w:id="115"/>
      <w:bookmarkEnd w:id="116"/>
      <w:bookmarkEnd w:id="117"/>
      <w:bookmarkEnd w:id="118"/>
    </w:p>
    <w:p>
      <w:pPr>
        <w:pStyle w:val="2"/>
        <w:rPr>
          <w:rFonts w:hint="default" w:ascii="Times New Roman" w:hAnsi="Times New Roman" w:eastAsia="仿宋" w:cs="Times New Roman"/>
          <w:b w:val="0"/>
          <w:color w:val="auto"/>
          <w:highlight w:val="none"/>
        </w:rPr>
      </w:pPr>
      <w:bookmarkStart w:id="119" w:name="_Toc15396622"/>
      <w:bookmarkStart w:id="120" w:name="_Toc17098"/>
      <w:bookmarkStart w:id="121" w:name="_Toc17815"/>
      <w:bookmarkStart w:id="122" w:name="_Toc27465"/>
      <w:r>
        <w:rPr>
          <w:rStyle w:val="32"/>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32"/>
          <w:rFonts w:hint="default" w:ascii="Times New Roman" w:hAnsi="Times New Roman" w:eastAsia="仿宋" w:cs="Times New Roman"/>
          <w:b w:val="0"/>
          <w:bCs w:val="0"/>
          <w:color w:val="auto"/>
          <w:highlight w:val="none"/>
        </w:rPr>
        <w:t>政拨款收入支出决算总表</w:t>
      </w:r>
      <w:bookmarkEnd w:id="119"/>
      <w:bookmarkEnd w:id="120"/>
      <w:bookmarkEnd w:id="121"/>
      <w:bookmarkEnd w:id="122"/>
    </w:p>
    <w:p>
      <w:pPr>
        <w:pStyle w:val="2"/>
        <w:rPr>
          <w:rStyle w:val="32"/>
          <w:rFonts w:hint="default" w:ascii="Times New Roman" w:hAnsi="Times New Roman" w:eastAsia="仿宋" w:cs="Times New Roman"/>
          <w:b w:val="0"/>
          <w:bCs w:val="0"/>
          <w:color w:val="auto"/>
          <w:highlight w:val="none"/>
        </w:rPr>
      </w:pPr>
      <w:bookmarkStart w:id="123" w:name="_Toc9752"/>
      <w:bookmarkStart w:id="124" w:name="_Toc11280"/>
      <w:bookmarkStart w:id="125" w:name="_Toc920"/>
      <w:bookmarkStart w:id="126" w:name="_Toc15396623"/>
      <w:r>
        <w:rPr>
          <w:rStyle w:val="32"/>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32"/>
          <w:rFonts w:hint="default" w:ascii="Times New Roman" w:hAnsi="Times New Roman" w:eastAsia="仿宋" w:cs="Times New Roman"/>
          <w:b w:val="0"/>
          <w:bCs w:val="0"/>
          <w:color w:val="auto"/>
          <w:highlight w:val="none"/>
        </w:rPr>
        <w:t>政拨款支出决算明细表</w:t>
      </w:r>
      <w:bookmarkEnd w:id="123"/>
      <w:bookmarkEnd w:id="124"/>
      <w:bookmarkEnd w:id="125"/>
      <w:bookmarkEnd w:id="126"/>
      <w:bookmarkStart w:id="127" w:name="_Toc15396624"/>
    </w:p>
    <w:p>
      <w:pPr>
        <w:pStyle w:val="2"/>
        <w:rPr>
          <w:rFonts w:hint="default" w:ascii="Times New Roman" w:hAnsi="Times New Roman" w:eastAsia="仿宋" w:cs="Times New Roman"/>
          <w:color w:val="auto"/>
          <w:highlight w:val="none"/>
        </w:rPr>
      </w:pPr>
      <w:bookmarkStart w:id="128" w:name="_Toc2529"/>
      <w:bookmarkStart w:id="129" w:name="_Toc28532"/>
      <w:bookmarkStart w:id="130" w:name="_Toc27602"/>
      <w:r>
        <w:rPr>
          <w:rStyle w:val="32"/>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般公共预算财政拨款支出决算表</w:t>
      </w:r>
      <w:bookmarkEnd w:id="127"/>
      <w:bookmarkEnd w:id="128"/>
      <w:bookmarkEnd w:id="129"/>
      <w:bookmarkEnd w:id="130"/>
    </w:p>
    <w:p>
      <w:pPr>
        <w:pStyle w:val="2"/>
        <w:rPr>
          <w:rFonts w:hint="default" w:ascii="Times New Roman" w:hAnsi="Times New Roman" w:eastAsia="仿宋" w:cs="Times New Roman"/>
          <w:color w:val="auto"/>
          <w:highlight w:val="none"/>
        </w:rPr>
      </w:pPr>
      <w:bookmarkStart w:id="131" w:name="_Toc32153"/>
      <w:bookmarkStart w:id="132" w:name="_Toc824"/>
      <w:bookmarkStart w:id="133" w:name="_Toc9593"/>
      <w:bookmarkStart w:id="134" w:name="_Toc15396625"/>
      <w:r>
        <w:rPr>
          <w:rStyle w:val="32"/>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般公共预算财政拨款支出决算明细表</w:t>
      </w:r>
      <w:bookmarkEnd w:id="131"/>
      <w:bookmarkEnd w:id="132"/>
      <w:bookmarkEnd w:id="133"/>
      <w:bookmarkEnd w:id="134"/>
    </w:p>
    <w:p>
      <w:pPr>
        <w:pStyle w:val="2"/>
        <w:rPr>
          <w:rFonts w:hint="default" w:ascii="Times New Roman" w:hAnsi="Times New Roman" w:eastAsia="仿宋" w:cs="Times New Roman"/>
          <w:color w:val="auto"/>
          <w:highlight w:val="none"/>
        </w:rPr>
      </w:pPr>
      <w:bookmarkStart w:id="135" w:name="_Toc11432"/>
      <w:bookmarkStart w:id="136" w:name="_Toc20523"/>
      <w:bookmarkStart w:id="137" w:name="_Toc10006"/>
      <w:bookmarkStart w:id="138" w:name="_Toc15396626"/>
      <w:r>
        <w:rPr>
          <w:rStyle w:val="32"/>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般公共预算财政拨款基本支出决算表</w:t>
      </w:r>
      <w:bookmarkEnd w:id="135"/>
      <w:bookmarkEnd w:id="136"/>
      <w:bookmarkEnd w:id="137"/>
      <w:bookmarkEnd w:id="138"/>
    </w:p>
    <w:p>
      <w:pPr>
        <w:pStyle w:val="2"/>
        <w:rPr>
          <w:rFonts w:hint="default" w:ascii="Times New Roman" w:hAnsi="Times New Roman" w:eastAsia="仿宋" w:cs="Times New Roman"/>
          <w:color w:val="auto"/>
          <w:highlight w:val="none"/>
        </w:rPr>
      </w:pPr>
      <w:bookmarkStart w:id="139" w:name="_Toc2695"/>
      <w:bookmarkStart w:id="140" w:name="_Toc16851"/>
      <w:bookmarkStart w:id="141" w:name="_Toc20025"/>
      <w:bookmarkStart w:id="142" w:name="_Toc15396627"/>
      <w:r>
        <w:rPr>
          <w:rStyle w:val="32"/>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32"/>
          <w:rFonts w:hint="default" w:ascii="Times New Roman" w:hAnsi="Times New Roman" w:eastAsia="仿宋" w:cs="Times New Roman"/>
          <w:b w:val="0"/>
          <w:bCs w:val="0"/>
          <w:color w:val="auto"/>
          <w:highlight w:val="none"/>
        </w:rPr>
        <w:t>般公共预算财政拨款项目支出决算表</w:t>
      </w:r>
      <w:bookmarkEnd w:id="139"/>
      <w:bookmarkEnd w:id="140"/>
      <w:bookmarkEnd w:id="141"/>
      <w:bookmarkEnd w:id="142"/>
    </w:p>
    <w:p>
      <w:pPr>
        <w:pStyle w:val="2"/>
        <w:rPr>
          <w:rFonts w:hint="default" w:ascii="Times New Roman" w:hAnsi="Times New Roman" w:eastAsia="仿宋" w:cs="Times New Roman"/>
          <w:color w:val="auto"/>
          <w:highlight w:val="none"/>
        </w:rPr>
      </w:pPr>
      <w:bookmarkStart w:id="143" w:name="_Toc15396628"/>
      <w:bookmarkStart w:id="144" w:name="_Toc28052"/>
      <w:bookmarkStart w:id="145" w:name="_Toc24909"/>
      <w:bookmarkStart w:id="146" w:name="_Toc21174"/>
      <w:r>
        <w:rPr>
          <w:rStyle w:val="32"/>
          <w:rFonts w:hint="default" w:ascii="Times New Roman" w:hAnsi="Times New Roman" w:eastAsia="仿宋" w:cs="Times New Roman"/>
          <w:b w:val="0"/>
          <w:bCs w:val="0"/>
          <w:color w:val="auto"/>
          <w:highlight w:val="none"/>
        </w:rPr>
        <w:t>十、</w:t>
      </w:r>
      <w:bookmarkEnd w:id="143"/>
      <w:r>
        <w:rPr>
          <w:rFonts w:hint="default" w:ascii="Times New Roman" w:hAnsi="Times New Roman" w:eastAsia="仿宋" w:cs="Times New Roman"/>
          <w:b w:val="0"/>
          <w:color w:val="auto"/>
          <w:highlight w:val="none"/>
        </w:rPr>
        <w:t>政</w:t>
      </w:r>
      <w:r>
        <w:rPr>
          <w:rStyle w:val="32"/>
          <w:rFonts w:hint="default" w:ascii="Times New Roman" w:hAnsi="Times New Roman" w:eastAsia="仿宋" w:cs="Times New Roman"/>
          <w:b w:val="0"/>
          <w:bCs w:val="0"/>
          <w:color w:val="auto"/>
          <w:highlight w:val="none"/>
        </w:rPr>
        <w:t>府性基金预算财政拨款收入支出决算表</w:t>
      </w:r>
      <w:bookmarkEnd w:id="144"/>
      <w:bookmarkEnd w:id="145"/>
      <w:bookmarkEnd w:id="146"/>
    </w:p>
    <w:p>
      <w:pPr>
        <w:pStyle w:val="2"/>
        <w:rPr>
          <w:rFonts w:hint="default" w:ascii="Times New Roman" w:hAnsi="Times New Roman" w:eastAsia="仿宋" w:cs="Times New Roman"/>
          <w:color w:val="auto"/>
          <w:highlight w:val="none"/>
        </w:rPr>
      </w:pPr>
      <w:bookmarkStart w:id="147" w:name="_Toc15396629"/>
      <w:bookmarkStart w:id="148" w:name="_Toc21736"/>
      <w:bookmarkStart w:id="149" w:name="_Toc9813"/>
      <w:bookmarkStart w:id="150" w:name="_Toc11253"/>
      <w:r>
        <w:rPr>
          <w:rStyle w:val="32"/>
          <w:rFonts w:hint="default" w:ascii="Times New Roman" w:hAnsi="Times New Roman" w:eastAsia="仿宋" w:cs="Times New Roman"/>
          <w:b w:val="0"/>
          <w:bCs w:val="0"/>
          <w:color w:val="auto"/>
          <w:highlight w:val="none"/>
        </w:rPr>
        <w:t>十一、</w:t>
      </w:r>
      <w:bookmarkEnd w:id="147"/>
      <w:r>
        <w:rPr>
          <w:rFonts w:hint="default" w:ascii="Times New Roman" w:hAnsi="Times New Roman" w:eastAsia="仿宋" w:cs="Times New Roman"/>
          <w:b w:val="0"/>
          <w:color w:val="auto"/>
          <w:highlight w:val="none"/>
        </w:rPr>
        <w:t>国</w:t>
      </w:r>
      <w:r>
        <w:rPr>
          <w:rStyle w:val="32"/>
          <w:rFonts w:hint="default" w:ascii="Times New Roman" w:hAnsi="Times New Roman" w:eastAsia="仿宋" w:cs="Times New Roman"/>
          <w:b w:val="0"/>
          <w:bCs w:val="0"/>
          <w:color w:val="auto"/>
          <w:highlight w:val="none"/>
        </w:rPr>
        <w:t>有资本经营预算</w:t>
      </w:r>
      <w:r>
        <w:rPr>
          <w:rStyle w:val="32"/>
          <w:rFonts w:hint="default" w:ascii="Times New Roman" w:hAnsi="Times New Roman" w:eastAsia="仿宋" w:cs="Times New Roman"/>
          <w:b w:val="0"/>
          <w:bCs w:val="0"/>
          <w:color w:val="auto"/>
          <w:highlight w:val="none"/>
          <w:lang w:eastAsia="zh-CN"/>
        </w:rPr>
        <w:t>财政拨款收入</w:t>
      </w:r>
      <w:r>
        <w:rPr>
          <w:rStyle w:val="32"/>
          <w:rFonts w:hint="default" w:ascii="Times New Roman" w:hAnsi="Times New Roman" w:eastAsia="仿宋" w:cs="Times New Roman"/>
          <w:b w:val="0"/>
          <w:bCs w:val="0"/>
          <w:color w:val="auto"/>
          <w:highlight w:val="none"/>
        </w:rPr>
        <w:t>支出决算表</w:t>
      </w:r>
      <w:bookmarkEnd w:id="148"/>
      <w:bookmarkEnd w:id="149"/>
      <w:bookmarkEnd w:id="150"/>
    </w:p>
    <w:p>
      <w:pPr>
        <w:pStyle w:val="2"/>
        <w:rPr>
          <w:rFonts w:hint="default" w:ascii="Times New Roman" w:hAnsi="Times New Roman" w:eastAsia="仿宋" w:cs="Times New Roman"/>
          <w:color w:val="auto"/>
          <w:highlight w:val="none"/>
        </w:rPr>
      </w:pPr>
      <w:bookmarkStart w:id="151" w:name="_Toc15396630"/>
      <w:bookmarkStart w:id="152" w:name="_Toc17732"/>
      <w:bookmarkStart w:id="153" w:name="_Toc19834"/>
      <w:bookmarkStart w:id="154" w:name="_Toc9988"/>
      <w:r>
        <w:rPr>
          <w:rStyle w:val="32"/>
          <w:rFonts w:hint="default" w:ascii="Times New Roman" w:hAnsi="Times New Roman" w:eastAsia="仿宋" w:cs="Times New Roman"/>
          <w:b w:val="0"/>
          <w:bCs w:val="0"/>
          <w:color w:val="auto"/>
          <w:highlight w:val="none"/>
        </w:rPr>
        <w:t>十二、</w:t>
      </w:r>
      <w:bookmarkEnd w:id="151"/>
      <w:r>
        <w:rPr>
          <w:rStyle w:val="32"/>
          <w:rFonts w:hint="default" w:ascii="Times New Roman" w:hAnsi="Times New Roman" w:eastAsia="仿宋" w:cs="Times New Roman"/>
          <w:b w:val="0"/>
          <w:bCs w:val="0"/>
          <w:color w:val="auto"/>
          <w:highlight w:val="none"/>
          <w:lang w:eastAsia="zh-CN"/>
        </w:rPr>
        <w:t>国有资本经营预算财政拨款支出决算表</w:t>
      </w:r>
      <w:bookmarkEnd w:id="152"/>
      <w:bookmarkEnd w:id="153"/>
      <w:bookmarkEnd w:id="154"/>
    </w:p>
    <w:p>
      <w:pPr>
        <w:pStyle w:val="2"/>
        <w:rPr>
          <w:rFonts w:hint="default" w:ascii="Times New Roman" w:hAnsi="Times New Roman" w:eastAsia="仿宋" w:cs="Times New Roman"/>
          <w:color w:val="auto"/>
          <w:highlight w:val="none"/>
          <w:lang w:eastAsia="zh-CN"/>
        </w:rPr>
      </w:pPr>
      <w:bookmarkStart w:id="155" w:name="_Toc15396631"/>
      <w:bookmarkStart w:id="156" w:name="_Toc20375"/>
      <w:bookmarkStart w:id="157" w:name="_Toc4994"/>
      <w:bookmarkStart w:id="158" w:name="_Toc6882"/>
      <w:r>
        <w:rPr>
          <w:rStyle w:val="32"/>
          <w:rFonts w:hint="default" w:ascii="Times New Roman" w:hAnsi="Times New Roman" w:eastAsia="仿宋" w:cs="Times New Roman"/>
          <w:b w:val="0"/>
          <w:bCs w:val="0"/>
          <w:color w:val="auto"/>
          <w:highlight w:val="none"/>
        </w:rPr>
        <w:t>十三、</w:t>
      </w:r>
      <w:bookmarkEnd w:id="155"/>
      <w:r>
        <w:rPr>
          <w:rStyle w:val="32"/>
          <w:rFonts w:hint="default" w:ascii="Times New Roman" w:hAnsi="Times New Roman" w:eastAsia="仿宋" w:cs="Times New Roman"/>
          <w:b w:val="0"/>
          <w:bCs w:val="0"/>
          <w:color w:val="auto"/>
          <w:highlight w:val="none"/>
          <w:lang w:eastAsia="zh-CN"/>
        </w:rPr>
        <w:t>财政拨款“三公”经费支出决算表</w:t>
      </w:r>
      <w:bookmarkEnd w:id="156"/>
      <w:bookmarkEnd w:id="157"/>
      <w:bookmarkEnd w:id="158"/>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rPr>
        <w:rFonts w:hint="eastAsia" w:eastAsia="宋体"/>
        <w:lang w:val="en-US" w:eastAsia="zh-CN"/>
      </w:rPr>
    </w:pPr>
    <w:r>
      <w:rPr>
        <w:rFonts w:hint="eastAsia"/>
        <w:lang w:val="en-US" w:eastAsia="zh-CN"/>
      </w:rPr>
      <w:t>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sdt>
      <w:sdtPr>
        <w:id w:val="147454189"/>
      </w:sdtPr>
      <w:sdtContent/>
    </w:sdt>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2569210</wp:posOffset>
              </wp:positionH>
              <wp:positionV relativeFrom="paragraph">
                <wp:posOffset>0</wp:posOffset>
              </wp:positionV>
              <wp:extent cx="12827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82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3pt;margin-top:0pt;height:144pt;width:10.1pt;mso-position-horizontal-relative:margin;z-index:251659264;mso-width-relative:page;mso-height-relative:page;" filled="f" stroked="f" coordsize="21600,21600" o:gfxdata="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x7GynVAAAACAEAAA8A&#10;AAAAAAAAAQAgAAAAIgAAAGRycy9kb3ducmV2LnhtbFBLAQIUABQAAAAIAIdO4kCxOQrpGgIAABQE&#10;AAAOAAAAAAAAAAEAIAAAACQBAABkcnMvZTJvRG9jLnhtbFBLBQYAAAAABgAGAFkBAACwBQ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0784"/>
    <w:rsid w:val="015975B8"/>
    <w:rsid w:val="020B036A"/>
    <w:rsid w:val="02143E91"/>
    <w:rsid w:val="02144A36"/>
    <w:rsid w:val="066E0107"/>
    <w:rsid w:val="073034E4"/>
    <w:rsid w:val="07996F6E"/>
    <w:rsid w:val="0A2032A3"/>
    <w:rsid w:val="0A6E70E9"/>
    <w:rsid w:val="0EF23B09"/>
    <w:rsid w:val="0F98263C"/>
    <w:rsid w:val="101860EC"/>
    <w:rsid w:val="10C055FF"/>
    <w:rsid w:val="115214E6"/>
    <w:rsid w:val="118107EC"/>
    <w:rsid w:val="13D50BC4"/>
    <w:rsid w:val="16BB723D"/>
    <w:rsid w:val="17634240"/>
    <w:rsid w:val="1BE8440E"/>
    <w:rsid w:val="1D155CEE"/>
    <w:rsid w:val="1E7F1D1C"/>
    <w:rsid w:val="1FF35744"/>
    <w:rsid w:val="20C51398"/>
    <w:rsid w:val="23025426"/>
    <w:rsid w:val="233623CB"/>
    <w:rsid w:val="23860B96"/>
    <w:rsid w:val="240371BF"/>
    <w:rsid w:val="24CA5C94"/>
    <w:rsid w:val="29FD04D3"/>
    <w:rsid w:val="2B0420E0"/>
    <w:rsid w:val="2B117E28"/>
    <w:rsid w:val="2C8A61B5"/>
    <w:rsid w:val="2DF04E50"/>
    <w:rsid w:val="2F040D46"/>
    <w:rsid w:val="2FA63021"/>
    <w:rsid w:val="307241F6"/>
    <w:rsid w:val="310835BE"/>
    <w:rsid w:val="319F7F4E"/>
    <w:rsid w:val="3304709D"/>
    <w:rsid w:val="36AA5135"/>
    <w:rsid w:val="376D39B2"/>
    <w:rsid w:val="37E16F03"/>
    <w:rsid w:val="38D469F0"/>
    <w:rsid w:val="38F42D26"/>
    <w:rsid w:val="394E6890"/>
    <w:rsid w:val="3BBD1F8F"/>
    <w:rsid w:val="3C4328FF"/>
    <w:rsid w:val="3D98207C"/>
    <w:rsid w:val="3E78745D"/>
    <w:rsid w:val="409C034B"/>
    <w:rsid w:val="42C2364A"/>
    <w:rsid w:val="44E268DA"/>
    <w:rsid w:val="46862B31"/>
    <w:rsid w:val="48EB184C"/>
    <w:rsid w:val="49AE7008"/>
    <w:rsid w:val="4A627F82"/>
    <w:rsid w:val="4B0E749A"/>
    <w:rsid w:val="4B4F25DA"/>
    <w:rsid w:val="4BE068DB"/>
    <w:rsid w:val="4BE25274"/>
    <w:rsid w:val="4D577224"/>
    <w:rsid w:val="4EAB630A"/>
    <w:rsid w:val="4ECE2238"/>
    <w:rsid w:val="4FC524D9"/>
    <w:rsid w:val="518C78EA"/>
    <w:rsid w:val="52824B1A"/>
    <w:rsid w:val="537E6D0A"/>
    <w:rsid w:val="574A05B2"/>
    <w:rsid w:val="5AF92295"/>
    <w:rsid w:val="5CD71FC4"/>
    <w:rsid w:val="5EEA1236"/>
    <w:rsid w:val="64C00FCA"/>
    <w:rsid w:val="66F67E0E"/>
    <w:rsid w:val="681C0735"/>
    <w:rsid w:val="6B1C4E93"/>
    <w:rsid w:val="6C4A05C8"/>
    <w:rsid w:val="6E7E3605"/>
    <w:rsid w:val="6FF5CC65"/>
    <w:rsid w:val="715C0E4B"/>
    <w:rsid w:val="71607381"/>
    <w:rsid w:val="72734D90"/>
    <w:rsid w:val="73AD73D5"/>
    <w:rsid w:val="73B6EB34"/>
    <w:rsid w:val="744731E5"/>
    <w:rsid w:val="75C171FF"/>
    <w:rsid w:val="76E3355F"/>
    <w:rsid w:val="778362E7"/>
    <w:rsid w:val="778769C8"/>
    <w:rsid w:val="7809297F"/>
    <w:rsid w:val="79EE5BA4"/>
    <w:rsid w:val="7A894339"/>
    <w:rsid w:val="7EEF11D3"/>
    <w:rsid w:val="7FA30C79"/>
    <w:rsid w:val="7FB7269E"/>
    <w:rsid w:val="7FC96657"/>
    <w:rsid w:val="D8D6DB89"/>
    <w:rsid w:val="DB6F4CAB"/>
    <w:rsid w:val="DF6F9789"/>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index 6"/>
    <w:basedOn w:val="1"/>
    <w:next w:val="1"/>
    <w:unhideWhenUsed/>
    <w:qFormat/>
    <w:uiPriority w:val="99"/>
    <w:pPr>
      <w:ind w:left="2100"/>
    </w:pPr>
    <w:rPr>
      <w:rFonts w:ascii="Times New Roman" w:hAnsi="Times New Roman" w:eastAsia="黑体"/>
      <w:sz w:val="32"/>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4"/>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Body Text First Indent 2"/>
    <w:basedOn w:val="7"/>
    <w:unhideWhenUsed/>
    <w:qFormat/>
    <w:uiPriority w:val="99"/>
    <w:pPr>
      <w:ind w:firstLine="420" w:firstLineChars="200"/>
    </w:p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章标题"/>
    <w:basedOn w:val="1"/>
    <w:next w:val="21"/>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1">
    <w:name w:val="节标题"/>
    <w:basedOn w:val="1"/>
    <w:next w:val="1"/>
    <w:qFormat/>
    <w:uiPriority w:val="99"/>
    <w:pPr>
      <w:widowControl/>
      <w:spacing w:line="289" w:lineRule="atLeast"/>
      <w:jc w:val="center"/>
      <w:textAlignment w:val="baseline"/>
    </w:pPr>
    <w:rPr>
      <w:color w:val="000000"/>
      <w:sz w:val="28"/>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5"/>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5"/>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5"/>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0">
    <w:name w:val="List Paragraph"/>
    <w:basedOn w:val="1"/>
    <w:qFormat/>
    <w:uiPriority w:val="34"/>
    <w:pPr>
      <w:ind w:firstLine="420" w:firstLineChars="200"/>
    </w:pPr>
  </w:style>
  <w:style w:type="character" w:customStyle="1" w:styleId="31">
    <w:name w:val="标题 1 Char"/>
    <w:basedOn w:val="15"/>
    <w:link w:val="3"/>
    <w:qFormat/>
    <w:uiPriority w:val="9"/>
    <w:rPr>
      <w:rFonts w:ascii="Times New Roman" w:hAnsi="Times New Roman"/>
      <w:b/>
      <w:bCs/>
      <w:kern w:val="44"/>
      <w:sz w:val="44"/>
      <w:szCs w:val="44"/>
    </w:rPr>
  </w:style>
  <w:style w:type="character" w:customStyle="1" w:styleId="32">
    <w:name w:val="标题 2 Char"/>
    <w:basedOn w:val="15"/>
    <w:link w:val="2"/>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5"/>
    <w:link w:val="9"/>
    <w:semiHidden/>
    <w:qFormat/>
    <w:uiPriority w:val="99"/>
    <w:rPr>
      <w:rFonts w:ascii="Times New Roman" w:hAnsi="Times New Roman"/>
      <w:kern w:val="2"/>
      <w:sz w:val="18"/>
      <w:szCs w:val="18"/>
    </w:rPr>
  </w:style>
  <w:style w:type="character" w:customStyle="1" w:styleId="35">
    <w:name w:val="标题 3 Char"/>
    <w:basedOn w:val="15"/>
    <w:link w:val="4"/>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footer1"/>
    <w:basedOn w:val="1"/>
    <w:qFormat/>
    <w:uiPriority w:val="0"/>
    <w:pPr>
      <w:snapToGrid w:val="0"/>
      <w:jc w:val="left"/>
    </w:pPr>
    <w:rPr>
      <w:sz w:val="18"/>
      <w:szCs w:val="18"/>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character" w:customStyle="1" w:styleId="41">
    <w:name w:val="font91"/>
    <w:basedOn w:val="15"/>
    <w:qFormat/>
    <w:uiPriority w:val="0"/>
    <w:rPr>
      <w:rFonts w:hint="eastAsia" w:ascii="宋体" w:hAnsi="宋体" w:eastAsia="宋体" w:cs="宋体"/>
      <w:color w:val="000000"/>
      <w:sz w:val="24"/>
      <w:szCs w:val="24"/>
      <w:u w:val="none"/>
    </w:rPr>
  </w:style>
  <w:style w:type="character" w:customStyle="1" w:styleId="42">
    <w:name w:val="font122"/>
    <w:basedOn w:val="15"/>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formatCode="General">
                  <c:v>1053.89</c:v>
                </c:pt>
                <c:pt idx="1" c:formatCode="General">
                  <c:v>1071.97</c:v>
                </c:pt>
              </c:numCache>
            </c:numRef>
          </c:val>
        </c:ser>
        <c:dLbls>
          <c:showLegendKey val="0"/>
          <c:showVal val="1"/>
          <c:showCatName val="0"/>
          <c:showSerName val="0"/>
          <c:showPercent val="0"/>
          <c:showBubbleSize val="0"/>
        </c:dLbls>
        <c:gapWidth val="219"/>
        <c:overlap val="-27"/>
        <c:axId val="624323819"/>
        <c:axId val="25813948"/>
      </c:barChart>
      <c:catAx>
        <c:axId val="6243238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13948"/>
        <c:crosses val="autoZero"/>
        <c:auto val="1"/>
        <c:lblAlgn val="ctr"/>
        <c:lblOffset val="100"/>
        <c:noMultiLvlLbl val="0"/>
      </c:catAx>
      <c:valAx>
        <c:axId val="25813948"/>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3238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07688730429391"/>
                  <c:y val="-0.13890559230306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0.9998</c:v>
                </c:pt>
                <c:pt idx="1">
                  <c:v>0.0002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0.3824</c:v>
                </c:pt>
                <c:pt idx="1">
                  <c:v>0.6176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860.65</c:v>
                </c:pt>
                <c:pt idx="1">
                  <c:v>948.53</c:v>
                </c:pt>
              </c:numCache>
            </c:numRef>
          </c:val>
        </c:ser>
        <c:dLbls>
          <c:showLegendKey val="0"/>
          <c:showVal val="1"/>
          <c:showCatName val="0"/>
          <c:showSerName val="0"/>
          <c:showPercent val="0"/>
          <c:showBubbleSize val="0"/>
        </c:dLbls>
        <c:gapWidth val="219"/>
        <c:overlap val="-27"/>
        <c:axId val="371423496"/>
        <c:axId val="127824333"/>
      </c:barChart>
      <c:catAx>
        <c:axId val="3714234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824333"/>
        <c:crosses val="autoZero"/>
        <c:auto val="1"/>
        <c:lblAlgn val="ctr"/>
        <c:lblOffset val="100"/>
        <c:noMultiLvlLbl val="0"/>
      </c:catAx>
      <c:valAx>
        <c:axId val="127824333"/>
        <c:scaling>
          <c:orientation val="minMax"/>
          <c:min val="5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142349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formatCode="General">
                  <c:v>823.25</c:v>
                </c:pt>
                <c:pt idx="1" c:formatCode="General">
                  <c:v>948.53</c:v>
                </c:pt>
              </c:numCache>
            </c:numRef>
          </c:val>
        </c:ser>
        <c:dLbls>
          <c:showLegendKey val="0"/>
          <c:showVal val="1"/>
          <c:showCatName val="0"/>
          <c:showSerName val="0"/>
          <c:showPercent val="0"/>
          <c:showBubbleSize val="0"/>
        </c:dLbls>
        <c:gapWidth val="219"/>
        <c:overlap val="-27"/>
        <c:axId val="711256083"/>
        <c:axId val="642441535"/>
      </c:barChart>
      <c:catAx>
        <c:axId val="7112560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2441535"/>
        <c:crosses val="autoZero"/>
        <c:auto val="1"/>
        <c:lblAlgn val="ctr"/>
        <c:lblOffset val="100"/>
        <c:noMultiLvlLbl val="0"/>
      </c:catAx>
      <c:valAx>
        <c:axId val="642441535"/>
        <c:scaling>
          <c:orientation val="minMax"/>
          <c:max val="1000"/>
          <c:min val="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256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513535051942795"/>
                  <c:y val="0.1032345316216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92598521609587"/>
                  <c:y val="0.02048034583528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34939312561504"/>
                  <c:y val="0.02249275542345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3248336143835"/>
                  <c:y val="0.1149750688317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文化旅游体育与传媒支出</c:v>
                </c:pt>
                <c:pt idx="2">
                  <c:v>社会保障和就业支出</c:v>
                </c:pt>
                <c:pt idx="3">
                  <c:v>卫生健康支出</c:v>
                </c:pt>
                <c:pt idx="4">
                  <c:v>农林水支出</c:v>
                </c:pt>
                <c:pt idx="5">
                  <c:v>住房保障支出</c:v>
                </c:pt>
              </c:strCache>
            </c:strRef>
          </c:cat>
          <c:val>
            <c:numRef>
              <c:f>Sheet1!$B$2:$B$7</c:f>
              <c:numCache>
                <c:formatCode>0.00%</c:formatCode>
                <c:ptCount val="6"/>
                <c:pt idx="0">
                  <c:v>0.8617</c:v>
                </c:pt>
                <c:pt idx="1">
                  <c:v>0.0334</c:v>
                </c:pt>
                <c:pt idx="2">
                  <c:v>0.0388</c:v>
                </c:pt>
                <c:pt idx="3">
                  <c:v>0.0154</c:v>
                </c:pt>
                <c:pt idx="4">
                  <c:v>0.0211</c:v>
                </c:pt>
                <c:pt idx="5">
                  <c:v>0.0296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公务接待费</c:v>
                </c:pt>
              </c:strCache>
            </c:strRef>
          </c:cat>
          <c:val>
            <c:numRef>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91</Pages>
  <Words>35076</Words>
  <Characters>39073</Characters>
  <Lines>61</Lines>
  <Paragraphs>17</Paragraphs>
  <ScaleCrop>false</ScaleCrop>
  <LinksUpToDate>false</LinksUpToDate>
  <CharactersWithSpaces>39658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船山区委宣传部</cp:lastModifiedBy>
  <cp:lastPrinted>2023-07-31T02:35:00Z</cp:lastPrinted>
  <dcterms:modified xsi:type="dcterms:W3CDTF">2024-09-11T09:47:33Z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FA01924211184EB5A1BE24A21C97CD29_13</vt:lpwstr>
  </property>
</Properties>
</file>