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default"/>
        </w:rPr>
      </w:pPr>
      <w:r>
        <w:rPr>
          <w:rFonts w:hint="default"/>
        </w:rPr>
        <w:t>《广德灵泉风景名胜区灵泉景区详细规划》</w:t>
      </w:r>
    </w:p>
    <w:p>
      <w:pPr>
        <w:pStyle w:val="2"/>
        <w:bidi w:val="0"/>
        <w:rPr>
          <w:rFonts w:hint="default"/>
        </w:rPr>
      </w:pPr>
      <w:r>
        <w:rPr>
          <w:rFonts w:hint="default"/>
        </w:rPr>
        <w:t>公示规划简介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黑体" w:cs="Times New Roman"/>
          <w:b w:val="0"/>
          <w:bCs w:val="0"/>
          <w:i w:val="0"/>
          <w:iCs w:val="0"/>
          <w:caps w:val="0"/>
          <w:color w:val="000000"/>
          <w:spacing w:val="0"/>
          <w:sz w:val="32"/>
          <w:szCs w:val="32"/>
          <w:shd w:val="clear" w:fill="FFFFFF"/>
          <w:vertAlign w:val="baseline"/>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微软雅黑" w:cs="Times New Roman"/>
          <w:i w:val="0"/>
          <w:iCs w:val="0"/>
          <w:caps w:val="0"/>
          <w:color w:val="000000"/>
          <w:spacing w:val="0"/>
          <w:sz w:val="32"/>
          <w:szCs w:val="32"/>
        </w:rPr>
      </w:pPr>
      <w:r>
        <w:rPr>
          <w:rFonts w:hint="default" w:ascii="Times New Roman" w:hAnsi="Times New Roman" w:eastAsia="黑体" w:cs="Times New Roman"/>
          <w:b w:val="0"/>
          <w:bCs w:val="0"/>
          <w:i w:val="0"/>
          <w:iCs w:val="0"/>
          <w:caps w:val="0"/>
          <w:color w:val="000000"/>
          <w:spacing w:val="0"/>
          <w:sz w:val="32"/>
          <w:szCs w:val="32"/>
          <w:shd w:val="clear" w:fill="FFFFFF"/>
          <w:vertAlign w:val="baseline"/>
        </w:rPr>
        <w:t>一、规划范围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本次规划范围以总体规划中确定的灵泉景区范围为准，即灵泉大道以南，中环路以西，国道G318及城市开发边界线以东，主要为以灵泉寺为核心的东山区域，总面积155.92公顷。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黑体" w:cs="Times New Roman"/>
          <w:b w:val="0"/>
          <w:bCs w:val="0"/>
          <w:i w:val="0"/>
          <w:iCs w:val="0"/>
          <w:caps w:val="0"/>
          <w:color w:val="000000"/>
          <w:spacing w:val="0"/>
          <w:sz w:val="32"/>
          <w:szCs w:val="32"/>
          <w:shd w:val="clear" w:fill="FFFFFF"/>
          <w:vertAlign w:val="baseline"/>
        </w:rPr>
      </w:pPr>
      <w:r>
        <w:rPr>
          <w:rFonts w:hint="default" w:ascii="Times New Roman" w:hAnsi="Times New Roman" w:eastAsia="黑体" w:cs="Times New Roman"/>
          <w:b w:val="0"/>
          <w:bCs w:val="0"/>
          <w:i w:val="0"/>
          <w:iCs w:val="0"/>
          <w:caps w:val="0"/>
          <w:color w:val="000000"/>
          <w:spacing w:val="0"/>
          <w:sz w:val="32"/>
          <w:szCs w:val="32"/>
          <w:shd w:val="clear" w:fill="FFFFFF"/>
          <w:vertAlign w:val="baseline"/>
        </w:rPr>
        <w:t>二、用地规模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规划建设用地总面积23.23公顷，其中旅游服务设施用地面积1.75公顷</w:t>
      </w:r>
      <w:r>
        <w:rPr>
          <w:rFonts w:hint="default" w:ascii="Times New Roman" w:hAnsi="Times New Roman" w:eastAsia="仿宋_GB2312" w:cs="Times New Roman"/>
          <w:i w:val="0"/>
          <w:iCs w:val="0"/>
          <w:caps w:val="0"/>
          <w:color w:val="000000"/>
          <w:spacing w:val="0"/>
          <w:sz w:val="31"/>
          <w:szCs w:val="31"/>
          <w:shd w:val="clear" w:fill="FFFFFF"/>
          <w:vertAlign w:val="baseline"/>
        </w:rPr>
        <w:t>。</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依据《广德灵泉风景名胜区总体规划（2021-2035年）》，广德灵泉风景名胜区旅游服务设施用地面积共6.99公顷，建设用地面积共113.61公顷。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黑体" w:cs="Times New Roman"/>
          <w:b w:val="0"/>
          <w:bCs w:val="0"/>
          <w:i w:val="0"/>
          <w:iCs w:val="0"/>
          <w:caps w:val="0"/>
          <w:color w:val="000000"/>
          <w:spacing w:val="0"/>
          <w:sz w:val="32"/>
          <w:szCs w:val="32"/>
          <w:shd w:val="clear" w:fill="FFFFFF"/>
          <w:vertAlign w:val="baseline"/>
        </w:rPr>
      </w:pPr>
      <w:r>
        <w:rPr>
          <w:rFonts w:hint="default" w:ascii="Times New Roman" w:hAnsi="Times New Roman" w:eastAsia="黑体" w:cs="Times New Roman"/>
          <w:b w:val="0"/>
          <w:bCs w:val="0"/>
          <w:i w:val="0"/>
          <w:iCs w:val="0"/>
          <w:caps w:val="0"/>
          <w:color w:val="000000"/>
          <w:spacing w:val="0"/>
          <w:sz w:val="32"/>
          <w:szCs w:val="32"/>
          <w:shd w:val="clear" w:fill="FFFFFF"/>
          <w:vertAlign w:val="baseline"/>
        </w:rPr>
        <w:t>三、规划定位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以观音文化体验、柏树科普教育、山地康体为特色，围绕灵泉景区服务功能提升完善和设施更新补充，将灵泉景区逐步建设成为以揽胜抒怀、康体养心、科普宣传、观光游憩等多种功能复合的观音文化深度体验景区</w:t>
      </w:r>
      <w:r>
        <w:rPr>
          <w:rFonts w:hint="default" w:ascii="Times New Roman" w:hAnsi="Times New Roman" w:eastAsia="仿宋_GB2312" w:cs="Times New Roman"/>
          <w:i w:val="0"/>
          <w:iCs w:val="0"/>
          <w:caps w:val="0"/>
          <w:color w:val="000000"/>
          <w:spacing w:val="0"/>
          <w:sz w:val="31"/>
          <w:szCs w:val="31"/>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黑体" w:cs="Times New Roman"/>
          <w:b w:val="0"/>
          <w:bCs w:val="0"/>
          <w:i w:val="0"/>
          <w:iCs w:val="0"/>
          <w:caps w:val="0"/>
          <w:color w:val="000000"/>
          <w:spacing w:val="0"/>
          <w:sz w:val="32"/>
          <w:szCs w:val="32"/>
          <w:shd w:val="clear" w:fill="FFFFFF"/>
          <w:vertAlign w:val="baseline"/>
        </w:rPr>
      </w:pPr>
      <w:r>
        <w:rPr>
          <w:rFonts w:hint="default" w:ascii="Times New Roman" w:hAnsi="Times New Roman" w:eastAsia="黑体" w:cs="Times New Roman"/>
          <w:b w:val="0"/>
          <w:bCs w:val="0"/>
          <w:i w:val="0"/>
          <w:iCs w:val="0"/>
          <w:caps w:val="0"/>
          <w:color w:val="000000"/>
          <w:spacing w:val="0"/>
          <w:sz w:val="32"/>
          <w:szCs w:val="32"/>
          <w:shd w:val="clear" w:fill="FFFFFF"/>
          <w:vertAlign w:val="baseline"/>
          <w:lang w:val="en-US" w:eastAsia="zh-CN"/>
        </w:rPr>
        <w:t>四</w:t>
      </w:r>
      <w:r>
        <w:rPr>
          <w:rFonts w:hint="default" w:ascii="Times New Roman" w:hAnsi="Times New Roman" w:eastAsia="黑体" w:cs="Times New Roman"/>
          <w:b w:val="0"/>
          <w:bCs w:val="0"/>
          <w:i w:val="0"/>
          <w:iCs w:val="0"/>
          <w:caps w:val="0"/>
          <w:color w:val="000000"/>
          <w:spacing w:val="0"/>
          <w:sz w:val="32"/>
          <w:szCs w:val="32"/>
          <w:shd w:val="clear" w:fill="FFFFFF"/>
          <w:vertAlign w:val="baseline"/>
        </w:rPr>
        <w:t>、空间结构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rPr>
      </w:pPr>
      <w:r>
        <w:rPr>
          <w:rFonts w:hint="default" w:ascii="Times New Roman" w:hAnsi="Times New Roman" w:eastAsia="仿宋_GB2312" w:cs="Times New Roman"/>
          <w:i w:val="0"/>
          <w:iCs w:val="0"/>
          <w:caps w:val="0"/>
          <w:color w:val="000000"/>
          <w:spacing w:val="0"/>
          <w:sz w:val="31"/>
          <w:szCs w:val="31"/>
          <w:shd w:val="clear" w:fill="FFFFFF"/>
          <w:vertAlign w:val="baseline"/>
        </w:rPr>
        <w:t>总体打造</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“一心·一带·两区”的功能结构</w:t>
      </w:r>
      <w:r>
        <w:rPr>
          <w:rFonts w:hint="default" w:ascii="Times New Roman" w:hAnsi="Times New Roman" w:eastAsia="仿宋_GB2312" w:cs="Times New Roman"/>
          <w:i w:val="0"/>
          <w:iCs w:val="0"/>
          <w:caps w:val="0"/>
          <w:color w:val="000000"/>
          <w:spacing w:val="0"/>
          <w:sz w:val="31"/>
          <w:szCs w:val="31"/>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一心：指灵泉景区西入口的综合服务中心；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一带：沿规划区中部东西向道路形成的宗教人文体验带；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两区：指依托灵泉寺的养心·祈福揽胜休闲区和观音茶园的养身·森养乐境健体区。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黑体" w:cs="Times New Roman"/>
          <w:b w:val="0"/>
          <w:bCs w:val="0"/>
          <w:i w:val="0"/>
          <w:iCs w:val="0"/>
          <w:caps w:val="0"/>
          <w:color w:val="000000"/>
          <w:spacing w:val="0"/>
          <w:sz w:val="32"/>
          <w:szCs w:val="32"/>
          <w:shd w:val="clear" w:fill="FFFFFF"/>
          <w:vertAlign w:val="baseline"/>
          <w:lang w:val="en-US" w:eastAsia="zh-CN"/>
        </w:rPr>
      </w:pPr>
      <w:r>
        <w:rPr>
          <w:rFonts w:hint="default" w:ascii="Times New Roman" w:hAnsi="Times New Roman" w:eastAsia="黑体" w:cs="Times New Roman"/>
          <w:b w:val="0"/>
          <w:bCs w:val="0"/>
          <w:i w:val="0"/>
          <w:iCs w:val="0"/>
          <w:caps w:val="0"/>
          <w:color w:val="000000"/>
          <w:spacing w:val="0"/>
          <w:sz w:val="32"/>
          <w:szCs w:val="32"/>
          <w:shd w:val="clear" w:fill="FFFFFF"/>
          <w:vertAlign w:val="baseline"/>
          <w:lang w:val="en-US" w:eastAsia="zh-CN"/>
        </w:rPr>
        <w:t>五、景观保护与利用规划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楷体_GB2312" w:cs="Times New Roman"/>
          <w:i w:val="0"/>
          <w:iCs w:val="0"/>
          <w:caps w:val="0"/>
          <w:color w:val="000000"/>
          <w:spacing w:val="0"/>
          <w:sz w:val="31"/>
          <w:szCs w:val="31"/>
          <w:shd w:val="clear" w:fill="FFFFFF"/>
          <w:vertAlign w:val="baseline"/>
        </w:rPr>
        <w:t>（一）</w:t>
      </w:r>
      <w:r>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t>分级保护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方正仿宋_GB2312" w:cs="Times New Roman"/>
          <w:b/>
          <w:bCs/>
          <w:i w:val="0"/>
          <w:iCs w:val="0"/>
          <w:caps w:val="0"/>
          <w:color w:val="000000"/>
          <w:spacing w:val="0"/>
          <w:sz w:val="32"/>
          <w:szCs w:val="32"/>
          <w:shd w:val="clear" w:fill="FFFFFF"/>
          <w:vertAlign w:val="baseline"/>
          <w:lang w:val="en-US" w:eastAsia="zh-CN"/>
        </w:rPr>
      </w:pPr>
      <w:r>
        <w:rPr>
          <w:rFonts w:hint="default" w:ascii="Times New Roman" w:hAnsi="Times New Roman" w:eastAsia="方正仿宋_GB2312" w:cs="Times New Roman"/>
          <w:b/>
          <w:bCs/>
          <w:i w:val="0"/>
          <w:iCs w:val="0"/>
          <w:caps w:val="0"/>
          <w:color w:val="000000"/>
          <w:spacing w:val="0"/>
          <w:sz w:val="32"/>
          <w:szCs w:val="32"/>
          <w:shd w:val="clear" w:fill="FFFFFF"/>
          <w:vertAlign w:val="baseline"/>
          <w:lang w:val="en-US" w:eastAsia="zh-CN"/>
        </w:rPr>
        <w:t>1.一级保护区（严格禁止建设区）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灵泉寺保护区。保护面积7.51公顷。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保护措施：严格保护风景资源的真实性和完整性，保持并完善风景景观环境；严禁建设与风景游赏和保护无关的设施，不得安排旅宿床位；禁止安排对外交通，严格限制机动交通工具进入本区；涉及文物保护单位的应按照国家相关法律法规严格执行，人文景点的建设完善应在充分尊重其历史原貌和文脉的基础上进行，严禁建设与人文景点风貌和功能不协调的建（构）筑物，同时，禁止在核心景区内建设宾馆、招待所、培训中心、疗养院以及与风景名胜资源保护无关的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方正仿宋_GB2312" w:cs="Times New Roman"/>
          <w:b/>
          <w:bCs/>
          <w:i w:val="0"/>
          <w:iCs w:val="0"/>
          <w:caps w:val="0"/>
          <w:color w:val="000000"/>
          <w:spacing w:val="0"/>
          <w:sz w:val="32"/>
          <w:szCs w:val="32"/>
          <w:shd w:val="clear" w:fill="FFFFFF"/>
          <w:vertAlign w:val="baseline"/>
          <w:lang w:val="en-US" w:eastAsia="zh-CN"/>
        </w:rPr>
      </w:pPr>
      <w:r>
        <w:rPr>
          <w:rFonts w:hint="default" w:ascii="Times New Roman" w:hAnsi="Times New Roman" w:eastAsia="方正仿宋_GB2312" w:cs="Times New Roman"/>
          <w:b/>
          <w:bCs/>
          <w:i w:val="0"/>
          <w:iCs w:val="0"/>
          <w:caps w:val="0"/>
          <w:color w:val="000000"/>
          <w:spacing w:val="0"/>
          <w:sz w:val="32"/>
          <w:szCs w:val="32"/>
          <w:shd w:val="clear" w:fill="FFFFFF"/>
          <w:vertAlign w:val="baseline"/>
          <w:lang w:val="en-US" w:eastAsia="zh-CN"/>
        </w:rPr>
        <w:t>2.二级保护区（严格限制建设范围）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灵泉景区北部，一级保护区外围一定区域，作为有效维护一级保护区的缓冲地带，总面积为81.38公顷。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保护措施：应恢复区内生态与景观环境，限制各类建设和人为活动，可安排防洪设施和直接为风景游赏服务的相关设施；严格限制居民点的加建和扩建，严格限制游览性交通以外的机动交通工具进入本区；严禁破坏区内的山体、水体、植被等各种景观元素，保持景观格局的完整；在文物保护单位的建设控制地带内进行工程建设，不得破坏文物保护单位的历史风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方正仿宋_GB2312" w:cs="Times New Roman"/>
          <w:b/>
          <w:bCs/>
          <w:i w:val="0"/>
          <w:iCs w:val="0"/>
          <w:caps w:val="0"/>
          <w:color w:val="000000"/>
          <w:spacing w:val="0"/>
          <w:sz w:val="32"/>
          <w:szCs w:val="32"/>
          <w:shd w:val="clear" w:fill="FFFFFF"/>
          <w:vertAlign w:val="baseline"/>
          <w:lang w:val="en-US" w:eastAsia="zh-CN"/>
        </w:rPr>
      </w:pPr>
      <w:r>
        <w:rPr>
          <w:rFonts w:hint="default" w:ascii="Times New Roman" w:hAnsi="Times New Roman" w:eastAsia="方正仿宋_GB2312" w:cs="Times New Roman"/>
          <w:b/>
          <w:bCs/>
          <w:i w:val="0"/>
          <w:iCs w:val="0"/>
          <w:caps w:val="0"/>
          <w:color w:val="000000"/>
          <w:spacing w:val="0"/>
          <w:sz w:val="32"/>
          <w:szCs w:val="32"/>
          <w:shd w:val="clear" w:fill="FFFFFF"/>
          <w:vertAlign w:val="baseline"/>
          <w:lang w:val="en-US" w:eastAsia="zh-CN"/>
        </w:rPr>
        <w:t>3.三级保护区（控制建设范围）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除一、二级保护区之外的地区，位于景区以南区域，总面积为67.03公顷。</w:t>
      </w:r>
    </w:p>
    <w:p>
      <w:pPr>
        <w:keepNext w:val="0"/>
        <w:keepLines w:val="0"/>
        <w:pageBreakBefore w:val="0"/>
        <w:widowControl w:val="0"/>
        <w:kinsoku/>
        <w:wordWrap/>
        <w:overflowPunct/>
        <w:topLinePunct w:val="0"/>
        <w:autoSpaceDE/>
        <w:autoSpaceDN/>
        <w:bidi w:val="0"/>
        <w:adjustRightInd/>
        <w:snapToGrid/>
        <w:spacing w:line="600" w:lineRule="exact"/>
        <w:ind w:firstLine="620" w:firstLineChars="200"/>
        <w:jc w:val="both"/>
        <w:textAlignment w:val="auto"/>
        <w:rPr>
          <w:rFonts w:hint="default" w:ascii="Times New Roman" w:hAnsi="Times New Roman" w:cs="Times New Roman"/>
          <w:lang w:val="en-US" w:eastAsia="zh-CN"/>
        </w:rPr>
      </w:pPr>
      <w:r>
        <w:rPr>
          <w:rFonts w:hint="default" w:ascii="Times New Roman" w:hAnsi="Times New Roman" w:eastAsia="仿宋_GB2312" w:cs="Times New Roman"/>
          <w:i w:val="0"/>
          <w:iCs w:val="0"/>
          <w:caps w:val="0"/>
          <w:color w:val="000000"/>
          <w:spacing w:val="0"/>
          <w:kern w:val="0"/>
          <w:sz w:val="31"/>
          <w:szCs w:val="31"/>
          <w:shd w:val="clear" w:fill="FFFFFF"/>
          <w:vertAlign w:val="baseline"/>
          <w:lang w:val="en-US" w:eastAsia="zh-CN" w:bidi="ar"/>
        </w:rPr>
        <w:t>保护措施：可以安排规划确定的各项旅游接待服务设施；按照国土空间规划调整区内原有土地利用方式与形态；引导散居居民聚居，保留居民生产、生活场所和设施，但应控制居民设施布局和规模；游览、交通、水利、基础工程等设施均须编制详细规划和设计，经有关部门批准后严格按规划实施；建设风貌必须与风景环境相协调，接待服务设施等布局应有利于风景区的保护和营运，基础工程设施必须符合相关技术规范和满足环保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楷体_GB2312" w:cs="Times New Roman"/>
          <w:i w:val="0"/>
          <w:iCs w:val="0"/>
          <w:caps w:val="0"/>
          <w:color w:val="000000"/>
          <w:spacing w:val="0"/>
          <w:sz w:val="31"/>
          <w:szCs w:val="31"/>
          <w:shd w:val="clear" w:fill="FFFFFF"/>
          <w:vertAlign w:val="baseline"/>
        </w:rPr>
        <w:t>（</w:t>
      </w:r>
      <w:r>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t>二</w:t>
      </w:r>
      <w:r>
        <w:rPr>
          <w:rFonts w:hint="default" w:ascii="Times New Roman" w:hAnsi="Times New Roman" w:eastAsia="楷体_GB2312" w:cs="Times New Roman"/>
          <w:i w:val="0"/>
          <w:iCs w:val="0"/>
          <w:caps w:val="0"/>
          <w:color w:val="000000"/>
          <w:spacing w:val="0"/>
          <w:sz w:val="31"/>
          <w:szCs w:val="31"/>
          <w:shd w:val="clear" w:fill="FFFFFF"/>
          <w:vertAlign w:val="baseline"/>
        </w:rPr>
        <w:t>）</w:t>
      </w:r>
      <w:bookmarkStart w:id="0" w:name="_Toc9902"/>
      <w:bookmarkStart w:id="1" w:name="_Toc10446"/>
      <w:r>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t>景观利用规划</w:t>
      </w:r>
      <w:bookmarkEnd w:id="0"/>
      <w:bookmarkEnd w:id="1"/>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本次规划对风景区总体规划确定的景观资源进行核实和补充，在总规确定的灵泉山、灵泉湖、观音柏、观音茶园、灵泉寺、灵泉下庙、灵泉上庙、观音庙会8个景点基础上补增了观音阁、万佛广场、三眼井、七泉摩崖石刻4个景物，通过整治景观环境，提供高品质的游赏体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黑体" w:cs="Times New Roman"/>
          <w:b w:val="0"/>
          <w:bCs w:val="0"/>
          <w:i w:val="0"/>
          <w:iCs w:val="0"/>
          <w:caps w:val="0"/>
          <w:color w:val="000000"/>
          <w:spacing w:val="0"/>
          <w:sz w:val="32"/>
          <w:szCs w:val="32"/>
          <w:shd w:val="clear" w:fill="FFFFFF"/>
          <w:vertAlign w:val="baseline"/>
          <w:lang w:val="en-US" w:eastAsia="zh-CN"/>
        </w:rPr>
      </w:pPr>
      <w:r>
        <w:rPr>
          <w:rFonts w:hint="default" w:ascii="Times New Roman" w:hAnsi="Times New Roman" w:eastAsia="黑体" w:cs="Times New Roman"/>
          <w:b w:val="0"/>
          <w:bCs w:val="0"/>
          <w:i w:val="0"/>
          <w:iCs w:val="0"/>
          <w:caps w:val="0"/>
          <w:color w:val="000000"/>
          <w:spacing w:val="0"/>
          <w:sz w:val="32"/>
          <w:szCs w:val="32"/>
          <w:shd w:val="clear" w:fill="FFFFFF"/>
          <w:vertAlign w:val="baseline"/>
        </w:rPr>
        <w:t>六、</w:t>
      </w:r>
      <w:r>
        <w:rPr>
          <w:rFonts w:hint="default" w:ascii="Times New Roman" w:hAnsi="Times New Roman" w:eastAsia="黑体" w:cs="Times New Roman"/>
          <w:b w:val="0"/>
          <w:bCs w:val="0"/>
          <w:i w:val="0"/>
          <w:iCs w:val="0"/>
          <w:caps w:val="0"/>
          <w:color w:val="000000"/>
          <w:spacing w:val="0"/>
          <w:sz w:val="32"/>
          <w:szCs w:val="32"/>
          <w:shd w:val="clear" w:fill="FFFFFF"/>
          <w:vertAlign w:val="baseline"/>
          <w:lang w:val="en-US" w:eastAsia="zh-CN"/>
        </w:rPr>
        <w:t>旅游服务设施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保留现状游客服务中心，在梅山书院和灵泉下庙各设置1处旅游服务部。根据《风景名胜区详细规划标准》（GB/T 51294-2018）配置完善卫生公厕、餐饮、小卖部等其他旅游服务设施。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黑体" w:cs="Times New Roman"/>
          <w:b w:val="0"/>
          <w:bCs w:val="0"/>
          <w:i w:val="0"/>
          <w:iCs w:val="0"/>
          <w:caps w:val="0"/>
          <w:color w:val="000000"/>
          <w:spacing w:val="0"/>
          <w:sz w:val="32"/>
          <w:szCs w:val="32"/>
          <w:shd w:val="clear" w:fill="FFFFFF"/>
          <w:vertAlign w:val="baseline"/>
          <w:lang w:val="en-US" w:eastAsia="zh-CN"/>
        </w:rPr>
      </w:pPr>
      <w:r>
        <w:rPr>
          <w:rFonts w:hint="default" w:ascii="Times New Roman" w:hAnsi="Times New Roman" w:eastAsia="黑体" w:cs="Times New Roman"/>
          <w:b w:val="0"/>
          <w:bCs w:val="0"/>
          <w:i w:val="0"/>
          <w:iCs w:val="0"/>
          <w:caps w:val="0"/>
          <w:color w:val="000000"/>
          <w:spacing w:val="0"/>
          <w:sz w:val="32"/>
          <w:szCs w:val="32"/>
          <w:shd w:val="clear" w:fill="FFFFFF"/>
          <w:vertAlign w:val="baseline"/>
          <w:lang w:val="en-US" w:eastAsia="zh-CN"/>
        </w:rPr>
        <w:t>七</w:t>
      </w:r>
      <w:r>
        <w:rPr>
          <w:rFonts w:hint="default" w:ascii="Times New Roman" w:hAnsi="Times New Roman" w:eastAsia="黑体" w:cs="Times New Roman"/>
          <w:b w:val="0"/>
          <w:bCs w:val="0"/>
          <w:i w:val="0"/>
          <w:iCs w:val="0"/>
          <w:caps w:val="0"/>
          <w:color w:val="000000"/>
          <w:spacing w:val="0"/>
          <w:sz w:val="32"/>
          <w:szCs w:val="32"/>
          <w:shd w:val="clear" w:fill="FFFFFF"/>
          <w:vertAlign w:val="baseline"/>
        </w:rPr>
        <w:t>、</w:t>
      </w:r>
      <w:r>
        <w:rPr>
          <w:rFonts w:hint="default" w:ascii="Times New Roman" w:hAnsi="Times New Roman" w:eastAsia="黑体" w:cs="Times New Roman"/>
          <w:b w:val="0"/>
          <w:bCs w:val="0"/>
          <w:i w:val="0"/>
          <w:iCs w:val="0"/>
          <w:caps w:val="0"/>
          <w:color w:val="000000"/>
          <w:spacing w:val="0"/>
          <w:sz w:val="32"/>
          <w:szCs w:val="32"/>
          <w:shd w:val="clear" w:fill="FFFFFF"/>
          <w:vertAlign w:val="baseline"/>
          <w:lang w:val="en-US" w:eastAsia="zh-CN"/>
        </w:rPr>
        <w:t>游览交通规划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楷体_GB2312" w:cs="Times New Roman"/>
          <w:i w:val="0"/>
          <w:iCs w:val="0"/>
          <w:caps w:val="0"/>
          <w:color w:val="000000"/>
          <w:spacing w:val="0"/>
          <w:sz w:val="31"/>
          <w:szCs w:val="31"/>
          <w:shd w:val="clear" w:fill="FFFFFF"/>
          <w:vertAlign w:val="baseline"/>
        </w:rPr>
        <w:t>（一）</w:t>
      </w:r>
      <w:r>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t>道路交通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规划形成主干路、次干路和游步道（巡护道）三个等级的内部道路交通体系。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rPr>
      </w:pPr>
      <w:r>
        <w:rPr>
          <w:rFonts w:hint="default" w:ascii="Times New Roman" w:hAnsi="Times New Roman" w:eastAsia="仿宋_GB2312" w:cs="Times New Roman"/>
          <w:i w:val="0"/>
          <w:iCs w:val="0"/>
          <w:caps w:val="0"/>
          <w:color w:val="000000"/>
          <w:spacing w:val="0"/>
          <w:sz w:val="31"/>
          <w:szCs w:val="31"/>
          <w:shd w:val="clear" w:fill="FFFFFF"/>
          <w:vertAlign w:val="baseline"/>
        </w:rPr>
        <w:t>主干</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路</w:t>
      </w:r>
      <w:r>
        <w:rPr>
          <w:rFonts w:hint="default" w:ascii="Times New Roman" w:hAnsi="Times New Roman" w:eastAsia="仿宋_GB2312" w:cs="Times New Roman"/>
          <w:i w:val="0"/>
          <w:iCs w:val="0"/>
          <w:caps w:val="0"/>
          <w:color w:val="000000"/>
          <w:spacing w:val="0"/>
          <w:sz w:val="31"/>
          <w:szCs w:val="31"/>
          <w:shd w:val="clear" w:fill="FFFFFF"/>
          <w:vertAlign w:val="baseline"/>
        </w:rPr>
        <w:t>：承担</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灵泉景区</w:t>
      </w:r>
      <w:r>
        <w:rPr>
          <w:rFonts w:hint="default" w:ascii="Times New Roman" w:hAnsi="Times New Roman" w:eastAsia="仿宋_GB2312" w:cs="Times New Roman"/>
          <w:i w:val="0"/>
          <w:iCs w:val="0"/>
          <w:caps w:val="0"/>
          <w:color w:val="000000"/>
          <w:spacing w:val="0"/>
          <w:sz w:val="31"/>
          <w:szCs w:val="31"/>
          <w:shd w:val="clear" w:fill="FFFFFF"/>
          <w:vertAlign w:val="baseline"/>
        </w:rPr>
        <w:t>主要车行交通并与外部道路交通相连接，路宽</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7</w:t>
      </w:r>
      <w:r>
        <w:rPr>
          <w:rFonts w:hint="default" w:ascii="Times New Roman" w:hAnsi="Times New Roman" w:eastAsia="仿宋_GB2312" w:cs="Times New Roman"/>
          <w:i w:val="0"/>
          <w:iCs w:val="0"/>
          <w:caps w:val="0"/>
          <w:color w:val="000000"/>
          <w:spacing w:val="0"/>
          <w:sz w:val="31"/>
          <w:szCs w:val="31"/>
          <w:shd w:val="clear" w:fill="FFFFFF"/>
          <w:vertAlign w:val="baseline"/>
        </w:rPr>
        <w:t>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spacing w:before="0" w:beforeAutospacing="0" w:after="0" w:afterAutospacing="0" w:line="600" w:lineRule="exact"/>
        <w:ind w:left="0" w:right="0" w:firstLine="700" w:firstLineChars="226"/>
        <w:jc w:val="both"/>
        <w:textAlignment w:val="baseline"/>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仿宋_GB2312" w:cs="Times New Roman"/>
          <w:i w:val="0"/>
          <w:iCs w:val="0"/>
          <w:caps w:val="0"/>
          <w:color w:val="000000"/>
          <w:spacing w:val="0"/>
          <w:sz w:val="31"/>
          <w:szCs w:val="31"/>
          <w:shd w:val="clear" w:fill="FFFFFF"/>
          <w:vertAlign w:val="baseline"/>
        </w:rPr>
        <w:t>次干</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路</w:t>
      </w:r>
      <w:r>
        <w:rPr>
          <w:rFonts w:hint="default" w:ascii="Times New Roman" w:hAnsi="Times New Roman" w:eastAsia="仿宋_GB2312" w:cs="Times New Roman"/>
          <w:i w:val="0"/>
          <w:iCs w:val="0"/>
          <w:caps w:val="0"/>
          <w:color w:val="000000"/>
          <w:spacing w:val="0"/>
          <w:sz w:val="31"/>
          <w:szCs w:val="31"/>
          <w:shd w:val="clear" w:fill="FFFFFF"/>
          <w:vertAlign w:val="baseline"/>
        </w:rPr>
        <w:t>：为联系</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灵泉景区</w:t>
      </w:r>
      <w:r>
        <w:rPr>
          <w:rFonts w:hint="default" w:ascii="Times New Roman" w:hAnsi="Times New Roman" w:eastAsia="仿宋_GB2312" w:cs="Times New Roman"/>
          <w:i w:val="0"/>
          <w:iCs w:val="0"/>
          <w:caps w:val="0"/>
          <w:color w:val="000000"/>
          <w:spacing w:val="0"/>
          <w:sz w:val="31"/>
          <w:szCs w:val="31"/>
          <w:shd w:val="clear" w:fill="FFFFFF"/>
          <w:vertAlign w:val="baseline"/>
        </w:rPr>
        <w:t>组团与组团之间的道路，宽度为</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6</w:t>
      </w:r>
      <w:r>
        <w:rPr>
          <w:rFonts w:hint="default" w:ascii="Times New Roman" w:hAnsi="Times New Roman" w:eastAsia="仿宋_GB2312" w:cs="Times New Roman"/>
          <w:i w:val="0"/>
          <w:iCs w:val="0"/>
          <w:caps w:val="0"/>
          <w:color w:val="000000"/>
          <w:spacing w:val="0"/>
          <w:sz w:val="31"/>
          <w:szCs w:val="31"/>
          <w:shd w:val="clear" w:fill="FFFFFF"/>
          <w:vertAlign w:val="baseline"/>
        </w:rPr>
        <w:t>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游步道（巡护道）</w:t>
      </w:r>
      <w:r>
        <w:rPr>
          <w:rFonts w:hint="default" w:ascii="Times New Roman" w:hAnsi="Times New Roman" w:eastAsia="仿宋_GB2312" w:cs="Times New Roman"/>
          <w:i w:val="0"/>
          <w:iCs w:val="0"/>
          <w:caps w:val="0"/>
          <w:color w:val="000000"/>
          <w:spacing w:val="0"/>
          <w:sz w:val="31"/>
          <w:szCs w:val="31"/>
          <w:shd w:val="clear" w:fill="FFFFFF"/>
          <w:vertAlign w:val="baseline"/>
        </w:rPr>
        <w:t>：为</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景区组团</w:t>
      </w:r>
      <w:r>
        <w:rPr>
          <w:rFonts w:hint="default" w:ascii="Times New Roman" w:hAnsi="Times New Roman" w:eastAsia="仿宋_GB2312" w:cs="Times New Roman"/>
          <w:i w:val="0"/>
          <w:iCs w:val="0"/>
          <w:caps w:val="0"/>
          <w:color w:val="000000"/>
          <w:spacing w:val="0"/>
          <w:sz w:val="31"/>
          <w:szCs w:val="31"/>
          <w:shd w:val="clear" w:fill="FFFFFF"/>
          <w:vertAlign w:val="baseline"/>
        </w:rPr>
        <w:t>内部的</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游览</w:t>
      </w:r>
      <w:r>
        <w:rPr>
          <w:rFonts w:hint="default" w:ascii="Times New Roman" w:hAnsi="Times New Roman" w:eastAsia="仿宋_GB2312" w:cs="Times New Roman"/>
          <w:i w:val="0"/>
          <w:iCs w:val="0"/>
          <w:caps w:val="0"/>
          <w:color w:val="000000"/>
          <w:spacing w:val="0"/>
          <w:sz w:val="31"/>
          <w:szCs w:val="31"/>
          <w:shd w:val="clear" w:fill="FFFFFF"/>
          <w:vertAlign w:val="baseline"/>
        </w:rPr>
        <w:t>道路，宽度为</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1.5-3</w:t>
      </w:r>
      <w:r>
        <w:rPr>
          <w:rFonts w:hint="default" w:ascii="Times New Roman" w:hAnsi="Times New Roman" w:eastAsia="仿宋_GB2312" w:cs="Times New Roman"/>
          <w:i w:val="0"/>
          <w:iCs w:val="0"/>
          <w:caps w:val="0"/>
          <w:color w:val="000000"/>
          <w:spacing w:val="0"/>
          <w:sz w:val="31"/>
          <w:szCs w:val="31"/>
          <w:shd w:val="clear" w:fill="FFFFFF"/>
          <w:vertAlign w:val="baseline"/>
        </w:rPr>
        <w:t>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楷体_GB2312" w:cs="Times New Roman"/>
          <w:i w:val="0"/>
          <w:iCs w:val="0"/>
          <w:caps w:val="0"/>
          <w:color w:val="000000"/>
          <w:spacing w:val="0"/>
          <w:sz w:val="31"/>
          <w:szCs w:val="31"/>
          <w:shd w:val="clear" w:fill="FFFFFF"/>
          <w:vertAlign w:val="baseline"/>
        </w:rPr>
        <w:t>（</w:t>
      </w:r>
      <w:r>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t>二</w:t>
      </w:r>
      <w:r>
        <w:rPr>
          <w:rFonts w:hint="default" w:ascii="Times New Roman" w:hAnsi="Times New Roman" w:eastAsia="楷体_GB2312" w:cs="Times New Roman"/>
          <w:i w:val="0"/>
          <w:iCs w:val="0"/>
          <w:caps w:val="0"/>
          <w:color w:val="000000"/>
          <w:spacing w:val="0"/>
          <w:sz w:val="31"/>
          <w:szCs w:val="31"/>
          <w:shd w:val="clear" w:fill="FFFFFF"/>
          <w:vertAlign w:val="baseline"/>
        </w:rPr>
        <w:t>）</w:t>
      </w:r>
      <w:r>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t>交通设施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景区内保留现状的1处地上停车场，提供160个社会车辆停车位，设置16个小车充电车位，同时推进智慧停车系统建设。结合景区西入口聚贤广场配建20个大巴车停车位。旅游旺季结合范围外的北入口和东入口停车场对人口和车辆进行疏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在入口大门处设置1处观光车停靠站，景区内设置6处换乘站点，满足游客换乘需求。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黑体" w:cs="Times New Roman"/>
          <w:b w:val="0"/>
          <w:bCs w:val="0"/>
          <w:i w:val="0"/>
          <w:iCs w:val="0"/>
          <w:caps w:val="0"/>
          <w:color w:val="000000"/>
          <w:spacing w:val="0"/>
          <w:sz w:val="32"/>
          <w:szCs w:val="32"/>
          <w:shd w:val="clear" w:fill="FFFFFF"/>
          <w:vertAlign w:val="baseline"/>
          <w:lang w:eastAsia="zh-CN"/>
        </w:rPr>
      </w:pPr>
      <w:r>
        <w:rPr>
          <w:rFonts w:hint="default" w:ascii="Times New Roman" w:hAnsi="Times New Roman" w:eastAsia="黑体" w:cs="Times New Roman"/>
          <w:b w:val="0"/>
          <w:bCs w:val="0"/>
          <w:i w:val="0"/>
          <w:iCs w:val="0"/>
          <w:caps w:val="0"/>
          <w:color w:val="000000"/>
          <w:spacing w:val="0"/>
          <w:sz w:val="32"/>
          <w:szCs w:val="32"/>
          <w:shd w:val="clear" w:fill="FFFFFF"/>
          <w:vertAlign w:val="baseline"/>
          <w:lang w:val="en-US" w:eastAsia="zh-CN"/>
        </w:rPr>
        <w:t>八</w:t>
      </w:r>
      <w:r>
        <w:rPr>
          <w:rFonts w:hint="default" w:ascii="Times New Roman" w:hAnsi="Times New Roman" w:eastAsia="黑体" w:cs="Times New Roman"/>
          <w:b w:val="0"/>
          <w:bCs w:val="0"/>
          <w:i w:val="0"/>
          <w:iCs w:val="0"/>
          <w:caps w:val="0"/>
          <w:color w:val="000000"/>
          <w:spacing w:val="0"/>
          <w:sz w:val="32"/>
          <w:szCs w:val="32"/>
          <w:shd w:val="clear" w:fill="FFFFFF"/>
          <w:vertAlign w:val="baseline"/>
        </w:rPr>
        <w:t>、用地</w:t>
      </w:r>
      <w:r>
        <w:rPr>
          <w:rFonts w:hint="default" w:ascii="Times New Roman" w:hAnsi="Times New Roman" w:eastAsia="黑体" w:cs="Times New Roman"/>
          <w:b w:val="0"/>
          <w:bCs w:val="0"/>
          <w:i w:val="0"/>
          <w:iCs w:val="0"/>
          <w:caps w:val="0"/>
          <w:color w:val="000000"/>
          <w:spacing w:val="0"/>
          <w:sz w:val="32"/>
          <w:szCs w:val="32"/>
          <w:shd w:val="clear" w:fill="FFFFFF"/>
          <w:vertAlign w:val="baseline"/>
          <w:lang w:val="en-US" w:eastAsia="zh-CN"/>
        </w:rPr>
        <w:t>协调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rPr>
      </w:pPr>
      <w:r>
        <w:rPr>
          <w:rFonts w:hint="default" w:ascii="Times New Roman" w:hAnsi="Times New Roman" w:eastAsia="楷体_GB2312" w:cs="Times New Roman"/>
          <w:i w:val="0"/>
          <w:iCs w:val="0"/>
          <w:caps w:val="0"/>
          <w:color w:val="000000"/>
          <w:spacing w:val="0"/>
          <w:sz w:val="31"/>
          <w:szCs w:val="31"/>
          <w:shd w:val="clear" w:fill="FFFFFF"/>
          <w:vertAlign w:val="baseline"/>
        </w:rPr>
        <w:t>（</w:t>
      </w:r>
      <w:r>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t>一</w:t>
      </w:r>
      <w:r>
        <w:rPr>
          <w:rFonts w:hint="default" w:ascii="Times New Roman" w:hAnsi="Times New Roman" w:eastAsia="楷体_GB2312" w:cs="Times New Roman"/>
          <w:i w:val="0"/>
          <w:iCs w:val="0"/>
          <w:caps w:val="0"/>
          <w:color w:val="000000"/>
          <w:spacing w:val="0"/>
          <w:sz w:val="31"/>
          <w:szCs w:val="31"/>
          <w:shd w:val="clear" w:fill="FFFFFF"/>
          <w:vertAlign w:val="baseline"/>
        </w:rPr>
        <w:t>）</w:t>
      </w:r>
      <w:r>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t>用地规划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规划区内建设用地面积为23.23公顷，其中风景点用地8.89公顷，旅游服务设施用地1.75公顷，居民社会用地1.23公顷，交通与工程用地11.36公顷。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rPr>
      </w:pPr>
      <w:r>
        <w:rPr>
          <w:rFonts w:hint="default" w:ascii="Times New Roman" w:hAnsi="Times New Roman" w:eastAsia="仿宋_GB2312" w:cs="Times New Roman"/>
          <w:i w:val="0"/>
          <w:iCs w:val="0"/>
          <w:caps w:val="0"/>
          <w:color w:val="000000"/>
          <w:spacing w:val="0"/>
          <w:sz w:val="31"/>
          <w:szCs w:val="31"/>
          <w:shd w:val="clear" w:fill="FFFFFF"/>
          <w:vertAlign w:val="baseline"/>
        </w:rPr>
        <w:t>规划区内非建设用地面积为</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132.69</w:t>
      </w:r>
      <w:r>
        <w:rPr>
          <w:rFonts w:hint="default" w:ascii="Times New Roman" w:hAnsi="Times New Roman" w:eastAsia="仿宋_GB2312" w:cs="Times New Roman"/>
          <w:i w:val="0"/>
          <w:iCs w:val="0"/>
          <w:caps w:val="0"/>
          <w:color w:val="000000"/>
          <w:spacing w:val="0"/>
          <w:sz w:val="31"/>
          <w:szCs w:val="31"/>
          <w:shd w:val="clear" w:fill="FFFFFF"/>
          <w:vertAlign w:val="baseline"/>
        </w:rPr>
        <w:t>公顷，包括</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其他观光用地、</w:t>
      </w:r>
      <w:r>
        <w:rPr>
          <w:rFonts w:hint="default" w:ascii="Times New Roman" w:hAnsi="Times New Roman" w:eastAsia="仿宋_GB2312" w:cs="Times New Roman"/>
          <w:i w:val="0"/>
          <w:iCs w:val="0"/>
          <w:caps w:val="0"/>
          <w:color w:val="000000"/>
          <w:spacing w:val="0"/>
          <w:sz w:val="31"/>
          <w:szCs w:val="31"/>
          <w:shd w:val="clear" w:fill="FFFFFF"/>
          <w:vertAlign w:val="baseline"/>
        </w:rPr>
        <w:t>耕地、林地、园地</w:t>
      </w:r>
      <w:r>
        <w:rPr>
          <w:rFonts w:hint="default" w:ascii="Times New Roman" w:hAnsi="Times New Roman" w:eastAsia="仿宋_GB2312" w:cs="Times New Roman"/>
          <w:i w:val="0"/>
          <w:iCs w:val="0"/>
          <w:caps w:val="0"/>
          <w:color w:val="000000"/>
          <w:spacing w:val="0"/>
          <w:sz w:val="31"/>
          <w:szCs w:val="31"/>
          <w:shd w:val="clear" w:fill="FFFFFF"/>
          <w:vertAlign w:val="baseline"/>
          <w:lang w:eastAsia="zh-CN"/>
        </w:rPr>
        <w:t>、</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草地、水域</w:t>
      </w:r>
      <w:r>
        <w:rPr>
          <w:rFonts w:hint="default" w:ascii="Times New Roman" w:hAnsi="Times New Roman" w:eastAsia="仿宋_GB2312" w:cs="Times New Roman"/>
          <w:i w:val="0"/>
          <w:iCs w:val="0"/>
          <w:caps w:val="0"/>
          <w:color w:val="000000"/>
          <w:spacing w:val="0"/>
          <w:sz w:val="31"/>
          <w:szCs w:val="31"/>
          <w:shd w:val="clear" w:fill="FFFFFF"/>
          <w:vertAlign w:val="baseline"/>
        </w:rPr>
        <w:t>等农林用地。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楷体_GB2312" w:cs="Times New Roman"/>
          <w:i w:val="0"/>
          <w:iCs w:val="0"/>
          <w:caps w:val="0"/>
          <w:color w:val="000000"/>
          <w:spacing w:val="0"/>
          <w:sz w:val="31"/>
          <w:szCs w:val="31"/>
          <w:shd w:val="clear" w:fill="FFFFFF"/>
          <w:vertAlign w:val="baseline"/>
          <w:lang w:eastAsia="zh-CN"/>
        </w:rPr>
        <w:t>（</w:t>
      </w:r>
      <w:r>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t>二</w:t>
      </w:r>
      <w:r>
        <w:rPr>
          <w:rFonts w:hint="default" w:ascii="Times New Roman" w:hAnsi="Times New Roman" w:eastAsia="楷体_GB2312" w:cs="Times New Roman"/>
          <w:i w:val="0"/>
          <w:iCs w:val="0"/>
          <w:caps w:val="0"/>
          <w:color w:val="000000"/>
          <w:spacing w:val="0"/>
          <w:sz w:val="31"/>
          <w:szCs w:val="31"/>
          <w:shd w:val="clear" w:fill="FFFFFF"/>
          <w:vertAlign w:val="baseline"/>
          <w:lang w:eastAsia="zh-CN"/>
        </w:rPr>
        <w:t>）</w:t>
      </w:r>
      <w:r>
        <w:rPr>
          <w:rFonts w:hint="default" w:ascii="Times New Roman" w:hAnsi="Times New Roman" w:eastAsia="楷体_GB2312" w:cs="Times New Roman"/>
          <w:i w:val="0"/>
          <w:iCs w:val="0"/>
          <w:caps w:val="0"/>
          <w:color w:val="000000"/>
          <w:spacing w:val="0"/>
          <w:sz w:val="31"/>
          <w:szCs w:val="31"/>
          <w:shd w:val="clear" w:fill="FFFFFF"/>
          <w:vertAlign w:val="baseline"/>
          <w:lang w:val="en-US" w:eastAsia="zh-CN"/>
        </w:rPr>
        <w:t>开发建设控制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黑体" w:cs="Times New Roman"/>
          <w:i w:val="0"/>
          <w:iCs w:val="0"/>
          <w:caps w:val="0"/>
          <w:color w:val="000000"/>
          <w:spacing w:val="0"/>
          <w:sz w:val="31"/>
          <w:szCs w:val="31"/>
          <w:shd w:val="clear" w:fill="FFFFFF"/>
          <w:vertAlign w:val="baseline"/>
        </w:rPr>
      </w:pPr>
      <w:r>
        <w:rPr>
          <w:rFonts w:hint="default" w:ascii="Times New Roman" w:hAnsi="Times New Roman" w:eastAsia="黑体" w:cs="Times New Roman"/>
          <w:i w:val="0"/>
          <w:iCs w:val="0"/>
          <w:caps w:val="0"/>
          <w:color w:val="000000"/>
          <w:spacing w:val="0"/>
          <w:sz w:val="31"/>
          <w:szCs w:val="31"/>
          <w:shd w:val="clear" w:fill="FFFFFF"/>
          <w:vertAlign w:val="baseline"/>
          <w:lang w:val="en-US" w:eastAsia="zh-CN"/>
        </w:rPr>
        <w:t>1.</w:t>
      </w:r>
      <w:r>
        <w:rPr>
          <w:rFonts w:hint="default" w:ascii="Times New Roman" w:hAnsi="Times New Roman" w:eastAsia="黑体" w:cs="Times New Roman"/>
          <w:i w:val="0"/>
          <w:iCs w:val="0"/>
          <w:caps w:val="0"/>
          <w:color w:val="000000"/>
          <w:spacing w:val="0"/>
          <w:sz w:val="31"/>
          <w:szCs w:val="31"/>
          <w:shd w:val="clear" w:fill="FFFFFF"/>
          <w:vertAlign w:val="baseline"/>
        </w:rPr>
        <w:t>容积率控制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旅游服务设施用地：FAR0.2—0.8</w:t>
      </w:r>
      <w:r>
        <w:rPr>
          <w:rFonts w:hint="default" w:ascii="Times New Roman" w:hAnsi="Times New Roman" w:eastAsia="仿宋_GB2312" w:cs="Times New Roman"/>
          <w:i w:val="0"/>
          <w:iCs w:val="0"/>
          <w:caps w:val="0"/>
          <w:color w:val="000000"/>
          <w:spacing w:val="0"/>
          <w:sz w:val="31"/>
          <w:szCs w:val="31"/>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黑体"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黑体" w:cs="Times New Roman"/>
          <w:i w:val="0"/>
          <w:iCs w:val="0"/>
          <w:caps w:val="0"/>
          <w:color w:val="000000"/>
          <w:spacing w:val="0"/>
          <w:sz w:val="31"/>
          <w:szCs w:val="31"/>
          <w:shd w:val="clear" w:fill="FFFFFF"/>
          <w:vertAlign w:val="baseline"/>
          <w:lang w:val="en-US" w:eastAsia="zh-CN"/>
        </w:rPr>
        <w:t>2.建筑密度控制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旅游服务设施用地：BC≤30%</w:t>
      </w:r>
      <w:r>
        <w:rPr>
          <w:rFonts w:hint="default" w:ascii="Times New Roman" w:hAnsi="Times New Roman" w:eastAsia="仿宋_GB2312" w:cs="Times New Roman"/>
          <w:i w:val="0"/>
          <w:iCs w:val="0"/>
          <w:caps w:val="0"/>
          <w:color w:val="000000"/>
          <w:spacing w:val="0"/>
          <w:sz w:val="31"/>
          <w:szCs w:val="31"/>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rPr>
      </w:pPr>
      <w:r>
        <w:rPr>
          <w:rFonts w:hint="default" w:ascii="Times New Roman" w:hAnsi="Times New Roman" w:eastAsia="黑体" w:cs="Times New Roman"/>
          <w:i w:val="0"/>
          <w:iCs w:val="0"/>
          <w:caps w:val="0"/>
          <w:color w:val="000000"/>
          <w:spacing w:val="0"/>
          <w:sz w:val="31"/>
          <w:szCs w:val="31"/>
          <w:shd w:val="clear" w:fill="FFFFFF"/>
          <w:vertAlign w:val="baseline"/>
          <w:lang w:val="en-US" w:eastAsia="zh-CN"/>
        </w:rPr>
        <w:t>3.建筑高度控制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规划区内除现状建筑，新增建筑高度不超过16米（以建筑檐口高度为准）。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建筑超过地块限高按风景名胜区相关程序办理报批手续。</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微软雅黑" w:cs="Times New Roman"/>
          <w:i w:val="0"/>
          <w:iCs w:val="0"/>
          <w:caps w:val="0"/>
          <w:color w:val="000000"/>
          <w:spacing w:val="0"/>
          <w:sz w:val="21"/>
          <w:szCs w:val="21"/>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both"/>
        <w:textAlignment w:val="baseline"/>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仿宋_GB2312" w:cs="Times New Roman"/>
          <w:b w:val="0"/>
          <w:bCs w:val="0"/>
          <w:i w:val="0"/>
          <w:iCs w:val="0"/>
          <w:caps w:val="0"/>
          <w:color w:val="000000"/>
          <w:spacing w:val="0"/>
          <w:sz w:val="31"/>
          <w:szCs w:val="31"/>
          <w:shd w:val="clear" w:fill="FFFFFF"/>
          <w:vertAlign w:val="baseline"/>
        </w:rPr>
        <w:t>附件：</w:t>
      </w:r>
      <w:r>
        <w:rPr>
          <w:rFonts w:hint="default" w:ascii="Times New Roman" w:hAnsi="Times New Roman" w:eastAsia="仿宋_GB2312" w:cs="Times New Roman"/>
          <w:i w:val="0"/>
          <w:iCs w:val="0"/>
          <w:caps w:val="0"/>
          <w:color w:val="000000"/>
          <w:spacing w:val="0"/>
          <w:sz w:val="31"/>
          <w:szCs w:val="31"/>
          <w:shd w:val="clear" w:fill="FFFFFF"/>
          <w:vertAlign w:val="baseline"/>
        </w:rPr>
        <w:t>1.</w:t>
      </w: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功能</w:t>
      </w:r>
      <w:r>
        <w:rPr>
          <w:rFonts w:hint="default" w:ascii="Times New Roman" w:hAnsi="Times New Roman" w:eastAsia="仿宋_GB2312" w:cs="Times New Roman"/>
          <w:i w:val="0"/>
          <w:iCs w:val="0"/>
          <w:caps w:val="0"/>
          <w:color w:val="000000"/>
          <w:spacing w:val="0"/>
          <w:sz w:val="31"/>
          <w:szCs w:val="31"/>
          <w:shd w:val="clear" w:fill="FFFFFF"/>
          <w:vertAlign w:val="baseline"/>
        </w:rPr>
        <w:t>结构规划图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1605"/>
        <w:jc w:val="both"/>
        <w:textAlignment w:val="baseline"/>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仿宋_GB2312" w:cs="Times New Roman"/>
          <w:i w:val="0"/>
          <w:iCs w:val="0"/>
          <w:caps w:val="0"/>
          <w:color w:val="000000"/>
          <w:spacing w:val="0"/>
          <w:sz w:val="31"/>
          <w:szCs w:val="31"/>
          <w:shd w:val="clear" w:fill="FFFFFF"/>
          <w:vertAlign w:val="baseline"/>
        </w:rPr>
        <w:t>2.规划设计总图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1605"/>
        <w:jc w:val="both"/>
        <w:textAlignment w:val="baseline"/>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仿宋_GB2312" w:cs="Times New Roman"/>
          <w:i w:val="0"/>
          <w:iCs w:val="0"/>
          <w:caps w:val="0"/>
          <w:color w:val="000000"/>
          <w:spacing w:val="0"/>
          <w:sz w:val="31"/>
          <w:szCs w:val="31"/>
          <w:shd w:val="clear" w:fill="FFFFFF"/>
          <w:vertAlign w:val="baseline"/>
        </w:rPr>
        <w:t>3.保护培育规划图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1605"/>
        <w:jc w:val="both"/>
        <w:textAlignment w:val="baseline"/>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仿宋_GB2312" w:cs="Times New Roman"/>
          <w:i w:val="0"/>
          <w:iCs w:val="0"/>
          <w:caps w:val="0"/>
          <w:color w:val="000000"/>
          <w:spacing w:val="0"/>
          <w:sz w:val="31"/>
          <w:szCs w:val="31"/>
          <w:shd w:val="clear" w:fill="FFFFFF"/>
          <w:vertAlign w:val="baseline"/>
        </w:rPr>
        <w:t>4.风景游赏规划图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1605"/>
        <w:jc w:val="both"/>
        <w:textAlignment w:val="baseline"/>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仿宋_GB2312" w:cs="Times New Roman"/>
          <w:i w:val="0"/>
          <w:iCs w:val="0"/>
          <w:caps w:val="0"/>
          <w:color w:val="000000"/>
          <w:spacing w:val="0"/>
          <w:sz w:val="31"/>
          <w:szCs w:val="31"/>
          <w:shd w:val="clear" w:fill="FFFFFF"/>
          <w:vertAlign w:val="baseline"/>
        </w:rPr>
        <w:t>5.旅游服务设施规划图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1605"/>
        <w:jc w:val="both"/>
        <w:textAlignment w:val="baseline"/>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仿宋_GB2312" w:cs="Times New Roman"/>
          <w:i w:val="0"/>
          <w:iCs w:val="0"/>
          <w:caps w:val="0"/>
          <w:color w:val="000000"/>
          <w:spacing w:val="0"/>
          <w:sz w:val="31"/>
          <w:szCs w:val="31"/>
          <w:shd w:val="clear" w:fill="FFFFFF"/>
          <w:vertAlign w:val="baseline"/>
        </w:rPr>
        <w:t>6.游览交通规划图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1605"/>
        <w:jc w:val="both"/>
        <w:textAlignment w:val="baseline"/>
        <w:rPr>
          <w:rFonts w:hint="default" w:ascii="Times New Roman" w:hAnsi="Times New Roman" w:eastAsia="微软雅黑" w:cs="Times New Roman"/>
          <w:i w:val="0"/>
          <w:iCs w:val="0"/>
          <w:caps w:val="0"/>
          <w:color w:val="000000"/>
          <w:spacing w:val="0"/>
          <w:sz w:val="21"/>
          <w:szCs w:val="21"/>
        </w:rPr>
      </w:pPr>
      <w:r>
        <w:rPr>
          <w:rFonts w:hint="default" w:ascii="Times New Roman" w:hAnsi="Times New Roman" w:eastAsia="仿宋_GB2312" w:cs="Times New Roman"/>
          <w:i w:val="0"/>
          <w:iCs w:val="0"/>
          <w:caps w:val="0"/>
          <w:color w:val="000000"/>
          <w:spacing w:val="0"/>
          <w:sz w:val="31"/>
          <w:szCs w:val="31"/>
          <w:shd w:val="clear" w:fill="FFFFFF"/>
          <w:vertAlign w:val="baseline"/>
        </w:rPr>
        <w:t>7.土地利用规划图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160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rPr>
      </w:pPr>
      <w:r>
        <w:rPr>
          <w:rFonts w:hint="default" w:ascii="Times New Roman" w:hAnsi="Times New Roman" w:eastAsia="仿宋_GB2312" w:cs="Times New Roman"/>
          <w:i w:val="0"/>
          <w:iCs w:val="0"/>
          <w:caps w:val="0"/>
          <w:color w:val="000000"/>
          <w:spacing w:val="0"/>
          <w:sz w:val="31"/>
          <w:szCs w:val="31"/>
          <w:shd w:val="clear" w:fill="FFFFFF"/>
          <w:vertAlign w:val="baseline"/>
        </w:rPr>
        <w:t>8.开发高度控制图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1605"/>
        <w:jc w:val="both"/>
        <w:textAlignment w:val="baseline"/>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pPr>
      <w:r>
        <w:rPr>
          <w:rFonts w:hint="default" w:ascii="Times New Roman" w:hAnsi="Times New Roman" w:eastAsia="仿宋_GB2312" w:cs="Times New Roman"/>
          <w:i w:val="0"/>
          <w:iCs w:val="0"/>
          <w:caps w:val="0"/>
          <w:color w:val="000000"/>
          <w:spacing w:val="0"/>
          <w:sz w:val="31"/>
          <w:szCs w:val="31"/>
          <w:shd w:val="clear" w:fill="FFFFFF"/>
          <w:vertAlign w:val="baseline"/>
          <w:lang w:val="en-US" w:eastAsia="zh-CN"/>
        </w:rPr>
        <w:t>9.开发强度控制图</w:t>
      </w:r>
    </w:p>
    <w:p>
      <w:pPr>
        <w:jc w:val="center"/>
        <w:rPr>
          <w:rFonts w:hint="default" w:ascii="Times New Roman" w:hAnsi="Times New Roman" w:cs="Times New Roman"/>
          <w:sz w:val="44"/>
          <w:szCs w:val="52"/>
        </w:rPr>
      </w:pPr>
    </w:p>
    <w:p>
      <w:pPr>
        <w:pStyle w:val="5"/>
        <w:keepNext w:val="0"/>
        <w:keepLines w:val="0"/>
        <w:widowControl/>
        <w:suppressLineNumbers w:val="0"/>
        <w:jc w:val="left"/>
        <w:rPr>
          <w:rFonts w:hint="default" w:ascii="Times New Roman" w:hAnsi="Times New Roman" w:cs="Times New Roman"/>
          <w:sz w:val="44"/>
          <w:szCs w:val="52"/>
          <w:lang w:val="en-US" w:eastAsia="zh-CN"/>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DE480C-1AA3-4BC6-914B-ECE4248A893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20EE4877-8DA0-4DFF-99FA-ECF0C46A451C}"/>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embedRegular r:id="rId3" w:fontKey="{167C36B4-7535-4B67-9E68-BCC7EB9F54AE}"/>
  </w:font>
  <w:font w:name="楷体_GB2312">
    <w:panose1 w:val="02010609030101010101"/>
    <w:charset w:val="86"/>
    <w:family w:val="auto"/>
    <w:pitch w:val="default"/>
    <w:sig w:usb0="00000001" w:usb1="080E0000" w:usb2="00000000" w:usb3="00000000" w:csb0="00040000" w:csb1="00000000"/>
    <w:embedRegular r:id="rId4" w:fontKey="{FED44479-1612-40E0-A014-53C17F8FB5F0}"/>
  </w:font>
  <w:font w:name="方正仿宋_GB2312">
    <w:panose1 w:val="02000000000000000000"/>
    <w:charset w:val="86"/>
    <w:family w:val="auto"/>
    <w:pitch w:val="default"/>
    <w:sig w:usb0="A00002BF" w:usb1="184F6CFA" w:usb2="00000012" w:usb3="00000000" w:csb0="00040001" w:csb1="00000000"/>
    <w:embedRegular r:id="rId5" w:fontKey="{2A55BFC1-2557-4B0F-BEF0-BB1F505B163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wYmQ4YWE5ZTY1YTMxMWUxY2UxNzc2ZjdiZDY2MzYifQ=="/>
  </w:docVars>
  <w:rsids>
    <w:rsidRoot w:val="00000000"/>
    <w:rsid w:val="098E3A7F"/>
    <w:rsid w:val="0B67722D"/>
    <w:rsid w:val="0DEA6401"/>
    <w:rsid w:val="12E81B0B"/>
    <w:rsid w:val="13207E3D"/>
    <w:rsid w:val="156A35F2"/>
    <w:rsid w:val="15E94CB8"/>
    <w:rsid w:val="198368F5"/>
    <w:rsid w:val="1D646B79"/>
    <w:rsid w:val="20D67D8D"/>
    <w:rsid w:val="263B7C88"/>
    <w:rsid w:val="285A5748"/>
    <w:rsid w:val="2F2C0D43"/>
    <w:rsid w:val="34A915E9"/>
    <w:rsid w:val="36802077"/>
    <w:rsid w:val="391E1E7A"/>
    <w:rsid w:val="39FE4509"/>
    <w:rsid w:val="3A190FBF"/>
    <w:rsid w:val="45E42BE9"/>
    <w:rsid w:val="47D02DD8"/>
    <w:rsid w:val="47DF6A18"/>
    <w:rsid w:val="4EBE7BE6"/>
    <w:rsid w:val="51E67581"/>
    <w:rsid w:val="52C11D9C"/>
    <w:rsid w:val="531F54F8"/>
    <w:rsid w:val="5A790834"/>
    <w:rsid w:val="5B107F4F"/>
    <w:rsid w:val="5C074A7D"/>
    <w:rsid w:val="5D98764A"/>
    <w:rsid w:val="63EB2A2D"/>
    <w:rsid w:val="643F0A4E"/>
    <w:rsid w:val="65AE7F5D"/>
    <w:rsid w:val="679A21D9"/>
    <w:rsid w:val="699B2EEF"/>
    <w:rsid w:val="6AF4058A"/>
    <w:rsid w:val="74244545"/>
    <w:rsid w:val="74EE4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Lines="0" w:beforeAutospacing="0" w:afterLines="0" w:afterAutospacing="0" w:line="540" w:lineRule="exact"/>
      <w:ind w:firstLine="0" w:firstLineChars="0"/>
      <w:jc w:val="center"/>
      <w:outlineLvl w:val="0"/>
    </w:pPr>
    <w:rPr>
      <w:rFonts w:ascii="Calibri" w:hAnsi="Calibri" w:eastAsia="方正小标宋简体" w:cs="Times New Roman"/>
      <w:kern w:val="44"/>
      <w:sz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4"/>
    <w:autoRedefine/>
    <w:qFormat/>
    <w:uiPriority w:val="0"/>
    <w:pPr>
      <w:spacing w:after="120" w:afterLines="0" w:afterAutospacing="0"/>
    </w:pPr>
  </w:style>
  <w:style w:type="paragraph" w:styleId="4">
    <w:name w:val="Plain Text"/>
    <w:basedOn w:val="1"/>
    <w:autoRedefine/>
    <w:qFormat/>
    <w:uiPriority w:val="0"/>
    <w:rPr>
      <w:rFonts w:ascii="宋体" w:hAnsi="Courier New"/>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1928</Words>
  <Characters>2042</Characters>
  <Lines>0</Lines>
  <Paragraphs>0</Paragraphs>
  <TotalTime>3</TotalTime>
  <ScaleCrop>false</ScaleCrop>
  <LinksUpToDate>false</LinksUpToDate>
  <CharactersWithSpaces>2043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2024-04-01T03:28:00Z</dcterms:created>
  <dc:creator>admin</dc:creator>
  <cp:lastModifiedBy>Ling</cp:lastModifiedBy>
  <dcterms:modified xsi:type="dcterms:W3CDTF">2024-05-29T07:36:22Z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22A08963484544739B4718E9E09394E9_13</vt:lpwstr>
  </property>
</Properties>
</file>