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default" w:ascii="Times New Roman" w:hAnsi="Times New Roman" w:eastAsia="方正小标宋简体" w:cs="Times New Roman"/>
          <w:bCs/>
          <w:sz w:val="44"/>
        </w:rPr>
      </w:pPr>
    </w:p>
    <w:p>
      <w:pPr>
        <w:keepNext w:val="0"/>
        <w:keepLines w:val="0"/>
        <w:pageBreakBefore w:val="0"/>
        <w:widowControl/>
        <w:suppressLineNumbers w:val="0"/>
        <w:kinsoku/>
        <w:wordWrap/>
        <w:overflowPunct/>
        <w:topLinePunct w:val="0"/>
        <w:bidi w:val="0"/>
        <w:spacing w:line="600" w:lineRule="exact"/>
        <w:ind w:firstLine="0" w:firstLineChars="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遂船环评</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号</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400" w:lineRule="exact"/>
        <w:ind w:left="0" w:right="0"/>
        <w:jc w:val="left"/>
        <w:textAlignment w:val="auto"/>
        <w:rPr>
          <w:rFonts w:hint="default" w:ascii="Times New Roman" w:hAnsi="Times New Roman" w:eastAsia="方正小标宋简体" w:cs="Times New Roman"/>
          <w:bCs/>
          <w:sz w:val="44"/>
        </w:rPr>
      </w:pP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eastAsia" w:ascii="Times New Roman" w:hAnsi="Times New Roman" w:eastAsia="方正小标宋简体" w:cs="Times New Roman"/>
          <w:bCs/>
          <w:sz w:val="44"/>
          <w:lang w:val="en-US" w:eastAsia="zh-CN"/>
        </w:rPr>
        <w:t>建渣回收综合利用项目</w:t>
      </w:r>
      <w:r>
        <w:rPr>
          <w:rFonts w:hint="default" w:ascii="Times New Roman" w:hAnsi="Times New Roman" w:eastAsia="方正小标宋简体" w:cs="Times New Roman"/>
          <w:bCs/>
          <w:sz w:val="44"/>
        </w:rPr>
        <w:t>环境影响</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rPr>
        <w:t>报告表的批复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遂宁市纲岑建材有限公司</w:t>
      </w:r>
      <w:r>
        <w:rPr>
          <w:rFonts w:hint="default" w:ascii="Times New Roman" w:hAnsi="Times New Roman" w:eastAsia="仿宋_GB2312" w:cs="Times New Roman"/>
          <w:color w:val="auto"/>
          <w:sz w:val="32"/>
          <w:szCs w:val="32"/>
        </w:rPr>
        <w:t>：</w:t>
      </w:r>
    </w:p>
    <w:p>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10"/>
          <w:kern w:val="0"/>
          <w:sz w:val="32"/>
          <w:szCs w:val="32"/>
        </w:rPr>
        <w:t>的《</w:t>
      </w:r>
      <w:r>
        <w:rPr>
          <w:rFonts w:hint="eastAsia" w:ascii="Times New Roman" w:hAnsi="Times New Roman" w:eastAsia="仿宋_GB2312" w:cs="Times New Roman"/>
          <w:color w:val="auto"/>
          <w:spacing w:val="-10"/>
          <w:kern w:val="0"/>
          <w:sz w:val="32"/>
          <w:szCs w:val="32"/>
          <w:lang w:eastAsia="zh-CN"/>
        </w:rPr>
        <w:t>建渣回收综合利用项目环境影响报告表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aps w:val="0"/>
          <w:smallCaps w:val="0"/>
          <w:color w:val="auto"/>
          <w:sz w:val="32"/>
          <w:szCs w:val="32"/>
          <w:lang w:val="en-US" w:eastAsia="zh-CN" w:bidi="ar"/>
        </w:rPr>
        <w:t>一、项目位于</w:t>
      </w:r>
      <w:r>
        <w:rPr>
          <w:rFonts w:hint="eastAsia" w:ascii="黑体" w:hAnsi="黑体" w:eastAsia="黑体" w:cs="黑体"/>
          <w:color w:val="auto"/>
          <w:spacing w:val="-10"/>
          <w:kern w:val="2"/>
          <w:sz w:val="32"/>
          <w:szCs w:val="32"/>
          <w:lang w:val="en-US" w:eastAsia="zh-CN" w:bidi="ar-SA"/>
        </w:rPr>
        <w:t>遂宁市船山区龙凤镇</w:t>
      </w:r>
      <w:r>
        <w:rPr>
          <w:rFonts w:hint="eastAsia" w:ascii="黑体" w:hAnsi="黑体" w:eastAsia="黑体" w:cs="黑体"/>
          <w:caps w:val="0"/>
          <w:smallCaps w:val="0"/>
          <w:color w:val="auto"/>
          <w:sz w:val="32"/>
          <w:szCs w:val="32"/>
          <w:lang w:val="en-US" w:eastAsia="zh-CN" w:bidi="ar"/>
        </w:rPr>
        <w:t>，</w:t>
      </w:r>
      <w:r>
        <w:rPr>
          <w:rFonts w:hint="eastAsia" w:ascii="黑体" w:hAnsi="黑体" w:eastAsia="黑体" w:cs="黑体"/>
          <w:color w:val="000000"/>
          <w:sz w:val="32"/>
          <w:szCs w:val="32"/>
        </w:rPr>
        <w:t>拟投资</w:t>
      </w:r>
      <w:r>
        <w:rPr>
          <w:rFonts w:hint="eastAsia" w:ascii="黑体" w:hAnsi="黑体" w:eastAsia="黑体" w:cs="黑体"/>
          <w:color w:val="000000"/>
          <w:sz w:val="32"/>
          <w:szCs w:val="32"/>
          <w:lang w:val="en-US" w:eastAsia="zh-CN"/>
        </w:rPr>
        <w:t>15</w:t>
      </w:r>
      <w:r>
        <w:rPr>
          <w:rFonts w:hint="eastAsia" w:ascii="黑体" w:hAnsi="黑体" w:eastAsia="黑体" w:cs="黑体"/>
          <w:color w:val="000000"/>
          <w:sz w:val="32"/>
          <w:szCs w:val="32"/>
        </w:rPr>
        <w:t>0万元，</w:t>
      </w:r>
      <w:r>
        <w:rPr>
          <w:rFonts w:hint="eastAsia" w:ascii="黑体" w:hAnsi="黑体" w:eastAsia="黑体" w:cs="黑体"/>
          <w:color w:val="000000"/>
          <w:sz w:val="32"/>
          <w:szCs w:val="32"/>
          <w:lang w:eastAsia="zh-CN"/>
        </w:rPr>
        <w:t>其中环保投资</w:t>
      </w:r>
      <w:r>
        <w:rPr>
          <w:rFonts w:hint="eastAsia" w:ascii="黑体" w:hAnsi="黑体" w:eastAsia="黑体" w:cs="黑体"/>
          <w:color w:val="000000"/>
          <w:sz w:val="32"/>
          <w:szCs w:val="32"/>
          <w:lang w:val="en-US" w:eastAsia="zh-CN"/>
        </w:rPr>
        <w:t>12</w:t>
      </w:r>
      <w:r>
        <w:rPr>
          <w:rFonts w:hint="eastAsia" w:ascii="黑体" w:hAnsi="黑体" w:eastAsia="黑体" w:cs="黑体"/>
          <w:color w:val="000000"/>
          <w:sz w:val="32"/>
          <w:szCs w:val="32"/>
          <w:lang w:eastAsia="zh-CN"/>
        </w:rPr>
        <w:t>万元。</w:t>
      </w:r>
      <w:r>
        <w:rPr>
          <w:rFonts w:hint="eastAsia" w:ascii="Times New Roman" w:hAnsi="Times New Roman" w:eastAsia="仿宋_GB2312" w:cs="Times New Roman"/>
          <w:color w:val="000000"/>
          <w:sz w:val="32"/>
          <w:szCs w:val="32"/>
        </w:rPr>
        <w:t>项目租用遂宁市发富建材加工厂空地约3300</w:t>
      </w:r>
      <w:bookmarkStart w:id="0" w:name="_GoBack"/>
      <w:bookmarkEnd w:id="0"/>
      <w:r>
        <w:rPr>
          <w:rFonts w:hint="eastAsia" w:ascii="Times New Roman" w:hAnsi="Times New Roman" w:eastAsia="仿宋_GB2312" w:cs="Times New Roman"/>
          <w:color w:val="000000"/>
          <w:sz w:val="32"/>
          <w:szCs w:val="32"/>
        </w:rPr>
        <w:t>平方米，建设建渣加工线一条，配置锤头机、筛分机等设备，建成后年处理建渣10000吨，生产再生碎石约9000吨。</w:t>
      </w:r>
      <w:r>
        <w:rPr>
          <w:rFonts w:hint="default" w:ascii="Times New Roman" w:hAnsi="Times New Roman" w:eastAsia="仿宋_GB2312" w:cs="Times New Roman"/>
          <w:color w:val="auto"/>
          <w:sz w:val="32"/>
          <w:szCs w:val="32"/>
        </w:rPr>
        <w:t>项目符合国家产业政策和相关规划，严格按照报告表中所列项目的地点、规模、性质和拟采取的环境保护措施实施，对环境的不利影响能够得到缓解和控制，我局原则上同意该报告表结论。你单位应全面落实报告表中提出的各项环境保护对策措施和本批复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aps w:val="0"/>
          <w:smallCaps w:val="0"/>
          <w:color w:val="auto"/>
          <w:sz w:val="32"/>
          <w:szCs w:val="32"/>
          <w:lang w:val="en-US" w:eastAsia="zh-CN" w:bidi="ar"/>
        </w:rPr>
      </w:pPr>
      <w:r>
        <w:rPr>
          <w:rFonts w:hint="eastAsia" w:ascii="黑体" w:hAnsi="黑体" w:eastAsia="黑体" w:cs="黑体"/>
          <w:caps w:val="0"/>
          <w:smallCaps w:val="0"/>
          <w:color w:val="auto"/>
          <w:sz w:val="32"/>
          <w:szCs w:val="32"/>
          <w:lang w:val="en-US" w:eastAsia="zh-CN" w:bidi="ar"/>
        </w:rPr>
        <w:t>二、项目施工期和运行期重点做好以下工作</w:t>
      </w:r>
    </w:p>
    <w:p>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jc w:val="both"/>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auto"/>
          <w:kern w:val="2"/>
          <w:sz w:val="32"/>
          <w:szCs w:val="32"/>
          <w:lang w:val="en-US" w:eastAsia="zh-CN" w:bidi="ar-SA"/>
        </w:rPr>
        <w:t>（一）</w:t>
      </w:r>
      <w:r>
        <w:rPr>
          <w:rFonts w:hint="default" w:ascii="楷体_GB2312" w:hAnsi="楷体_GB2312" w:eastAsia="楷体_GB2312" w:cs="楷体_GB2312"/>
          <w:color w:val="auto"/>
          <w:kern w:val="2"/>
          <w:sz w:val="32"/>
          <w:szCs w:val="32"/>
          <w:lang w:val="en-US" w:eastAsia="zh-CN" w:bidi="ar-SA"/>
        </w:rPr>
        <w:t>严格按照报告表要求，落实废</w:t>
      </w:r>
      <w:r>
        <w:rPr>
          <w:rFonts w:hint="eastAsia" w:ascii="楷体_GB2312" w:hAnsi="楷体_GB2312" w:eastAsia="楷体_GB2312" w:cs="楷体_GB2312"/>
          <w:color w:val="auto"/>
          <w:kern w:val="2"/>
          <w:sz w:val="32"/>
          <w:szCs w:val="32"/>
          <w:lang w:val="en-US" w:eastAsia="zh-CN" w:bidi="ar-SA"/>
        </w:rPr>
        <w:t>水</w:t>
      </w:r>
      <w:r>
        <w:rPr>
          <w:rFonts w:hint="default" w:ascii="楷体_GB2312" w:hAnsi="楷体_GB2312" w:eastAsia="楷体_GB2312" w:cs="楷体_GB2312"/>
          <w:color w:val="auto"/>
          <w:kern w:val="2"/>
          <w:sz w:val="32"/>
          <w:szCs w:val="32"/>
          <w:lang w:val="en-US" w:eastAsia="zh-CN" w:bidi="ar-SA"/>
        </w:rPr>
        <w:t>处置措施。</w:t>
      </w:r>
      <w:r>
        <w:rPr>
          <w:rFonts w:hint="default" w:ascii="Times New Roman" w:hAnsi="Times New Roman" w:eastAsia="仿宋_GB2312" w:cs="Times New Roman"/>
          <w:color w:val="000000"/>
          <w:sz w:val="32"/>
          <w:szCs w:val="32"/>
          <w:lang w:val="en-US" w:eastAsia="zh-CN"/>
        </w:rPr>
        <w:t>项目运营期间无生产废水外排，雨水经沉淀池沉淀后回用，员工生活污水经预处理设施处理后用作周边农田施肥。</w:t>
      </w:r>
    </w:p>
    <w:p>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color w:val="000000"/>
          <w:spacing w:val="-10"/>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w:t>
      </w:r>
      <w:r>
        <w:rPr>
          <w:rFonts w:hint="default" w:ascii="楷体_GB2312" w:hAnsi="楷体_GB2312" w:eastAsia="楷体_GB2312" w:cs="楷体_GB2312"/>
          <w:color w:val="auto"/>
          <w:kern w:val="2"/>
          <w:sz w:val="32"/>
          <w:szCs w:val="32"/>
          <w:lang w:val="en-US" w:eastAsia="zh-CN" w:bidi="ar-SA"/>
        </w:rPr>
        <w:t>严格按照报告表要求，落实废气处置措施。</w:t>
      </w:r>
      <w:r>
        <w:rPr>
          <w:rFonts w:hint="eastAsia" w:ascii="楷体_GB2312" w:hAnsi="楷体_GB2312" w:eastAsia="楷体_GB2312" w:cs="楷体_GB2312"/>
          <w:color w:val="auto"/>
          <w:kern w:val="2"/>
          <w:sz w:val="32"/>
          <w:szCs w:val="32"/>
          <w:lang w:val="en-US" w:eastAsia="zh-CN" w:bidi="ar-SA"/>
        </w:rPr>
        <w:t>项目原料仓、成品料仓及所有生产工序设置于封闭于厂房内；</w:t>
      </w:r>
      <w:r>
        <w:rPr>
          <w:rFonts w:hint="eastAsia" w:ascii="Times New Roman" w:hAnsi="Times New Roman" w:eastAsia="仿宋_GB2312" w:cs="Times New Roman"/>
          <w:color w:val="000000"/>
          <w:sz w:val="32"/>
          <w:szCs w:val="32"/>
          <w:lang w:eastAsia="zh-CN"/>
        </w:rPr>
        <w:t>项目营运期建渣加工粉尘、装卸粉尘、料场风蚀扬尘、皮带输送扬尘通过封闭厂房及湿法作业进行降尘。</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严格按照报告表要求，落实噪声处置措施。</w:t>
      </w:r>
      <w:r>
        <w:rPr>
          <w:rFonts w:hint="default" w:ascii="Times New Roman" w:hAnsi="Times New Roman" w:eastAsia="仿宋_GB2312" w:cs="Times New Roman"/>
          <w:color w:val="auto"/>
          <w:sz w:val="32"/>
          <w:szCs w:val="32"/>
          <w:lang w:val="en-US" w:eastAsia="zh-CN"/>
        </w:rPr>
        <w:t>锤头机</w:t>
      </w:r>
      <w:r>
        <w:rPr>
          <w:rFonts w:hint="eastAsia" w:ascii="Times New Roman" w:hAnsi="Times New Roman" w:eastAsia="仿宋_GB2312" w:cs="Times New Roman"/>
          <w:color w:val="auto"/>
          <w:sz w:val="32"/>
          <w:szCs w:val="32"/>
          <w:lang w:val="en-US" w:eastAsia="zh-CN"/>
        </w:rPr>
        <w:t>下沉式安装，实施设备减振、厂房隔声，加强设备维护、日常管理等降噪措施。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eastAsia" w:ascii="楷体_GB2312" w:hAnsi="楷体_GB2312" w:eastAsia="楷体_GB2312" w:cs="楷体_GB2312"/>
          <w:color w:val="auto"/>
          <w:sz w:val="32"/>
          <w:szCs w:val="32"/>
          <w:lang w:val="en-US" w:eastAsia="zh-CN"/>
        </w:rPr>
        <w:t>（四）</w:t>
      </w:r>
      <w:r>
        <w:rPr>
          <w:rFonts w:hint="default" w:ascii="楷体_GB2312" w:hAnsi="楷体_GB2312" w:eastAsia="楷体_GB2312" w:cs="楷体_GB2312"/>
          <w:color w:val="auto"/>
          <w:sz w:val="32"/>
          <w:szCs w:val="32"/>
          <w:lang w:val="en-US" w:eastAsia="zh-CN"/>
        </w:rPr>
        <w:t>严格按照报告表要求，落实固废处置措施。</w:t>
      </w:r>
      <w:r>
        <w:rPr>
          <w:rFonts w:hint="eastAsia" w:ascii="Times New Roman" w:hAnsi="Times New Roman" w:eastAsia="仿宋_GB2312" w:cs="Times New Roman"/>
          <w:color w:val="000000"/>
          <w:sz w:val="32"/>
          <w:szCs w:val="32"/>
          <w:lang w:eastAsia="zh-CN"/>
        </w:rPr>
        <w:t>泥土、厂房降尘统一收集后送至砖厂作为制砖原料；生活垃圾统一收集后交由环卫部门统一清运；含油棉纱手套、废机油桶、废机油属于危险废物，暂存于危险废物暂存间，定期交由有资质单位处置。</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eastAsia" w:ascii="楷体_GB2312" w:hAnsi="楷体_GB2312" w:eastAsia="楷体_GB2312" w:cs="楷体_GB2312"/>
          <w:color w:val="auto"/>
          <w:sz w:val="32"/>
          <w:szCs w:val="32"/>
          <w:lang w:val="en-US" w:eastAsia="zh-CN"/>
        </w:rPr>
        <w:t>（五）严格按照报告表要求，落实土壤及地下水污染防治措施。</w:t>
      </w:r>
      <w:r>
        <w:rPr>
          <w:rFonts w:hint="eastAsia" w:ascii="Times New Roman" w:hAnsi="Times New Roman" w:eastAsia="仿宋_GB2312" w:cs="Times New Roman"/>
          <w:color w:val="000000"/>
          <w:sz w:val="32"/>
          <w:szCs w:val="32"/>
          <w:lang w:eastAsia="zh-CN"/>
        </w:rPr>
        <w:t>对机修间、危废暂存间进行重点防渗，对除重点防渗区外的其他生产区域进行一般防渗，对厂区道路进行简单防渗。</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aps w:val="0"/>
          <w:smallCaps w:val="0"/>
          <w:color w:val="auto"/>
          <w:sz w:val="32"/>
          <w:szCs w:val="32"/>
          <w:lang w:val="en-US" w:eastAsia="zh-CN" w:bidi="ar"/>
        </w:rPr>
        <w:t>三、请遂宁市船山生态环境保护综合行政执法大队对该项目的环境保护“三同时”制度执行情况进行监管。</w:t>
      </w:r>
    </w:p>
    <w:p>
      <w:pPr>
        <w:keepNext w:val="0"/>
        <w:keepLines w:val="0"/>
        <w:pageBreakBefore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pStyle w:val="2"/>
        <w:rPr>
          <w:rFonts w:hint="default"/>
        </w:rPr>
      </w:pPr>
    </w:p>
    <w:p>
      <w:pPr>
        <w:keepNext w:val="0"/>
        <w:keepLines w:val="0"/>
        <w:pageBreakBefore w:val="0"/>
        <w:tabs>
          <w:tab w:val="left" w:pos="8280"/>
          <w:tab w:val="left" w:pos="8460"/>
        </w:tabs>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pPr>
        <w:pStyle w:val="3"/>
        <w:keepNext w:val="0"/>
        <w:keepLines w:val="0"/>
        <w:pageBreakBefore w:val="0"/>
        <w:kinsoku/>
        <w:wordWrap w:val="0"/>
        <w:overflowPunct/>
        <w:topLinePunct w:val="0"/>
        <w:autoSpaceDE/>
        <w:autoSpaceDN/>
        <w:bidi w:val="0"/>
        <w:adjustRightInd/>
        <w:snapToGrid/>
        <w:spacing w:after="0" w:line="560" w:lineRule="exact"/>
        <w:ind w:firstLine="640" w:firstLineChars="200"/>
        <w:jc w:val="righ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sectPr>
      <w:footerReference r:id="rId3" w:type="default"/>
      <w:pgSz w:w="11906" w:h="16838"/>
      <w:pgMar w:top="2098" w:right="1474" w:bottom="1984" w:left="1587" w:header="851" w:footer="1134"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8043DE"/>
    <w:rsid w:val="06A61794"/>
    <w:rsid w:val="08F316BF"/>
    <w:rsid w:val="0A8C6FE9"/>
    <w:rsid w:val="0AAB0D8C"/>
    <w:rsid w:val="0C2E0D87"/>
    <w:rsid w:val="0EBF037C"/>
    <w:rsid w:val="1041196E"/>
    <w:rsid w:val="109C6B98"/>
    <w:rsid w:val="128B7671"/>
    <w:rsid w:val="132C6A5A"/>
    <w:rsid w:val="138C102F"/>
    <w:rsid w:val="18271053"/>
    <w:rsid w:val="198F1879"/>
    <w:rsid w:val="19917187"/>
    <w:rsid w:val="1F0B5E6E"/>
    <w:rsid w:val="1F3B1453"/>
    <w:rsid w:val="217407BE"/>
    <w:rsid w:val="26B73169"/>
    <w:rsid w:val="28C63019"/>
    <w:rsid w:val="29394F3F"/>
    <w:rsid w:val="29DF2316"/>
    <w:rsid w:val="2A7D0F92"/>
    <w:rsid w:val="2E511C68"/>
    <w:rsid w:val="31B85EED"/>
    <w:rsid w:val="31BC6DB2"/>
    <w:rsid w:val="31E24069"/>
    <w:rsid w:val="333C1993"/>
    <w:rsid w:val="3A7754FB"/>
    <w:rsid w:val="3A8B163D"/>
    <w:rsid w:val="3DA80861"/>
    <w:rsid w:val="3E582B66"/>
    <w:rsid w:val="3F6F5603"/>
    <w:rsid w:val="3FF43642"/>
    <w:rsid w:val="427C7F99"/>
    <w:rsid w:val="42995069"/>
    <w:rsid w:val="462B78FB"/>
    <w:rsid w:val="4AC25A4D"/>
    <w:rsid w:val="4E7E543D"/>
    <w:rsid w:val="55424358"/>
    <w:rsid w:val="556904FD"/>
    <w:rsid w:val="56421DA8"/>
    <w:rsid w:val="594A5B2A"/>
    <w:rsid w:val="59560B9C"/>
    <w:rsid w:val="5CA93065"/>
    <w:rsid w:val="5CE94AAA"/>
    <w:rsid w:val="5DD74679"/>
    <w:rsid w:val="63D12B27"/>
    <w:rsid w:val="65D542BB"/>
    <w:rsid w:val="66947B1D"/>
    <w:rsid w:val="6DEF76A4"/>
    <w:rsid w:val="6F0D5441"/>
    <w:rsid w:val="77CE5D53"/>
    <w:rsid w:val="7B5D5641"/>
    <w:rsid w:val="7B661F94"/>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autoRedefine/>
    <w:qFormat/>
    <w:uiPriority w:val="0"/>
    <w:pPr>
      <w:spacing w:beforeLines="50" w:afterLines="50" w:line="500" w:lineRule="exact"/>
      <w:jc w:val="center"/>
    </w:pPr>
    <w:rPr>
      <w:rFonts w:ascii="仿宋_GB2312" w:hAnsi="Times New Roman" w:eastAsia="仿宋_GB2312" w:cs="仿宋_GB2312"/>
      <w:sz w:val="28"/>
      <w:szCs w:val="28"/>
    </w:rPr>
  </w:style>
  <w:style w:type="paragraph" w:styleId="3">
    <w:name w:val="Body Text"/>
    <w:basedOn w:val="1"/>
    <w:next w:val="1"/>
    <w:autoRedefine/>
    <w:qFormat/>
    <w:uiPriority w:val="0"/>
    <w:pPr>
      <w:spacing w:after="120"/>
    </w:pPr>
    <w:rPr>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
    <w:autoRedefine/>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10">
    <w:name w:val="font71"/>
    <w:basedOn w:val="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785</Words>
  <Characters>795</Characters>
  <Lines>0</Lines>
  <Paragraphs>0</Paragraphs>
  <TotalTime>1</TotalTime>
  <ScaleCrop>false</ScaleCrop>
  <LinksUpToDate>false</LinksUpToDate>
  <CharactersWithSpaces>814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2023-02-20T07:45:00Z</cp:lastPrinted>
  <dcterms:modified xsi:type="dcterms:W3CDTF">2024-04-01T03:55:58Z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AAA9BE7E84ED4F0D8CFC68C4ABD52117_13</vt:lpwstr>
  </property>
</Properties>
</file>