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9"/>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default" w:ascii="Times New Roman" w:hAnsi="Times New Roman" w:eastAsia="方正小标宋简体" w:cs="Times New Roman"/>
          <w:bCs/>
          <w:sz w:val="44"/>
          <w:lang w:eastAsia="zh-CN"/>
        </w:rPr>
        <w:t>涪江遂宁市船山区唐家乡东山村防洪治理工程项目</w:t>
      </w:r>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auto"/>
          <w:sz w:val="32"/>
          <w:szCs w:val="32"/>
        </w:rPr>
      </w:pPr>
      <w:r>
        <w:rPr>
          <w:rFonts w:hint="eastAsia" w:ascii="仿宋" w:hAnsi="仿宋" w:eastAsia="仿宋" w:cs="仿宋"/>
          <w:sz w:val="32"/>
          <w:szCs w:val="32"/>
          <w:lang w:val="en-US" w:eastAsia="zh-CN"/>
        </w:rPr>
        <w:t>遂宁市天泰鸿涪建材有限公司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涪江遂宁市船山区唐家乡东山村防洪治理工程项目环境影响报告表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遂宁市船山区唐家乡</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auto"/>
          <w:spacing w:val="-10"/>
          <w:kern w:val="2"/>
          <w:sz w:val="32"/>
          <w:szCs w:val="32"/>
          <w:lang w:val="en-US" w:eastAsia="zh-CN" w:bidi="ar-SA"/>
        </w:rPr>
        <w:t>拟投资4906.67万元，其中环保投资98.6万元。</w:t>
      </w:r>
      <w:r>
        <w:rPr>
          <w:rFonts w:hint="eastAsia" w:ascii="Times New Roman" w:hAnsi="Times New Roman" w:eastAsia="仿宋_GB2312" w:cs="Times New Roman"/>
          <w:color w:val="auto"/>
          <w:sz w:val="32"/>
          <w:szCs w:val="32"/>
          <w:lang w:val="en-US" w:eastAsia="zh-CN"/>
        </w:rPr>
        <w:t>项目建设共治理堤防5625.33m，其中涪江干流左3820.35m，上起向家大院分濠口，下至成南高速大桥上游与分濠段堤防相接；分濠右岸1804.98m，与干流左岸堤防形成封闭圈。工程设计防洪标准为10年一遇洪水重现期，为5级堤防，永久建筑物按5级设计。排涝标准为5年一遇暴雨重现期。</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项目符合国家产业政策和相关规划，严格按照报告表中所列项目的地点、规模、性质和拟采取的环境保护措施实施，对环境的不利影响能够得到缓解和控制，我局原则同意该报告表结论。你单</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aps w:val="0"/>
          <w:smallCaps w:val="0"/>
          <w:color w:val="auto"/>
          <w:sz w:val="32"/>
          <w:szCs w:val="32"/>
          <w:lang w:val="en-US" w:eastAsia="zh-CN" w:bidi="ar"/>
        </w:rPr>
        <w:sectPr>
          <w:pgSz w:w="11906" w:h="16838"/>
          <w:pgMar w:top="2098" w:right="1474" w:bottom="1984" w:left="1587" w:header="851" w:footer="1417" w:gutter="0"/>
          <w:pgNumType w:fmt="decimal" w:start="1"/>
          <w:cols w:space="0" w:num="1"/>
          <w:rtlGutter w:val="0"/>
          <w:docGrid w:type="lines" w:linePitch="318" w:charSpace="0"/>
        </w:sect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7"/>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GB" w:eastAsia="zh-CN" w:bidi="ar-SA"/>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GB" w:eastAsia="zh-CN"/>
        </w:rPr>
        <w:t>施工期生活污水依托所租赁房屋的卫生设施；施工营地设备冲洗废水沉淀后用于施工营地等洒水降尘；基坑排水经基坑排水沟汇集至基坑集水井，静置沉淀后通过水泵抽至下游河道（饮用水源保护区内基坑排水需在基坑集水井内静置沉淀后通过水泵抽至岸集水箱进行收集，用作施工作业带洒水降尘利用，不排放二级保护区水域）。</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000000"/>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施工作业带内配备雾炮车抑尘，减少施工过程中粉尘飞扬现象；施工场地主要进出口设置车辆清洗池，运输车辆必须密闭，严禁车辆超载、超速，减少车辆运输产生的扬尘；临时施工营地采用打围作业，场地内洒水减少施工扬尘。</w:t>
      </w:r>
    </w:p>
    <w:p>
      <w:pPr>
        <w:autoSpaceDE w:val="0"/>
        <w:autoSpaceDN w:val="0"/>
        <w:adjustRightInd w:val="0"/>
        <w:ind w:firstLine="640"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default" w:ascii="Times New Roman" w:hAnsi="Times New Roman" w:eastAsia="仿宋_GB2312" w:cs="Times New Roman"/>
          <w:color w:val="000000"/>
          <w:sz w:val="32"/>
          <w:szCs w:val="32"/>
          <w:lang w:val="en-US" w:eastAsia="zh-CN"/>
        </w:rPr>
        <w:t>合理安排施工时间，禁止夜间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午休时间施工；合理布局高噪设备；距离敏感点较近施工区域设立围挡封闭现场施工；运输车辆</w:t>
      </w:r>
      <w:r>
        <w:rPr>
          <w:rFonts w:hint="eastAsia"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lang w:val="en-US" w:eastAsia="zh-CN"/>
        </w:rPr>
        <w:t>居民聚居区行驶禁止鸣笛；定期维护车辆设备，降低声源源强。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val="en-GB" w:eastAsia="zh-CN"/>
        </w:rPr>
        <w:t>生活垃圾经集中收集后一并交由环卫部门处置；项目借方主要为砂石料，均从当地合法料场采购，弃方主要为开挖土方（无法用作堤身回填料），运至堤防背水坡管理范围内凹地平铺回填综合利用；项目施工前期拆除现状堤防砼面板及砼路面产生的建筑垃圾运至政府指定建筑垃圾弃渣场。</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（五）严格按照报告表要求，落实生态保护措施。</w:t>
      </w:r>
      <w:r>
        <w:rPr>
          <w:rFonts w:hint="default" w:ascii="Times New Roman" w:hAnsi="Times New Roman" w:eastAsia="仿宋_GB2312" w:cs="Times New Roman"/>
          <w:color w:val="000000"/>
          <w:sz w:val="32"/>
          <w:szCs w:val="32"/>
          <w:lang w:val="en-US" w:eastAsia="zh-CN"/>
        </w:rPr>
        <w:t>严格执行各项临时排水、临时拦挡、临时覆盖等水土保持措施，严格控制施工范围，禁止破坏项目占地外的植被；堤基施工安排在一个枯水期内完成施工，尽量避免涉水施工扰动地表水体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施工完毕落实主体设计的生态护坡、临时占地进行生态恢复。</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sz w:val="32"/>
          <w:szCs w:val="32"/>
          <w:lang w:val="en-US" w:eastAsia="zh-CN"/>
        </w:rPr>
        <w:t>（六）严格按照报告表要求，落实饮用水源保护措施。</w:t>
      </w:r>
      <w:r>
        <w:rPr>
          <w:rFonts w:hint="eastAsia" w:ascii="Times New Roman" w:hAnsi="Times New Roman" w:eastAsia="仿宋_GB2312" w:cs="Times New Roman"/>
          <w:color w:val="000000"/>
          <w:sz w:val="32"/>
          <w:szCs w:val="32"/>
          <w:lang w:val="en-US" w:eastAsia="zh-CN"/>
        </w:rPr>
        <w:t>围堰修筑段下游部分位于唐家乡集中式饮用水源二级保护区，应尽量减缓施工对饮用水源保护区地表水水质的影响。施工场地等临时设施不得设置在饮用水源保护区范围内，不得向饮用水源保护区范围内排放施工废水（包括</w:t>
      </w:r>
      <w:r>
        <w:rPr>
          <w:rFonts w:hint="default" w:ascii="Times New Roman" w:hAnsi="Times New Roman" w:eastAsia="仿宋_GB2312" w:cs="Times New Roman"/>
          <w:color w:val="000000"/>
          <w:sz w:val="32"/>
          <w:szCs w:val="32"/>
          <w:lang w:val="en-GB" w:eastAsia="zh-CN"/>
        </w:rPr>
        <w:t>基坑排水</w:t>
      </w:r>
      <w:r>
        <w:rPr>
          <w:rFonts w:hint="eastAsia" w:ascii="Times New Roman" w:hAnsi="Times New Roman" w:eastAsia="仿宋_GB2312" w:cs="Times New Roman"/>
          <w:color w:val="000000"/>
          <w:sz w:val="32"/>
          <w:szCs w:val="32"/>
          <w:lang w:val="en-GB" w:eastAsia="zh-CN"/>
        </w:rPr>
        <w:t>）</w:t>
      </w:r>
      <w:r>
        <w:rPr>
          <w:rFonts w:hint="eastAsia" w:ascii="Times New Roman" w:hAnsi="Times New Roman" w:eastAsia="仿宋_GB2312" w:cs="Times New Roman"/>
          <w:color w:val="000000"/>
          <w:sz w:val="32"/>
          <w:szCs w:val="32"/>
          <w:lang w:val="en-US" w:eastAsia="zh-CN"/>
        </w:rPr>
        <w:t>、施工人员生活污水、建筑垃圾、施工油污、生活垃圾、建筑垃圾等废水及固体废物。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7"/>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sectPr>
          <w:footerReference r:id="rId3" w:type="default"/>
          <w:pgSz w:w="11906" w:h="16838"/>
          <w:pgMar w:top="2098" w:right="1474" w:bottom="1984" w:left="1587" w:header="851" w:footer="1417" w:gutter="0"/>
          <w:pgNumType w:fmt="decimal" w:start="2"/>
          <w:cols w:space="0" w:num="1"/>
          <w:rtlGutter w:val="0"/>
          <w:docGrid w:type="lines" w:linePitch="318" w:charSpace="0"/>
        </w:sect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tbl>
      <w:tblPr>
        <w:tblStyle w:val="11"/>
        <w:tblpPr w:leftFromText="180" w:rightFromText="180" w:vertAnchor="text" w:horzAnchor="page" w:tblpX="1697" w:tblpY="121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0" w:type="dxa"/>
            <w:tcBorders>
              <w:left w:val="nil"/>
              <w:bottom w:val="single" w:color="auto" w:sz="4" w:space="0"/>
              <w:right w:val="nil"/>
            </w:tcBorders>
            <w:vAlign w:val="center"/>
          </w:tcPr>
          <w:p>
            <w:pPr>
              <w:keepNext w:val="0"/>
              <w:keepLines w:val="0"/>
              <w:pageBreakBefore w:val="0"/>
              <w:widowControl w:val="0"/>
              <w:kinsoku/>
              <w:wordWrap/>
              <w:overflowPunct/>
              <w:topLinePunct/>
              <w:autoSpaceDE/>
              <w:autoSpaceDN/>
              <w:bidi w:val="0"/>
              <w:adjustRightInd w:val="0"/>
              <w:snapToGrid w:val="0"/>
              <w:spacing w:line="500" w:lineRule="exact"/>
              <w:ind w:left="210" w:leftChars="100" w:right="210" w:rightChars="100"/>
              <w:jc w:val="center"/>
              <w:textAlignment w:val="baseline"/>
              <w:rPr>
                <w:rFonts w:hint="default" w:ascii="Times New Roman" w:hAnsi="Times New Roman" w:eastAsia="Arial" w:cs="Arial"/>
                <w:snapToGrid w:val="0"/>
                <w:color w:val="auto"/>
                <w:kern w:val="0"/>
                <w:szCs w:val="21"/>
                <w:vertAlign w:val="baseline"/>
                <w:lang w:val="en-US" w:eastAsia="zh-CN"/>
              </w:rPr>
            </w:pPr>
            <w:r>
              <w:rPr>
                <w:rFonts w:hint="eastAsia" w:ascii="Times New Roman" w:hAnsi="Times New Roman" w:eastAsia="仿宋_GB2312" w:cs="Arial"/>
                <w:snapToGrid w:val="0"/>
                <w:color w:val="auto"/>
                <w:kern w:val="0"/>
                <w:sz w:val="28"/>
                <w:szCs w:val="28"/>
                <w:lang w:val="en-US" w:eastAsia="zh-CN"/>
              </w:rPr>
              <w:t>遂宁市船山生态环境局                    2024年3月6日印发</w:t>
            </w:r>
          </w:p>
        </w:tc>
      </w:tr>
    </w:tbl>
    <w:p>
      <w:pPr>
        <w:rPr>
          <w:rFonts w:hint="default"/>
          <w:lang w:val="en-US" w:eastAsia="zh-CN"/>
        </w:rPr>
      </w:pPr>
    </w:p>
    <w:sectPr>
      <w:pgSz w:w="11906" w:h="16838"/>
      <w:pgMar w:top="2098" w:right="1474" w:bottom="1984" w:left="1587" w:header="851" w:footer="141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3986975"/>
    <w:rsid w:val="06A61794"/>
    <w:rsid w:val="08F316BF"/>
    <w:rsid w:val="097C3D2E"/>
    <w:rsid w:val="0A394A7D"/>
    <w:rsid w:val="0A8C6FE9"/>
    <w:rsid w:val="0C2E0D87"/>
    <w:rsid w:val="0D161A18"/>
    <w:rsid w:val="0E307CC4"/>
    <w:rsid w:val="0EB341BA"/>
    <w:rsid w:val="0EBF037C"/>
    <w:rsid w:val="1041196E"/>
    <w:rsid w:val="109C6B98"/>
    <w:rsid w:val="126976C2"/>
    <w:rsid w:val="128B7671"/>
    <w:rsid w:val="132C6A5A"/>
    <w:rsid w:val="138C102F"/>
    <w:rsid w:val="18271053"/>
    <w:rsid w:val="186E717E"/>
    <w:rsid w:val="198F1879"/>
    <w:rsid w:val="1DA922B5"/>
    <w:rsid w:val="1F0B5E6E"/>
    <w:rsid w:val="1F3B1453"/>
    <w:rsid w:val="1F3F20C1"/>
    <w:rsid w:val="1FB26F86"/>
    <w:rsid w:val="217407BE"/>
    <w:rsid w:val="225361C9"/>
    <w:rsid w:val="235D401D"/>
    <w:rsid w:val="267B7BFA"/>
    <w:rsid w:val="26B73169"/>
    <w:rsid w:val="28C63019"/>
    <w:rsid w:val="29DF2316"/>
    <w:rsid w:val="2A7D0F92"/>
    <w:rsid w:val="2E511C68"/>
    <w:rsid w:val="31B85EED"/>
    <w:rsid w:val="31BC6DB2"/>
    <w:rsid w:val="31E24069"/>
    <w:rsid w:val="32216284"/>
    <w:rsid w:val="333C1993"/>
    <w:rsid w:val="34C5552E"/>
    <w:rsid w:val="34EC7728"/>
    <w:rsid w:val="352978C7"/>
    <w:rsid w:val="39F22822"/>
    <w:rsid w:val="3A7754FB"/>
    <w:rsid w:val="3A8B163D"/>
    <w:rsid w:val="3C1A012A"/>
    <w:rsid w:val="3CC957BA"/>
    <w:rsid w:val="3DA80861"/>
    <w:rsid w:val="3E582B66"/>
    <w:rsid w:val="3F6F5603"/>
    <w:rsid w:val="3FF43642"/>
    <w:rsid w:val="42995069"/>
    <w:rsid w:val="45676EE2"/>
    <w:rsid w:val="462B78FB"/>
    <w:rsid w:val="4AC25A4D"/>
    <w:rsid w:val="4C003E92"/>
    <w:rsid w:val="4C700260"/>
    <w:rsid w:val="4E7E543D"/>
    <w:rsid w:val="4F342D03"/>
    <w:rsid w:val="519758C5"/>
    <w:rsid w:val="55424358"/>
    <w:rsid w:val="556904FD"/>
    <w:rsid w:val="59560B9C"/>
    <w:rsid w:val="5CA93065"/>
    <w:rsid w:val="5DD74679"/>
    <w:rsid w:val="61A61AE3"/>
    <w:rsid w:val="63D12B27"/>
    <w:rsid w:val="64A64DD9"/>
    <w:rsid w:val="65D542BB"/>
    <w:rsid w:val="6DEF76A4"/>
    <w:rsid w:val="6E0F574C"/>
    <w:rsid w:val="6F0D5441"/>
    <w:rsid w:val="77CE5D53"/>
    <w:rsid w:val="7B5D5641"/>
    <w:rsid w:val="7EE61AE5"/>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iPriority w:val="0"/>
    <w:pPr>
      <w:ind w:firstLine="420" w:firstLineChars="200"/>
    </w:pPr>
  </w:style>
  <w:style w:type="paragraph" w:styleId="3">
    <w:name w:val="Body Text Indent"/>
    <w:basedOn w:val="1"/>
    <w:next w:val="4"/>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Plain Text"/>
    <w:qFormat/>
    <w:uiPriority w:val="0"/>
    <w:pPr>
      <w:kinsoku w:val="0"/>
      <w:autoSpaceDE w:val="0"/>
      <w:autoSpaceDN w:val="0"/>
      <w:adjustRightInd w:val="0"/>
      <w:snapToGrid w:val="0"/>
      <w:textAlignment w:val="baseline"/>
    </w:pPr>
    <w:rPr>
      <w:rFonts w:ascii="宋体" w:hAnsi="Courier New" w:eastAsia="Arial" w:cs="Courier New"/>
      <w:snapToGrid w:val="0"/>
      <w:color w:val="000000"/>
      <w:sz w:val="21"/>
      <w:szCs w:val="21"/>
      <w:lang w:val="en-US" w:eastAsia="zh-CN" w:bidi="ar-SA"/>
    </w:rPr>
  </w:style>
  <w:style w:type="paragraph" w:styleId="6">
    <w:name w:val="index 6"/>
    <w:basedOn w:val="1"/>
    <w:next w:val="1"/>
    <w:qFormat/>
    <w:uiPriority w:val="0"/>
    <w:pPr>
      <w:ind w:left="2100"/>
    </w:pPr>
    <w:rPr>
      <w:rFonts w:ascii="黑体" w:eastAsia="黑体"/>
      <w:szCs w:val="24"/>
    </w:rPr>
  </w:style>
  <w:style w:type="paragraph" w:styleId="7">
    <w:name w:val="Body Text"/>
    <w:basedOn w:val="1"/>
    <w:next w:val="1"/>
    <w:qFormat/>
    <w:uiPriority w:val="0"/>
    <w:pPr>
      <w:spacing w:after="120"/>
    </w:pPr>
    <w:rPr>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1"/>
    <w:qFormat/>
    <w:uiPriority w:val="0"/>
    <w:pPr>
      <w:widowControl w:val="0"/>
      <w:autoSpaceDE w:val="0"/>
      <w:autoSpaceDN w:val="0"/>
      <w:adjustRightInd w:val="0"/>
    </w:pPr>
    <w:rPr>
      <w:rFonts w:ascii="宋体" w:eastAsia="宋体" w:cs="宋体"/>
      <w:color w:val="000000"/>
      <w:sz w:val="24"/>
    </w:rPr>
  </w:style>
  <w:style w:type="paragraph" w:customStyle="1" w:styleId="14">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1</TotalTime>
  <ScaleCrop>false</ScaleCrop>
  <LinksUpToDate>false</LinksUpToDate>
  <CharactersWithSpaces>814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船山区生态环境局</cp:lastModifiedBy>
  <cp:lastPrinted>2024-02-29T09:01:00Z</cp:lastPrinted>
  <dcterms:modified xsi:type="dcterms:W3CDTF">2024-03-06T07:24:04Z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AAA9BE7E84ED4F0D8CFC68C4ABD52117_13</vt:lpwstr>
  </property>
</Properties>
</file>