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方正小标宋简体" w:eastAsia="仿宋_GB2312"/>
          <w:color w:val="auto"/>
          <w:sz w:val="44"/>
          <w:szCs w:val="44"/>
          <w:lang w:val="en-US" w:eastAsia="zh-CN"/>
        </w:rPr>
      </w:pPr>
      <w:r>
        <w:rPr>
          <w:rFonts w:hint="eastAsia" w:ascii="方正小标宋简体" w:eastAsia="方正小标宋简体"/>
          <w:color w:val="auto"/>
          <w:sz w:val="44"/>
          <w:szCs w:val="44"/>
          <w:lang w:val="en-US" w:eastAsia="zh-CN"/>
        </w:rPr>
        <w:t>遂宁市船山区经济信息化和科学技术局</w:t>
      </w:r>
    </w:p>
    <w:p>
      <w:pPr>
        <w:spacing w:line="600" w:lineRule="exact"/>
        <w:jc w:val="center"/>
        <w:rPr>
          <w:color w:val="auto"/>
        </w:rPr>
      </w:pPr>
      <w:r>
        <w:rPr>
          <w:rFonts w:hint="eastAsia" w:ascii="方正小标宋简体" w:eastAsia="方正小标宋简体"/>
          <w:color w:val="auto"/>
          <w:sz w:val="44"/>
          <w:szCs w:val="44"/>
        </w:rPr>
        <w:t>20</w:t>
      </w:r>
      <w:r>
        <w:rPr>
          <w:rFonts w:hint="eastAsia" w:ascii="方正小标宋简体" w:eastAsia="方正小标宋简体"/>
          <w:color w:val="auto"/>
          <w:sz w:val="44"/>
          <w:szCs w:val="44"/>
          <w:lang w:val="en-US" w:eastAsia="zh-CN"/>
        </w:rPr>
        <w:t>24</w:t>
      </w:r>
      <w:r>
        <w:rPr>
          <w:rFonts w:hint="eastAsia" w:ascii="方正小标宋简体" w:eastAsia="方正小标宋简体"/>
          <w:color w:val="auto"/>
          <w:sz w:val="44"/>
          <w:szCs w:val="44"/>
        </w:rPr>
        <w:t>年部门预算编制说明</w:t>
      </w:r>
    </w:p>
    <w:p>
      <w:pPr>
        <w:spacing w:line="600" w:lineRule="exact"/>
        <w:ind w:firstLine="640" w:firstLineChars="200"/>
        <w:rPr>
          <w:rFonts w:ascii="黑体" w:hAnsi="黑体" w:eastAsia="黑体"/>
        </w:rPr>
      </w:pPr>
    </w:p>
    <w:p>
      <w:pPr>
        <w:numPr>
          <w:ilvl w:val="0"/>
          <w:numId w:val="2"/>
        </w:numPr>
        <w:spacing w:line="600" w:lineRule="exact"/>
        <w:ind w:firstLine="640" w:firstLineChars="200"/>
        <w:rPr>
          <w:rFonts w:ascii="黑体" w:hAnsi="黑体" w:eastAsia="黑体"/>
          <w:color w:val="auto"/>
          <w:highlight w:val="none"/>
        </w:rPr>
      </w:pPr>
      <w:r>
        <w:rPr>
          <w:rFonts w:ascii="黑体" w:hAnsi="黑体" w:eastAsia="黑体"/>
          <w:color w:val="auto"/>
          <w:highlight w:val="none"/>
        </w:rPr>
        <w:t>基本职能及主要工作</w:t>
      </w:r>
    </w:p>
    <w:p>
      <w:pPr>
        <w:spacing w:line="600" w:lineRule="exact"/>
        <w:ind w:firstLine="643" w:firstLineChars="200"/>
        <w:rPr>
          <w:rFonts w:ascii="楷体_GB2312" w:eastAsia="楷体_GB2312"/>
          <w:b/>
          <w:color w:val="auto"/>
          <w:highlight w:val="none"/>
        </w:rPr>
      </w:pPr>
      <w:r>
        <w:rPr>
          <w:rFonts w:hint="eastAsia" w:ascii="楷体_GB2312" w:eastAsia="楷体_GB2312"/>
          <w:b/>
          <w:color w:val="auto"/>
          <w:highlight w:val="none"/>
        </w:rPr>
        <w:t xml:space="preserve">（一） </w:t>
      </w:r>
      <w:r>
        <w:rPr>
          <w:rFonts w:hint="eastAsia" w:ascii="楷体_GB2312" w:eastAsia="楷体_GB2312"/>
          <w:b/>
          <w:color w:val="auto"/>
          <w:highlight w:val="none"/>
          <w:lang w:val="en-US" w:eastAsia="zh-CN"/>
        </w:rPr>
        <w:t>区经信科技局</w:t>
      </w:r>
      <w:r>
        <w:rPr>
          <w:rFonts w:hint="eastAsia" w:ascii="楷体_GB2312" w:eastAsia="楷体_GB2312"/>
          <w:b/>
          <w:color w:val="auto"/>
          <w:highlight w:val="none"/>
        </w:rPr>
        <w:t>职能简介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ascii="仿宋_GB2312" w:hAnsi="仿宋" w:eastAsia="仿宋_GB2312"/>
          <w:color w:val="auto"/>
          <w:sz w:val="32"/>
          <w:szCs w:val="32"/>
          <w:highlight w:val="none"/>
        </w:rPr>
        <w:t>贯彻实施国家、省、市有关工业经济、信息化和无线电管理的方针、政策和法律、法规，组织实施国家西部大开发战略等有关工业经济的政策措施，研究</w:t>
      </w:r>
      <w:r>
        <w:rPr>
          <w:rFonts w:hint="eastAsia" w:ascii="仿宋_GB2312" w:hAnsi="仿宋"/>
          <w:color w:val="auto"/>
          <w:sz w:val="32"/>
          <w:szCs w:val="32"/>
          <w:highlight w:val="none"/>
          <w:lang w:eastAsia="zh-CN"/>
        </w:rPr>
        <w:t>拟定</w:t>
      </w:r>
      <w:r>
        <w:rPr>
          <w:rFonts w:ascii="仿宋_GB2312" w:hAnsi="仿宋" w:eastAsia="仿宋_GB2312"/>
          <w:color w:val="auto"/>
          <w:sz w:val="32"/>
          <w:szCs w:val="32"/>
          <w:highlight w:val="none"/>
        </w:rPr>
        <w:t>全区有关工业经济、信息化和无线电管理的政策措施并组织实施，拟定中长期运行目标，制定运行预警机制；负责本系统、本部门依法行政工作，落实行政执法责任制。组织推动信息化和工业化融合、工业化与城镇化联动，负责推进全区工业结构调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2</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负责</w:t>
      </w:r>
      <w:r>
        <w:rPr>
          <w:rFonts w:hint="eastAsia" w:ascii="仿宋_GB2312" w:hAnsi="仿宋"/>
          <w:color w:val="auto"/>
          <w:sz w:val="32"/>
          <w:szCs w:val="32"/>
          <w:highlight w:val="none"/>
          <w:lang w:eastAsia="zh-CN"/>
        </w:rPr>
        <w:t>拟定</w:t>
      </w:r>
      <w:r>
        <w:rPr>
          <w:rFonts w:ascii="仿宋_GB2312" w:hAnsi="仿宋" w:eastAsia="仿宋_GB2312"/>
          <w:color w:val="auto"/>
          <w:sz w:val="32"/>
          <w:szCs w:val="32"/>
          <w:highlight w:val="none"/>
        </w:rPr>
        <w:t>并组织实施工业、信息化相关行业的发展规划、年度计划和产业政策。负责拟定并组织实施全区创新驱动发展、科技工作、引进国外智力、产业园区、产业集群、新型工业化、企业技术创新、主导产业等的政策措施、中长期发展规划和计划等。参与</w:t>
      </w:r>
      <w:r>
        <w:rPr>
          <w:rFonts w:hint="eastAsia" w:ascii="仿宋_GB2312" w:hAnsi="仿宋"/>
          <w:color w:val="auto"/>
          <w:sz w:val="32"/>
          <w:szCs w:val="32"/>
          <w:highlight w:val="none"/>
          <w:lang w:eastAsia="zh-CN"/>
        </w:rPr>
        <w:t>制定</w:t>
      </w:r>
      <w:r>
        <w:rPr>
          <w:rFonts w:ascii="仿宋_GB2312" w:hAnsi="仿宋" w:eastAsia="仿宋_GB2312"/>
          <w:color w:val="auto"/>
          <w:sz w:val="32"/>
          <w:szCs w:val="32"/>
          <w:highlight w:val="none"/>
        </w:rPr>
        <w:t>国民经济和社会发展规划，会同财政部门做好企业发展资金等专项资金的管理、监督；</w:t>
      </w:r>
      <w:r>
        <w:rPr>
          <w:rFonts w:hint="eastAsia" w:ascii="仿宋_GB2312" w:hAnsi="仿宋"/>
          <w:color w:val="auto"/>
          <w:sz w:val="32"/>
          <w:szCs w:val="32"/>
          <w:highlight w:val="none"/>
          <w:lang w:eastAsia="zh-CN"/>
        </w:rPr>
        <w:t>拟定</w:t>
      </w:r>
      <w:r>
        <w:rPr>
          <w:rFonts w:ascii="仿宋_GB2312" w:hAnsi="仿宋" w:eastAsia="仿宋_GB2312"/>
          <w:color w:val="auto"/>
          <w:sz w:val="32"/>
          <w:szCs w:val="32"/>
          <w:highlight w:val="none"/>
        </w:rPr>
        <w:t>行业技术规范与行业标准并组织实施，指导行业质量管理工作。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3</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组织实施工业强区战略，监测、分析经济运行态势和质量，协调解决工业发展和经济运行中的重大问题，承办年度工业经济目标责任考核。负责协调电力、成品油等重要物资综合调控、紧急调度工作。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4</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负责全区企业技术创新体系建设，指导企业技术改造推进工作。指导企业技术创新、技术引进、重大装备国产化和重大技术装备研制，编制下达全区企业技术创新项目计划并组织实施，按照规定程序会同有关部门组织企业开展技术中心申报、认定和建设管理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5</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负责全区产业园区建设发展的牵头服务和综合协调工作，指导产业园区合理布局，负责牵头推进重点产业园区建设发展，推进园区公共配套设施建设，组织申报、实施产业园区公共服务平台项目计划。</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6</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负责全区工业和信息化领域的资源节约与综合利用工作，协调推进工业化与生态环境协调发展中的重大问题，组织实施相关重大示范项目和新产品、新技术、新工艺、新设备、新材料的推广应用。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7</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负责推进企业信用制度建设，负责中小企业信用、担保和融资服务体系建设，负责制定工业发展资金等财政专项资金使用计划，负责企业技术改造、技术创新、生产运行等涉及财政、信贷、税收、保险等方面问题的协调，协调工业企业融资对接工作，参与工业企业上市培育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8</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对国家重大工业经济政策实施情况进行督查，指导企业建立现代企业制度、改组改造、兼并重组，负责全区企业治乱减负工作。负责全区龙头骨干企业的培育工作，负责全区中小企业发展的指导推进工作，综合协调有关部门</w:t>
      </w:r>
      <w:r>
        <w:rPr>
          <w:rFonts w:hint="eastAsia" w:ascii="仿宋_GB2312" w:hAnsi="仿宋"/>
          <w:color w:val="auto"/>
          <w:sz w:val="32"/>
          <w:szCs w:val="32"/>
          <w:highlight w:val="none"/>
          <w:lang w:eastAsia="zh-CN"/>
        </w:rPr>
        <w:t>拟定</w:t>
      </w:r>
      <w:r>
        <w:rPr>
          <w:rFonts w:ascii="仿宋_GB2312" w:hAnsi="仿宋" w:eastAsia="仿宋_GB2312"/>
          <w:color w:val="auto"/>
          <w:sz w:val="32"/>
          <w:szCs w:val="32"/>
          <w:highlight w:val="none"/>
        </w:rPr>
        <w:t>促进中小企业发展的政策措施，负责推进中小企业服务体系建设。承担促进全区民营经济发展的职责。负责全区民营经济发展工作的任务制定、调查研究、统筹协调、督促落实及民营企业合法权益维护。</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9</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负责对全区工业各行业实施行业管理，指导工业、信息化和无线电领域的社会中介组织发展。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ascii="仿宋_GB2312" w:hAnsi="仿宋" w:eastAsia="仿宋_GB2312"/>
          <w:color w:val="auto"/>
          <w:sz w:val="32"/>
          <w:szCs w:val="32"/>
          <w:highlight w:val="none"/>
        </w:rPr>
        <w:t>0</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统筹协调贯彻落实国、省、市推进军民融合深度发展的战略决策和总体部署，推进全区军民融合重大改革事项，指导军民融合相关产业的布局和发展，加快军民融合重点企业和重点项目建设，负责民爆行业监督管理，推进各项重大政策的制定落实。</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（11）</w:t>
      </w:r>
      <w:r>
        <w:rPr>
          <w:rFonts w:ascii="仿宋_GB2312" w:hAnsi="仿宋" w:eastAsia="仿宋_GB2312"/>
          <w:color w:val="auto"/>
          <w:sz w:val="32"/>
          <w:szCs w:val="32"/>
          <w:highlight w:val="none"/>
        </w:rPr>
        <w:t>负责规划、协调、管理全区通信基础设施建设，配合相关部门</w:t>
      </w:r>
      <w:r>
        <w:rPr>
          <w:rFonts w:hint="eastAsia" w:ascii="仿宋_GB2312" w:hAnsi="仿宋"/>
          <w:color w:val="auto"/>
          <w:sz w:val="32"/>
          <w:szCs w:val="32"/>
          <w:highlight w:val="none"/>
          <w:lang w:eastAsia="zh-CN"/>
        </w:rPr>
        <w:t>制定</w:t>
      </w:r>
      <w:r>
        <w:rPr>
          <w:rFonts w:ascii="仿宋_GB2312" w:hAnsi="仿宋" w:eastAsia="仿宋_GB2312"/>
          <w:color w:val="auto"/>
          <w:sz w:val="32"/>
          <w:szCs w:val="32"/>
          <w:highlight w:val="none"/>
        </w:rPr>
        <w:t>通信管线规划并承担相应的协调管理工作，配合协调通信市场涉及社会公共利益的重大事项。组织协调全区信息安全保障体系建设，指导信息安全防范工作，参与处理网络与信息安全重大事件。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ascii="仿宋_GB2312" w:hAnsi="仿宋" w:eastAsia="仿宋_GB2312"/>
          <w:color w:val="auto"/>
          <w:sz w:val="32"/>
          <w:szCs w:val="32"/>
          <w:highlight w:val="none"/>
        </w:rPr>
        <w:t>2</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统筹推进全区信息化工作，制定并组织实施相关政策，指导电子政务、企业信息化、电子商务和物联网发展，推动跨行业、跨部门面向社会服务网络的互联互通和信息资源共享。</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ascii="仿宋_GB2312" w:hAnsi="仿宋" w:eastAsia="仿宋_GB2312"/>
          <w:color w:val="auto"/>
          <w:sz w:val="32"/>
          <w:szCs w:val="32"/>
          <w:highlight w:val="none"/>
        </w:rPr>
        <w:t>3</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配合市经信局管理全区无线电频率资源，依法监督管理无线电台（站），协助做好无线电电磁环境保护工作，配合无线电监测、检测和干扰查处，协调军地无线电管理相关事宜，维护空中电波秩序，配合市经信局依法组织实施无线电管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ascii="仿宋_GB2312" w:hAnsi="仿宋" w:eastAsia="仿宋_GB2312"/>
          <w:color w:val="auto"/>
          <w:sz w:val="32"/>
          <w:szCs w:val="32"/>
          <w:highlight w:val="none"/>
        </w:rPr>
        <w:t>4</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统筹推进全区创新体系建设和科技体制改革，会同有关部门健全技术创新激励机制。牵头全区科学技术奖励工作。优化科研体系建设，推动企业科技创新能力建设。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ascii="仿宋_GB2312" w:hAnsi="仿宋" w:eastAsia="仿宋_GB2312"/>
          <w:color w:val="auto"/>
          <w:sz w:val="32"/>
          <w:szCs w:val="32"/>
          <w:highlight w:val="none"/>
        </w:rPr>
        <w:t>5</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建立国、省、市、区科研项目资金协调、实施、评估、监督机制。会同有关部门提出优化配置科技资源的政策措施建议，推动多元化科技投入体系建设。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ascii="仿宋_GB2312" w:hAnsi="仿宋" w:eastAsia="仿宋_GB2312"/>
          <w:color w:val="auto"/>
          <w:sz w:val="32"/>
          <w:szCs w:val="32"/>
          <w:highlight w:val="none"/>
        </w:rPr>
        <w:t>6</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统筹推进科技监督评价体系和科研诚信建设。推动各类科研平台建设、科研条件保障和科技资源开放共享及科技成果的转化和应用，促进产学研协同创新发展。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ascii="仿宋_GB2312" w:hAnsi="仿宋" w:eastAsia="仿宋_GB2312"/>
          <w:color w:val="auto"/>
          <w:sz w:val="32"/>
          <w:szCs w:val="32"/>
          <w:highlight w:val="none"/>
        </w:rPr>
        <w:t>7</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组织</w:t>
      </w:r>
      <w:r>
        <w:rPr>
          <w:rFonts w:hint="eastAsia" w:ascii="仿宋_GB2312" w:hAnsi="仿宋"/>
          <w:color w:val="auto"/>
          <w:sz w:val="32"/>
          <w:szCs w:val="32"/>
          <w:highlight w:val="none"/>
          <w:lang w:eastAsia="zh-CN"/>
        </w:rPr>
        <w:t>拟定</w:t>
      </w:r>
      <w:r>
        <w:rPr>
          <w:rFonts w:ascii="仿宋_GB2312" w:hAnsi="仿宋" w:eastAsia="仿宋_GB2312"/>
          <w:color w:val="auto"/>
          <w:sz w:val="32"/>
          <w:szCs w:val="32"/>
          <w:highlight w:val="none"/>
        </w:rPr>
        <w:t>全区高新技术发展及产业化、科技促进农业农村和社会发展的规划、政策和措施。指导科技服务业、技术市场和科技中介组织发展。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ascii="仿宋_GB2312" w:hAnsi="仿宋" w:eastAsia="仿宋_GB2312"/>
          <w:color w:val="auto"/>
          <w:sz w:val="32"/>
          <w:szCs w:val="32"/>
          <w:highlight w:val="none"/>
        </w:rPr>
        <w:t>8</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指导区域科技创新发展、科技资源合理布局和协调创新能力建设，推动科技园区建设。做好科技统计、科技安全、科技保密相关工作。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（1</w:t>
      </w:r>
      <w:r>
        <w:rPr>
          <w:rFonts w:ascii="仿宋_GB2312" w:hAnsi="仿宋" w:eastAsia="仿宋_GB2312"/>
          <w:color w:val="auto"/>
          <w:sz w:val="32"/>
          <w:szCs w:val="32"/>
          <w:highlight w:val="none"/>
        </w:rPr>
        <w:t>9</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组织开展国际国内科技合作与科技人才交流。组织实施引进外国人才智力计划，</w:t>
      </w:r>
      <w:r>
        <w:rPr>
          <w:rFonts w:hint="eastAsia" w:ascii="仿宋_GB2312" w:hAnsi="仿宋"/>
          <w:color w:val="auto"/>
          <w:sz w:val="32"/>
          <w:szCs w:val="32"/>
          <w:highlight w:val="none"/>
          <w:lang w:eastAsia="zh-CN"/>
        </w:rPr>
        <w:t>拟定</w:t>
      </w:r>
      <w:r>
        <w:rPr>
          <w:rFonts w:ascii="仿宋_GB2312" w:hAnsi="仿宋" w:eastAsia="仿宋_GB2312"/>
          <w:color w:val="auto"/>
          <w:sz w:val="32"/>
          <w:szCs w:val="32"/>
          <w:highlight w:val="none"/>
        </w:rPr>
        <w:t>出国（境）培训年度计划并监督实施。负责外国专家管理工作，会同有关部门办理相关外国人来遂工作许可。</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20</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会同有关部门</w:t>
      </w:r>
      <w:r>
        <w:rPr>
          <w:rFonts w:hint="eastAsia" w:ascii="仿宋_GB2312" w:hAnsi="仿宋"/>
          <w:color w:val="auto"/>
          <w:sz w:val="32"/>
          <w:szCs w:val="32"/>
          <w:highlight w:val="none"/>
          <w:lang w:eastAsia="zh-CN"/>
        </w:rPr>
        <w:t>拟定</w:t>
      </w:r>
      <w:r>
        <w:rPr>
          <w:rFonts w:ascii="仿宋_GB2312" w:hAnsi="仿宋" w:eastAsia="仿宋_GB2312"/>
          <w:color w:val="auto"/>
          <w:sz w:val="32"/>
          <w:szCs w:val="32"/>
          <w:highlight w:val="none"/>
        </w:rPr>
        <w:t>科技人才队伍建设规划和政策，建立健全全区科技人才评价和激励机制，推动科技创新人才队伍建设。会同有关部门开展科学普及和科学传播工作。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（21）</w:t>
      </w:r>
      <w:r>
        <w:rPr>
          <w:rFonts w:ascii="仿宋_GB2312" w:hAnsi="仿宋" w:eastAsia="仿宋_GB2312"/>
          <w:color w:val="auto"/>
          <w:sz w:val="32"/>
          <w:szCs w:val="32"/>
          <w:highlight w:val="none"/>
        </w:rPr>
        <w:t>负责</w:t>
      </w:r>
      <w:r>
        <w:rPr>
          <w:rFonts w:hint="eastAsia" w:ascii="仿宋_GB2312" w:hAnsi="仿宋"/>
          <w:color w:val="auto"/>
          <w:sz w:val="32"/>
          <w:szCs w:val="32"/>
          <w:highlight w:val="none"/>
          <w:lang w:eastAsia="zh-CN"/>
        </w:rPr>
        <w:t>拟定</w:t>
      </w:r>
      <w:r>
        <w:rPr>
          <w:rFonts w:ascii="仿宋_GB2312" w:hAnsi="仿宋" w:eastAsia="仿宋_GB2312"/>
          <w:color w:val="auto"/>
          <w:sz w:val="32"/>
          <w:szCs w:val="32"/>
          <w:highlight w:val="none"/>
        </w:rPr>
        <w:t>全区大数据发展战略、规划、政策措施和管理办法并组织实施。建立健全大数据采集、管理、开放、应用等规范和考核体系。引导和推动大数据研究应用工作，统筹推进数据资源互联互通和共享开放。</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22</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牵头推进全区数字经济发展。</w:t>
      </w:r>
      <w:r>
        <w:rPr>
          <w:rFonts w:hint="eastAsia" w:ascii="仿宋_GB2312" w:hAnsi="仿宋"/>
          <w:color w:val="auto"/>
          <w:sz w:val="32"/>
          <w:szCs w:val="32"/>
          <w:highlight w:val="none"/>
          <w:lang w:eastAsia="zh-CN"/>
        </w:rPr>
        <w:t>制定</w:t>
      </w:r>
      <w:r>
        <w:rPr>
          <w:rFonts w:ascii="仿宋_GB2312" w:hAnsi="仿宋" w:eastAsia="仿宋_GB2312"/>
          <w:color w:val="auto"/>
          <w:sz w:val="32"/>
          <w:szCs w:val="32"/>
          <w:highlight w:val="none"/>
        </w:rPr>
        <w:t>全区数字经济发展规划、政策措施和管理办法并组织实施。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23</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牵头推进智慧城市建设工作，负责政府信息化建设项目的统筹协调、论证评估和监督管理工作。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24</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负责职能范围内的安全生产和职业健康、消防安全、生态环境保护、审批服务便民化等工作。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25</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承担区政府公布的相关行政权力事项。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26</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完成区委和区政府交办的其他任务。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27</w:t>
      </w:r>
      <w:r>
        <w:rPr>
          <w:rFonts w:hint="eastAsia" w:ascii="仿宋_GB2312" w:hAnsi="仿宋" w:eastAsia="仿宋_GB2312"/>
          <w:color w:val="auto"/>
          <w:sz w:val="32"/>
          <w:szCs w:val="32"/>
          <w:highlight w:val="none"/>
        </w:rPr>
        <w:t>）</w:t>
      </w:r>
      <w:r>
        <w:rPr>
          <w:rFonts w:ascii="仿宋_GB2312" w:hAnsi="仿宋" w:eastAsia="仿宋_GB2312"/>
          <w:color w:val="auto"/>
          <w:sz w:val="32"/>
          <w:szCs w:val="32"/>
          <w:highlight w:val="none"/>
        </w:rPr>
        <w:t>有关职责分工。区经信科技局负责全区民营经济发展工作的任务制定、调查研究、统筹协调、督促落实及民营企业合法权益维护；区市场监督管理局负责为民营经济发展营造宽松的准入环境。区经信科技局负责全区盐业行业管理，承担食盐专营管理工作，组织实施产业政策；区市场监督管理局负责全区食盐生产经营质量安全管理和监督执法。区经信科技局负责医药生产行业管理；区市场监督管理局负责药品、医疗器械和化妆品质量安全管理和监督执法。</w:t>
      </w:r>
    </w:p>
    <w:p>
      <w:pPr>
        <w:spacing w:line="600" w:lineRule="exact"/>
        <w:ind w:firstLine="643" w:firstLineChars="200"/>
        <w:rPr>
          <w:rFonts w:hint="eastAsia" w:ascii="楷体_GB2312" w:eastAsia="楷体_GB2312"/>
          <w:b/>
          <w:color w:val="auto"/>
          <w:highlight w:val="none"/>
        </w:rPr>
      </w:pPr>
      <w:r>
        <w:rPr>
          <w:rFonts w:hint="eastAsia" w:ascii="楷体_GB2312" w:eastAsia="楷体_GB2312"/>
          <w:b/>
          <w:color w:val="auto"/>
          <w:highlight w:val="none"/>
        </w:rPr>
        <w:t>（二）</w:t>
      </w:r>
      <w:r>
        <w:rPr>
          <w:rFonts w:hint="eastAsia" w:ascii="楷体_GB2312" w:eastAsia="楷体_GB2312"/>
          <w:b/>
          <w:color w:val="auto"/>
          <w:highlight w:val="none"/>
          <w:lang w:val="en-US" w:eastAsia="zh-CN"/>
        </w:rPr>
        <w:t>区经信科技局</w:t>
      </w:r>
      <w:r>
        <w:rPr>
          <w:rFonts w:hint="eastAsia" w:ascii="楷体_GB2312" w:eastAsia="楷体_GB2312"/>
          <w:b/>
          <w:color w:val="auto"/>
          <w:highlight w:val="none"/>
        </w:rPr>
        <w:t>20</w:t>
      </w:r>
      <w:r>
        <w:rPr>
          <w:rFonts w:hint="eastAsia" w:ascii="楷体_GB2312" w:eastAsia="楷体_GB2312"/>
          <w:b/>
          <w:color w:val="auto"/>
          <w:highlight w:val="none"/>
          <w:lang w:val="en-US" w:eastAsia="zh-CN"/>
        </w:rPr>
        <w:t>24</w:t>
      </w:r>
      <w:r>
        <w:rPr>
          <w:rFonts w:hint="eastAsia" w:ascii="楷体_GB2312" w:eastAsia="楷体_GB2312"/>
          <w:b/>
          <w:color w:val="auto"/>
          <w:highlight w:val="none"/>
        </w:rPr>
        <w:t>年重点工作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 w:eastAsia="仿宋_GB2312" w:cs="Times New Roman"/>
          <w:color w:val="auto"/>
          <w:sz w:val="32"/>
          <w:szCs w:val="32"/>
          <w:highlight w:val="none"/>
          <w:lang w:val="en-US" w:eastAsia="zh-CN"/>
        </w:rPr>
      </w:pPr>
      <w:r>
        <w:rPr>
          <w:rFonts w:hint="eastAsia" w:ascii="仿宋_GB2312" w:hAnsi="仿宋" w:eastAsia="仿宋_GB2312"/>
          <w:color w:val="auto"/>
          <w:sz w:val="32"/>
          <w:szCs w:val="32"/>
          <w:highlight w:val="none"/>
        </w:rPr>
        <w:t>（</w:t>
      </w:r>
      <w:r>
        <w:rPr>
          <w:rFonts w:hint="eastAsia" w:ascii="仿宋_GB2312" w:hAnsi="仿宋"/>
          <w:color w:val="auto"/>
          <w:sz w:val="32"/>
          <w:szCs w:val="32"/>
          <w:highlight w:val="none"/>
          <w:lang w:val="en-US" w:eastAsia="zh-CN"/>
        </w:rPr>
        <w:t>1</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lang w:val="en-US" w:eastAsia="zh-CN"/>
        </w:rPr>
        <w:t>促进三大提升。一是促进项目建设质效提升。聚焦华夏空气储能、台牧数控机床、标准厂房建设等重大项目全过程，切实强化经科、经合、园区、自规、环保等部门协作、上下联动，采取集中联合办公、并联审批等方式，努力实现重大项目早签约、早落地、早开工、早建设、早达效。二是促进产业发展格局提升。围绕促进新型工业化、建设现代化产业体系、推动科技创新和科技成果转化等中心任务，不断强化相关业务能力的学习提升，立足当前形势和未来发展，积极思考谋划产业发展方向，科学预判、精准布局产业发展新赛道。三是促进服务保障能力提升。要以帮助企业解决实际困难为重点，发挥工业行业部门牵头职能，充分整合各方资源，制定出台船山区</w:t>
      </w:r>
      <w:r>
        <w:rPr>
          <w:rFonts w:hint="default" w:ascii="仿宋_GB2312" w:hAnsi="仿宋" w:eastAsia="仿宋_GB2312" w:cs="Times New Roman"/>
          <w:color w:val="auto"/>
          <w:sz w:val="32"/>
          <w:szCs w:val="32"/>
          <w:highlight w:val="none"/>
          <w:lang w:val="en-US" w:eastAsia="zh-CN"/>
        </w:rPr>
        <w:t>“支持工业发展</w:t>
      </w:r>
      <w:r>
        <w:rPr>
          <w:rFonts w:hint="eastAsia" w:ascii="仿宋_GB2312" w:hAnsi="仿宋" w:eastAsia="仿宋_GB2312" w:cs="Times New Roman"/>
          <w:color w:val="auto"/>
          <w:sz w:val="32"/>
          <w:szCs w:val="32"/>
          <w:highlight w:val="none"/>
          <w:lang w:val="en-US" w:eastAsia="zh-CN"/>
        </w:rPr>
        <w:t>若干政策措施</w:t>
      </w:r>
      <w:r>
        <w:rPr>
          <w:rFonts w:hint="default" w:ascii="仿宋_GB2312" w:hAnsi="仿宋" w:eastAsia="仿宋_GB2312" w:cs="Times New Roman"/>
          <w:color w:val="auto"/>
          <w:sz w:val="32"/>
          <w:szCs w:val="32"/>
          <w:highlight w:val="none"/>
          <w:lang w:val="en-US" w:eastAsia="zh-CN"/>
        </w:rPr>
        <w:t>”，</w:t>
      </w:r>
      <w:r>
        <w:rPr>
          <w:rFonts w:hint="eastAsia" w:ascii="仿宋_GB2312" w:hAnsi="仿宋" w:eastAsia="仿宋_GB2312" w:cs="Times New Roman"/>
          <w:color w:val="auto"/>
          <w:sz w:val="32"/>
          <w:szCs w:val="32"/>
          <w:highlight w:val="none"/>
          <w:lang w:val="en-US" w:eastAsia="zh-CN"/>
        </w:rPr>
        <w:t>让惠企政策精准滴灌，为企服务真正到达工厂一线。</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color w:val="auto"/>
          <w:sz w:val="32"/>
          <w:szCs w:val="32"/>
          <w:highlight w:val="none"/>
          <w:lang w:val="en-US" w:eastAsia="zh-CN"/>
        </w:rPr>
        <w:t>2</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实现三大突破。一是资金争取突破。要抓住船山园区扩区拓园契机，多到省市对接，力争上级工业发展无偿资金突破1000万元。二是品牌争创突破。积极谋划创建省级生产性服务业功能示范区、省级绿色工业园区等品牌，积极推动华夏空气储能项目争创“国家级双碳示范项目”。三是排位争先突破。扎实抓好工业企业转企升规工作，目前已报送川能水务和汇鼎电子升规资料，力争一季度实现升规入统“开门红”。力争全年实现升规5家以上，规上工业增加值增速排位进入全市前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color w:val="auto"/>
          <w:sz w:val="32"/>
          <w:szCs w:val="32"/>
          <w:highlight w:val="none"/>
          <w:lang w:val="en-US" w:eastAsia="zh-CN"/>
        </w:rPr>
        <w:t>3</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谋划建设“两大园区”。一是建设数字经济产业园。依托大龙网、忽米网、易华录等入驻企业，加快促成与盘古、图灵等互联网头部企业的合作协议，推动跨境电商产业园、锂电行业标识解析二级节点建设、遂宁市工业互联网创新基地、遂宁数据湖等项目实质建设，持续推进智慧城市建设，引领制造业企业智能化改造、数字化转型。二是建设船山区军民融合孵化产业园。谋划以数字经济产业、装备制造业、“专精特新”中小企业等方向入手，通过购买服务的方式招引、孵化军民融合类企业，鼓励园内企业“民参军”、承接军用成果，培育军民融合龙头企业；吸纳军民融合重大项目，加强培育和引进军民通用技术领域高层次人才及创新创业团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olor w:val="auto"/>
          <w:sz w:val="32"/>
          <w:szCs w:val="32"/>
          <w:highlight w:val="none"/>
        </w:rPr>
        <w:t>（</w:t>
      </w:r>
      <w:r>
        <w:rPr>
          <w:rFonts w:hint="eastAsia" w:ascii="仿宋_GB2312" w:hAnsi="仿宋"/>
          <w:color w:val="auto"/>
          <w:sz w:val="32"/>
          <w:szCs w:val="32"/>
          <w:highlight w:val="none"/>
          <w:lang w:val="en-US" w:eastAsia="zh-CN"/>
        </w:rPr>
        <w:t>4</w:t>
      </w:r>
      <w:r>
        <w:rPr>
          <w:rFonts w:hint="eastAsia" w:ascii="仿宋_GB2312" w:hAnsi="仿宋" w:eastAsia="仿宋_GB2312"/>
          <w:color w:val="auto"/>
          <w:sz w:val="32"/>
          <w:szCs w:val="32"/>
          <w:highlight w:val="none"/>
        </w:rPr>
        <w:t>）</w:t>
      </w:r>
      <w:r>
        <w:rPr>
          <w:rFonts w:hint="eastAsia" w:ascii="仿宋_GB2312" w:hAnsi="仿宋" w:eastAsia="仿宋_GB2312" w:cs="Times New Roman"/>
          <w:color w:val="auto"/>
          <w:sz w:val="32"/>
          <w:szCs w:val="32"/>
          <w:highlight w:val="none"/>
        </w:rPr>
        <w:t>搭建“两大平台”。一是建设船山区创新创业创造中心。拟选址船山园区政务服务中心，为入驻企业提供政策咨询、创业投资服务、科技企业孵化、技术研发、投融资、产学研合作、技术交流路演、创客训练营、培训、科技成果展示等服务，形成全周期全要素的创新创业服务体系。二是搭建建材产供销平台。引导本地企业、本地项目优先选用本地产品，实现船山砖瓦、砂石、商混等建材遂宁用，破解区内建材行业因房地产市场低迷阶段性制约行业发展的困境，促进行业增信心、拓销路、稳增长。</w:t>
      </w:r>
    </w:p>
    <w:p>
      <w:pPr>
        <w:spacing w:line="600" w:lineRule="exact"/>
        <w:ind w:firstLine="720" w:firstLineChars="200"/>
        <w:rPr>
          <w:rFonts w:hint="eastAsia" w:ascii="黑体" w:hAnsi="黑体" w:eastAsia="黑体" w:cs="Times New Roman"/>
          <w:sz w:val="36"/>
          <w:szCs w:val="36"/>
        </w:rPr>
      </w:pPr>
      <w:r>
        <w:rPr>
          <w:rFonts w:hint="eastAsia" w:ascii="黑体" w:hAnsi="黑体" w:eastAsia="黑体" w:cs="Times New Roman"/>
          <w:sz w:val="36"/>
          <w:szCs w:val="36"/>
        </w:rPr>
        <w:t>二、部门预算单位构成</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rPr>
      </w:pPr>
      <w:r>
        <w:rPr>
          <w:rFonts w:hint="eastAsia" w:ascii="仿宋_GB2312" w:hAnsi="仿宋" w:eastAsia="仿宋_GB2312" w:cs="Times New Roman"/>
          <w:color w:val="auto"/>
          <w:sz w:val="32"/>
          <w:szCs w:val="32"/>
          <w:highlight w:val="none"/>
          <w:lang w:val="en-US" w:eastAsia="zh-CN"/>
        </w:rPr>
        <w:t>区经信科技局无</w:t>
      </w:r>
      <w:r>
        <w:rPr>
          <w:rFonts w:hint="eastAsia" w:ascii="仿宋_GB2312" w:hAnsi="仿宋" w:eastAsia="仿宋_GB2312" w:cs="Times New Roman"/>
          <w:color w:val="auto"/>
          <w:sz w:val="32"/>
          <w:szCs w:val="32"/>
          <w:highlight w:val="none"/>
        </w:rPr>
        <w:t>下属二级预算单位。</w:t>
      </w:r>
    </w:p>
    <w:p>
      <w:pPr>
        <w:spacing w:line="600" w:lineRule="exact"/>
        <w:ind w:firstLine="720" w:firstLineChars="200"/>
        <w:rPr>
          <w:rFonts w:hint="eastAsia" w:ascii="黑体" w:hAnsi="黑体" w:eastAsia="黑体"/>
          <w:sz w:val="36"/>
          <w:szCs w:val="36"/>
        </w:rPr>
      </w:pPr>
      <w:r>
        <w:rPr>
          <w:rFonts w:ascii="黑体" w:hAnsi="黑体" w:eastAsia="黑体"/>
          <w:sz w:val="36"/>
          <w:szCs w:val="36"/>
        </w:rPr>
        <w:t>三、收支预算情况</w:t>
      </w:r>
      <w:r>
        <w:rPr>
          <w:rFonts w:hint="eastAsia" w:ascii="黑体" w:hAnsi="黑体" w:eastAsia="黑体"/>
          <w:sz w:val="36"/>
          <w:szCs w:val="36"/>
        </w:rPr>
        <w:t>说明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按照综合预算的原则，区经信科技局所有收入和支出均纳入部门预算管理。收入包括：一般公共预算拨款收入、上年结转、；支出包括：一般公共服务支出、科学技术支出、社会保障和就业支出、卫生健康支出、资源勘探工业信息等支出、住房保障支出。区经信科技局，2024年收支总预算905.45万元较2023年收支预算总数626.90万元，增加278.55万元，主要原因是增加了上年结转资金 2023年第一批省级工业发展专项资金、 川烟陈列示范街项目资金等项目支出。</w:t>
      </w:r>
    </w:p>
    <w:p>
      <w:pPr>
        <w:spacing w:line="600" w:lineRule="exact"/>
        <w:ind w:firstLine="643" w:firstLineChars="200"/>
        <w:rPr>
          <w:rFonts w:hint="eastAsia" w:ascii="楷体_GB2312" w:eastAsia="楷体_GB2312"/>
          <w:b/>
        </w:rPr>
      </w:pPr>
      <w:r>
        <w:rPr>
          <w:rFonts w:hint="eastAsia" w:ascii="楷体_GB2312" w:eastAsia="楷体_GB2312"/>
          <w:b/>
        </w:rPr>
        <w:t>（一）收入预算情况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区经信科技局2024年收入预算905.45万元，其中：上年结转364.65万元，占40.27%；一般公共预算拨款收入540.8万元，占59.73%。</w:t>
      </w:r>
    </w:p>
    <w:p>
      <w:pPr>
        <w:spacing w:line="600" w:lineRule="exact"/>
        <w:ind w:firstLine="643" w:firstLineChars="200"/>
        <w:rPr>
          <w:rFonts w:hint="eastAsia" w:ascii="楷体_GB2312" w:eastAsia="楷体_GB2312"/>
          <w:b/>
        </w:rPr>
      </w:pPr>
      <w:r>
        <w:rPr>
          <w:rFonts w:hint="eastAsia" w:ascii="楷体_GB2312" w:eastAsia="楷体_GB2312"/>
          <w:b/>
        </w:rPr>
        <w:t>（二）支出预算情况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区经信科技局2024年支出预算905.45万元，其中：基本支出459.49万元，占50.75%；项目支出445.95万元，占49.25%。</w:t>
      </w:r>
    </w:p>
    <w:p>
      <w:pPr>
        <w:spacing w:line="600" w:lineRule="exact"/>
        <w:ind w:firstLine="640" w:firstLineChars="200"/>
        <w:rPr>
          <w:rFonts w:hint="eastAsia" w:ascii="黑体" w:hAnsi="黑体" w:eastAsia="黑体"/>
        </w:rPr>
      </w:pPr>
      <w:r>
        <w:rPr>
          <w:rFonts w:ascii="黑体" w:hAnsi="黑体" w:eastAsia="黑体"/>
        </w:rPr>
        <w:t>四、财政拨款</w:t>
      </w:r>
      <w:r>
        <w:rPr>
          <w:rFonts w:hint="eastAsia" w:ascii="黑体" w:hAnsi="黑体" w:eastAsia="黑体"/>
        </w:rPr>
        <w:t>收支</w:t>
      </w:r>
      <w:r>
        <w:rPr>
          <w:rFonts w:ascii="黑体" w:hAnsi="黑体" w:eastAsia="黑体"/>
        </w:rPr>
        <w:t>预算情况</w:t>
      </w:r>
      <w:r>
        <w:rPr>
          <w:rFonts w:hint="eastAsia" w:ascii="黑体" w:hAnsi="黑体" w:eastAsia="黑体"/>
        </w:rPr>
        <w:t>说明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区经信科技局，2024年收支总预算905.45万元，较2023年收支预算总数615.55万元，增加289.90万元，主要原因是增加了 2023年第一批省级工业发展专项资金、 川烟陈列示范街项目资金等项目支出。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收入包括：本年一般公共预算拨款收入540.80万元、上年结转一般公共预算拨款收入364.65万元；支出包括：一般公共服务支出456.70万元、科学技术支出31.35万元、社会保障和就业支出46.32万元、卫生健康支出18.97万元、 资源勘探工业信息等支出321.3万元、住房保障支出30.81万元。</w:t>
      </w:r>
    </w:p>
    <w:p>
      <w:pPr>
        <w:spacing w:line="600" w:lineRule="exact"/>
        <w:ind w:firstLine="640" w:firstLineChars="200"/>
        <w:rPr>
          <w:rFonts w:hint="eastAsia" w:ascii="黑体" w:hAnsi="黑体" w:eastAsia="黑体"/>
        </w:rPr>
      </w:pPr>
      <w:r>
        <w:rPr>
          <w:rFonts w:hint="eastAsia" w:ascii="黑体" w:hAnsi="黑体" w:eastAsia="黑体"/>
        </w:rPr>
        <w:t>五、一般公共预算当年拨款情况说明</w:t>
      </w:r>
    </w:p>
    <w:p>
      <w:pPr>
        <w:spacing w:line="600" w:lineRule="exact"/>
        <w:ind w:firstLine="643" w:firstLineChars="200"/>
        <w:rPr>
          <w:rFonts w:hint="eastAsia" w:ascii="楷体_GB2312" w:eastAsia="楷体_GB2312"/>
          <w:b/>
        </w:rPr>
      </w:pPr>
      <w:r>
        <w:rPr>
          <w:rFonts w:hint="eastAsia" w:ascii="楷体_GB2312" w:eastAsia="楷体_GB2312"/>
          <w:b/>
        </w:rPr>
        <w:t>（一）一般公共预算当年拨款规模变化情况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区经信科技局，2024年收支总预算540.8万元，较2023年收支预算总数515.5万元增加25.3万元，增加了川烟陈列示范街项目资金项目支出。</w:t>
      </w:r>
    </w:p>
    <w:p>
      <w:pPr>
        <w:spacing w:line="600" w:lineRule="exact"/>
        <w:ind w:firstLine="643" w:firstLineChars="200"/>
        <w:rPr>
          <w:rFonts w:ascii="楷体_GB2312" w:eastAsia="楷体_GB2312"/>
          <w:b/>
        </w:rPr>
      </w:pPr>
      <w:r>
        <w:rPr>
          <w:rFonts w:hint="eastAsia" w:ascii="楷体_GB2312" w:eastAsia="楷体_GB2312"/>
          <w:b/>
        </w:rPr>
        <w:t>（二）一般公共预算当年拨款结构情况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一般公共服务支出444.70万元，占82.23%；社会保障和就业支出46.32万元，占8.57%；卫生健康支出18.97万元，占3.51%； 住房保障支出30.81万元，占5.69%。</w:t>
      </w:r>
    </w:p>
    <w:p>
      <w:pPr>
        <w:spacing w:line="600" w:lineRule="exact"/>
        <w:ind w:firstLine="643" w:firstLineChars="200"/>
        <w:rPr>
          <w:rFonts w:ascii="楷体_GB2312" w:eastAsia="楷体_GB2312"/>
          <w:b/>
        </w:rPr>
      </w:pPr>
      <w:r>
        <w:rPr>
          <w:rFonts w:hint="eastAsia" w:ascii="楷体_GB2312" w:eastAsia="楷体_GB2312"/>
          <w:b/>
        </w:rPr>
        <w:t>（三）一般公共预算当年拨款具体使用情况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 一般公共服务</w:t>
      </w:r>
      <w:r>
        <w:rPr>
          <w:rFonts w:hint="eastAsia" w:ascii="仿宋_GB2312" w:hAnsi="仿宋" w:cs="Times New Roman"/>
          <w:color w:val="auto"/>
          <w:sz w:val="32"/>
          <w:szCs w:val="32"/>
          <w:highlight w:val="none"/>
          <w:lang w:val="en-US" w:eastAsia="zh-CN"/>
        </w:rPr>
        <w:t>支出</w:t>
      </w:r>
      <w:r>
        <w:rPr>
          <w:rFonts w:hint="eastAsia" w:ascii="仿宋_GB2312" w:hAnsi="仿宋" w:eastAsia="仿宋_GB2312" w:cs="Times New Roman"/>
          <w:color w:val="auto"/>
          <w:sz w:val="32"/>
          <w:szCs w:val="32"/>
          <w:highlight w:val="none"/>
          <w:lang w:val="en-US" w:eastAsia="zh-CN"/>
        </w:rPr>
        <w:t>（201）商贸事务（13）行政运行（01）2024年预算数为291.65万元，主要用于：行政人员基本工资、津补贴、目标绩效及日常公用经费等。</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2. 一般公共服务</w:t>
      </w:r>
      <w:r>
        <w:rPr>
          <w:rFonts w:hint="eastAsia" w:ascii="仿宋_GB2312" w:hAnsi="仿宋" w:cs="Times New Roman"/>
          <w:color w:val="auto"/>
          <w:sz w:val="32"/>
          <w:szCs w:val="32"/>
          <w:highlight w:val="none"/>
          <w:lang w:val="en-US" w:eastAsia="zh-CN"/>
        </w:rPr>
        <w:t>支出</w:t>
      </w:r>
      <w:r>
        <w:rPr>
          <w:rFonts w:hint="eastAsia" w:ascii="仿宋_GB2312" w:hAnsi="仿宋" w:eastAsia="仿宋_GB2312" w:cs="Times New Roman"/>
          <w:color w:val="auto"/>
          <w:sz w:val="32"/>
          <w:szCs w:val="32"/>
          <w:highlight w:val="none"/>
          <w:lang w:val="en-US" w:eastAsia="zh-CN"/>
        </w:rPr>
        <w:t>（201）商贸事务（13）一般行政管理事务（02）2024年预算数为81.30万元，主要用于：统计标准化规范化工作经费、 川烟陈列示范街项目资金、 科普经费等项目支出。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3. 一般公共服务</w:t>
      </w:r>
      <w:r>
        <w:rPr>
          <w:rFonts w:hint="eastAsia" w:ascii="仿宋_GB2312" w:hAnsi="仿宋" w:cs="Times New Roman"/>
          <w:color w:val="auto"/>
          <w:sz w:val="32"/>
          <w:szCs w:val="32"/>
          <w:highlight w:val="none"/>
          <w:lang w:val="en-US" w:eastAsia="zh-CN"/>
        </w:rPr>
        <w:t>支出</w:t>
      </w:r>
      <w:r>
        <w:rPr>
          <w:rFonts w:hint="eastAsia" w:ascii="仿宋_GB2312" w:hAnsi="仿宋" w:eastAsia="仿宋_GB2312" w:cs="Times New Roman"/>
          <w:color w:val="auto"/>
          <w:sz w:val="32"/>
          <w:szCs w:val="32"/>
          <w:highlight w:val="none"/>
          <w:lang w:val="en-US" w:eastAsia="zh-CN"/>
        </w:rPr>
        <w:t xml:space="preserve">（201）商贸事务（13）事业运行（50）2024年预算数为71.75万元，主要用于：事业人员基本工资、绩效工资、目标绩效、日常公用等方面的支出。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4.社会保障和就业支出（208）行政事业单位养老支出（05）机关事业单位基本养老保险缴费支出（05）2024年预算数为37.60万元，主要用于：职工单位部分的养老保险支出。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5.社会保障和就业支出（208）行政事业单位养老支出（05）机关事业单位职业年金缴费支出（06）2024年预算数为5.28万元，主要用于：职工单位部分的职业年金支出。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6.社会保障和就业支出（208）残疾人事业（11）  残疾人就业（05）2024年预算数为2.70万元，主要用于：残疾人就业方面支出。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7.社会保障和就业支出（208）其他社会保障和就业支出（99）其他社会保障和就业支出（99）2024年预算书为0.73万元，主要用于：职工单位部分失业及工伤保险支出。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8.卫生健康支出（201）行政事业单位医疗（11）行政单位医疗（01）2024年预算数为9.12万元，主要用于：职工单位部分的医疗保险支出。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9.卫生健康支出（201）行政事业单位医疗（11）事业单位医疗（02）2024年预算数为2.97万元，主要用于：职工单位部分的医疗保险支出。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10.卫生健康支出（210）行政事业单位医疗（11）公务员医疗补助（03）2024年预算数为6.88万元，主要用于：职工公务员医疗补助保险支出。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11.住房保障支出（221）住房改革支出（02） 住房公积金（01）2024年预算数为30.81万元，主要用于：职工单位部分住房公积金支出。</w:t>
      </w:r>
    </w:p>
    <w:p>
      <w:pPr>
        <w:spacing w:line="600" w:lineRule="exact"/>
        <w:ind w:firstLine="640" w:firstLineChars="200"/>
        <w:rPr>
          <w:rFonts w:hint="eastAsia" w:ascii="黑体" w:hAnsi="黑体" w:eastAsia="黑体"/>
        </w:rPr>
      </w:pPr>
      <w:r>
        <w:rPr>
          <w:rFonts w:hint="eastAsia" w:ascii="黑体" w:hAnsi="黑体" w:eastAsia="黑体"/>
        </w:rPr>
        <w:t>六、一般公共预算基本支出情况说明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区经信科技局2024年一般公共预算基本支出459.49万元，其中：</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人员经费404.48万元，主要包括：基本工资、津贴补贴、奖金、绩效工资、机关事业单位基本养老保险缴费、职业年金缴费、职工基本医疗保险缴费、公务员医疗补助缴费、失业保险、工伤保险、残保金、住房公积金、其他工资福利支出、其他对个人和家庭补助。</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公用经费55.01万元，主要包括：办公费、印刷费、手续费、水费、电费、邮电费、物业管理费、差旅费、维修（护）费、培训费、公务接待费、委托业务费、福利费、 其他交通费用、其他商品和服务支出。</w:t>
      </w:r>
    </w:p>
    <w:p>
      <w:pPr>
        <w:spacing w:line="600" w:lineRule="exact"/>
        <w:ind w:firstLine="640" w:firstLineChars="200"/>
        <w:rPr>
          <w:rFonts w:hint="eastAsia" w:ascii="黑体" w:hAnsi="黑体" w:eastAsia="黑体"/>
        </w:rPr>
      </w:pPr>
      <w:r>
        <w:rPr>
          <w:rFonts w:hint="eastAsia" w:ascii="黑体" w:hAnsi="黑体" w:eastAsia="黑体"/>
        </w:rPr>
        <w:t>七、“三公”经费财政拨款预算安排情况说明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区经信科技局2024年“三公”经费财政拨款预算数1.21万元，其中：因公出国（境）经费0万元，公务接待费1.21万元，公务用车购置及运行维护费0万元。</w:t>
      </w:r>
    </w:p>
    <w:p>
      <w:pPr>
        <w:numPr>
          <w:ilvl w:val="0"/>
          <w:numId w:val="3"/>
        </w:numPr>
        <w:spacing w:line="600" w:lineRule="exact"/>
        <w:ind w:firstLine="643" w:firstLineChars="200"/>
        <w:rPr>
          <w:rFonts w:eastAsia="楷体_GB2312"/>
          <w:b/>
        </w:rPr>
      </w:pPr>
      <w:r>
        <w:rPr>
          <w:rFonts w:eastAsia="楷体_GB2312"/>
          <w:b/>
        </w:rPr>
        <w:t>因公出国（境）经费与202</w:t>
      </w:r>
      <w:r>
        <w:rPr>
          <w:rFonts w:hint="eastAsia" w:eastAsia="楷体_GB2312"/>
          <w:b/>
          <w:lang w:val="en-US" w:eastAsia="zh-CN"/>
        </w:rPr>
        <w:t>3</w:t>
      </w:r>
      <w:r>
        <w:rPr>
          <w:rFonts w:eastAsia="楷体_GB2312"/>
          <w:b/>
        </w:rPr>
        <w:t>年预算持平。</w:t>
      </w:r>
    </w:p>
    <w:p>
      <w:pPr>
        <w:keepNext w:val="0"/>
        <w:keepLines w:val="0"/>
        <w:pageBreakBefore w:val="0"/>
        <w:widowControl w:val="0"/>
        <w:numPr>
          <w:ilvl w:val="0"/>
          <w:numId w:val="3"/>
        </w:numPr>
        <w:kinsoku/>
        <w:wordWrap/>
        <w:overflowPunct/>
        <w:topLinePunct w:val="0"/>
        <w:autoSpaceDE/>
        <w:autoSpaceDN/>
        <w:bidi w:val="0"/>
        <w:adjustRightInd/>
        <w:snapToGrid w:val="0"/>
        <w:spacing w:line="600" w:lineRule="exact"/>
        <w:ind w:left="0" w:leftChars="0" w:firstLine="643" w:firstLineChars="200"/>
        <w:textAlignment w:val="auto"/>
        <w:rPr>
          <w:rFonts w:hint="eastAsia" w:ascii="仿宋_GB2312" w:hAnsi="仿宋" w:eastAsia="仿宋_GB2312" w:cs="Times New Roman"/>
          <w:color w:val="auto"/>
          <w:sz w:val="32"/>
          <w:szCs w:val="32"/>
          <w:highlight w:val="none"/>
          <w:lang w:val="en-US" w:eastAsia="zh-CN"/>
        </w:rPr>
      </w:pPr>
      <w:r>
        <w:rPr>
          <w:rFonts w:hint="eastAsia" w:eastAsia="楷体_GB2312"/>
          <w:b/>
        </w:rPr>
        <w:t>公务接待费较20</w:t>
      </w:r>
      <w:r>
        <w:rPr>
          <w:rFonts w:hint="eastAsia" w:eastAsia="楷体_GB2312"/>
          <w:b/>
          <w:lang w:val="en-US" w:eastAsia="zh-CN"/>
        </w:rPr>
        <w:t>23</w:t>
      </w:r>
      <w:r>
        <w:rPr>
          <w:rFonts w:hint="eastAsia" w:eastAsia="楷体_GB2312"/>
          <w:b/>
        </w:rPr>
        <w:t>年预算</w:t>
      </w:r>
      <w:r>
        <w:rPr>
          <w:rFonts w:hint="eastAsia" w:ascii="Times New Roman" w:hAnsi="Times New Roman" w:eastAsia="楷体_GB2312" w:cs="Times New Roman"/>
          <w:b/>
        </w:rPr>
        <w:t>下降</w:t>
      </w:r>
      <w:r>
        <w:rPr>
          <w:rFonts w:hint="eastAsia" w:eastAsia="楷体_GB2312"/>
          <w:b/>
          <w:lang w:val="en-US" w:eastAsia="zh-CN"/>
        </w:rPr>
        <w:t>50</w:t>
      </w:r>
      <w:r>
        <w:rPr>
          <w:rFonts w:hint="eastAsia" w:eastAsia="楷体_GB2312"/>
          <w:b/>
        </w:rPr>
        <w:t>%。</w:t>
      </w:r>
      <w:r>
        <w:rPr>
          <w:rFonts w:hint="eastAsia" w:ascii="仿宋_GB2312" w:hAnsi="仿宋" w:eastAsia="仿宋_GB2312" w:cs="Times New Roman"/>
          <w:color w:val="auto"/>
          <w:sz w:val="32"/>
          <w:szCs w:val="32"/>
          <w:highlight w:val="none"/>
          <w:lang w:val="en-US" w:eastAsia="zh-CN"/>
        </w:rPr>
        <w:t>主要原因是厉行节约，控制经费。2024年公务接待费计划用于上级相关部门的接待用餐费等支出。</w:t>
      </w:r>
    </w:p>
    <w:p>
      <w:pPr>
        <w:spacing w:line="600" w:lineRule="exact"/>
        <w:ind w:firstLine="643" w:firstLineChars="200"/>
        <w:rPr>
          <w:rFonts w:eastAsia="楷体_GB2312"/>
          <w:b/>
        </w:rPr>
      </w:pPr>
      <w:r>
        <w:rPr>
          <w:rFonts w:eastAsia="楷体_GB2312"/>
          <w:b/>
        </w:rPr>
        <w:t>（三）公务用车购置及运行维护费与202</w:t>
      </w:r>
      <w:r>
        <w:rPr>
          <w:rFonts w:hint="eastAsia" w:eastAsia="楷体_GB2312"/>
          <w:b/>
          <w:lang w:val="en-US" w:eastAsia="zh-CN"/>
        </w:rPr>
        <w:t>3</w:t>
      </w:r>
      <w:r>
        <w:rPr>
          <w:rFonts w:eastAsia="楷体_GB2312"/>
          <w:b/>
        </w:rPr>
        <w:t>年预算持平。</w:t>
      </w:r>
    </w:p>
    <w:p>
      <w:pPr>
        <w:spacing w:line="600" w:lineRule="exact"/>
        <w:ind w:firstLine="640" w:firstLineChars="200"/>
        <w:rPr>
          <w:rFonts w:hint="eastAsia"/>
        </w:rPr>
      </w:pPr>
      <w:r>
        <w:rPr>
          <w:rFonts w:hint="eastAsia"/>
        </w:rPr>
        <w:t>部门现有公务用车</w:t>
      </w:r>
      <w:r>
        <w:rPr>
          <w:rFonts w:hint="eastAsia"/>
          <w:lang w:val="en-US" w:eastAsia="zh-CN"/>
        </w:rPr>
        <w:t>0</w:t>
      </w:r>
      <w:r>
        <w:rPr>
          <w:rFonts w:hint="eastAsia"/>
        </w:rPr>
        <w:t>辆，其中：轿车</w:t>
      </w:r>
      <w:r>
        <w:rPr>
          <w:rFonts w:hint="eastAsia"/>
          <w:lang w:val="en-US" w:eastAsia="zh-CN"/>
        </w:rPr>
        <w:t>0</w:t>
      </w:r>
      <w:r>
        <w:rPr>
          <w:rFonts w:hint="eastAsia"/>
        </w:rPr>
        <w:t>辆，越野车</w:t>
      </w:r>
      <w:r>
        <w:rPr>
          <w:rFonts w:hint="eastAsia"/>
          <w:lang w:val="en-US" w:eastAsia="zh-CN"/>
        </w:rPr>
        <w:t>0</w:t>
      </w:r>
      <w:r>
        <w:rPr>
          <w:rFonts w:hint="eastAsia"/>
        </w:rPr>
        <w:t>辆，大型客、货车</w:t>
      </w:r>
      <w:r>
        <w:rPr>
          <w:rFonts w:hint="eastAsia"/>
          <w:lang w:val="en-US" w:eastAsia="zh-CN"/>
        </w:rPr>
        <w:t>0</w:t>
      </w:r>
      <w:r>
        <w:rPr>
          <w:rFonts w:hint="eastAsia"/>
        </w:rPr>
        <w:t>辆。</w:t>
      </w:r>
    </w:p>
    <w:p>
      <w:pPr>
        <w:spacing w:line="600" w:lineRule="exact"/>
        <w:ind w:firstLine="640" w:firstLineChars="200"/>
        <w:rPr>
          <w:rFonts w:hint="eastAsia"/>
        </w:rPr>
      </w:pPr>
      <w:r>
        <w:rPr>
          <w:rFonts w:hint="eastAsia"/>
        </w:rPr>
        <w:t>20</w:t>
      </w:r>
      <w:r>
        <w:rPr>
          <w:rFonts w:hint="eastAsia"/>
          <w:lang w:val="en-US" w:eastAsia="zh-CN"/>
        </w:rPr>
        <w:t>24</w:t>
      </w:r>
      <w:r>
        <w:rPr>
          <w:rFonts w:hint="eastAsia"/>
        </w:rPr>
        <w:t>年安排公务用车购置费</w:t>
      </w:r>
      <w:r>
        <w:rPr>
          <w:rFonts w:hint="eastAsia"/>
          <w:lang w:val="en-US" w:eastAsia="zh-CN"/>
        </w:rPr>
        <w:t>0</w:t>
      </w:r>
      <w:r>
        <w:rPr>
          <w:rFonts w:hint="eastAsia"/>
        </w:rPr>
        <w:t>万元。</w:t>
      </w:r>
    </w:p>
    <w:p>
      <w:pPr>
        <w:spacing w:line="600" w:lineRule="exact"/>
        <w:ind w:firstLine="640" w:firstLineChars="200"/>
      </w:pPr>
      <w:r>
        <w:t>202</w:t>
      </w:r>
      <w:r>
        <w:rPr>
          <w:rFonts w:hint="eastAsia"/>
          <w:lang w:val="en-US" w:eastAsia="zh-CN"/>
        </w:rPr>
        <w:t>4</w:t>
      </w:r>
      <w:r>
        <w:t>年安排公务用车运行维护费0万元。</w:t>
      </w:r>
    </w:p>
    <w:p>
      <w:pPr>
        <w:spacing w:line="600" w:lineRule="exact"/>
        <w:ind w:firstLine="640" w:firstLineChars="200"/>
        <w:rPr>
          <w:rFonts w:hint="eastAsia" w:ascii="黑体" w:hAnsi="黑体" w:eastAsia="黑体"/>
        </w:rPr>
      </w:pPr>
      <w:r>
        <w:rPr>
          <w:rFonts w:hint="eastAsia" w:ascii="黑体" w:hAnsi="黑体" w:eastAsia="黑体"/>
        </w:rPr>
        <w:t>八、“会议费”、“培训费”、“差旅费”财政拨款预算安排情况说明</w:t>
      </w:r>
    </w:p>
    <w:p>
      <w:pPr>
        <w:spacing w:line="600" w:lineRule="exact"/>
        <w:ind w:firstLine="640" w:firstLineChars="200"/>
        <w:rPr>
          <w:rFonts w:hint="eastAsia"/>
        </w:rPr>
      </w:pPr>
      <w:r>
        <w:t>区经信科技局</w:t>
      </w:r>
      <w:r>
        <w:rPr>
          <w:rFonts w:hint="eastAsia"/>
        </w:rPr>
        <w:t>20</w:t>
      </w:r>
      <w:r>
        <w:rPr>
          <w:rFonts w:hint="eastAsia"/>
          <w:lang w:val="en-US" w:eastAsia="zh-CN"/>
        </w:rPr>
        <w:t>24</w:t>
      </w:r>
      <w:r>
        <w:rPr>
          <w:rFonts w:hint="eastAsia"/>
        </w:rPr>
        <w:t>年“会议费”、“培训费”、“差旅费”财政拨款预算数</w:t>
      </w:r>
      <w:r>
        <w:rPr>
          <w:rFonts w:hint="eastAsia"/>
          <w:lang w:val="en-US" w:eastAsia="zh-CN"/>
        </w:rPr>
        <w:t>13.4</w:t>
      </w:r>
      <w:r>
        <w:rPr>
          <w:rFonts w:hint="eastAsia"/>
        </w:rPr>
        <w:t>万元，其中：会议费</w:t>
      </w:r>
      <w:r>
        <w:rPr>
          <w:rFonts w:hint="eastAsia" w:ascii="楷体_GB2312" w:eastAsia="楷体_GB2312"/>
          <w:lang w:val="en-US" w:eastAsia="zh-CN"/>
        </w:rPr>
        <w:t>2.7</w:t>
      </w:r>
      <w:r>
        <w:rPr>
          <w:rFonts w:hint="eastAsia"/>
        </w:rPr>
        <w:t>万元，培训费</w:t>
      </w:r>
      <w:r>
        <w:rPr>
          <w:rFonts w:hint="eastAsia"/>
          <w:lang w:val="en-US" w:eastAsia="zh-CN"/>
        </w:rPr>
        <w:t>1.2</w:t>
      </w:r>
      <w:r>
        <w:rPr>
          <w:rFonts w:hint="eastAsia"/>
        </w:rPr>
        <w:t>万元，差旅费</w:t>
      </w:r>
      <w:r>
        <w:rPr>
          <w:rFonts w:hint="eastAsia"/>
          <w:lang w:val="en-US" w:eastAsia="zh-CN"/>
        </w:rPr>
        <w:t>9.5</w:t>
      </w:r>
      <w:r>
        <w:rPr>
          <w:rFonts w:hint="eastAsia"/>
        </w:rPr>
        <w:t>万元。</w:t>
      </w:r>
    </w:p>
    <w:p>
      <w:pPr>
        <w:spacing w:line="600" w:lineRule="exact"/>
        <w:ind w:firstLine="643" w:firstLineChars="200"/>
        <w:rPr>
          <w:rFonts w:hint="eastAsia" w:ascii="Times New Roman" w:hAnsi="Times New Roman" w:cs="Times New Roman"/>
        </w:rPr>
      </w:pPr>
      <w:r>
        <w:rPr>
          <w:rFonts w:hint="eastAsia" w:eastAsia="楷体_GB2312"/>
          <w:b/>
        </w:rPr>
        <w:t>（一）会议费较20</w:t>
      </w:r>
      <w:r>
        <w:rPr>
          <w:rFonts w:hint="eastAsia" w:eastAsia="楷体_GB2312"/>
          <w:b/>
          <w:lang w:val="en-US" w:eastAsia="zh-CN"/>
        </w:rPr>
        <w:t>23</w:t>
      </w:r>
      <w:r>
        <w:rPr>
          <w:rFonts w:hint="eastAsia" w:eastAsia="楷体_GB2312"/>
          <w:b/>
        </w:rPr>
        <w:t>年预算</w:t>
      </w:r>
      <w:r>
        <w:rPr>
          <w:rFonts w:hint="eastAsia" w:eastAsia="楷体_GB2312"/>
          <w:b/>
          <w:lang w:val="en-US" w:eastAsia="zh-CN"/>
        </w:rPr>
        <w:t>下降32.5</w:t>
      </w:r>
      <w:r>
        <w:rPr>
          <w:rFonts w:hint="eastAsia" w:eastAsia="楷体_GB2312"/>
          <w:b/>
        </w:rPr>
        <w:t>%。</w:t>
      </w:r>
      <w:r>
        <w:rPr>
          <w:rFonts w:hint="eastAsia"/>
        </w:rPr>
        <w:t>主</w:t>
      </w:r>
      <w:r>
        <w:rPr>
          <w:rFonts w:hint="eastAsia" w:ascii="Times New Roman" w:hAnsi="Times New Roman" w:cs="Times New Roman"/>
        </w:rPr>
        <w:t>要原因</w:t>
      </w:r>
      <w:r>
        <w:rPr>
          <w:rFonts w:hint="eastAsia" w:cs="Times New Roman"/>
          <w:lang w:eastAsia="zh-CN"/>
        </w:rPr>
        <w:t>是</w:t>
      </w:r>
      <w:r>
        <w:rPr>
          <w:rFonts w:hint="eastAsia" w:ascii="Times New Roman" w:hAnsi="Times New Roman" w:cs="Times New Roman"/>
          <w:lang w:eastAsia="zh-CN"/>
        </w:rPr>
        <w:t>根据</w:t>
      </w:r>
      <w:r>
        <w:rPr>
          <w:rFonts w:hint="eastAsia" w:ascii="Times New Roman" w:hAnsi="Times New Roman" w:cs="Times New Roman"/>
          <w:lang w:val="en-US" w:eastAsia="zh-CN"/>
        </w:rPr>
        <w:t>2024年工作计划</w:t>
      </w:r>
      <w:r>
        <w:rPr>
          <w:rFonts w:hint="eastAsia" w:ascii="Times New Roman" w:hAnsi="Times New Roman" w:cs="Times New Roman"/>
          <w:lang w:eastAsia="zh-CN"/>
        </w:rPr>
        <w:t>，</w:t>
      </w:r>
      <w:r>
        <w:rPr>
          <w:rFonts w:hint="eastAsia" w:ascii="Times New Roman" w:hAnsi="Times New Roman" w:cs="Times New Roman"/>
          <w:lang w:val="en-US" w:eastAsia="zh-CN"/>
        </w:rPr>
        <w:t>减少</w:t>
      </w:r>
      <w:r>
        <w:rPr>
          <w:rFonts w:hint="eastAsia" w:ascii="Times New Roman" w:hAnsi="Times New Roman" w:cs="Times New Roman"/>
          <w:lang w:eastAsia="zh-CN"/>
        </w:rPr>
        <w:t>了会议次数</w:t>
      </w:r>
      <w:r>
        <w:rPr>
          <w:rFonts w:hint="eastAsia" w:ascii="Times New Roman" w:hAnsi="Times New Roman" w:cs="Times New Roman"/>
        </w:rPr>
        <w:t>。</w:t>
      </w:r>
    </w:p>
    <w:p>
      <w:pPr>
        <w:spacing w:line="600" w:lineRule="exact"/>
        <w:ind w:firstLine="643" w:firstLineChars="200"/>
        <w:rPr>
          <w:rFonts w:hint="eastAsia" w:eastAsia="楷体_GB2312"/>
          <w:b/>
          <w:color w:val="auto"/>
          <w:lang w:val="en-US" w:eastAsia="zh-CN"/>
        </w:rPr>
      </w:pPr>
      <w:r>
        <w:rPr>
          <w:rFonts w:hint="eastAsia" w:eastAsia="楷体_GB2312"/>
          <w:b/>
        </w:rPr>
        <w:t>（二）培训费较20</w:t>
      </w:r>
      <w:r>
        <w:rPr>
          <w:rFonts w:hint="eastAsia" w:eastAsia="楷体_GB2312"/>
          <w:b/>
          <w:lang w:val="en-US" w:eastAsia="zh-CN"/>
        </w:rPr>
        <w:t>23</w:t>
      </w:r>
      <w:r>
        <w:rPr>
          <w:rFonts w:hint="eastAsia" w:eastAsia="楷体_GB2312"/>
          <w:b/>
        </w:rPr>
        <w:t>年预算增长</w:t>
      </w:r>
      <w:r>
        <w:rPr>
          <w:rFonts w:hint="eastAsia" w:eastAsia="楷体_GB2312"/>
          <w:b/>
          <w:lang w:val="en-US" w:eastAsia="zh-CN"/>
        </w:rPr>
        <w:t>500</w:t>
      </w:r>
      <w:r>
        <w:rPr>
          <w:rFonts w:hint="eastAsia" w:eastAsia="楷体_GB2312"/>
          <w:b/>
        </w:rPr>
        <w:t>%。</w:t>
      </w:r>
      <w:r>
        <w:rPr>
          <w:rFonts w:hint="eastAsia"/>
        </w:rPr>
        <w:t>主</w:t>
      </w:r>
      <w:r>
        <w:rPr>
          <w:rFonts w:hint="eastAsia"/>
          <w:color w:val="auto"/>
        </w:rPr>
        <w:t>要原因</w:t>
      </w:r>
      <w:r>
        <w:rPr>
          <w:rFonts w:hint="eastAsia"/>
          <w:color w:val="auto"/>
          <w:lang w:eastAsia="zh-CN"/>
        </w:rPr>
        <w:t>是根据</w:t>
      </w:r>
      <w:r>
        <w:rPr>
          <w:rFonts w:hint="eastAsia"/>
          <w:color w:val="auto"/>
          <w:lang w:val="en-US" w:eastAsia="zh-CN"/>
        </w:rPr>
        <w:t>2024年工作计划</w:t>
      </w:r>
      <w:r>
        <w:rPr>
          <w:rFonts w:hint="eastAsia"/>
          <w:color w:val="auto"/>
          <w:lang w:eastAsia="zh-CN"/>
        </w:rPr>
        <w:t>，增加了</w:t>
      </w:r>
      <w:r>
        <w:rPr>
          <w:rFonts w:hint="eastAsia"/>
          <w:color w:val="auto"/>
          <w:lang w:val="en-US" w:eastAsia="zh-CN"/>
        </w:rPr>
        <w:t>对企业的</w:t>
      </w:r>
      <w:r>
        <w:rPr>
          <w:rFonts w:hint="eastAsia"/>
          <w:color w:val="auto"/>
          <w:lang w:eastAsia="zh-CN"/>
        </w:rPr>
        <w:t>培训</w:t>
      </w:r>
      <w:r>
        <w:rPr>
          <w:rFonts w:hint="eastAsia"/>
          <w:color w:val="auto"/>
          <w:lang w:val="en-US" w:eastAsia="zh-CN"/>
        </w:rPr>
        <w:t>等相关工作</w:t>
      </w:r>
      <w:r>
        <w:rPr>
          <w:rFonts w:hint="eastAsia"/>
          <w:color w:val="auto"/>
        </w:rPr>
        <w:t>。</w:t>
      </w:r>
    </w:p>
    <w:p>
      <w:pPr>
        <w:spacing w:line="600" w:lineRule="exact"/>
        <w:ind w:firstLine="643" w:firstLineChars="200"/>
        <w:rPr>
          <w:rFonts w:hint="eastAsia"/>
          <w:color w:val="auto"/>
        </w:rPr>
      </w:pPr>
      <w:r>
        <w:rPr>
          <w:rFonts w:hint="eastAsia" w:eastAsia="楷体_GB2312"/>
          <w:b/>
          <w:color w:val="auto"/>
        </w:rPr>
        <w:t>（三）差旅费较20</w:t>
      </w:r>
      <w:r>
        <w:rPr>
          <w:rFonts w:hint="eastAsia" w:eastAsia="楷体_GB2312"/>
          <w:b/>
          <w:color w:val="auto"/>
          <w:lang w:val="en-US" w:eastAsia="zh-CN"/>
        </w:rPr>
        <w:t>23</w:t>
      </w:r>
      <w:r>
        <w:rPr>
          <w:rFonts w:hint="eastAsia" w:eastAsia="楷体_GB2312"/>
          <w:b/>
          <w:color w:val="auto"/>
        </w:rPr>
        <w:t>年预算</w:t>
      </w:r>
      <w:r>
        <w:rPr>
          <w:rFonts w:hint="eastAsia" w:eastAsia="楷体_GB2312"/>
          <w:b/>
          <w:color w:val="auto"/>
          <w:lang w:val="en-US" w:eastAsia="zh-CN"/>
        </w:rPr>
        <w:t>增长31.94</w:t>
      </w:r>
      <w:r>
        <w:rPr>
          <w:rFonts w:hint="eastAsia" w:eastAsia="楷体_GB2312"/>
          <w:b/>
          <w:color w:val="auto"/>
        </w:rPr>
        <w:t>%。</w:t>
      </w:r>
      <w:r>
        <w:rPr>
          <w:rFonts w:hint="eastAsia"/>
          <w:color w:val="auto"/>
        </w:rPr>
        <w:t>主要原因</w:t>
      </w:r>
      <w:r>
        <w:rPr>
          <w:rFonts w:hint="eastAsia"/>
          <w:color w:val="auto"/>
          <w:lang w:eastAsia="zh-CN"/>
        </w:rPr>
        <w:t>是根据</w:t>
      </w:r>
      <w:r>
        <w:rPr>
          <w:rFonts w:hint="eastAsia"/>
          <w:color w:val="auto"/>
          <w:lang w:val="en-US" w:eastAsia="zh-CN"/>
        </w:rPr>
        <w:t>2024年工作计划</w:t>
      </w:r>
      <w:r>
        <w:rPr>
          <w:rFonts w:hint="eastAsia"/>
          <w:color w:val="auto"/>
          <w:lang w:eastAsia="zh-CN"/>
        </w:rPr>
        <w:t>，</w:t>
      </w:r>
      <w:r>
        <w:rPr>
          <w:rFonts w:hint="eastAsia"/>
          <w:color w:val="auto"/>
          <w:lang w:val="en-US" w:eastAsia="zh-CN"/>
        </w:rPr>
        <w:t>增加了</w:t>
      </w:r>
      <w:r>
        <w:rPr>
          <w:rFonts w:hint="eastAsia"/>
          <w:color w:val="auto"/>
          <w:lang w:eastAsia="zh-CN"/>
        </w:rPr>
        <w:t>出差</w:t>
      </w:r>
      <w:r>
        <w:rPr>
          <w:rFonts w:hint="eastAsia"/>
          <w:color w:val="auto"/>
          <w:lang w:val="en-US" w:eastAsia="zh-CN"/>
        </w:rPr>
        <w:t>工作量</w:t>
      </w:r>
      <w:r>
        <w:rPr>
          <w:rFonts w:hint="eastAsia"/>
          <w:color w:val="auto"/>
        </w:rPr>
        <w:t>。</w:t>
      </w:r>
    </w:p>
    <w:p>
      <w:pPr>
        <w:spacing w:line="600" w:lineRule="exact"/>
        <w:ind w:firstLine="640" w:firstLineChars="200"/>
        <w:rPr>
          <w:rFonts w:hint="eastAsia" w:ascii="黑体" w:hAnsi="黑体" w:eastAsia="黑体"/>
        </w:rPr>
      </w:pPr>
      <w:r>
        <w:rPr>
          <w:rFonts w:hint="eastAsia" w:ascii="黑体" w:hAnsi="黑体" w:eastAsia="黑体"/>
        </w:rPr>
        <w:t>九、政府性基金预算支出情况说明</w:t>
      </w:r>
    </w:p>
    <w:p>
      <w:pPr>
        <w:spacing w:line="600" w:lineRule="exact"/>
        <w:ind w:firstLine="640" w:firstLineChars="200"/>
        <w:rPr>
          <w:color w:val="FF0000"/>
          <w:u w:val="single"/>
        </w:rPr>
      </w:pPr>
      <w:r>
        <w:t>区经信科技局</w:t>
      </w:r>
      <w:r>
        <w:rPr>
          <w:rFonts w:hint="eastAsia"/>
        </w:rPr>
        <w:t>20</w:t>
      </w:r>
      <w:r>
        <w:rPr>
          <w:rFonts w:hint="eastAsia"/>
          <w:lang w:val="en-US" w:eastAsia="zh-CN"/>
        </w:rPr>
        <w:t>24</w:t>
      </w:r>
      <w:r>
        <w:rPr>
          <w:rFonts w:hint="eastAsia"/>
        </w:rPr>
        <w:t>年</w:t>
      </w:r>
      <w:r>
        <w:t>没有使用政府性基金预算拨款安排的支出。</w:t>
      </w:r>
    </w:p>
    <w:p>
      <w:pPr>
        <w:spacing w:line="600" w:lineRule="exact"/>
        <w:ind w:firstLine="640" w:firstLineChars="200"/>
        <w:rPr>
          <w:rFonts w:ascii="黑体" w:hAnsi="黑体" w:eastAsia="黑体"/>
        </w:rPr>
      </w:pPr>
      <w:r>
        <w:rPr>
          <w:rFonts w:hint="eastAsia" w:ascii="黑体" w:hAnsi="黑体" w:eastAsia="黑体"/>
        </w:rPr>
        <w:t>十、国有资本经营预算支出情况说明</w:t>
      </w:r>
    </w:p>
    <w:p>
      <w:pPr>
        <w:spacing w:line="600" w:lineRule="exact"/>
        <w:ind w:firstLine="640" w:firstLineChars="200"/>
        <w:rPr>
          <w:u w:val="single"/>
        </w:rPr>
      </w:pPr>
      <w:r>
        <w:t>区经信科技局202</w:t>
      </w:r>
      <w:r>
        <w:rPr>
          <w:rFonts w:hint="eastAsia"/>
          <w:lang w:val="en-US" w:eastAsia="zh-CN"/>
        </w:rPr>
        <w:t>4</w:t>
      </w:r>
      <w:r>
        <w:t>年没有使用国有资本经营预算拨款安排的支出。</w:t>
      </w:r>
    </w:p>
    <w:p>
      <w:pPr>
        <w:spacing w:line="600" w:lineRule="exact"/>
        <w:ind w:firstLine="640" w:firstLineChars="200"/>
        <w:rPr>
          <w:rFonts w:hint="eastAsia" w:ascii="黑体" w:hAnsi="黑体" w:eastAsia="黑体"/>
        </w:rPr>
      </w:pPr>
      <w:r>
        <w:rPr>
          <w:rFonts w:hint="eastAsia" w:ascii="黑体" w:hAnsi="黑体" w:eastAsia="黑体"/>
        </w:rPr>
        <w:t>十一、其他重要事项的情况说明</w:t>
      </w:r>
    </w:p>
    <w:p>
      <w:pPr>
        <w:spacing w:line="600" w:lineRule="exact"/>
        <w:ind w:firstLine="643" w:firstLineChars="200"/>
        <w:rPr>
          <w:rFonts w:hint="eastAsia" w:eastAsia="楷体_GB2312"/>
          <w:b/>
        </w:rPr>
      </w:pPr>
      <w:r>
        <w:rPr>
          <w:rFonts w:hint="eastAsia" w:eastAsia="楷体_GB2312"/>
          <w:b/>
        </w:rPr>
        <w:t>（一）机关运行经费</w:t>
      </w:r>
    </w:p>
    <w:p>
      <w:pPr>
        <w:spacing w:line="600" w:lineRule="exact"/>
        <w:ind w:firstLine="640" w:firstLineChars="200"/>
        <w:rPr>
          <w:rFonts w:hint="eastAsia" w:eastAsia="仿宋_GB2312"/>
          <w:lang w:eastAsia="zh-CN"/>
        </w:rPr>
      </w:pPr>
      <w:r>
        <w:rPr>
          <w:rFonts w:hint="eastAsia"/>
        </w:rPr>
        <w:t>20</w:t>
      </w:r>
      <w:r>
        <w:rPr>
          <w:rFonts w:hint="eastAsia"/>
          <w:lang w:val="en-US" w:eastAsia="zh-CN"/>
        </w:rPr>
        <w:t>24</w:t>
      </w:r>
      <w:r>
        <w:rPr>
          <w:rFonts w:hint="eastAsia"/>
        </w:rPr>
        <w:t>年，</w:t>
      </w:r>
      <w:r>
        <w:t>区经信科技局的机关运行经费财政拨款预算为</w:t>
      </w:r>
      <w:r>
        <w:rPr>
          <w:rFonts w:hint="eastAsia"/>
          <w:lang w:val="en-US" w:eastAsia="zh-CN"/>
        </w:rPr>
        <w:t>55.01</w:t>
      </w:r>
      <w:r>
        <w:rPr>
          <w:rFonts w:hint="eastAsia"/>
        </w:rPr>
        <w:t>万元，较20</w:t>
      </w:r>
      <w:r>
        <w:rPr>
          <w:rFonts w:hint="eastAsia"/>
          <w:lang w:val="en-US" w:eastAsia="zh-CN"/>
        </w:rPr>
        <w:t>23</w:t>
      </w:r>
      <w:r>
        <w:rPr>
          <w:rFonts w:hint="eastAsia"/>
        </w:rPr>
        <w:t>年预算</w:t>
      </w:r>
      <w:r>
        <w:rPr>
          <w:rFonts w:hint="eastAsia"/>
          <w:lang w:val="en-US" w:eastAsia="zh-CN"/>
        </w:rPr>
        <w:t>增加15.90</w:t>
      </w:r>
      <w:r>
        <w:rPr>
          <w:rFonts w:hint="eastAsia"/>
        </w:rPr>
        <w:t>万元，</w:t>
      </w:r>
      <w:r>
        <w:rPr>
          <w:rFonts w:hint="eastAsia"/>
          <w:lang w:val="en-US" w:eastAsia="zh-CN"/>
        </w:rPr>
        <w:t>增加40.65</w:t>
      </w:r>
      <w:r>
        <w:rPr>
          <w:rFonts w:hint="eastAsia"/>
        </w:rPr>
        <w:t>%。</w:t>
      </w:r>
      <w:r>
        <w:rPr>
          <w:rFonts w:hint="eastAsia"/>
          <w:lang w:eastAsia="zh-CN"/>
        </w:rPr>
        <w:t>主要原因是：</w:t>
      </w:r>
      <w:r>
        <w:rPr>
          <w:rFonts w:hint="eastAsia"/>
          <w:lang w:val="en-US" w:eastAsia="zh-CN"/>
        </w:rPr>
        <w:t>增加了委托业务费、其他商品和服务支出、其他对个人和家庭的补助</w:t>
      </w:r>
      <w:r>
        <w:rPr>
          <w:rFonts w:hint="eastAsia"/>
        </w:rPr>
        <w:t>支出</w:t>
      </w:r>
      <w:r>
        <w:rPr>
          <w:rFonts w:hint="eastAsia"/>
          <w:lang w:val="en-US" w:eastAsia="zh-CN"/>
        </w:rPr>
        <w:t>等支出</w:t>
      </w:r>
      <w:r>
        <w:t>。</w:t>
      </w:r>
    </w:p>
    <w:p>
      <w:pPr>
        <w:spacing w:line="600" w:lineRule="exact"/>
        <w:ind w:firstLine="643" w:firstLineChars="200"/>
        <w:rPr>
          <w:rFonts w:hint="eastAsia" w:eastAsia="楷体_GB2312"/>
          <w:b/>
        </w:rPr>
      </w:pPr>
      <w:r>
        <w:rPr>
          <w:rFonts w:hint="eastAsia" w:eastAsia="楷体_GB2312"/>
          <w:b/>
        </w:rPr>
        <w:t>（二）政府采购情况</w:t>
      </w:r>
    </w:p>
    <w:p>
      <w:pPr>
        <w:spacing w:line="600" w:lineRule="exact"/>
        <w:ind w:firstLine="640" w:firstLineChars="200"/>
        <w:rPr>
          <w:color w:val="auto"/>
        </w:rPr>
      </w:pPr>
      <w:r>
        <w:rPr>
          <w:color w:val="auto"/>
        </w:rPr>
        <w:t>区经信科技局202</w:t>
      </w:r>
      <w:r>
        <w:rPr>
          <w:rFonts w:hint="eastAsia"/>
          <w:color w:val="auto"/>
          <w:lang w:val="en-US" w:eastAsia="zh-CN"/>
        </w:rPr>
        <w:t>4</w:t>
      </w:r>
      <w:r>
        <w:rPr>
          <w:color w:val="auto"/>
        </w:rPr>
        <w:t>年无政府采购项目，未安排政府采购预算。</w:t>
      </w:r>
    </w:p>
    <w:p>
      <w:pPr>
        <w:spacing w:line="600" w:lineRule="exact"/>
        <w:ind w:firstLine="643" w:firstLineChars="200"/>
        <w:rPr>
          <w:rFonts w:hint="eastAsia" w:eastAsia="楷体_GB2312"/>
          <w:b/>
        </w:rPr>
      </w:pPr>
      <w:r>
        <w:rPr>
          <w:rFonts w:hint="eastAsia" w:eastAsia="楷体_GB2312"/>
          <w:b/>
        </w:rPr>
        <w:t>（三）国有资产占有使用情况</w:t>
      </w:r>
    </w:p>
    <w:p>
      <w:pPr>
        <w:spacing w:line="600" w:lineRule="exact"/>
        <w:ind w:firstLine="640" w:firstLineChars="200"/>
      </w:pPr>
      <w:r>
        <w:t>截至202</w:t>
      </w:r>
      <w:r>
        <w:rPr>
          <w:rFonts w:hint="eastAsia"/>
          <w:lang w:val="en-US" w:eastAsia="zh-CN"/>
        </w:rPr>
        <w:t>3</w:t>
      </w:r>
      <w:r>
        <w:t>年底，</w:t>
      </w:r>
      <w:r>
        <w:rPr>
          <w:rFonts w:eastAsia="楷体_GB2312"/>
        </w:rPr>
        <w:t>区经信科技局</w:t>
      </w:r>
      <w:r>
        <w:t>所属各预算单位共有车辆0辆。</w:t>
      </w:r>
      <w:r>
        <w:rPr>
          <w:rFonts w:hint="eastAsia"/>
        </w:rPr>
        <w:t>其中，地厅级领导干部用车</w:t>
      </w:r>
      <w:r>
        <w:rPr>
          <w:rFonts w:hint="eastAsia"/>
          <w:lang w:val="en-US" w:eastAsia="zh-CN"/>
        </w:rPr>
        <w:t>0</w:t>
      </w:r>
      <w:r>
        <w:rPr>
          <w:rFonts w:hint="eastAsia"/>
        </w:rPr>
        <w:t>辆、定向保障用车</w:t>
      </w:r>
      <w:r>
        <w:rPr>
          <w:rFonts w:hint="eastAsia"/>
          <w:lang w:val="en-US" w:eastAsia="zh-CN"/>
        </w:rPr>
        <w:t>0</w:t>
      </w:r>
      <w:r>
        <w:rPr>
          <w:rFonts w:hint="eastAsia"/>
        </w:rPr>
        <w:t>辆、执法执勤用车</w:t>
      </w:r>
      <w:r>
        <w:rPr>
          <w:rFonts w:hint="eastAsia"/>
          <w:lang w:val="en-US" w:eastAsia="zh-CN"/>
        </w:rPr>
        <w:t>0</w:t>
      </w:r>
      <w:r>
        <w:rPr>
          <w:rFonts w:hint="eastAsia"/>
        </w:rPr>
        <w:t>辆。单位价值</w:t>
      </w:r>
      <w:r>
        <w:t>200</w:t>
      </w:r>
      <w:r>
        <w:rPr>
          <w:rFonts w:hint="eastAsia"/>
        </w:rPr>
        <w:t>万元以上大型设备</w:t>
      </w:r>
      <w:r>
        <w:rPr>
          <w:rFonts w:hint="eastAsia" w:ascii="楷体_GB2312" w:eastAsia="楷体_GB2312"/>
          <w:lang w:val="en-US" w:eastAsia="zh-CN"/>
        </w:rPr>
        <w:t>0</w:t>
      </w:r>
      <w:r>
        <w:rPr>
          <w:rFonts w:hint="eastAsia"/>
        </w:rPr>
        <w:t>台（套）。</w:t>
      </w:r>
    </w:p>
    <w:p>
      <w:pPr>
        <w:spacing w:line="560" w:lineRule="exact"/>
        <w:ind w:firstLine="640" w:firstLineChars="200"/>
      </w:pPr>
      <w:r>
        <w:t>区</w:t>
      </w:r>
      <w:r>
        <w:rPr>
          <w:rFonts w:hint="eastAsia"/>
        </w:rPr>
        <w:t>经信科技</w:t>
      </w:r>
      <w:r>
        <w:t>局202</w:t>
      </w:r>
      <w:r>
        <w:rPr>
          <w:rFonts w:hint="eastAsia"/>
          <w:lang w:val="en-US" w:eastAsia="zh-CN"/>
        </w:rPr>
        <w:t>4</w:t>
      </w:r>
      <w:r>
        <w:t>年部门预算未安排购置车辆及单位价值200万元以上大型设备。</w:t>
      </w:r>
    </w:p>
    <w:p>
      <w:pPr>
        <w:spacing w:line="560" w:lineRule="exact"/>
        <w:ind w:firstLine="643" w:firstLineChars="200"/>
        <w:rPr>
          <w:rFonts w:hint="eastAsia" w:eastAsia="楷体_GB2312"/>
          <w:b/>
          <w:lang w:eastAsia="zh-CN"/>
        </w:rPr>
      </w:pPr>
      <w:r>
        <w:rPr>
          <w:rFonts w:hint="eastAsia" w:eastAsia="楷体_GB2312"/>
          <w:b/>
        </w:rPr>
        <w:t>（四）</w:t>
      </w:r>
      <w:r>
        <w:rPr>
          <w:rFonts w:hint="eastAsia" w:eastAsia="楷体_GB2312"/>
          <w:b/>
          <w:lang w:eastAsia="zh-CN"/>
        </w:rPr>
        <w:t>预算绩效</w:t>
      </w:r>
      <w:r>
        <w:rPr>
          <w:rFonts w:hint="eastAsia" w:eastAsia="楷体_GB2312"/>
          <w:b/>
        </w:rPr>
        <w:t>情况</w:t>
      </w:r>
    </w:p>
    <w:p>
      <w:pPr>
        <w:spacing w:line="560" w:lineRule="exact"/>
        <w:ind w:firstLine="640" w:firstLineChars="200"/>
        <w:rPr>
          <w:highlight w:val="none"/>
        </w:rPr>
      </w:pPr>
      <w:r>
        <w:rPr>
          <w:rFonts w:hint="eastAsia"/>
          <w:highlight w:val="none"/>
          <w:lang w:val="en-US" w:eastAsia="zh-CN"/>
        </w:rPr>
        <w:t>2023年区经信科技局</w:t>
      </w:r>
      <w:r>
        <w:rPr>
          <w:rFonts w:hint="eastAsia"/>
          <w:highlight w:val="none"/>
          <w:lang w:eastAsia="zh-CN"/>
        </w:rPr>
        <w:t>开展绩效目标管理的项目</w:t>
      </w:r>
      <w:r>
        <w:rPr>
          <w:rFonts w:hint="eastAsia"/>
          <w:highlight w:val="none"/>
          <w:lang w:val="en-US" w:eastAsia="zh-CN"/>
        </w:rPr>
        <w:t>17个，涉及预算445.95万元。其中：人员类项目0个，涉及预算0万元；运转类项目0个，涉及预算0万元；特定目标类项目17个，涉及预算445.95万元</w:t>
      </w:r>
      <w:r>
        <w:rPr>
          <w:rFonts w:hint="eastAsia"/>
          <w:highlight w:val="none"/>
        </w:rPr>
        <w:t>。</w:t>
      </w:r>
    </w:p>
    <w:p>
      <w:pPr>
        <w:spacing w:line="560" w:lineRule="exact"/>
        <w:ind w:firstLine="640" w:firstLineChars="200"/>
        <w:rPr>
          <w:rFonts w:ascii="黑体" w:hAnsi="黑体" w:eastAsia="黑体"/>
        </w:rPr>
      </w:pPr>
      <w:r>
        <w:rPr>
          <w:rFonts w:hint="eastAsia" w:ascii="黑体" w:hAnsi="黑体" w:eastAsia="黑体"/>
        </w:rPr>
        <w:t>十二</w:t>
      </w:r>
      <w:r>
        <w:rPr>
          <w:rFonts w:ascii="黑体" w:hAnsi="黑体" w:eastAsia="黑体"/>
        </w:rPr>
        <w:t>、</w:t>
      </w:r>
      <w:r>
        <w:rPr>
          <w:rFonts w:hint="eastAsia" w:ascii="黑体" w:hAnsi="黑体" w:eastAsia="黑体"/>
        </w:rPr>
        <w:t>名词解释</w:t>
      </w:r>
    </w:p>
    <w:p>
      <w:pPr>
        <w:spacing w:line="560" w:lineRule="exact"/>
        <w:ind w:firstLine="640" w:firstLineChars="200"/>
      </w:pPr>
      <w:r>
        <w:t>1.</w:t>
      </w:r>
      <w:r>
        <w:rPr>
          <w:rFonts w:hint="eastAsia"/>
        </w:rPr>
        <w:t xml:space="preserve"> </w:t>
      </w:r>
      <w:r>
        <w:t>一般公共预算拨款收入：指市</w:t>
      </w:r>
      <w:r>
        <w:rPr>
          <w:rFonts w:hint="eastAsia"/>
        </w:rPr>
        <w:t>本</w:t>
      </w:r>
      <w:r>
        <w:t>级财政当年拨付的资金。</w:t>
      </w:r>
    </w:p>
    <w:p>
      <w:pPr>
        <w:spacing w:line="560" w:lineRule="exact"/>
        <w:ind w:firstLine="640" w:firstLineChars="200"/>
      </w:pPr>
      <w:r>
        <w:t>2.</w:t>
      </w:r>
      <w:r>
        <w:rPr>
          <w:rFonts w:hint="eastAsia"/>
        </w:rPr>
        <w:t xml:space="preserve"> </w:t>
      </w:r>
      <w:r>
        <w:t>上年结转：指以前年度尚未完成，结转到本年仍按原规定用途继续使用的资金。</w:t>
      </w:r>
    </w:p>
    <w:p>
      <w:pPr>
        <w:spacing w:line="560" w:lineRule="exact"/>
        <w:ind w:firstLine="640" w:firstLineChars="200"/>
      </w:pPr>
      <w:r>
        <w:t>3.</w:t>
      </w:r>
      <w:r>
        <w:rPr>
          <w:rFonts w:hint="eastAsia"/>
        </w:rPr>
        <w:t xml:space="preserve"> </w:t>
      </w:r>
      <w:r>
        <w:t>基本支出：指为保证机构正常运转，完成日常工作任务而发生的人员支出和公用支出。</w:t>
      </w:r>
    </w:p>
    <w:p>
      <w:pPr>
        <w:spacing w:line="560" w:lineRule="exact"/>
        <w:ind w:firstLine="640" w:firstLineChars="200"/>
      </w:pPr>
      <w:r>
        <w:t>4.</w:t>
      </w:r>
      <w:r>
        <w:rPr>
          <w:rFonts w:hint="eastAsia"/>
        </w:rPr>
        <w:t xml:space="preserve"> </w:t>
      </w:r>
      <w:r>
        <w:t>项目支出：指在基本支出之外为完成特定行政任务和事业发展目标所发生的支出。</w:t>
      </w:r>
    </w:p>
    <w:p>
      <w:pPr>
        <w:spacing w:line="560" w:lineRule="exact"/>
        <w:ind w:firstLine="640" w:firstLineChars="200"/>
      </w:pPr>
      <w:r>
        <w:t>5.</w:t>
      </w:r>
      <w:r>
        <w:rPr>
          <w:rFonts w:hint="eastAsia"/>
        </w:rPr>
        <w:t xml:space="preserve"> </w:t>
      </w:r>
      <w:r>
        <w:t>“三公”经费：纳入部门预算管理的“三公”经费，是指部门用财政拨款安排的因公出国（境）费、公务用车购置及运行费和公务接待费。其中，因公出国（境）费反映</w:t>
      </w:r>
      <w:r>
        <w:rPr>
          <w:rFonts w:hint="eastAsia"/>
        </w:rPr>
        <w:t>部门</w:t>
      </w:r>
      <w:r>
        <w:t>公务出国（境）的国际旅费、国外城市间交通费、住宿费、伙食费、培训费、公杂费等支出；公务用车购置及运行费反映</w:t>
      </w:r>
      <w:r>
        <w:rPr>
          <w:rFonts w:hint="eastAsia"/>
        </w:rPr>
        <w:t>部门</w:t>
      </w:r>
      <w:r>
        <w:t>公务用车车辆购置支出（含车辆购置税）及租用费、燃料费、维修费、过路过桥费、保险费等支出；公务接待费反映</w:t>
      </w:r>
      <w:r>
        <w:rPr>
          <w:rFonts w:hint="eastAsia"/>
        </w:rPr>
        <w:t>部门</w:t>
      </w:r>
      <w:r>
        <w:t>按规定开支的各类公务接待（含外宾接待）支出。</w:t>
      </w:r>
    </w:p>
    <w:p>
      <w:pPr>
        <w:spacing w:line="560" w:lineRule="exact"/>
        <w:ind w:firstLine="640" w:firstLineChars="200"/>
        <w:rPr>
          <w:rFonts w:hint="eastAsia"/>
        </w:rPr>
      </w:pPr>
      <w:r>
        <w:rPr>
          <w:rFonts w:hint="eastAsia"/>
          <w:lang w:val="en-US" w:eastAsia="zh-CN"/>
        </w:rPr>
        <w:t>6.</w:t>
      </w:r>
      <w:r>
        <w:t>一般公共服务</w:t>
      </w:r>
      <w:r>
        <w:rPr>
          <w:rFonts w:hint="eastAsia"/>
          <w:lang w:eastAsia="zh-CN"/>
        </w:rPr>
        <w:t>支出</w:t>
      </w:r>
      <w:r>
        <w:t>（201）商贸事务（13）行政运行（01）</w:t>
      </w:r>
      <w:r>
        <w:rPr>
          <w:rFonts w:hint="eastAsia"/>
          <w:lang w:eastAsia="zh-CN"/>
        </w:rPr>
        <w:t>：</w:t>
      </w:r>
      <w:r>
        <w:rPr>
          <w:rFonts w:hint="eastAsia"/>
        </w:rPr>
        <w:t>反映行政单位（包括实行公务员管理的事业单位）的基本支出。</w:t>
      </w:r>
    </w:p>
    <w:p>
      <w:pPr>
        <w:spacing w:line="560" w:lineRule="exact"/>
        <w:ind w:firstLine="640" w:firstLineChars="200"/>
        <w:rPr>
          <w:rFonts w:hint="eastAsia"/>
        </w:rPr>
      </w:pPr>
      <w:r>
        <w:rPr>
          <w:rFonts w:hint="eastAsia"/>
          <w:lang w:val="en-US" w:eastAsia="zh-CN"/>
        </w:rPr>
        <w:t>7.</w:t>
      </w:r>
      <w:r>
        <w:rPr>
          <w:rFonts w:hint="eastAsia"/>
        </w:rPr>
        <w:t>一般公共服务</w:t>
      </w:r>
      <w:r>
        <w:rPr>
          <w:rFonts w:hint="eastAsia"/>
          <w:lang w:eastAsia="zh-CN"/>
        </w:rPr>
        <w:t>支出</w:t>
      </w:r>
      <w:r>
        <w:rPr>
          <w:rFonts w:hint="eastAsia"/>
        </w:rPr>
        <w:t>（201）商贸事务（13）一般行政管理事务（02）</w:t>
      </w:r>
      <w:r>
        <w:rPr>
          <w:rFonts w:hint="eastAsia"/>
          <w:lang w:eastAsia="zh-CN"/>
        </w:rPr>
        <w:t>：</w:t>
      </w:r>
      <w:r>
        <w:rPr>
          <w:rFonts w:hint="eastAsia"/>
        </w:rPr>
        <w:t>反映行政单位（包括实行公务员管理的事业单位）未单独设置项级科目的其他项目支出。</w:t>
      </w:r>
    </w:p>
    <w:p>
      <w:pPr>
        <w:spacing w:line="560" w:lineRule="exact"/>
        <w:ind w:firstLine="640" w:firstLineChars="200"/>
        <w:rPr>
          <w:rFonts w:hint="eastAsia"/>
        </w:rPr>
      </w:pPr>
      <w:r>
        <w:rPr>
          <w:rFonts w:hint="eastAsia"/>
          <w:lang w:val="en-US" w:eastAsia="zh-CN"/>
        </w:rPr>
        <w:t>8.</w:t>
      </w:r>
      <w:r>
        <w:rPr>
          <w:rFonts w:hint="eastAsia"/>
        </w:rPr>
        <w:t>一般公共服务</w:t>
      </w:r>
      <w:r>
        <w:rPr>
          <w:rFonts w:hint="eastAsia"/>
          <w:lang w:eastAsia="zh-CN"/>
        </w:rPr>
        <w:t>支出</w:t>
      </w:r>
      <w:r>
        <w:rPr>
          <w:rFonts w:hint="eastAsia"/>
        </w:rPr>
        <w:t>（201）商贸事务（13）事业运行（50）反映事业单位的基本支出，不包括行政单位（包括实行公务员管理的事业单位）后勤服务中心、医务室等附属事业单位。</w:t>
      </w:r>
    </w:p>
    <w:p>
      <w:pPr>
        <w:spacing w:line="600" w:lineRule="exact"/>
        <w:ind w:firstLine="640" w:firstLineChars="200"/>
        <w:rPr>
          <w:rFonts w:hint="eastAsia"/>
          <w:lang w:val="en-US" w:eastAsia="zh-CN"/>
        </w:rPr>
      </w:pPr>
      <w:r>
        <w:rPr>
          <w:rFonts w:hint="eastAsia"/>
          <w:lang w:val="en-US" w:eastAsia="zh-CN"/>
        </w:rPr>
        <w:t>9.科学技术支出（206）科技条件与服务（05）技术创新服务体系（02）：反映国家为公益性行业、企业等提供信息、技术、中介等全方位服务和支持，建立健全技术服务体系等方面的支出。</w:t>
      </w:r>
    </w:p>
    <w:p>
      <w:pPr>
        <w:spacing w:line="600" w:lineRule="exact"/>
        <w:ind w:firstLine="640" w:firstLineChars="200"/>
        <w:rPr>
          <w:rFonts w:hint="eastAsia"/>
          <w:lang w:val="en-US" w:eastAsia="zh-CN"/>
        </w:rPr>
      </w:pPr>
      <w:r>
        <w:rPr>
          <w:rFonts w:hint="eastAsia"/>
          <w:lang w:val="en-US" w:eastAsia="zh-CN"/>
        </w:rPr>
        <w:t>10.科学技术支出（206）科技条件与服务（05）科技条件专项（03）：反映国家用于完善科技条件的支出，包括科技文献信息、网络环境支撑等科技条件专项支出等。</w:t>
      </w:r>
    </w:p>
    <w:p>
      <w:pPr>
        <w:pStyle w:val="6"/>
        <w:numPr>
          <w:ilvl w:val="0"/>
          <w:numId w:val="0"/>
        </w:numPr>
        <w:ind w:leftChars="0" w:firstLine="631"/>
        <w:rPr>
          <w:rFonts w:hint="eastAsia"/>
          <w:color w:val="0000FF"/>
          <w:highlight w:val="none"/>
          <w:lang w:val="en-US" w:eastAsia="zh-CN"/>
        </w:rPr>
      </w:pPr>
      <w:r>
        <w:rPr>
          <w:rFonts w:hint="eastAsia"/>
          <w:highlight w:val="none"/>
          <w:lang w:val="en-US" w:eastAsia="zh-CN"/>
        </w:rPr>
        <w:t>11.科学技术支出（206）科技重大项目（09）重点研发计划（02）：</w:t>
      </w:r>
      <w:r>
        <w:rPr>
          <w:rFonts w:hint="eastAsia" w:ascii="Times New Roman" w:hAnsi="Times New Roman" w:cs="Times New Roman"/>
          <w:highlight w:val="none"/>
          <w:lang w:val="en-US" w:eastAsia="zh-CN"/>
        </w:rPr>
        <w:t>反映用于重点研发计划的有关经费支出。</w:t>
      </w:r>
    </w:p>
    <w:p>
      <w:pPr>
        <w:pStyle w:val="6"/>
        <w:numPr>
          <w:ilvl w:val="0"/>
          <w:numId w:val="0"/>
        </w:numPr>
        <w:ind w:leftChars="0" w:firstLine="631"/>
        <w:rPr>
          <w:rFonts w:hint="eastAsia"/>
          <w:lang w:val="en-US" w:eastAsia="zh-CN"/>
        </w:rPr>
      </w:pPr>
      <w:r>
        <w:rPr>
          <w:rFonts w:hint="eastAsia"/>
          <w:highlight w:val="none"/>
          <w:lang w:val="en-US" w:eastAsia="zh-CN"/>
        </w:rPr>
        <w:t xml:space="preserve">12.科学技术支出（206）其他科学技术支出（99）科技奖励（01）：主要反映科学技术奖励方面的支出。  </w:t>
      </w:r>
    </w:p>
    <w:p>
      <w:pPr>
        <w:spacing w:line="600" w:lineRule="exact"/>
        <w:ind w:firstLine="640" w:firstLineChars="200"/>
        <w:rPr>
          <w:rFonts w:hint="default" w:eastAsia="仿宋_GB2312"/>
          <w:lang w:val="en-US" w:eastAsia="zh-CN"/>
        </w:rPr>
      </w:pPr>
      <w:r>
        <w:rPr>
          <w:rFonts w:hint="eastAsia"/>
          <w:lang w:val="en-US" w:eastAsia="zh-CN"/>
        </w:rPr>
        <w:t>13.</w:t>
      </w:r>
      <w:r>
        <w:rPr>
          <w:rFonts w:hint="eastAsia"/>
        </w:rPr>
        <w:t>社会保障和就业支出（208）行政事业单位养老支出（05）机关事业单位基本养老保险缴费支出（05</w:t>
      </w:r>
      <w:r>
        <w:rPr>
          <w:rFonts w:hint="eastAsia"/>
          <w:lang w:eastAsia="zh-CN"/>
        </w:rPr>
        <w:t>）：反映机关事业单位实施养老保险制度由单位缴纳的基本养老保险费支出。</w:t>
      </w:r>
    </w:p>
    <w:p>
      <w:pPr>
        <w:spacing w:line="600" w:lineRule="exact"/>
        <w:ind w:firstLine="640" w:firstLineChars="200"/>
        <w:rPr>
          <w:rFonts w:hint="eastAsia"/>
          <w:lang w:val="en-US" w:eastAsia="zh-CN"/>
        </w:rPr>
      </w:pPr>
      <w:r>
        <w:rPr>
          <w:rFonts w:hint="eastAsia"/>
          <w:lang w:val="en-US" w:eastAsia="zh-CN"/>
        </w:rPr>
        <w:t>14.</w:t>
      </w:r>
      <w:r>
        <w:rPr>
          <w:rFonts w:hint="eastAsia"/>
        </w:rPr>
        <w:t>社会保障和就业支出（208）</w:t>
      </w:r>
      <w:r>
        <w:rPr>
          <w:rFonts w:hint="eastAsia"/>
          <w:lang w:eastAsia="zh-CN"/>
        </w:rPr>
        <w:t>行政事业单位养老支出（</w:t>
      </w:r>
      <w:r>
        <w:rPr>
          <w:rFonts w:hint="eastAsia"/>
          <w:lang w:val="en-US" w:eastAsia="zh-CN"/>
        </w:rPr>
        <w:t>05</w:t>
      </w:r>
      <w:r>
        <w:rPr>
          <w:rFonts w:hint="eastAsia"/>
          <w:lang w:eastAsia="zh-CN"/>
        </w:rPr>
        <w:t>）机关事业单位职业年金缴费支出（</w:t>
      </w:r>
      <w:r>
        <w:rPr>
          <w:rFonts w:hint="eastAsia"/>
          <w:lang w:val="en-US" w:eastAsia="zh-CN"/>
        </w:rPr>
        <w:t>06）：反映机关事业单位实施养老保险制度由单位实际缴纳的职业年金支出。</w:t>
      </w:r>
    </w:p>
    <w:p>
      <w:pPr>
        <w:pStyle w:val="6"/>
        <w:numPr>
          <w:ilvl w:val="0"/>
          <w:numId w:val="0"/>
        </w:numPr>
        <w:ind w:leftChars="0" w:firstLine="640" w:firstLineChars="200"/>
        <w:rPr>
          <w:rFonts w:hint="eastAsia"/>
          <w:lang w:eastAsia="zh-CN"/>
        </w:rPr>
      </w:pPr>
      <w:r>
        <w:rPr>
          <w:rFonts w:hint="eastAsia" w:ascii="Times New Roman" w:hAnsi="Times New Roman" w:cs="Times New Roman"/>
          <w:kern w:val="2"/>
          <w:sz w:val="32"/>
          <w:szCs w:val="24"/>
          <w:highlight w:val="none"/>
          <w:lang w:val="en-US" w:eastAsia="zh-CN" w:bidi="ar-SA"/>
        </w:rPr>
        <w:t>15.</w:t>
      </w:r>
      <w:r>
        <w:rPr>
          <w:rFonts w:hint="eastAsia" w:ascii="Times New Roman" w:hAnsi="Times New Roman" w:eastAsia="仿宋_GB2312" w:cs="Times New Roman"/>
          <w:kern w:val="2"/>
          <w:sz w:val="32"/>
          <w:szCs w:val="24"/>
          <w:highlight w:val="none"/>
          <w:lang w:val="en-US" w:eastAsia="zh-CN" w:bidi="ar-SA"/>
        </w:rPr>
        <w:t>社会保障和就业支出（208）残疾人事业（</w:t>
      </w:r>
      <w:r>
        <w:rPr>
          <w:rFonts w:hint="eastAsia" w:ascii="Times New Roman" w:hAnsi="Times New Roman" w:cs="Times New Roman"/>
          <w:kern w:val="2"/>
          <w:sz w:val="32"/>
          <w:szCs w:val="24"/>
          <w:highlight w:val="none"/>
          <w:lang w:val="en-US" w:eastAsia="zh-CN" w:bidi="ar-SA"/>
        </w:rPr>
        <w:t>11</w:t>
      </w:r>
      <w:r>
        <w:rPr>
          <w:rFonts w:hint="eastAsia" w:ascii="Times New Roman" w:hAnsi="Times New Roman" w:eastAsia="仿宋_GB2312" w:cs="Times New Roman"/>
          <w:kern w:val="2"/>
          <w:sz w:val="32"/>
          <w:szCs w:val="24"/>
          <w:highlight w:val="none"/>
          <w:lang w:val="en-US" w:eastAsia="zh-CN" w:bidi="ar-SA"/>
        </w:rPr>
        <w:t>）  残疾人就业（0</w:t>
      </w:r>
      <w:r>
        <w:rPr>
          <w:rFonts w:hint="eastAsia" w:ascii="Times New Roman" w:hAnsi="Times New Roman" w:cs="Times New Roman"/>
          <w:kern w:val="2"/>
          <w:sz w:val="32"/>
          <w:szCs w:val="24"/>
          <w:highlight w:val="none"/>
          <w:lang w:val="en-US" w:eastAsia="zh-CN" w:bidi="ar-SA"/>
        </w:rPr>
        <w:t>5</w:t>
      </w:r>
      <w:r>
        <w:rPr>
          <w:rFonts w:hint="eastAsia" w:ascii="Times New Roman" w:hAnsi="Times New Roman" w:eastAsia="仿宋_GB2312" w:cs="Times New Roman"/>
          <w:kern w:val="2"/>
          <w:sz w:val="32"/>
          <w:szCs w:val="24"/>
          <w:highlight w:val="none"/>
          <w:lang w:val="en-US" w:eastAsia="zh-CN" w:bidi="ar-SA"/>
        </w:rPr>
        <w:t>）</w:t>
      </w:r>
      <w:r>
        <w:rPr>
          <w:rFonts w:hint="eastAsia" w:ascii="Times New Roman" w:hAnsi="Times New Roman" w:cs="Times New Roman"/>
          <w:kern w:val="2"/>
          <w:sz w:val="32"/>
          <w:szCs w:val="24"/>
          <w:highlight w:val="none"/>
          <w:lang w:val="en-US" w:eastAsia="zh-CN" w:bidi="ar-SA"/>
        </w:rPr>
        <w:t>主要反映残疾人就业方面支出</w:t>
      </w:r>
      <w:r>
        <w:rPr>
          <w:rFonts w:hint="eastAsia" w:ascii="Times New Roman" w:hAnsi="Times New Roman" w:eastAsia="仿宋_GB2312" w:cs="Times New Roman"/>
          <w:kern w:val="2"/>
          <w:sz w:val="32"/>
          <w:szCs w:val="24"/>
          <w:highlight w:val="none"/>
          <w:lang w:val="en-US" w:eastAsia="zh-CN" w:bidi="ar-SA"/>
        </w:rPr>
        <w:t>。</w:t>
      </w:r>
    </w:p>
    <w:p>
      <w:pPr>
        <w:spacing w:line="600" w:lineRule="exact"/>
        <w:ind w:firstLine="640" w:firstLineChars="200"/>
        <w:rPr>
          <w:rFonts w:hint="eastAsia"/>
          <w:lang w:eastAsia="zh-CN"/>
        </w:rPr>
      </w:pPr>
      <w:r>
        <w:rPr>
          <w:rFonts w:hint="eastAsia"/>
          <w:lang w:val="en-US" w:eastAsia="zh-CN"/>
        </w:rPr>
        <w:t>16.</w:t>
      </w:r>
      <w:r>
        <w:rPr>
          <w:rFonts w:hint="eastAsia"/>
        </w:rPr>
        <w:t>社会保障和就业支出（208）</w:t>
      </w:r>
      <w:r>
        <w:rPr>
          <w:rFonts w:hint="eastAsia"/>
          <w:lang w:eastAsia="zh-CN"/>
        </w:rPr>
        <w:t>其他社会保障和就业支出（</w:t>
      </w:r>
      <w:r>
        <w:rPr>
          <w:rFonts w:hint="eastAsia"/>
          <w:lang w:val="en-US" w:eastAsia="zh-CN"/>
        </w:rPr>
        <w:t>99</w:t>
      </w:r>
      <w:r>
        <w:rPr>
          <w:rFonts w:hint="eastAsia"/>
          <w:lang w:eastAsia="zh-CN"/>
        </w:rPr>
        <w:t>）其他社会保障和就业支出（</w:t>
      </w:r>
      <w:r>
        <w:rPr>
          <w:rFonts w:hint="eastAsia"/>
          <w:lang w:val="en-US" w:eastAsia="zh-CN"/>
        </w:rPr>
        <w:t>99</w:t>
      </w:r>
      <w:r>
        <w:rPr>
          <w:rFonts w:hint="eastAsia"/>
          <w:lang w:eastAsia="zh-CN"/>
        </w:rPr>
        <w:t>）：反映除上述项目以外其他用于社会保障和就业方面的支出。</w:t>
      </w:r>
    </w:p>
    <w:p>
      <w:pPr>
        <w:spacing w:line="600" w:lineRule="exact"/>
        <w:ind w:firstLine="640" w:firstLineChars="200"/>
        <w:rPr>
          <w:rFonts w:hint="eastAsia"/>
        </w:rPr>
      </w:pPr>
      <w:r>
        <w:rPr>
          <w:rFonts w:hint="eastAsia"/>
          <w:lang w:val="en-US" w:eastAsia="zh-CN"/>
        </w:rPr>
        <w:t>17.卫生健康支出（201）行政事业单位医疗（11）行政单位医疗（01）：</w:t>
      </w:r>
      <w:r>
        <w:rPr>
          <w:rFonts w:hint="eastAsia"/>
        </w:rPr>
        <w:t>反映财政部分安排的行政单位（包括实行公务员管理的事业单位）基本医疗保险缴费经费，未参加医疗保险的行政单位公费医疗经费，按国家规定享受离休人员、红军老战士待遇人员的医疗经费。</w:t>
      </w:r>
    </w:p>
    <w:p>
      <w:pPr>
        <w:spacing w:line="600" w:lineRule="exact"/>
        <w:ind w:firstLine="640" w:firstLineChars="200"/>
        <w:rPr>
          <w:rFonts w:hint="eastAsia"/>
        </w:rPr>
      </w:pPr>
      <w:r>
        <w:rPr>
          <w:rFonts w:hint="eastAsia"/>
          <w:lang w:val="en-US" w:eastAsia="zh-CN"/>
        </w:rPr>
        <w:t>18.卫生健康支出（201）行政事业单位医疗（11）事业单位医疗（02）：</w:t>
      </w:r>
      <w:r>
        <w:rPr>
          <w:rFonts w:hint="eastAsia"/>
        </w:rPr>
        <w:t>反映财政部门安排的事业单位医疗保险缴费经费，未参加医疗保险的事业单位的公费医疗经费，按国家规定享受离休人员待遇的医疗保险。</w:t>
      </w:r>
    </w:p>
    <w:p>
      <w:pPr>
        <w:spacing w:line="600" w:lineRule="exact"/>
        <w:ind w:firstLine="640" w:firstLineChars="200"/>
        <w:rPr>
          <w:rFonts w:hint="eastAsia" w:eastAsia="仿宋_GB2312"/>
          <w:lang w:eastAsia="zh-CN"/>
        </w:rPr>
      </w:pPr>
      <w:r>
        <w:rPr>
          <w:rFonts w:hint="eastAsia"/>
          <w:lang w:val="en-US" w:eastAsia="zh-CN"/>
        </w:rPr>
        <w:t>19.</w:t>
      </w:r>
      <w:r>
        <w:rPr>
          <w:rFonts w:hint="eastAsia"/>
        </w:rPr>
        <w:t>卫生健康支出（210）行政事业单位医疗（11） 公务员医疗补助（03）</w:t>
      </w:r>
      <w:r>
        <w:rPr>
          <w:rFonts w:hint="eastAsia"/>
          <w:lang w:eastAsia="zh-CN"/>
        </w:rPr>
        <w:t>：</w:t>
      </w:r>
      <w:r>
        <w:rPr>
          <w:rFonts w:hint="eastAsia"/>
        </w:rPr>
        <w:t>反映财政部分安排的公务员医疗补助经费。</w:t>
      </w:r>
    </w:p>
    <w:p>
      <w:pPr>
        <w:spacing w:line="600" w:lineRule="exact"/>
        <w:ind w:firstLine="640" w:firstLineChars="200"/>
        <w:rPr>
          <w:rFonts w:hint="default"/>
          <w:lang w:val="en-US" w:eastAsia="zh-CN"/>
        </w:rPr>
      </w:pPr>
      <w:r>
        <w:rPr>
          <w:rFonts w:hint="eastAsia"/>
          <w:lang w:val="en-US" w:eastAsia="zh-CN"/>
        </w:rPr>
        <w:t>20.资源勘探工业信息等支出（215）制造业（02）其他制造业支出（99）：反映除上述项目以外其他用于制造业方面的支出。</w:t>
      </w:r>
    </w:p>
    <w:p>
      <w:pPr>
        <w:spacing w:line="600" w:lineRule="exact"/>
        <w:ind w:firstLine="640" w:firstLineChars="200"/>
        <w:rPr>
          <w:rFonts w:hint="eastAsia"/>
          <w:lang w:val="en-US" w:eastAsia="zh-CN"/>
        </w:rPr>
      </w:pPr>
      <w:r>
        <w:rPr>
          <w:rFonts w:hint="eastAsia"/>
          <w:lang w:val="en-US" w:eastAsia="zh-CN"/>
        </w:rPr>
        <w:t>21.资源勘探工业信息等支出（215）支持中小企业发展和管理支出（08）中小企业发展专项（05）：反映用于支持中小企业公共服务体系和融资服务体系建设等方面的支出。</w:t>
      </w:r>
    </w:p>
    <w:p>
      <w:pPr>
        <w:pStyle w:val="6"/>
        <w:numPr>
          <w:ilvl w:val="0"/>
          <w:numId w:val="0"/>
        </w:numPr>
        <w:ind w:leftChars="0" w:firstLine="640" w:firstLineChars="200"/>
        <w:rPr>
          <w:rFonts w:hint="eastAsia"/>
          <w:lang w:val="en-US" w:eastAsia="zh-CN"/>
        </w:rPr>
      </w:pPr>
      <w:r>
        <w:rPr>
          <w:rFonts w:hint="eastAsia"/>
          <w:lang w:val="en-US" w:eastAsia="zh-CN"/>
        </w:rPr>
        <w:t>22.资源勘探工业信息等支出（215）其他资源勘探工业信息等支出（99）其他资源勘探工业信息等支出（99）：反映除上述项目以外其他用于资源勘探工业信息等方面的支出。</w:t>
      </w:r>
    </w:p>
    <w:p>
      <w:pPr>
        <w:spacing w:line="600" w:lineRule="exact"/>
        <w:ind w:firstLine="640" w:firstLineChars="200"/>
        <w:rPr>
          <w:rFonts w:hint="eastAsia" w:eastAsia="仿宋_GB2312"/>
          <w:lang w:val="en-US" w:eastAsia="zh-CN"/>
        </w:rPr>
      </w:pPr>
      <w:r>
        <w:rPr>
          <w:rFonts w:hint="eastAsia"/>
          <w:lang w:val="en-US" w:eastAsia="zh-CN"/>
        </w:rPr>
        <w:t>23.</w:t>
      </w:r>
      <w:r>
        <w:rPr>
          <w:rFonts w:hint="eastAsia"/>
        </w:rPr>
        <w:t>住房保障支出（221）住房改革支出（02）</w:t>
      </w:r>
      <w:bookmarkStart w:id="0" w:name="_GoBack"/>
      <w:bookmarkEnd w:id="0"/>
      <w:r>
        <w:rPr>
          <w:rFonts w:hint="eastAsia"/>
        </w:rPr>
        <w:t>住房公积金（01）</w:t>
      </w:r>
      <w:r>
        <w:rPr>
          <w:rFonts w:hint="eastAsia"/>
          <w:lang w:eastAsia="zh-CN"/>
        </w:rPr>
        <w:t>：</w:t>
      </w:r>
      <w:r>
        <w:rPr>
          <w:rFonts w:hint="eastAsia"/>
        </w:rPr>
        <w:t>反映行政事业单位按照人力资源和社会保障部、财政部规定的基本工资和津补贴以及规定比例为职工缴纳的住房公积金。</w:t>
      </w:r>
    </w:p>
    <w:p>
      <w:pPr>
        <w:spacing w:line="560" w:lineRule="exact"/>
        <w:ind w:firstLine="640" w:firstLineChars="200"/>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98DBF"/>
    <w:multiLevelType w:val="singleLevel"/>
    <w:tmpl w:val="9C398DBF"/>
    <w:lvl w:ilvl="0" w:tentative="0">
      <w:start w:val="1"/>
      <w:numFmt w:val="chineseCounting"/>
      <w:suff w:val="nothing"/>
      <w:lvlText w:val="（%1）"/>
      <w:lvlJc w:val="left"/>
      <w:rPr>
        <w:rFonts w:hint="eastAsia"/>
      </w:rPr>
    </w:lvl>
  </w:abstractNum>
  <w:abstractNum w:abstractNumId="1">
    <w:nsid w:val="BE8E5841"/>
    <w:multiLevelType w:val="singleLevel"/>
    <w:tmpl w:val="BE8E5841"/>
    <w:lvl w:ilvl="0" w:tentative="0">
      <w:start w:val="1"/>
      <w:numFmt w:val="chineseCounting"/>
      <w:suff w:val="nothing"/>
      <w:lvlText w:val="%1、"/>
      <w:lvlJc w:val="left"/>
      <w:rPr>
        <w:rFonts w:hint="eastAsia"/>
      </w:rPr>
    </w:lvl>
  </w:abstractNum>
  <w:abstractNum w:abstractNumId="2">
    <w:nsid w:val="7C87E0E9"/>
    <w:multiLevelType w:val="singleLevel"/>
    <w:tmpl w:val="7C87E0E9"/>
    <w:lvl w:ilvl="0" w:tentative="0">
      <w:start w:val="1"/>
      <w:numFmt w:val="decimal"/>
      <w:pStyle w:val="6"/>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62049"/>
    <w:rsid w:val="16180D1D"/>
    <w:rsid w:val="1EA64CFD"/>
    <w:rsid w:val="2B4F4E71"/>
    <w:rsid w:val="2B86406E"/>
    <w:rsid w:val="3B410139"/>
    <w:rsid w:val="3F8A6C2B"/>
    <w:rsid w:val="4CD8042C"/>
    <w:rsid w:val="5E2441F4"/>
    <w:rsid w:val="65047B29"/>
    <w:rsid w:val="65CE772C"/>
    <w:rsid w:val="66F352A0"/>
    <w:rsid w:val="7E844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heading 5"/>
    <w:next w:val="1"/>
    <w:qFormat/>
    <w:uiPriority w:val="0"/>
    <w:pPr>
      <w:keepNext/>
      <w:keepLines/>
      <w:adjustRightInd w:val="0"/>
      <w:spacing w:line="360" w:lineRule="auto"/>
      <w:outlineLvl w:val="4"/>
    </w:pPr>
    <w:rPr>
      <w:rFonts w:ascii="Calibri" w:hAnsi="Calibri" w:eastAsia="仿宋_GB2312" w:cs="Times New Roman"/>
      <w:b/>
      <w:bCs/>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rPr>
      <w:rFonts w:eastAsia="Times New Roman"/>
      <w:bCs/>
      <w:kern w:val="44"/>
      <w:sz w:val="44"/>
      <w:szCs w:val="44"/>
    </w:r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index 8"/>
    <w:basedOn w:val="1"/>
    <w:next w:val="1"/>
    <w:unhideWhenUsed/>
    <w:qFormat/>
    <w:uiPriority w:val="99"/>
    <w:pPr>
      <w:ind w:left="1400" w:leftChars="1400"/>
    </w:pPr>
  </w:style>
  <w:style w:type="paragraph" w:styleId="6">
    <w:name w:val="List Number"/>
    <w:basedOn w:val="1"/>
    <w:qFormat/>
    <w:uiPriority w:val="0"/>
    <w:pPr>
      <w:numPr>
        <w:ilvl w:val="0"/>
        <w:numId w:val="1"/>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2024-01-25T09:23:00Z</dcterms:created>
  <dc:creator>Administrator</dc:creator>
  <cp:lastModifiedBy>Administrator</cp:lastModifiedBy>
  <dcterms:modified xsi:type="dcterms:W3CDTF">2024-01-30T08:38:02Z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D17F3A3106F6493889DB0F2AD8489814</vt:lpwstr>
  </property>
</Properties>
</file>