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default" w:ascii="Times New Roman" w:hAnsi="Times New Roman" w:eastAsia="方正小标宋简体" w:cs="Times New Roman"/>
          <w:bCs/>
          <w:sz w:val="44"/>
        </w:rPr>
      </w:pPr>
    </w:p>
    <w:p>
      <w:pPr>
        <w:keepNext w:val="0"/>
        <w:keepLines w:val="0"/>
        <w:pageBreakBefore w:val="0"/>
        <w:widowControl/>
        <w:suppressLineNumbers w:val="0"/>
        <w:kinsoku/>
        <w:wordWrap/>
        <w:overflowPunct/>
        <w:topLinePunct w:val="0"/>
        <w:bidi w:val="0"/>
        <w:spacing w:line="600" w:lineRule="exact"/>
        <w:ind w:firstLine="0" w:firstLineChars="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遂船环评</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号</w:t>
      </w: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400" w:lineRule="exact"/>
        <w:ind w:left="0" w:right="0"/>
        <w:jc w:val="left"/>
        <w:textAlignment w:val="auto"/>
        <w:rPr>
          <w:rFonts w:hint="default" w:ascii="Times New Roman" w:hAnsi="Times New Roman" w:eastAsia="方正小标宋简体" w:cs="Times New Roman"/>
          <w:bCs/>
          <w:sz w:val="44"/>
        </w:rPr>
      </w:pPr>
    </w:p>
    <w:p>
      <w:pPr>
        <w:pStyle w:val="2"/>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rPr>
      </w:pP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rPr>
        <w:t>遂宁市船山生态环境局</w:t>
      </w: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rPr>
          <w:rFonts w:hint="default" w:ascii="Times New Roman" w:hAnsi="Times New Roman" w:cs="Times New Roman"/>
          <w:b/>
          <w:sz w:val="44"/>
        </w:rPr>
      </w:pPr>
      <w:r>
        <w:rPr>
          <w:rFonts w:hint="default" w:ascii="Times New Roman" w:hAnsi="Times New Roman" w:eastAsia="方正小标宋简体" w:cs="Times New Roman"/>
          <w:bCs/>
          <w:sz w:val="44"/>
          <w:lang w:val="en-US" w:eastAsia="zh-CN"/>
        </w:rPr>
        <w:t>关</w:t>
      </w:r>
      <w:r>
        <w:rPr>
          <w:rFonts w:hint="default" w:ascii="Times New Roman" w:hAnsi="Times New Roman" w:eastAsia="方正小标宋简体" w:cs="Times New Roman"/>
          <w:bCs/>
          <w:sz w:val="44"/>
        </w:rPr>
        <w:t>于</w:t>
      </w:r>
      <w:r>
        <w:rPr>
          <w:rFonts w:hint="eastAsia" w:ascii="Times New Roman" w:hAnsi="Times New Roman" w:eastAsia="方正小标宋简体" w:cs="Times New Roman"/>
          <w:bCs/>
          <w:sz w:val="44"/>
          <w:lang w:val="en-US" w:eastAsia="zh-CN"/>
        </w:rPr>
        <w:t>四川兴川白芷产业园川白芷产地（初）加工项目</w:t>
      </w:r>
      <w:r>
        <w:rPr>
          <w:rFonts w:hint="default" w:ascii="Times New Roman" w:hAnsi="Times New Roman" w:eastAsia="方正小标宋简体" w:cs="Times New Roman"/>
          <w:bCs/>
          <w:sz w:val="44"/>
        </w:rPr>
        <w:t>环境影响报告表的批复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四川兴川白芷产业发展有限公司</w:t>
      </w:r>
      <w:r>
        <w:rPr>
          <w:rFonts w:hint="default" w:ascii="Times New Roman" w:hAnsi="Times New Roman" w:eastAsia="仿宋_GB2312" w:cs="Times New Roman"/>
          <w:color w:val="auto"/>
          <w:sz w:val="32"/>
          <w:szCs w:val="32"/>
        </w:rPr>
        <w:t>：</w:t>
      </w:r>
    </w:p>
    <w:p>
      <w:pPr>
        <w:keepNext w:val="0"/>
        <w:keepLines w:val="0"/>
        <w:pageBreakBefore w:val="0"/>
        <w:widowControl w:val="0"/>
        <w:suppressLineNumbers w:val="0"/>
        <w:tabs>
          <w:tab w:val="left" w:pos="1281"/>
        </w:tabs>
        <w:kinsoku/>
        <w:wordWrap/>
        <w:overflowPunct/>
        <w:topLinePunct/>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报送</w:t>
      </w:r>
      <w:r>
        <w:rPr>
          <w:rFonts w:hint="default" w:ascii="Times New Roman" w:hAnsi="Times New Roman" w:eastAsia="仿宋_GB2312" w:cs="Times New Roman"/>
          <w:color w:val="auto"/>
          <w:spacing w:val="-10"/>
          <w:kern w:val="0"/>
          <w:sz w:val="32"/>
          <w:szCs w:val="32"/>
        </w:rPr>
        <w:t>的《</w:t>
      </w:r>
      <w:r>
        <w:rPr>
          <w:rFonts w:hint="eastAsia" w:ascii="Times New Roman" w:hAnsi="Times New Roman" w:eastAsia="仿宋_GB2312" w:cs="Times New Roman"/>
          <w:color w:val="auto"/>
          <w:spacing w:val="-10"/>
          <w:kern w:val="0"/>
          <w:sz w:val="32"/>
          <w:szCs w:val="32"/>
          <w:lang w:eastAsia="zh-CN"/>
        </w:rPr>
        <w:t>四川兴川白芷产业园川白芷产地（初）加工项目环境影响报告表</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已</w:t>
      </w:r>
      <w:r>
        <w:rPr>
          <w:rFonts w:hint="default" w:ascii="Times New Roman" w:hAnsi="Times New Roman" w:eastAsia="仿宋_GB2312" w:cs="Times New Roman"/>
          <w:color w:val="auto"/>
          <w:sz w:val="32"/>
          <w:szCs w:val="32"/>
        </w:rPr>
        <w:t>收悉。经研究，现批复如下：</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黑体" w:hAnsi="黑体" w:eastAsia="黑体" w:cs="黑体"/>
          <w:caps w:val="0"/>
          <w:smallCaps w:val="0"/>
          <w:color w:val="auto"/>
          <w:sz w:val="32"/>
          <w:szCs w:val="32"/>
          <w:lang w:val="en-US" w:eastAsia="zh-CN" w:bidi="ar"/>
        </w:rPr>
        <w:t>一、项目位于</w:t>
      </w:r>
      <w:r>
        <w:rPr>
          <w:rFonts w:hint="eastAsia" w:ascii="黑体" w:hAnsi="黑体" w:eastAsia="黑体" w:cs="黑体"/>
          <w:color w:val="auto"/>
          <w:spacing w:val="-10"/>
          <w:kern w:val="2"/>
          <w:sz w:val="32"/>
          <w:szCs w:val="32"/>
          <w:lang w:val="en-US" w:eastAsia="zh-CN" w:bidi="ar-SA"/>
        </w:rPr>
        <w:t>遂宁市船山区永兴镇萝蔸埝村</w:t>
      </w:r>
      <w:r>
        <w:rPr>
          <w:rFonts w:hint="eastAsia" w:ascii="黑体" w:hAnsi="黑体" w:eastAsia="黑体" w:cs="黑体"/>
          <w:caps w:val="0"/>
          <w:smallCaps w:val="0"/>
          <w:color w:val="auto"/>
          <w:sz w:val="32"/>
          <w:szCs w:val="32"/>
          <w:lang w:val="en-US" w:eastAsia="zh-CN" w:bidi="ar"/>
        </w:rPr>
        <w:t>，</w:t>
      </w:r>
      <w:r>
        <w:rPr>
          <w:rFonts w:hint="eastAsia" w:ascii="黑体" w:hAnsi="黑体" w:eastAsia="黑体" w:cs="黑体"/>
          <w:color w:val="000000"/>
          <w:sz w:val="32"/>
          <w:szCs w:val="32"/>
        </w:rPr>
        <w:t>拟投资1200万元，</w:t>
      </w:r>
      <w:r>
        <w:rPr>
          <w:rFonts w:hint="eastAsia" w:ascii="黑体" w:hAnsi="黑体" w:eastAsia="黑体" w:cs="黑体"/>
          <w:color w:val="000000"/>
          <w:sz w:val="32"/>
          <w:szCs w:val="32"/>
          <w:lang w:eastAsia="zh-CN"/>
        </w:rPr>
        <w:t>其中环保投资</w:t>
      </w:r>
      <w:r>
        <w:rPr>
          <w:rFonts w:hint="eastAsia" w:ascii="黑体" w:hAnsi="黑体" w:eastAsia="黑体" w:cs="黑体"/>
          <w:color w:val="000000"/>
          <w:sz w:val="32"/>
          <w:szCs w:val="32"/>
        </w:rPr>
        <w:t>22</w:t>
      </w:r>
      <w:r>
        <w:rPr>
          <w:rFonts w:hint="eastAsia" w:ascii="黑体" w:hAnsi="黑体" w:eastAsia="黑体" w:cs="黑体"/>
          <w:color w:val="000000"/>
          <w:sz w:val="32"/>
          <w:szCs w:val="32"/>
          <w:lang w:eastAsia="zh-CN"/>
        </w:rPr>
        <w:t>万元。</w:t>
      </w:r>
      <w:r>
        <w:rPr>
          <w:rFonts w:hint="eastAsia" w:ascii="Times New Roman" w:hAnsi="Times New Roman" w:eastAsia="仿宋_GB2312" w:cs="Times New Roman"/>
          <w:color w:val="000000"/>
          <w:sz w:val="32"/>
          <w:szCs w:val="32"/>
        </w:rPr>
        <w:t>占地</w:t>
      </w:r>
      <w:r>
        <w:rPr>
          <w:rFonts w:hint="default" w:ascii="Times New Roman" w:hAnsi="Times New Roman" w:eastAsia="仿宋_GB2312" w:cs="Times New Roman"/>
          <w:color w:val="000000"/>
          <w:sz w:val="32"/>
          <w:szCs w:val="32"/>
        </w:rPr>
        <w:t>面积为</w:t>
      </w:r>
      <w:r>
        <w:rPr>
          <w:rFonts w:hint="eastAsia" w:ascii="Times New Roman" w:hAnsi="Times New Roman" w:eastAsia="仿宋_GB2312" w:cs="Times New Roman"/>
          <w:color w:val="000000"/>
          <w:sz w:val="32"/>
          <w:szCs w:val="32"/>
        </w:rPr>
        <w:t>4294</w:t>
      </w:r>
      <w:r>
        <w:rPr>
          <w:rFonts w:hint="eastAsia" w:ascii="Times New Roman" w:hAnsi="Times New Roman" w:eastAsia="仿宋_GB2312" w:cs="Times New Roman"/>
          <w:color w:val="000000"/>
          <w:sz w:val="32"/>
          <w:szCs w:val="32"/>
          <w:lang w:eastAsia="zh-CN"/>
        </w:rPr>
        <w:t>平方米</w:t>
      </w:r>
      <w:r>
        <w:rPr>
          <w:rFonts w:hint="eastAsia" w:ascii="Times New Roman" w:hAnsi="Times New Roman" w:eastAsia="仿宋_GB2312" w:cs="Times New Roman"/>
          <w:color w:val="000000"/>
          <w:sz w:val="32"/>
          <w:szCs w:val="32"/>
        </w:rPr>
        <w:t>，用于</w:t>
      </w:r>
      <w:r>
        <w:rPr>
          <w:rFonts w:hint="default" w:ascii="Times New Roman" w:hAnsi="Times New Roman" w:eastAsia="仿宋_GB2312" w:cs="Times New Roman"/>
          <w:color w:val="000000"/>
          <w:sz w:val="32"/>
          <w:szCs w:val="32"/>
        </w:rPr>
        <w:t>建设川白芷产地初加工车间，具备</w:t>
      </w:r>
      <w:r>
        <w:rPr>
          <w:rFonts w:hint="eastAsia" w:ascii="Times New Roman" w:hAnsi="Times New Roman" w:eastAsia="仿宋_GB2312" w:cs="Times New Roman"/>
          <w:color w:val="000000"/>
          <w:sz w:val="32"/>
          <w:szCs w:val="32"/>
        </w:rPr>
        <w:t>鲜</w:t>
      </w:r>
      <w:r>
        <w:rPr>
          <w:rFonts w:hint="default" w:ascii="Times New Roman" w:hAnsi="Times New Roman" w:eastAsia="仿宋_GB2312" w:cs="Times New Roman"/>
          <w:color w:val="000000"/>
          <w:sz w:val="32"/>
          <w:szCs w:val="32"/>
        </w:rPr>
        <w:t>白芷采收后的存放</w:t>
      </w:r>
      <w:r>
        <w:rPr>
          <w:rFonts w:hint="eastAsia"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rPr>
        <w:t>分拣、</w:t>
      </w:r>
      <w:r>
        <w:rPr>
          <w:rFonts w:hint="eastAsia" w:ascii="Times New Roman" w:hAnsi="Times New Roman" w:eastAsia="仿宋_GB2312" w:cs="Times New Roman"/>
          <w:color w:val="000000"/>
          <w:sz w:val="32"/>
          <w:szCs w:val="32"/>
          <w:lang w:eastAsia="zh-CN"/>
        </w:rPr>
        <w:t>清洗、</w:t>
      </w:r>
      <w:r>
        <w:rPr>
          <w:rFonts w:hint="default" w:ascii="Times New Roman" w:hAnsi="Times New Roman" w:eastAsia="仿宋_GB2312" w:cs="Times New Roman"/>
          <w:color w:val="000000"/>
          <w:sz w:val="32"/>
          <w:szCs w:val="32"/>
        </w:rPr>
        <w:t>烘干、切片、冷库储存等功能</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日处理100吨左右鲜白芷</w:t>
      </w:r>
      <w:r>
        <w:rPr>
          <w:rFonts w:hint="eastAsia" w:ascii="Times New Roman" w:hAnsi="Times New Roman" w:eastAsia="仿宋_GB2312" w:cs="Times New Roman"/>
          <w:caps w:val="0"/>
          <w:smallCaps w:val="0"/>
          <w:color w:val="auto"/>
          <w:sz w:val="32"/>
          <w:szCs w:val="32"/>
          <w:lang w:val="en-US" w:eastAsia="zh-CN" w:bidi="ar"/>
        </w:rPr>
        <w:t>。</w:t>
      </w:r>
      <w:r>
        <w:rPr>
          <w:rFonts w:hint="default" w:ascii="Times New Roman" w:hAnsi="Times New Roman" w:eastAsia="仿宋_GB2312" w:cs="Times New Roman"/>
          <w:color w:val="auto"/>
          <w:sz w:val="32"/>
          <w:szCs w:val="32"/>
        </w:rPr>
        <w:t>项目符合国家产业政策和相关规划，严格按照报告表中所列项目的地点、规模、性质和拟采取的环境保护措施实施，对环境的不利影响能够得到缓解和控制，我局原则上同意该报告表结论。你单位应全面落实报告表中提出的各项环境保护对策措施和本批复要求。</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caps w:val="0"/>
          <w:smallCaps w:val="0"/>
          <w:color w:val="auto"/>
          <w:sz w:val="32"/>
          <w:szCs w:val="32"/>
          <w:lang w:val="en-US" w:eastAsia="zh-CN" w:bidi="ar"/>
        </w:rPr>
      </w:pPr>
      <w:r>
        <w:rPr>
          <w:rFonts w:hint="eastAsia" w:ascii="黑体" w:hAnsi="黑体" w:eastAsia="黑体" w:cs="黑体"/>
          <w:caps w:val="0"/>
          <w:smallCaps w:val="0"/>
          <w:color w:val="auto"/>
          <w:sz w:val="32"/>
          <w:szCs w:val="32"/>
          <w:lang w:val="en-US" w:eastAsia="zh-CN" w:bidi="ar"/>
        </w:rPr>
        <w:t>二、项目施工期和运行期重点做好以下工作</w:t>
      </w:r>
    </w:p>
    <w:p>
      <w:pPr>
        <w:pStyle w:val="3"/>
        <w:keepNext w:val="0"/>
        <w:keepLines w:val="0"/>
        <w:pageBreakBefore w:val="0"/>
        <w:widowControl w:val="0"/>
        <w:numPr>
          <w:ilvl w:val="0"/>
          <w:numId w:val="0"/>
        </w:numPr>
        <w:suppressLineNumbers w:val="0"/>
        <w:kinsoku/>
        <w:wordWrap/>
        <w:overflowPunct/>
        <w:topLinePunct/>
        <w:autoSpaceDE/>
        <w:autoSpaceDN/>
        <w:bidi w:val="0"/>
        <w:adjustRightInd/>
        <w:snapToGrid/>
        <w:spacing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000000"/>
          <w:sz w:val="32"/>
          <w:szCs w:val="32"/>
          <w:lang w:val="en-US" w:eastAsia="zh-CN"/>
        </w:rPr>
        <w:sectPr>
          <w:pgSz w:w="11906" w:h="16838"/>
          <w:pgMar w:top="2098" w:right="1474" w:bottom="1984" w:left="1587" w:header="851" w:footer="1134" w:gutter="0"/>
          <w:pgNumType w:fmt="decimal" w:start="2"/>
          <w:cols w:space="0" w:num="1"/>
          <w:rtlGutter w:val="0"/>
          <w:docGrid w:type="lines" w:linePitch="318" w:charSpace="0"/>
        </w:sectPr>
      </w:pPr>
      <w:r>
        <w:rPr>
          <w:rFonts w:hint="eastAsia" w:ascii="楷体_GB2312" w:hAnsi="楷体_GB2312" w:eastAsia="楷体_GB2312" w:cs="楷体_GB2312"/>
          <w:color w:val="auto"/>
          <w:kern w:val="2"/>
          <w:sz w:val="32"/>
          <w:szCs w:val="32"/>
          <w:lang w:val="en-US" w:eastAsia="zh-CN" w:bidi="ar-SA"/>
        </w:rPr>
        <w:t>（一）</w:t>
      </w:r>
      <w:r>
        <w:rPr>
          <w:rFonts w:hint="default" w:ascii="楷体_GB2312" w:hAnsi="楷体_GB2312" w:eastAsia="楷体_GB2312" w:cs="楷体_GB2312"/>
          <w:color w:val="auto"/>
          <w:kern w:val="2"/>
          <w:sz w:val="32"/>
          <w:szCs w:val="32"/>
          <w:lang w:val="en-US" w:eastAsia="zh-CN" w:bidi="ar-SA"/>
        </w:rPr>
        <w:t>严格按照报告表要求，落实废</w:t>
      </w:r>
      <w:r>
        <w:rPr>
          <w:rFonts w:hint="eastAsia" w:ascii="楷体_GB2312" w:hAnsi="楷体_GB2312" w:eastAsia="楷体_GB2312" w:cs="楷体_GB2312"/>
          <w:color w:val="auto"/>
          <w:kern w:val="2"/>
          <w:sz w:val="32"/>
          <w:szCs w:val="32"/>
          <w:lang w:val="en-US" w:eastAsia="zh-CN" w:bidi="ar-SA"/>
        </w:rPr>
        <w:t>水</w:t>
      </w:r>
      <w:r>
        <w:rPr>
          <w:rFonts w:hint="default" w:ascii="楷体_GB2312" w:hAnsi="楷体_GB2312" w:eastAsia="楷体_GB2312" w:cs="楷体_GB2312"/>
          <w:color w:val="auto"/>
          <w:kern w:val="2"/>
          <w:sz w:val="32"/>
          <w:szCs w:val="32"/>
          <w:lang w:val="en-US" w:eastAsia="zh-CN" w:bidi="ar-SA"/>
        </w:rPr>
        <w:t>处置措施。</w:t>
      </w:r>
      <w:r>
        <w:rPr>
          <w:rFonts w:hint="default" w:ascii="Times New Roman" w:hAnsi="Times New Roman" w:eastAsia="仿宋_GB2312" w:cs="Times New Roman"/>
          <w:color w:val="000000"/>
          <w:sz w:val="32"/>
          <w:szCs w:val="32"/>
          <w:lang w:val="en-US" w:eastAsia="zh-CN"/>
        </w:rPr>
        <w:t>生活污水</w:t>
      </w:r>
    </w:p>
    <w:p>
      <w:pPr>
        <w:pStyle w:val="3"/>
        <w:keepNext w:val="0"/>
        <w:keepLines w:val="0"/>
        <w:pageBreakBefore w:val="0"/>
        <w:widowControl w:val="0"/>
        <w:numPr>
          <w:ilvl w:val="0"/>
          <w:numId w:val="0"/>
        </w:numPr>
        <w:suppressLineNumbers w:val="0"/>
        <w:kinsoku/>
        <w:wordWrap/>
        <w:overflowPunct/>
        <w:topLinePunct/>
        <w:autoSpaceDE/>
        <w:autoSpaceDN/>
        <w:bidi w:val="0"/>
        <w:adjustRightInd/>
        <w:snapToGrid/>
        <w:spacing w:beforeAutospacing="0" w:after="0" w:afterAutospacing="0" w:line="560" w:lineRule="exact"/>
        <w:ind w:right="0" w:rightChars="0"/>
        <w:jc w:val="both"/>
        <w:textAlignment w:val="auto"/>
        <w:rPr>
          <w:rFonts w:hint="default" w:ascii="Times New Roman" w:hAnsi="Times New Roman" w:eastAsia="仿宋_GB2312" w:cs="Times New Roman"/>
          <w:color w:val="auto"/>
          <w:sz w:val="32"/>
          <w:szCs w:val="32"/>
          <w:lang w:val="en-US" w:eastAsia="zh-CN"/>
        </w:rPr>
      </w:pPr>
      <w:bookmarkStart w:id="0" w:name="_GoBack"/>
      <w:bookmarkEnd w:id="0"/>
      <w:r>
        <w:rPr>
          <w:rFonts w:hint="default" w:ascii="Times New Roman" w:hAnsi="Times New Roman" w:eastAsia="仿宋_GB2312" w:cs="Times New Roman"/>
          <w:color w:val="000000"/>
          <w:sz w:val="32"/>
          <w:szCs w:val="32"/>
          <w:lang w:val="en-US" w:eastAsia="zh-CN"/>
        </w:rPr>
        <w:t>经预处理池处理后用作周边农田施肥</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eastAsia="zh-CN"/>
        </w:rPr>
        <w:t>清洗废水经沉淀池沉淀后部分回用于白芷初清洗，部分用于农田灌溉。</w:t>
      </w:r>
    </w:p>
    <w:p>
      <w:pPr>
        <w:pStyle w:val="3"/>
        <w:keepNext w:val="0"/>
        <w:keepLines w:val="0"/>
        <w:pageBreakBefore w:val="0"/>
        <w:widowControl w:val="0"/>
        <w:numPr>
          <w:ilvl w:val="0"/>
          <w:numId w:val="0"/>
        </w:numPr>
        <w:suppressLineNumbers w:val="0"/>
        <w:kinsoku/>
        <w:wordWrap/>
        <w:overflowPunct/>
        <w:topLinePunct/>
        <w:autoSpaceDE/>
        <w:autoSpaceDN/>
        <w:bidi w:val="0"/>
        <w:adjustRightInd/>
        <w:snapToGrid/>
        <w:spacing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spacing w:val="-10"/>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w:t>
      </w:r>
      <w:r>
        <w:rPr>
          <w:rFonts w:hint="default" w:ascii="楷体_GB2312" w:hAnsi="楷体_GB2312" w:eastAsia="楷体_GB2312" w:cs="楷体_GB2312"/>
          <w:color w:val="auto"/>
          <w:kern w:val="2"/>
          <w:sz w:val="32"/>
          <w:szCs w:val="32"/>
          <w:lang w:val="en-US" w:eastAsia="zh-CN" w:bidi="ar-SA"/>
        </w:rPr>
        <w:t>严格按照报告表要求，落实废气处置措施。</w:t>
      </w:r>
      <w:r>
        <w:rPr>
          <w:rFonts w:hint="eastAsia" w:ascii="Times New Roman" w:hAnsi="Times New Roman" w:eastAsia="仿宋_GB2312" w:cs="Times New Roman"/>
          <w:color w:val="000000"/>
          <w:sz w:val="32"/>
          <w:szCs w:val="32"/>
          <w:lang w:eastAsia="zh-CN"/>
        </w:rPr>
        <w:t>设置密闭车间，烘干、浸润等均在密闭车间内进行，同时加强厂区绿化，建设绿化隔离带使厂界和周围保护目标恶臭影响降至最低。天然气锅炉安装低氮燃烧装置，废气经</w:t>
      </w:r>
      <w:r>
        <w:rPr>
          <w:rFonts w:hint="eastAsia" w:ascii="Times New Roman" w:hAnsi="Times New Roman" w:eastAsia="仿宋_GB2312" w:cs="Times New Roman"/>
          <w:color w:val="000000"/>
          <w:sz w:val="32"/>
          <w:szCs w:val="32"/>
          <w:lang w:val="en-US" w:eastAsia="zh-CN"/>
        </w:rPr>
        <w:t>8m排气筒排放。</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（三）</w:t>
      </w:r>
      <w:r>
        <w:rPr>
          <w:rFonts w:hint="default" w:ascii="楷体_GB2312" w:hAnsi="楷体_GB2312" w:eastAsia="楷体_GB2312" w:cs="楷体_GB2312"/>
          <w:color w:val="auto"/>
          <w:sz w:val="32"/>
          <w:szCs w:val="32"/>
          <w:lang w:val="en-US" w:eastAsia="zh-CN"/>
        </w:rPr>
        <w:t>严格按照报告表要求，落实噪声处置措施。</w:t>
      </w:r>
      <w:r>
        <w:rPr>
          <w:rFonts w:hint="eastAsia" w:ascii="Times New Roman" w:hAnsi="Times New Roman" w:eastAsia="仿宋_GB2312" w:cs="Times New Roman"/>
          <w:color w:val="auto"/>
          <w:sz w:val="32"/>
          <w:szCs w:val="32"/>
          <w:lang w:val="en-US" w:eastAsia="zh-CN"/>
        </w:rPr>
        <w:t>实施设备减振、厂房隔声，加强设备维护、日常管理等降噪措施。</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（四）</w:t>
      </w:r>
      <w:r>
        <w:rPr>
          <w:rFonts w:hint="default" w:ascii="楷体_GB2312" w:hAnsi="楷体_GB2312" w:eastAsia="楷体_GB2312" w:cs="楷体_GB2312"/>
          <w:color w:val="auto"/>
          <w:sz w:val="32"/>
          <w:szCs w:val="32"/>
          <w:lang w:val="en-US" w:eastAsia="zh-CN"/>
        </w:rPr>
        <w:t>严格按照报告表要求，落实固废处置措施。</w:t>
      </w:r>
      <w:r>
        <w:rPr>
          <w:rFonts w:hint="eastAsia" w:ascii="Times New Roman" w:hAnsi="Times New Roman" w:eastAsia="仿宋_GB2312" w:cs="Times New Roman"/>
          <w:color w:val="000000"/>
          <w:sz w:val="32"/>
          <w:szCs w:val="32"/>
          <w:lang w:eastAsia="zh-CN"/>
        </w:rPr>
        <w:t>生活垃圾环卫统一处理，不合格产品收集后定期外售，泥渣还田，不对废导热油收集暂存，需更换时委托资质单位及时到本厂进行收集处置。</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color w:val="auto"/>
          <w:sz w:val="32"/>
          <w:szCs w:val="32"/>
          <w:lang w:val="en-US" w:eastAsia="zh-CN"/>
        </w:rPr>
        <w:t>（五）严格按照报告表要求，落实土壤及地下水污染防治措施。</w:t>
      </w:r>
      <w:r>
        <w:rPr>
          <w:rFonts w:hint="eastAsia" w:ascii="Times New Roman" w:hAnsi="Times New Roman" w:eastAsia="仿宋_GB2312" w:cs="Times New Roman"/>
          <w:color w:val="000000"/>
          <w:sz w:val="32"/>
          <w:szCs w:val="32"/>
          <w:lang w:eastAsia="zh-CN"/>
        </w:rPr>
        <w:t>对天然气导热油炉设置区域进行重点防渗，生产车间、晒场、预处理池、沉淀池进行一般防渗，其它地面进行简单防渗。</w:t>
      </w:r>
    </w:p>
    <w:p>
      <w:pPr>
        <w:keepNext w:val="0"/>
        <w:keepLines w:val="0"/>
        <w:pageBreakBefore w:val="0"/>
        <w:widowControl w:val="0"/>
        <w:kinsoku/>
        <w:wordWrap/>
        <w:overflowPunct/>
        <w:topLinePunct/>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aps w:val="0"/>
          <w:smallCaps w:val="0"/>
          <w:color w:val="auto"/>
          <w:sz w:val="32"/>
          <w:szCs w:val="32"/>
          <w:lang w:val="en-US" w:eastAsia="zh-CN" w:bidi="ar"/>
        </w:rPr>
        <w:t>三、请遂宁市船山生态环境保护综合行政执法大队对该项目的环境保护“三同时”制度执行情况进行监管。</w:t>
      </w:r>
    </w:p>
    <w:p>
      <w:pPr>
        <w:keepNext w:val="0"/>
        <w:keepLines w:val="0"/>
        <w:pageBreakBefore w:val="0"/>
        <w:tabs>
          <w:tab w:val="left" w:pos="8280"/>
          <w:tab w:val="left" w:pos="84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tabs>
          <w:tab w:val="left" w:pos="8280"/>
          <w:tab w:val="left" w:pos="84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pStyle w:val="2"/>
        <w:rPr>
          <w:rFonts w:hint="default"/>
        </w:rPr>
      </w:pPr>
    </w:p>
    <w:p>
      <w:pPr>
        <w:keepNext w:val="0"/>
        <w:keepLines w:val="0"/>
        <w:pageBreakBefore w:val="0"/>
        <w:tabs>
          <w:tab w:val="left" w:pos="8280"/>
          <w:tab w:val="left" w:pos="8460"/>
        </w:tabs>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遂宁市船山生态环境局</w:t>
      </w:r>
      <w:r>
        <w:rPr>
          <w:rFonts w:hint="eastAsia" w:ascii="Times New Roman" w:hAnsi="Times New Roman" w:eastAsia="仿宋_GB2312" w:cs="Times New Roman"/>
          <w:color w:val="auto"/>
          <w:sz w:val="32"/>
          <w:szCs w:val="32"/>
          <w:lang w:val="en-US" w:eastAsia="zh-CN"/>
        </w:rPr>
        <w:t xml:space="preserve">      </w:t>
      </w:r>
    </w:p>
    <w:p>
      <w:pPr>
        <w:pStyle w:val="3"/>
        <w:keepNext w:val="0"/>
        <w:keepLines w:val="0"/>
        <w:pageBreakBefore w:val="0"/>
        <w:kinsoku/>
        <w:wordWrap w:val="0"/>
        <w:overflowPunct/>
        <w:topLinePunct w:val="0"/>
        <w:autoSpaceDE/>
        <w:autoSpaceDN/>
        <w:bidi w:val="0"/>
        <w:adjustRightInd/>
        <w:snapToGrid/>
        <w:spacing w:after="0" w:line="560" w:lineRule="exact"/>
        <w:ind w:firstLine="640" w:firstLineChars="200"/>
        <w:jc w:val="right"/>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年</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 xml:space="preserve">        </w:t>
      </w:r>
    </w:p>
    <w:sectPr>
      <w:footerReference r:id="rId3" w:type="default"/>
      <w:pgSz w:w="11906" w:h="16838"/>
      <w:pgMar w:top="2098" w:right="1474" w:bottom="1984" w:left="1587" w:header="851" w:footer="1134" w:gutter="0"/>
      <w:pgNumType w:fmt="decimal" w:start="2"/>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NmUyYzk1ZjIxODc3ODRmMDEzNTk3YmQ2MGNmZjQifQ=="/>
  </w:docVars>
  <w:rsids>
    <w:rsidRoot w:val="00000000"/>
    <w:rsid w:val="008043DE"/>
    <w:rsid w:val="06A61794"/>
    <w:rsid w:val="08F316BF"/>
    <w:rsid w:val="0A8C6FE9"/>
    <w:rsid w:val="0C2E0D87"/>
    <w:rsid w:val="0EBF037C"/>
    <w:rsid w:val="1041196E"/>
    <w:rsid w:val="109C6B98"/>
    <w:rsid w:val="128B7671"/>
    <w:rsid w:val="132C6A5A"/>
    <w:rsid w:val="138C102F"/>
    <w:rsid w:val="18271053"/>
    <w:rsid w:val="198F1879"/>
    <w:rsid w:val="1F0B5E6E"/>
    <w:rsid w:val="1F3B1453"/>
    <w:rsid w:val="217407BE"/>
    <w:rsid w:val="26B73169"/>
    <w:rsid w:val="28C63019"/>
    <w:rsid w:val="29DF2316"/>
    <w:rsid w:val="2A7D0F92"/>
    <w:rsid w:val="2E511C68"/>
    <w:rsid w:val="31B85EED"/>
    <w:rsid w:val="31BC6DB2"/>
    <w:rsid w:val="31E24069"/>
    <w:rsid w:val="333C1993"/>
    <w:rsid w:val="3A7754FB"/>
    <w:rsid w:val="3A8B163D"/>
    <w:rsid w:val="3DA80861"/>
    <w:rsid w:val="3E582B66"/>
    <w:rsid w:val="3F6F5603"/>
    <w:rsid w:val="3FF43642"/>
    <w:rsid w:val="42995069"/>
    <w:rsid w:val="462B78FB"/>
    <w:rsid w:val="4AC25A4D"/>
    <w:rsid w:val="4E7E543D"/>
    <w:rsid w:val="55424358"/>
    <w:rsid w:val="556904FD"/>
    <w:rsid w:val="59560B9C"/>
    <w:rsid w:val="5CA93065"/>
    <w:rsid w:val="5DD74679"/>
    <w:rsid w:val="63D12B27"/>
    <w:rsid w:val="65D542BB"/>
    <w:rsid w:val="6DEF76A4"/>
    <w:rsid w:val="6F0D5441"/>
    <w:rsid w:val="77CE5D53"/>
    <w:rsid w:val="7B5D5641"/>
    <w:rsid w:val="7FC6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spacing w:beforeLines="50" w:afterLines="50" w:line="500" w:lineRule="exact"/>
      <w:jc w:val="center"/>
    </w:pPr>
    <w:rPr>
      <w:rFonts w:ascii="仿宋_GB2312" w:hAnsi="Times New Roman" w:eastAsia="仿宋_GB2312" w:cs="仿宋_GB2312"/>
      <w:sz w:val="28"/>
      <w:szCs w:val="28"/>
    </w:rPr>
  </w:style>
  <w:style w:type="paragraph" w:styleId="3">
    <w:name w:val="Body Text"/>
    <w:basedOn w:val="1"/>
    <w:next w:val="1"/>
    <w:qFormat/>
    <w:uiPriority w:val="0"/>
    <w:pPr>
      <w:spacing w:after="120"/>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basedOn w:val="9"/>
    <w:next w:val="1"/>
    <w:qFormat/>
    <w:uiPriority w:val="0"/>
    <w:pPr>
      <w:widowControl w:val="0"/>
      <w:autoSpaceDE w:val="0"/>
      <w:autoSpaceDN w:val="0"/>
      <w:adjustRightInd w:val="0"/>
    </w:pPr>
    <w:rPr>
      <w:rFonts w:ascii="宋体" w:eastAsia="宋体" w:cs="宋体"/>
      <w:color w:val="000000"/>
      <w:sz w:val="24"/>
    </w:rPr>
  </w:style>
  <w:style w:type="paragraph" w:customStyle="1" w:styleId="9">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785</Words>
  <Characters>795</Characters>
  <Lines>0</Lines>
  <Paragraphs>0</Paragraphs>
  <TotalTime>0</TotalTime>
  <ScaleCrop>false</ScaleCrop>
  <LinksUpToDate>false</LinksUpToDate>
  <CharactersWithSpaces>814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船山区生态环境局</cp:lastModifiedBy>
  <cp:lastPrinted>2023-02-20T07:45:00Z</cp:lastPrinted>
  <dcterms:modified xsi:type="dcterms:W3CDTF">2024-01-10T06:23:57Z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AAA9BE7E84ED4F0D8CFC68C4ABD52117_13</vt:lpwstr>
  </property>
</Properties>
</file>