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hint="eastAsia" w:ascii="黑体" w:eastAsia="黑体"/>
          <w:spacing w:val="-10"/>
          <w:sz w:val="30"/>
          <w:szCs w:val="30"/>
          <w:lang w:eastAsia="zh-CN"/>
        </w:rPr>
      </w:pPr>
      <w:r>
        <w:rPr>
          <w:rFonts w:ascii="黑体" w:eastAsia="黑体"/>
          <w:spacing w:val="-4"/>
          <w:sz w:val="30"/>
          <w:szCs w:val="30"/>
        </w:rPr>
        <w:t>附件</w:t>
      </w:r>
      <w:r>
        <w:rPr>
          <w:rFonts w:ascii="黑体" w:eastAsia="黑体"/>
          <w:spacing w:val="-80"/>
          <w:sz w:val="30"/>
          <w:szCs w:val="30"/>
        </w:rPr>
        <w:t xml:space="preserve"> </w:t>
      </w:r>
      <w:r>
        <w:rPr>
          <w:rFonts w:ascii="黑体" w:eastAsia="黑体"/>
          <w:spacing w:val="-10"/>
          <w:sz w:val="30"/>
          <w:szCs w:val="30"/>
        </w:rPr>
        <w:t>1</w:t>
      </w:r>
    </w:p>
    <w:p>
      <w:pPr>
        <w:pStyle w:val="3"/>
        <w:spacing w:before="55"/>
        <w:ind w:left="848"/>
        <w:jc w:val="center"/>
        <w:rPr>
          <w:rFonts w:ascii="黑体"/>
          <w:sz w:val="20"/>
        </w:rPr>
      </w:pPr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2261235</wp:posOffset>
            </wp:positionH>
            <wp:positionV relativeFrom="paragraph">
              <wp:posOffset>107315</wp:posOffset>
            </wp:positionV>
            <wp:extent cx="3353435" cy="318770"/>
            <wp:effectExtent l="0" t="0" r="0" b="508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508" w:tblpY="382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306"/>
        <w:gridCol w:w="2837"/>
        <w:gridCol w:w="1456"/>
        <w:gridCol w:w="11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ind w:left="132" w:right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06" w:type="dxa"/>
            <w:noWrap w:val="0"/>
            <w:vAlign w:val="top"/>
          </w:tcPr>
          <w:p>
            <w:pPr>
              <w:pStyle w:val="8"/>
              <w:spacing w:before="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ind w:left="383" w:right="36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pStyle w:val="8"/>
              <w:spacing w:before="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ind w:left="144" w:right="12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地址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行业类别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spacing w:before="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ind w:right="22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167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遂宁市民安烟花爆竹有限公司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遂宁市城区南津路217号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1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烟花爆竹</w:t>
            </w:r>
          </w:p>
          <w:p>
            <w:pPr>
              <w:pStyle w:val="8"/>
              <w:spacing w:before="14" w:line="292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（批发经营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167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遂宁市荣发烟花爆竹有限公司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遂宁市南津路192号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1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烟花爆竹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（批发经营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168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中国石油天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然气股份有限公司四川遂宁销售分公司唐家加油站</w:t>
            </w:r>
          </w:p>
        </w:tc>
        <w:tc>
          <w:tcPr>
            <w:tcW w:w="283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遂宁市船山区唐家乡长虹村七社</w:t>
            </w:r>
          </w:p>
        </w:tc>
        <w:tc>
          <w:tcPr>
            <w:tcW w:w="145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6"/>
              <w:ind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5" w:line="287" w:lineRule="exact"/>
              <w:ind w:left="241"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77"/>
              <w:ind w:right="22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72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中国石油天然气股份有限公司四川遂宁销售分公司永兴加油站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船山区永兴镇白鹤林村四社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21"/>
              <w:ind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172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30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遂宁天康能源有限公司龙凤新城加油加气站</w:t>
            </w:r>
          </w:p>
        </w:tc>
        <w:tc>
          <w:tcPr>
            <w:tcW w:w="2837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遂宁市龙凤新城南航大道南银河路南延线东侧</w:t>
            </w:r>
          </w:p>
        </w:tc>
        <w:tc>
          <w:tcPr>
            <w:tcW w:w="145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21"/>
              <w:ind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82" w:lineRule="exact"/>
              <w:ind w:left="241"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167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东明石化成都有限公司遂宁船山第捌贰零陆加油站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船山区河沙镇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6"/>
              <w:ind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82" w:lineRule="exact"/>
              <w:ind w:left="241"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noWrap w:val="0"/>
            <w:vAlign w:val="top"/>
          </w:tcPr>
          <w:p>
            <w:pPr>
              <w:pStyle w:val="8"/>
              <w:spacing w:before="168"/>
              <w:ind w:lef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四川特明科电汽车充电有限服务公司桂花加油站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8"/>
              <w:ind w:left="144" w:right="12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船山区桂花镇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6"/>
              <w:ind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5" w:line="282" w:lineRule="exact"/>
              <w:ind w:left="241"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67"/>
              <w:ind w:left="33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30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遂宁市船山区桂花加油站</w:t>
            </w:r>
          </w:p>
        </w:tc>
        <w:tc>
          <w:tcPr>
            <w:tcW w:w="283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船山区桂花镇</w:t>
            </w:r>
          </w:p>
        </w:tc>
        <w:tc>
          <w:tcPr>
            <w:tcW w:w="145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before="16"/>
              <w:ind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82" w:lineRule="exact"/>
              <w:ind w:left="241"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67"/>
              <w:ind w:left="33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遂宁嘉欣煜能商贸有限公司复桥加油站</w:t>
            </w:r>
          </w:p>
        </w:tc>
        <w:tc>
          <w:tcPr>
            <w:tcW w:w="28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四川省遂宁市船山区复桥镇清河村三社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before="16"/>
              <w:ind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77" w:lineRule="exact"/>
              <w:ind w:left="241" w:right="2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遂宁市船山区袁家桥加油站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船山区龙凤镇灵归村九社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21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5" w:line="277" w:lineRule="exact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11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遂宁市船山区三新加油站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船山区老池乡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21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12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遂宁市船山区继禄加油站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遂宁市船山区老池乡书院村六组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21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危险化学品</w:t>
            </w:r>
          </w:p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遂宁市杰龙打火机厂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遂宁市船山区永兴镇磨盘村8社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（生产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遂宁市船山区唐家於林页岩砖厂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唐家乡唐家村4社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遂宁市船山区王勇砖厂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河沙镇栖凤村9社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遂宁市豪瑞琉璃瓦厂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复桥镇灵龟村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遂宁市申兴琉璃瓦厂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河沙镇桥墩村2社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遂宁市福万达建材有限公司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永兴镇倒碑丫村1社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遂宁市华全建材有限责任公司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老池乡芋禾村三顶坡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pStyle w:val="8"/>
              <w:spacing w:before="172"/>
              <w:ind w:left="270"/>
              <w:jc w:val="both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pacing w:val="-20"/>
                <w:sz w:val="24"/>
                <w:szCs w:val="24"/>
              </w:rPr>
              <w:t>遂宁市桂焱建材有限责任公司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桂花镇桂圆桥村一社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8"/>
              <w:spacing w:before="14" w:line="277" w:lineRule="exact"/>
              <w:ind w:left="126" w:right="109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工贸（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生产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3"/>
        <w:spacing w:before="7" w:after="1"/>
        <w:jc w:val="center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after="0"/>
        <w:jc w:val="left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10" w:h="16840"/>
          <w:pgMar w:top="2098" w:right="1474" w:bottom="1984" w:left="1587" w:header="0" w:footer="1256" w:gutter="0"/>
          <w:pgNumType w:fmt="decimal"/>
          <w:cols w:space="720" w:num="1"/>
        </w:sectPr>
      </w:pPr>
    </w:p>
    <w:p>
      <w:pPr>
        <w:pStyle w:val="3"/>
        <w:spacing w:before="54"/>
        <w:rPr>
          <w:rFonts w:ascii="黑体" w:eastAsia="黑体"/>
          <w:sz w:val="32"/>
          <w:szCs w:val="40"/>
        </w:rPr>
      </w:pPr>
      <w:r>
        <w:rPr>
          <w:rFonts w:ascii="黑体" w:eastAsia="黑体"/>
          <w:spacing w:val="-4"/>
          <w:sz w:val="32"/>
          <w:szCs w:val="40"/>
        </w:rPr>
        <w:t>附件</w:t>
      </w:r>
      <w:r>
        <w:rPr>
          <w:rFonts w:ascii="黑体" w:eastAsia="黑体"/>
          <w:spacing w:val="-80"/>
          <w:sz w:val="32"/>
          <w:szCs w:val="40"/>
        </w:rPr>
        <w:t xml:space="preserve"> </w:t>
      </w:r>
      <w:r>
        <w:rPr>
          <w:rFonts w:ascii="黑体" w:eastAsia="黑体"/>
          <w:spacing w:val="-10"/>
          <w:sz w:val="32"/>
          <w:szCs w:val="40"/>
        </w:rPr>
        <w:t>2</w:t>
      </w:r>
    </w:p>
    <w:p>
      <w:pPr>
        <w:pStyle w:val="3"/>
        <w:spacing w:before="5"/>
        <w:rPr>
          <w:rFonts w:ascii="黑体"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2425700</wp:posOffset>
            </wp:positionH>
            <wp:positionV relativeFrom="paragraph">
              <wp:posOffset>59690</wp:posOffset>
            </wp:positionV>
            <wp:extent cx="3353435" cy="318770"/>
            <wp:effectExtent l="0" t="0" r="0" b="508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rFonts w:ascii="黑体"/>
          <w:sz w:val="13"/>
        </w:rPr>
      </w:pPr>
    </w:p>
    <w:tbl>
      <w:tblPr>
        <w:tblStyle w:val="5"/>
        <w:tblW w:w="88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3387"/>
        <w:gridCol w:w="3765"/>
        <w:gridCol w:w="7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8"/>
              <w:ind w:left="132" w:right="116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3387" w:type="dxa"/>
            <w:noWrap w:val="0"/>
            <w:vAlign w:val="top"/>
          </w:tcPr>
          <w:p>
            <w:pPr>
              <w:pStyle w:val="8"/>
              <w:spacing w:before="168"/>
              <w:ind w:left="285" w:right="266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企业名称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8"/>
              <w:ind w:left="299"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地址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spacing w:before="168"/>
              <w:ind w:left="183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遂宁市桐浩砂石有限公司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老池桐浩村5社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遂宁市恒源建材有限公司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老池店子村1社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spacing w:line="440" w:lineRule="exact"/>
              <w:ind w:left="183" w:right="167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遂宁市万顺华源砂石有限公司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老池黄桷村7社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遂宁市嘉弘建材有限公司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老池芋禾村8社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遂宁市涪鑫同创砂石有限公司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四川省遂宁市船山区龙凤镇大白塔村三社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遂宁市和盛双源砂石有限公司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唐家余建村6社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遂宁市文远生物科技有限公司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复桥镇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遂宁川能能源有限公司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遂宁市船山区渠河路68号6层601号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遂宁爱绿城环保科技有限公司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遂宁市船山区复桥镇灵龟村井石湾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遂宁市泽惠建材有限公司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遂宁市船山区南强镇永石桥村二社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遂宁市顾恒建材有限责任公司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遂宁市船山区龙凤镇永石桥二社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四川豪士动物保健药业有限公司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遂宁市船山区桂花镇开发新区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遂宁市远明纸业有限公司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遂宁市船山区龙凤镇龙凤社区八组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四川力达建材科技有限公司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遂宁市船山区桂花民营特色工业园区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6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遂宁市发富建材加工厂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167"/>
              <w:ind w:left="144" w:right="12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遂宁市船山区南强镇龙凤社区五组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2098" w:right="1474" w:bottom="1984" w:left="1587" w:header="0" w:footer="1256" w:gutter="0"/>
          <w:pgNumType w:fmt="decimal"/>
          <w:cols w:space="720" w:num="1"/>
        </w:sectPr>
      </w:pPr>
    </w:p>
    <w:p>
      <w:pPr>
        <w:spacing w:line="579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年安全生产监察执法计划编制说明</w:t>
      </w:r>
    </w:p>
    <w:p>
      <w:pPr>
        <w:spacing w:line="579" w:lineRule="exact"/>
        <w:jc w:val="lef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现将区应急局《2023年度安全生产监督检查计划》编制有关情况说明如下。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黑体" w:eastAsia="黑体" w:cs="Times New Roman"/>
          <w:color w:val="auto"/>
          <w:sz w:val="32"/>
        </w:rPr>
        <w:t>一、关于编制原则与考量因素</w:t>
      </w:r>
    </w:p>
    <w:p>
      <w:pPr>
        <w:spacing w:line="579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</w:rPr>
        <w:t>（一）</w:t>
      </w:r>
      <w:r>
        <w:rPr>
          <w:rFonts w:ascii="Times New Roman" w:hAnsi="楷体" w:eastAsia="楷体" w:cs="Times New Roman"/>
          <w:b/>
          <w:bCs/>
          <w:color w:val="auto"/>
          <w:sz w:val="32"/>
        </w:rPr>
        <w:t>编制依据。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依据原国家安全监管总局《关于印发&lt;安全生产年度监督检查计划编制办法&gt;的通知》(安监总政法〔2017〕150号)编制。</w:t>
      </w:r>
    </w:p>
    <w:p>
      <w:pPr>
        <w:spacing w:line="579" w:lineRule="exact"/>
        <w:ind w:firstLine="643" w:firstLineChars="200"/>
        <w:rPr>
          <w:rFonts w:ascii="Times New Roman" w:hAnsi="仿宋_GB2312" w:eastAsia="仿宋_GB2312" w:cs="Times New Roman"/>
          <w:color w:val="auto"/>
          <w:sz w:val="32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</w:rPr>
        <w:t>（二）编制原则。</w:t>
      </w:r>
      <w:r>
        <w:rPr>
          <w:rFonts w:ascii="Times New Roman" w:hAnsi="仿宋_GB2312" w:eastAsia="仿宋_GB2312" w:cs="Times New Roman"/>
          <w:color w:val="auto"/>
          <w:sz w:val="32"/>
        </w:rPr>
        <w:t>统筹兼顾、分类分级、突出重点、提高效能、留有余地。</w:t>
      </w:r>
    </w:p>
    <w:p>
      <w:pPr>
        <w:spacing w:line="579" w:lineRule="exact"/>
        <w:ind w:firstLine="643" w:firstLineChars="200"/>
        <w:rPr>
          <w:rFonts w:hint="eastAsia" w:ascii="Times New Roman" w:hAnsi="仿宋_GB2312" w:eastAsia="仿宋_GB2312" w:cs="Times New Roman"/>
          <w:color w:val="auto"/>
          <w:sz w:val="32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</w:rPr>
        <w:t>（三）考量因素。</w:t>
      </w:r>
      <w:r>
        <w:rPr>
          <w:rFonts w:hint="eastAsia" w:ascii="Times New Roman" w:hAnsi="仿宋_GB2312" w:eastAsia="仿宋_GB2312" w:cs="Times New Roman"/>
          <w:color w:val="auto"/>
          <w:sz w:val="32"/>
        </w:rPr>
        <w:t>一是区应急局在册行政执法人员的数量、能力以及保障等；二是监察对象重点是安全生产风险等级较高的重点企业；三是职责定位以分类监管执法为原则，将执法与指导相结合。</w:t>
      </w:r>
    </w:p>
    <w:p>
      <w:pPr>
        <w:spacing w:line="579" w:lineRule="exact"/>
        <w:ind w:firstLine="640" w:firstLineChars="200"/>
        <w:rPr>
          <w:rFonts w:hint="eastAsia" w:ascii="Times New Roman" w:hAnsi="仿宋_GB2312" w:eastAsia="仿宋_GB2312" w:cs="Times New Roman"/>
          <w:color w:val="auto"/>
          <w:sz w:val="32"/>
        </w:rPr>
      </w:pPr>
      <w:r>
        <w:rPr>
          <w:rFonts w:hint="eastAsia" w:ascii="Times New Roman" w:hAnsi="仿宋_GB2312" w:eastAsia="仿宋_GB2312" w:cs="Times New Roman"/>
          <w:color w:val="auto"/>
          <w:sz w:val="32"/>
        </w:rPr>
        <w:t>综合考量以上因素，合理确定监督检查工作日、其他执法工</w:t>
      </w:r>
    </w:p>
    <w:p>
      <w:pPr>
        <w:spacing w:line="579" w:lineRule="exact"/>
        <w:rPr>
          <w:rFonts w:hint="eastAsia" w:ascii="Times New Roman" w:hAnsi="仿宋_GB2312" w:eastAsia="仿宋_GB2312" w:cs="Times New Roman"/>
          <w:color w:val="auto"/>
          <w:sz w:val="32"/>
        </w:rPr>
      </w:pPr>
      <w:r>
        <w:rPr>
          <w:rFonts w:hint="eastAsia" w:ascii="Times New Roman" w:hAnsi="仿宋_GB2312" w:eastAsia="仿宋_GB2312" w:cs="Times New Roman"/>
          <w:color w:val="auto"/>
          <w:sz w:val="32"/>
        </w:rPr>
        <w:t>作日及非执法工作日。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黑体" w:eastAsia="黑体" w:cs="Times New Roman"/>
          <w:color w:val="auto"/>
          <w:sz w:val="32"/>
        </w:rPr>
        <w:t>二、关于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3</w:t>
      </w:r>
      <w:r>
        <w:rPr>
          <w:rFonts w:ascii="Times New Roman" w:hAnsi="黑体" w:eastAsia="黑体" w:cs="Times New Roman"/>
          <w:color w:val="auto"/>
          <w:sz w:val="32"/>
        </w:rPr>
        <w:t>年列入检查单位范围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仿宋_GB2312" w:eastAsia="仿宋_GB2312" w:cs="Times New Roman"/>
          <w:color w:val="auto"/>
          <w:sz w:val="32"/>
        </w:rPr>
        <w:t>（一）</w:t>
      </w:r>
      <w:r>
        <w:rPr>
          <w:rFonts w:ascii="Times New Roman" w:hAnsi="仿宋_GB2312" w:eastAsia="仿宋_GB2312" w:cs="Times New Roman"/>
          <w:color w:val="auto"/>
          <w:sz w:val="32"/>
        </w:rPr>
        <w:t>选取安全生产风险等级较高的危险化学品、</w:t>
      </w:r>
      <w:r>
        <w:rPr>
          <w:rFonts w:ascii="Times New Roman" w:hAnsi="仿宋_GB2312" w:eastAsia="仿宋_GB2312" w:cs="Times New Roman"/>
          <w:color w:val="auto"/>
          <w:w w:val="96"/>
          <w:sz w:val="32"/>
        </w:rPr>
        <w:t>工贸行业等危险性较大的企业</w:t>
      </w:r>
      <w:r>
        <w:rPr>
          <w:rFonts w:hint="eastAsia" w:ascii="Times New Roman" w:hAnsi="Times New Roman" w:eastAsia="仿宋_GB2312" w:cs="Times New Roman"/>
          <w:color w:val="auto"/>
          <w:w w:val="96"/>
          <w:sz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6"/>
          <w:sz w:val="32"/>
          <w:lang w:val="en-US" w:eastAsia="zh-CN"/>
        </w:rPr>
        <w:t>0</w:t>
      </w:r>
      <w:r>
        <w:rPr>
          <w:rFonts w:ascii="Times New Roman" w:hAnsi="仿宋_GB2312" w:eastAsia="仿宋_GB2312" w:cs="Times New Roman"/>
          <w:color w:val="auto"/>
          <w:w w:val="96"/>
          <w:sz w:val="32"/>
        </w:rPr>
        <w:t>家，列入计划执法作为重点检</w:t>
      </w:r>
      <w:r>
        <w:rPr>
          <w:rFonts w:ascii="Times New Roman" w:hAnsi="仿宋_GB2312" w:eastAsia="仿宋_GB2312" w:cs="Times New Roman"/>
          <w:color w:val="auto"/>
          <w:sz w:val="32"/>
        </w:rPr>
        <w:t>查；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（二）对重点检查单位以外的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家生产经营单位，列入一般检查。</w:t>
      </w:r>
    </w:p>
    <w:p>
      <w:pPr>
        <w:widowControl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黑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ascii="Times New Roman" w:hAnsi="黑体" w:eastAsia="黑体" w:cs="宋体"/>
          <w:color w:val="auto"/>
          <w:kern w:val="2"/>
          <w:sz w:val="32"/>
          <w:szCs w:val="24"/>
          <w:lang w:val="en-US" w:eastAsia="zh-CN" w:bidi="ar-SA"/>
        </w:rPr>
        <w:t>三、关于执法计划中重点检查、一般检查的划分及比例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区应急局全年执法计划总共24家，由计划执法（重点检查）、一般检查两个部分组成。其中：20家企业纳入计划执法范围、4家企业纳入一般检查范围，重点检查的比例为 83 %（规定不低于60%），一般检查的比例为 17 %（规定不高于40%）。</w:t>
      </w:r>
    </w:p>
    <w:p>
      <w:pPr>
        <w:spacing w:after="0" w:line="240" w:lineRule="auto"/>
        <w:jc w:val="left"/>
        <w:rPr>
          <w:rFonts w:ascii="仿宋" w:eastAsia="仿宋"/>
          <w:sz w:val="32"/>
        </w:rPr>
        <w:sectPr>
          <w:footerReference r:id="rId4" w:type="default"/>
          <w:pgSz w:w="11910" w:h="16840"/>
          <w:pgMar w:top="2098" w:right="1474" w:bottom="1984" w:left="1587" w:header="0" w:footer="1134" w:gutter="0"/>
          <w:pgNumType w:fmt="decimal"/>
          <w:cols w:space="720" w:num="1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9140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58.2pt;mso-position-horizontal:outside;mso-position-horizontal-relative:margin;z-index:251659264;mso-width-relative:page;mso-height-relative:page;" filled="f" stroked="f" coordsize="21600,21600" o:gfxdata="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cC+N9QAAAAEAQAADwAAAAAAAAABACAAAAAiAAAAZHJzL2Rvd25yZXYueG1sUEsBAhQAFAAA&#10;AAgAh07iQInggBe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914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58.2pt;mso-position-horizontal:outside;mso-position-horizontal-relative:margin;z-index:251659264;mso-width-relative:page;mso-height-relative:page;" filled="f" stroked="f" coordsize="21600,21600" o:gfxdata="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cC+N9QAAAAEAQAADwAAAAAAAAABACAAAAAiAAAAZHJzL2Rvd25yZXYueG1sUEsBAhQAFAAA&#10;AAgAh07iQDXIlmu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TI1ZGMwY2Y0MzJhN2I4YmMxMjQzYWFmMTU4Y2YifQ=="/>
  </w:docVars>
  <w:rsids>
    <w:rsidRoot w:val="64B56258"/>
    <w:rsid w:val="1D0F0E36"/>
    <w:rsid w:val="64B5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99"/>
    <w:pPr>
      <w:ind w:firstLine="200" w:firstLineChars="200"/>
      <w:jc w:val="left"/>
    </w:pPr>
    <w:rPr>
      <w:rFonts w:eastAsia="仿宋_GB231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4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  <w:lang w:val="en-US" w:eastAsia="zh-CN" w:bidi="ar-SA"/>
    </w:rPr>
  </w:style>
  <w:style w:type="paragraph" w:styleId="7">
    <w:name w:val="List Paragraph"/>
    <w:basedOn w:val="1"/>
    <w:qFormat/>
    <w:uiPriority w:val="1"/>
    <w:pPr>
      <w:spacing w:before="2"/>
      <w:ind w:left="1031" w:hanging="242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  <w:style w:type="character" w:customStyle="1" w:styleId="9">
    <w:name w:val="NormalCharacter"/>
    <w:qFormat/>
    <w:uiPriority w:val="0"/>
  </w:style>
  <w:style w:type="paragraph" w:customStyle="1" w:styleId="10">
    <w:name w:val="无间隔1"/>
    <w:qFormat/>
    <w:uiPriority w:val="5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2023-12-01T04:28:00Z</dcterms:created>
  <dc:creator>Puz</dc:creator>
  <cp:lastModifiedBy>邓矮矮</cp:lastModifiedBy>
  <dcterms:modified xsi:type="dcterms:W3CDTF">2023-12-04T01:18:04Z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21067CE8045B40B5A42FF8BF83326C80</vt:lpwstr>
  </property>
</Properties>
</file>